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6B67C">
      <w:pPr>
        <w:widowControl w:val="0"/>
        <w:jc w:val="center"/>
        <w:rPr>
          <w:rFonts w:hint="default" w:ascii="Times New Roman" w:hAnsi="Times New Roman" w:cs="Times New Roman" w:eastAsiaTheme="minorEastAsia"/>
          <w:caps w:val="0"/>
          <w:smallCaps w:val="0"/>
          <w:snapToGrid w:val="0"/>
          <w:color w:val="auto"/>
          <w:spacing w:val="0"/>
          <w:w w:val="100"/>
          <w:position w:val="0"/>
          <w:sz w:val="44"/>
          <w:szCs w:val="44"/>
          <w:highlight w:val="none"/>
          <w:lang w:val="en-US" w:eastAsia="zh-CN"/>
        </w:rPr>
      </w:pPr>
      <w:bookmarkStart w:id="1264" w:name="_GoBack"/>
      <w:bookmarkStart w:id="0" w:name="_Toc472585611"/>
      <w:bookmarkStart w:id="1" w:name="_Toc439236473"/>
      <w:bookmarkStart w:id="2" w:name="_Toc477190959"/>
    </w:p>
    <w:p w14:paraId="5F6C8F59">
      <w:pPr>
        <w:widowControl w:val="0"/>
        <w:jc w:val="center"/>
        <w:rPr>
          <w:rFonts w:ascii="Times New Roman" w:hAnsi="Times New Roman" w:cs="Times New Roman" w:eastAsiaTheme="minorEastAsia"/>
          <w:caps w:val="0"/>
          <w:smallCaps w:val="0"/>
          <w:snapToGrid w:val="0"/>
          <w:color w:val="auto"/>
          <w:spacing w:val="0"/>
          <w:w w:val="100"/>
          <w:position w:val="0"/>
          <w:sz w:val="44"/>
          <w:szCs w:val="44"/>
          <w:highlight w:val="none"/>
        </w:rPr>
      </w:pPr>
    </w:p>
    <w:p w14:paraId="1E3E864B">
      <w:pPr>
        <w:widowControl w:val="0"/>
        <w:jc w:val="center"/>
        <w:rPr>
          <w:rFonts w:ascii="Times New Roman" w:hAnsi="Times New Roman" w:cs="Times New Roman" w:eastAsiaTheme="minorEastAsia"/>
          <w:caps w:val="0"/>
          <w:smallCaps w:val="0"/>
          <w:snapToGrid w:val="0"/>
          <w:color w:val="auto"/>
          <w:spacing w:val="0"/>
          <w:w w:val="100"/>
          <w:position w:val="0"/>
          <w:sz w:val="44"/>
          <w:szCs w:val="44"/>
          <w:highlight w:val="none"/>
        </w:rPr>
      </w:pPr>
    </w:p>
    <w:p w14:paraId="638F51B3">
      <w:pPr>
        <w:widowControl w:val="0"/>
        <w:jc w:val="center"/>
        <w:rPr>
          <w:rFonts w:ascii="Times New Roman" w:hAnsi="Times New Roman" w:cs="Times New Roman" w:eastAsiaTheme="minorEastAsia"/>
          <w:caps w:val="0"/>
          <w:smallCaps w:val="0"/>
          <w:snapToGrid w:val="0"/>
          <w:color w:val="auto"/>
          <w:spacing w:val="0"/>
          <w:w w:val="100"/>
          <w:position w:val="0"/>
          <w:sz w:val="44"/>
          <w:szCs w:val="44"/>
          <w:highlight w:val="none"/>
        </w:rPr>
      </w:pPr>
      <w:r>
        <w:rPr>
          <w:rFonts w:ascii="Times New Roman" w:hAnsi="Times New Roman" w:cs="Times New Roman" w:eastAsiaTheme="minorEastAsia"/>
          <w:caps w:val="0"/>
          <w:smallCaps w:val="0"/>
          <w:snapToGrid w:val="0"/>
          <w:color w:val="auto"/>
          <w:spacing w:val="0"/>
          <w:w w:val="100"/>
          <w:position w:val="0"/>
          <w:sz w:val="44"/>
          <w:szCs w:val="44"/>
          <w:highlight w:val="none"/>
          <w:lang w:val="en-US" w:eastAsia="zh-CN"/>
        </w:rPr>
        <w:t xml:space="preserve">大庆油田第十一采油厂油系统管道安全隐 </w:t>
      </w:r>
    </w:p>
    <w:p w14:paraId="531703A9">
      <w:pPr>
        <w:widowControl w:val="0"/>
        <w:jc w:val="center"/>
        <w:rPr>
          <w:rFonts w:ascii="Times New Roman" w:hAnsi="Times New Roman" w:cs="Times New Roman" w:eastAsiaTheme="minorEastAsia"/>
          <w:caps w:val="0"/>
          <w:smallCaps w:val="0"/>
          <w:snapToGrid w:val="0"/>
          <w:color w:val="auto"/>
          <w:spacing w:val="0"/>
          <w:w w:val="100"/>
          <w:position w:val="0"/>
          <w:sz w:val="44"/>
          <w:szCs w:val="44"/>
          <w:highlight w:val="none"/>
        </w:rPr>
      </w:pPr>
      <w:r>
        <w:rPr>
          <w:rFonts w:hint="default" w:ascii="Times New Roman" w:hAnsi="Times New Roman" w:cs="Times New Roman" w:eastAsiaTheme="minorEastAsia"/>
          <w:caps w:val="0"/>
          <w:smallCaps w:val="0"/>
          <w:snapToGrid w:val="0"/>
          <w:color w:val="auto"/>
          <w:spacing w:val="0"/>
          <w:w w:val="100"/>
          <w:position w:val="0"/>
          <w:sz w:val="44"/>
          <w:szCs w:val="44"/>
          <w:highlight w:val="none"/>
          <w:lang w:val="en-US" w:eastAsia="zh-CN"/>
        </w:rPr>
        <w:t>患治理工程</w:t>
      </w:r>
      <w:r>
        <w:rPr>
          <w:rFonts w:ascii="Times New Roman" w:hAnsi="Times New Roman" w:cs="Times New Roman" w:eastAsiaTheme="minorEastAsia"/>
          <w:caps w:val="0"/>
          <w:smallCaps w:val="0"/>
          <w:snapToGrid w:val="0"/>
          <w:color w:val="auto"/>
          <w:spacing w:val="0"/>
          <w:w w:val="100"/>
          <w:position w:val="0"/>
          <w:sz w:val="44"/>
          <w:szCs w:val="44"/>
          <w:highlight w:val="none"/>
        </w:rPr>
        <w:t>项目</w:t>
      </w:r>
    </w:p>
    <w:p w14:paraId="524BAA17">
      <w:pPr>
        <w:widowControl w:val="0"/>
        <w:jc w:val="center"/>
        <w:rPr>
          <w:rFonts w:ascii="Times New Roman" w:hAnsi="Times New Roman" w:cs="Times New Roman" w:eastAsiaTheme="minorEastAsia"/>
          <w:caps w:val="0"/>
          <w:smallCaps w:val="0"/>
          <w:snapToGrid w:val="0"/>
          <w:color w:val="auto"/>
          <w:spacing w:val="0"/>
          <w:w w:val="100"/>
          <w:position w:val="0"/>
          <w:sz w:val="72"/>
          <w:szCs w:val="72"/>
          <w:highlight w:val="none"/>
        </w:rPr>
      </w:pPr>
      <w:r>
        <w:rPr>
          <w:rFonts w:ascii="Times New Roman" w:hAnsi="Times New Roman" w:cs="Times New Roman" w:eastAsiaTheme="minorEastAsia"/>
          <w:caps w:val="0"/>
          <w:smallCaps w:val="0"/>
          <w:snapToGrid w:val="0"/>
          <w:color w:val="auto"/>
          <w:spacing w:val="0"/>
          <w:w w:val="100"/>
          <w:position w:val="0"/>
          <w:sz w:val="72"/>
          <w:szCs w:val="72"/>
          <w:highlight w:val="none"/>
        </w:rPr>
        <w:t>环境影响报告书</w:t>
      </w:r>
    </w:p>
    <w:p w14:paraId="3142D9CA">
      <w:pPr>
        <w:widowControl w:val="0"/>
        <w:jc w:val="center"/>
        <w:rPr>
          <w:rFonts w:ascii="Times New Roman" w:hAnsi="Times New Roman" w:cs="Times New Roman" w:eastAsiaTheme="minorEastAsia"/>
          <w:caps w:val="0"/>
          <w:smallCaps w:val="0"/>
          <w:snapToGrid w:val="0"/>
          <w:color w:val="auto"/>
          <w:spacing w:val="0"/>
          <w:w w:val="100"/>
          <w:position w:val="0"/>
          <w:sz w:val="32"/>
          <w:szCs w:val="32"/>
          <w:highlight w:val="none"/>
        </w:rPr>
      </w:pPr>
      <w:r>
        <w:rPr>
          <w:rFonts w:ascii="Times New Roman" w:hAnsi="Times New Roman" w:cs="Times New Roman" w:eastAsiaTheme="minorEastAsia"/>
          <w:caps w:val="0"/>
          <w:smallCaps w:val="0"/>
          <w:snapToGrid w:val="0"/>
          <w:color w:val="auto"/>
          <w:spacing w:val="0"/>
          <w:w w:val="100"/>
          <w:position w:val="0"/>
          <w:sz w:val="28"/>
          <w:highlight w:val="none"/>
        </w:rPr>
        <w:t xml:space="preserve"> </w:t>
      </w:r>
    </w:p>
    <w:p w14:paraId="42B336DD">
      <w:pPr>
        <w:widowControl w:val="0"/>
        <w:ind w:firstLine="560"/>
        <w:rPr>
          <w:rFonts w:ascii="Times New Roman" w:hAnsi="Times New Roman" w:cs="Times New Roman" w:eastAsiaTheme="minorEastAsia"/>
          <w:caps w:val="0"/>
          <w:smallCaps w:val="0"/>
          <w:snapToGrid w:val="0"/>
          <w:color w:val="auto"/>
          <w:spacing w:val="0"/>
          <w:w w:val="100"/>
          <w:position w:val="0"/>
          <w:sz w:val="28"/>
          <w:highlight w:val="none"/>
        </w:rPr>
      </w:pPr>
      <w:r>
        <w:rPr>
          <w:rFonts w:ascii="Times New Roman" w:hAnsi="Times New Roman" w:cs="Times New Roman" w:eastAsiaTheme="minorEastAsia"/>
          <w:caps w:val="0"/>
          <w:smallCaps w:val="0"/>
          <w:snapToGrid w:val="0"/>
          <w:color w:val="auto"/>
          <w:spacing w:val="0"/>
          <w:w w:val="100"/>
          <w:position w:val="0"/>
          <w:sz w:val="28"/>
          <w:highlight w:val="none"/>
        </w:rPr>
        <w:t xml:space="preserve"> </w:t>
      </w:r>
    </w:p>
    <w:p w14:paraId="24B9324E">
      <w:pPr>
        <w:widowControl w:val="0"/>
        <w:ind w:firstLine="560"/>
        <w:rPr>
          <w:rFonts w:ascii="Times New Roman" w:hAnsi="Times New Roman" w:cs="Times New Roman" w:eastAsiaTheme="minorEastAsia"/>
          <w:caps w:val="0"/>
          <w:smallCaps w:val="0"/>
          <w:snapToGrid w:val="0"/>
          <w:color w:val="auto"/>
          <w:spacing w:val="0"/>
          <w:w w:val="100"/>
          <w:position w:val="0"/>
          <w:sz w:val="28"/>
          <w:highlight w:val="none"/>
        </w:rPr>
      </w:pPr>
      <w:r>
        <w:rPr>
          <w:rFonts w:ascii="Times New Roman" w:hAnsi="Times New Roman" w:cs="Times New Roman" w:eastAsiaTheme="minorEastAsia"/>
          <w:caps w:val="0"/>
          <w:smallCaps w:val="0"/>
          <w:snapToGrid w:val="0"/>
          <w:color w:val="auto"/>
          <w:spacing w:val="0"/>
          <w:w w:val="100"/>
          <w:position w:val="0"/>
          <w:sz w:val="28"/>
          <w:highlight w:val="none"/>
        </w:rPr>
        <w:t xml:space="preserve">  </w:t>
      </w:r>
    </w:p>
    <w:p w14:paraId="1865DC85">
      <w:pPr>
        <w:widowControl w:val="0"/>
        <w:ind w:firstLine="560"/>
        <w:rPr>
          <w:rFonts w:ascii="Times New Roman" w:hAnsi="Times New Roman" w:cs="Times New Roman" w:eastAsiaTheme="minorEastAsia"/>
          <w:caps w:val="0"/>
          <w:smallCaps w:val="0"/>
          <w:snapToGrid w:val="0"/>
          <w:color w:val="auto"/>
          <w:spacing w:val="0"/>
          <w:w w:val="100"/>
          <w:position w:val="0"/>
          <w:sz w:val="28"/>
          <w:highlight w:val="none"/>
        </w:rPr>
      </w:pPr>
    </w:p>
    <w:p w14:paraId="1D95DFCC">
      <w:pPr>
        <w:pStyle w:val="146"/>
        <w:rPr>
          <w:rFonts w:ascii="Times New Roman" w:hAnsi="Times New Roman" w:cs="Times New Roman" w:eastAsiaTheme="minorEastAsia"/>
          <w:caps w:val="0"/>
          <w:smallCaps w:val="0"/>
          <w:color w:val="auto"/>
          <w:spacing w:val="0"/>
          <w:w w:val="100"/>
          <w:position w:val="0"/>
          <w:highlight w:val="none"/>
        </w:rPr>
      </w:pPr>
    </w:p>
    <w:p w14:paraId="681F537D">
      <w:pPr>
        <w:pStyle w:val="146"/>
        <w:rPr>
          <w:rFonts w:ascii="Times New Roman" w:hAnsi="Times New Roman" w:cs="Times New Roman" w:eastAsiaTheme="minorEastAsia"/>
          <w:caps w:val="0"/>
          <w:smallCaps w:val="0"/>
          <w:color w:val="auto"/>
          <w:spacing w:val="0"/>
          <w:w w:val="100"/>
          <w:position w:val="0"/>
          <w:highlight w:val="none"/>
        </w:rPr>
      </w:pPr>
    </w:p>
    <w:p w14:paraId="4305E0FC">
      <w:pPr>
        <w:pStyle w:val="146"/>
        <w:rPr>
          <w:rFonts w:ascii="Times New Roman" w:hAnsi="Times New Roman" w:cs="Times New Roman" w:eastAsiaTheme="minorEastAsia"/>
          <w:caps w:val="0"/>
          <w:smallCaps w:val="0"/>
          <w:color w:val="auto"/>
          <w:spacing w:val="0"/>
          <w:w w:val="100"/>
          <w:position w:val="0"/>
          <w:highlight w:val="none"/>
        </w:rPr>
      </w:pPr>
    </w:p>
    <w:p w14:paraId="1C4F14D1">
      <w:pPr>
        <w:pStyle w:val="146"/>
        <w:rPr>
          <w:rFonts w:ascii="Times New Roman" w:hAnsi="Times New Roman" w:cs="Times New Roman" w:eastAsiaTheme="minorEastAsia"/>
          <w:caps w:val="0"/>
          <w:smallCaps w:val="0"/>
          <w:color w:val="auto"/>
          <w:spacing w:val="0"/>
          <w:w w:val="100"/>
          <w:position w:val="0"/>
          <w:highlight w:val="none"/>
        </w:rPr>
      </w:pPr>
    </w:p>
    <w:p w14:paraId="0DD5BEC2">
      <w:pPr>
        <w:pStyle w:val="146"/>
        <w:rPr>
          <w:rFonts w:ascii="Times New Roman" w:hAnsi="Times New Roman" w:cs="Times New Roman" w:eastAsiaTheme="minorEastAsia"/>
          <w:caps w:val="0"/>
          <w:smallCaps w:val="0"/>
          <w:color w:val="auto"/>
          <w:spacing w:val="0"/>
          <w:w w:val="100"/>
          <w:position w:val="0"/>
          <w:highlight w:val="none"/>
        </w:rPr>
      </w:pPr>
    </w:p>
    <w:p w14:paraId="020CCC4F">
      <w:pPr>
        <w:pStyle w:val="146"/>
        <w:rPr>
          <w:rFonts w:ascii="Times New Roman" w:hAnsi="Times New Roman" w:cs="Times New Roman" w:eastAsiaTheme="minorEastAsia"/>
          <w:caps w:val="0"/>
          <w:smallCaps w:val="0"/>
          <w:color w:val="auto"/>
          <w:spacing w:val="0"/>
          <w:w w:val="100"/>
          <w:position w:val="0"/>
          <w:highlight w:val="none"/>
        </w:rPr>
      </w:pPr>
    </w:p>
    <w:p w14:paraId="00D792D0">
      <w:pPr>
        <w:pStyle w:val="146"/>
        <w:tabs>
          <w:tab w:val="left" w:pos="5449"/>
        </w:tabs>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ab/>
      </w:r>
    </w:p>
    <w:p w14:paraId="2584DD5E">
      <w:pPr>
        <w:pStyle w:val="146"/>
        <w:rPr>
          <w:rFonts w:ascii="Times New Roman" w:hAnsi="Times New Roman" w:cs="Times New Roman" w:eastAsiaTheme="minorEastAsia"/>
          <w:caps w:val="0"/>
          <w:smallCaps w:val="0"/>
          <w:color w:val="auto"/>
          <w:spacing w:val="0"/>
          <w:w w:val="100"/>
          <w:position w:val="0"/>
          <w:highlight w:val="none"/>
        </w:rPr>
      </w:pPr>
    </w:p>
    <w:p w14:paraId="483E13AC">
      <w:pPr>
        <w:rPr>
          <w:rFonts w:ascii="Times New Roman" w:hAnsi="Times New Roman" w:cs="Times New Roman"/>
          <w:caps w:val="0"/>
          <w:smallCaps w:val="0"/>
          <w:color w:val="auto"/>
          <w:spacing w:val="0"/>
          <w:w w:val="100"/>
          <w:position w:val="0"/>
          <w:highlight w:val="none"/>
        </w:rPr>
      </w:pPr>
    </w:p>
    <w:p w14:paraId="5F7B1A94">
      <w:pPr>
        <w:pStyle w:val="102"/>
        <w:rPr>
          <w:caps w:val="0"/>
          <w:smallCaps w:val="0"/>
          <w:color w:val="auto"/>
          <w:spacing w:val="0"/>
          <w:w w:val="100"/>
          <w:position w:val="0"/>
          <w:highlight w:val="none"/>
        </w:rPr>
      </w:pPr>
    </w:p>
    <w:p w14:paraId="21A0A461">
      <w:pPr>
        <w:rPr>
          <w:rFonts w:ascii="Times New Roman" w:hAnsi="Times New Roman" w:cs="Times New Roman"/>
          <w:caps w:val="0"/>
          <w:smallCaps w:val="0"/>
          <w:color w:val="auto"/>
          <w:spacing w:val="0"/>
          <w:w w:val="100"/>
          <w:position w:val="0"/>
          <w:highlight w:val="none"/>
        </w:rPr>
      </w:pPr>
    </w:p>
    <w:p w14:paraId="09A7658A">
      <w:pPr>
        <w:pStyle w:val="102"/>
        <w:rPr>
          <w:caps w:val="0"/>
          <w:smallCaps w:val="0"/>
          <w:color w:val="auto"/>
          <w:spacing w:val="0"/>
          <w:w w:val="100"/>
          <w:position w:val="0"/>
          <w:highlight w:val="none"/>
        </w:rPr>
      </w:pPr>
    </w:p>
    <w:p w14:paraId="46469C97">
      <w:pPr>
        <w:rPr>
          <w:rFonts w:ascii="Times New Roman" w:hAnsi="Times New Roman" w:cs="Times New Roman"/>
          <w:caps w:val="0"/>
          <w:smallCaps w:val="0"/>
          <w:color w:val="auto"/>
          <w:spacing w:val="0"/>
          <w:w w:val="100"/>
          <w:position w:val="0"/>
          <w:highlight w:val="none"/>
        </w:rPr>
      </w:pPr>
    </w:p>
    <w:p w14:paraId="74E5BE13">
      <w:pPr>
        <w:pStyle w:val="102"/>
        <w:rPr>
          <w:caps w:val="0"/>
          <w:smallCaps w:val="0"/>
          <w:color w:val="auto"/>
          <w:spacing w:val="0"/>
          <w:w w:val="100"/>
          <w:position w:val="0"/>
          <w:highlight w:val="none"/>
        </w:rPr>
      </w:pPr>
    </w:p>
    <w:p w14:paraId="5ED44CDA">
      <w:pPr>
        <w:widowControl w:val="0"/>
        <w:jc w:val="center"/>
        <w:rPr>
          <w:rFonts w:ascii="Times New Roman" w:hAnsi="Times New Roman" w:cs="Times New Roman" w:eastAsiaTheme="minorEastAsia"/>
          <w:caps w:val="0"/>
          <w:smallCaps w:val="0"/>
          <w:snapToGrid w:val="0"/>
          <w:color w:val="auto"/>
          <w:spacing w:val="0"/>
          <w:w w:val="100"/>
          <w:position w:val="0"/>
          <w:sz w:val="30"/>
          <w:szCs w:val="30"/>
          <w:highlight w:val="none"/>
        </w:rPr>
      </w:pPr>
      <w:r>
        <w:rPr>
          <w:rFonts w:ascii="Times New Roman" w:hAnsi="Times New Roman" w:cs="Times New Roman" w:eastAsiaTheme="minorEastAsia"/>
          <w:caps w:val="0"/>
          <w:smallCaps w:val="0"/>
          <w:snapToGrid w:val="0"/>
          <w:color w:val="auto"/>
          <w:spacing w:val="0"/>
          <w:w w:val="100"/>
          <w:position w:val="0"/>
          <w:sz w:val="30"/>
          <w:szCs w:val="30"/>
          <w:highlight w:val="none"/>
        </w:rPr>
        <w:t>建设单位：大庆油田有限责任公司第</w:t>
      </w:r>
      <w:r>
        <w:rPr>
          <w:rFonts w:hint="eastAsia" w:ascii="Times New Roman" w:hAnsi="Times New Roman" w:cs="Times New Roman" w:eastAsiaTheme="minorEastAsia"/>
          <w:caps w:val="0"/>
          <w:smallCaps w:val="0"/>
          <w:snapToGrid w:val="0"/>
          <w:color w:val="auto"/>
          <w:spacing w:val="0"/>
          <w:w w:val="100"/>
          <w:position w:val="0"/>
          <w:sz w:val="30"/>
          <w:szCs w:val="30"/>
          <w:highlight w:val="none"/>
          <w:lang w:val="en-US" w:eastAsia="zh-CN"/>
        </w:rPr>
        <w:t>十一</w:t>
      </w:r>
      <w:r>
        <w:rPr>
          <w:rFonts w:ascii="Times New Roman" w:hAnsi="Times New Roman" w:cs="Times New Roman" w:eastAsiaTheme="minorEastAsia"/>
          <w:caps w:val="0"/>
          <w:smallCaps w:val="0"/>
          <w:snapToGrid w:val="0"/>
          <w:color w:val="auto"/>
          <w:spacing w:val="0"/>
          <w:w w:val="100"/>
          <w:position w:val="0"/>
          <w:sz w:val="30"/>
          <w:szCs w:val="30"/>
          <w:highlight w:val="none"/>
        </w:rPr>
        <w:t>采油厂</w:t>
      </w:r>
    </w:p>
    <w:p w14:paraId="04B75D99">
      <w:pPr>
        <w:widowControl w:val="0"/>
        <w:ind w:left="72" w:leftChars="30" w:firstLine="1650" w:firstLineChars="550"/>
        <w:jc w:val="both"/>
        <w:rPr>
          <w:rFonts w:ascii="Times New Roman" w:hAnsi="Times New Roman" w:cs="Times New Roman" w:eastAsiaTheme="minorEastAsia"/>
          <w:caps w:val="0"/>
          <w:smallCaps w:val="0"/>
          <w:snapToGrid w:val="0"/>
          <w:color w:val="auto"/>
          <w:spacing w:val="0"/>
          <w:w w:val="100"/>
          <w:position w:val="0"/>
          <w:sz w:val="30"/>
          <w:szCs w:val="30"/>
          <w:highlight w:val="none"/>
        </w:rPr>
      </w:pPr>
      <w:r>
        <w:rPr>
          <w:rFonts w:ascii="Times New Roman" w:hAnsi="Times New Roman" w:cs="Times New Roman" w:eastAsiaTheme="minorEastAsia"/>
          <w:caps w:val="0"/>
          <w:smallCaps w:val="0"/>
          <w:snapToGrid w:val="0"/>
          <w:color w:val="auto"/>
          <w:spacing w:val="0"/>
          <w:w w:val="100"/>
          <w:position w:val="0"/>
          <w:sz w:val="30"/>
          <w:szCs w:val="30"/>
          <w:highlight w:val="none"/>
        </w:rPr>
        <w:t>编制单位：  湖南葆华环保科技有限公司</w:t>
      </w:r>
    </w:p>
    <w:p w14:paraId="18AE6A29">
      <w:pPr>
        <w:widowControl w:val="0"/>
        <w:jc w:val="center"/>
        <w:rPr>
          <w:rFonts w:ascii="Times New Roman" w:hAnsi="Times New Roman" w:cs="Times New Roman" w:eastAsiaTheme="minorEastAsia"/>
          <w:caps w:val="0"/>
          <w:smallCaps w:val="0"/>
          <w:snapToGrid w:val="0"/>
          <w:color w:val="auto"/>
          <w:spacing w:val="0"/>
          <w:w w:val="100"/>
          <w:position w:val="0"/>
          <w:sz w:val="30"/>
          <w:szCs w:val="30"/>
          <w:highlight w:val="none"/>
        </w:rPr>
      </w:pPr>
    </w:p>
    <w:p w14:paraId="6F5505FC">
      <w:pPr>
        <w:pStyle w:val="102"/>
        <w:rPr>
          <w:caps w:val="0"/>
          <w:smallCaps w:val="0"/>
          <w:color w:val="auto"/>
          <w:spacing w:val="0"/>
          <w:w w:val="100"/>
          <w:position w:val="0"/>
          <w:highlight w:val="none"/>
        </w:rPr>
      </w:pPr>
    </w:p>
    <w:p w14:paraId="450992D6">
      <w:pPr>
        <w:rPr>
          <w:rFonts w:ascii="Times New Roman" w:hAnsi="Times New Roman" w:cs="Times New Roman"/>
          <w:caps w:val="0"/>
          <w:smallCaps w:val="0"/>
          <w:color w:val="auto"/>
          <w:spacing w:val="0"/>
          <w:w w:val="100"/>
          <w:position w:val="0"/>
          <w:highlight w:val="none"/>
        </w:rPr>
      </w:pPr>
    </w:p>
    <w:p w14:paraId="78AAD28B">
      <w:pPr>
        <w:widowControl w:val="0"/>
        <w:jc w:val="center"/>
        <w:rPr>
          <w:rFonts w:ascii="Times New Roman" w:hAnsi="Times New Roman" w:cs="Times New Roman" w:eastAsiaTheme="minorEastAsia"/>
          <w:caps w:val="0"/>
          <w:smallCaps w:val="0"/>
          <w:snapToGrid w:val="0"/>
          <w:color w:val="auto"/>
          <w:spacing w:val="0"/>
          <w:w w:val="100"/>
          <w:position w:val="0"/>
          <w:sz w:val="30"/>
          <w:szCs w:val="30"/>
          <w:highlight w:val="none"/>
        </w:rPr>
      </w:pPr>
      <w:r>
        <w:rPr>
          <w:rFonts w:ascii="Times New Roman" w:hAnsi="Times New Roman" w:cs="Times New Roman" w:eastAsiaTheme="minorEastAsia"/>
          <w:caps w:val="0"/>
          <w:smallCaps w:val="0"/>
          <w:snapToGrid w:val="0"/>
          <w:color w:val="auto"/>
          <w:spacing w:val="0"/>
          <w:w w:val="100"/>
          <w:position w:val="0"/>
          <w:sz w:val="30"/>
          <w:szCs w:val="30"/>
          <w:highlight w:val="none"/>
        </w:rPr>
        <w:t>编制日期：2026年</w:t>
      </w:r>
      <w:r>
        <w:rPr>
          <w:rFonts w:hint="eastAsia" w:ascii="Times New Roman" w:hAnsi="Times New Roman" w:cs="Times New Roman" w:eastAsiaTheme="minorEastAsia"/>
          <w:caps w:val="0"/>
          <w:smallCaps w:val="0"/>
          <w:snapToGrid w:val="0"/>
          <w:color w:val="auto"/>
          <w:spacing w:val="0"/>
          <w:w w:val="100"/>
          <w:position w:val="0"/>
          <w:sz w:val="30"/>
          <w:szCs w:val="30"/>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30"/>
          <w:szCs w:val="30"/>
          <w:highlight w:val="none"/>
        </w:rPr>
        <w:t>月</w:t>
      </w:r>
    </w:p>
    <w:p w14:paraId="2F11DA0D">
      <w:pPr>
        <w:pStyle w:val="102"/>
        <w:ind w:left="1511" w:hanging="551"/>
        <w:rPr>
          <w:caps w:val="0"/>
          <w:smallCaps w:val="0"/>
          <w:color w:val="auto"/>
          <w:spacing w:val="0"/>
          <w:w w:val="100"/>
          <w:position w:val="0"/>
          <w:highlight w:val="none"/>
        </w:rPr>
      </w:pPr>
    </w:p>
    <w:p w14:paraId="1F5D5896">
      <w:pPr>
        <w:rPr>
          <w:rFonts w:ascii="Times New Roman" w:hAnsi="Times New Roman" w:cs="Times New Roman"/>
          <w:caps w:val="0"/>
          <w:smallCaps w:val="0"/>
          <w:color w:val="auto"/>
          <w:spacing w:val="0"/>
          <w:w w:val="100"/>
          <w:position w:val="0"/>
          <w:highlight w:val="none"/>
        </w:rPr>
      </w:pPr>
    </w:p>
    <w:p w14:paraId="675B3D13">
      <w:pPr>
        <w:pStyle w:val="102"/>
        <w:rPr>
          <w:caps w:val="0"/>
          <w:smallCaps w:val="0"/>
          <w:color w:val="auto"/>
          <w:spacing w:val="0"/>
          <w:w w:val="100"/>
          <w:position w:val="0"/>
          <w:highlight w:val="none"/>
        </w:rPr>
      </w:pPr>
    </w:p>
    <w:p w14:paraId="53F851BF">
      <w:pPr>
        <w:pStyle w:val="102"/>
        <w:spacing w:line="240" w:lineRule="auto"/>
        <w:rPr>
          <w:caps w:val="0"/>
          <w:smallCaps w:val="0"/>
          <w:color w:val="auto"/>
          <w:spacing w:val="0"/>
          <w:w w:val="100"/>
          <w:position w:val="0"/>
          <w:highlight w:val="none"/>
        </w:rPr>
        <w:sectPr>
          <w:pgSz w:w="11906" w:h="16838"/>
          <w:pgMar w:top="1418" w:right="1418" w:bottom="1418" w:left="1418" w:header="851" w:footer="992" w:gutter="0"/>
          <w:cols w:space="425" w:num="1"/>
          <w:docGrid w:linePitch="312" w:charSpace="0"/>
        </w:sectPr>
      </w:pPr>
    </w:p>
    <w:p w14:paraId="7CEAA1A7">
      <w:pPr>
        <w:pStyle w:val="102"/>
        <w:spacing w:line="240" w:lineRule="auto"/>
        <w:rPr>
          <w:caps w:val="0"/>
          <w:smallCaps w:val="0"/>
          <w:color w:val="auto"/>
          <w:spacing w:val="0"/>
          <w:w w:val="100"/>
          <w:position w:val="0"/>
          <w:highlight w:val="none"/>
        </w:rPr>
      </w:pPr>
    </w:p>
    <w:p w14:paraId="09948E5B">
      <w:pPr>
        <w:pStyle w:val="102"/>
        <w:spacing w:line="240" w:lineRule="auto"/>
        <w:rPr>
          <w:caps w:val="0"/>
          <w:smallCaps w:val="0"/>
          <w:color w:val="auto"/>
          <w:spacing w:val="0"/>
          <w:w w:val="100"/>
          <w:position w:val="0"/>
          <w:highlight w:val="none"/>
        </w:rPr>
      </w:pPr>
    </w:p>
    <w:p w14:paraId="086F22DF">
      <w:pPr>
        <w:rPr>
          <w:caps w:val="0"/>
          <w:smallCaps w:val="0"/>
          <w:color w:val="auto"/>
          <w:spacing w:val="0"/>
          <w:w w:val="100"/>
          <w:position w:val="0"/>
          <w:highlight w:val="none"/>
        </w:rPr>
        <w:sectPr>
          <w:pgSz w:w="11906" w:h="16838"/>
          <w:pgMar w:top="1418" w:right="1418" w:bottom="1418" w:left="1418" w:header="851" w:footer="992" w:gutter="0"/>
          <w:cols w:space="425" w:num="1"/>
          <w:docGrid w:linePitch="312" w:charSpace="0"/>
        </w:sectPr>
      </w:pPr>
    </w:p>
    <w:p w14:paraId="42134E53">
      <w:pPr>
        <w:pStyle w:val="149"/>
        <w:widowControl w:val="0"/>
        <w:spacing w:line="240" w:lineRule="auto"/>
        <w:ind w:firstLine="0" w:firstLineChars="0"/>
        <w:jc w:val="center"/>
        <w:rPr>
          <w:rFonts w:ascii="Times New Roman" w:hAnsi="Times New Roman" w:eastAsiaTheme="minorEastAsia"/>
          <w:b/>
          <w:caps w:val="0"/>
          <w:smallCaps w:val="0"/>
          <w:snapToGrid w:val="0"/>
          <w:color w:val="auto"/>
          <w:spacing w:val="0"/>
          <w:w w:val="100"/>
          <w:position w:val="0"/>
          <w:sz w:val="32"/>
          <w:szCs w:val="32"/>
          <w:highlight w:val="none"/>
        </w:rPr>
      </w:pPr>
      <w:r>
        <w:rPr>
          <w:rFonts w:ascii="Times New Roman" w:hAnsi="Times New Roman" w:eastAsiaTheme="minorEastAsia"/>
          <w:b/>
          <w:caps w:val="0"/>
          <w:smallCaps w:val="0"/>
          <w:snapToGrid w:val="0"/>
          <w:color w:val="auto"/>
          <w:spacing w:val="0"/>
          <w:w w:val="100"/>
          <w:position w:val="0"/>
          <w:sz w:val="32"/>
          <w:szCs w:val="32"/>
          <w:highlight w:val="none"/>
        </w:rPr>
        <w:t>目  录</w:t>
      </w:r>
    </w:p>
    <w:p w14:paraId="5908F809">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TOC \o "1-2" \h \z \u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"_Toc219900363"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1概述</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_Toc219900363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1</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111CD89C">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"_Toc219900364"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1.1项目由来</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_Toc219900364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6612333">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"_Toc219900365"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1.2项目特点</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_Toc219900365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752A66A">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"_Toc219900366"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1.3环境影响评价工作过程</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_Toc219900366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933C062">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"_Toc219900367"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1.4分析判定相关情况</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_Toc219900367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6</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64015C9">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"_Toc219900368"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1.5关注的主要环境问题及环境影响</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_Toc219900368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34</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6ECFE59">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"_Toc219900369"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1.6环境影响评价主要结论</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_Toc219900369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35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2F395D3">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"_Toc219900370"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2总则</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_Toc219900370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37</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6EC12F57">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"_Toc219900371"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2.1评价目的</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_Toc219900371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37</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5C2AD08">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"_Toc219900372"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2.2评价原则</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_Toc219900372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37</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32725B80">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"_Toc219900373"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2.3编制依据</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_Toc219900373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38</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0574F64E">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"_Toc219900374"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2.4环境影响识别与评价因子筛选</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_Toc219900374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42</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3E6B8252">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"_Toc219900375"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2.5评价标准</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_Toc219900375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45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9A86913">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"_Toc219900376"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2.6评价等级及评价范围</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_Toc219900376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51</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3893DEA0">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"_Toc219900377"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2.7环境保护目标</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_Toc219900377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62</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30164F63">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"_Toc219900378"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3建设项目工程分析</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_Toc219900378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64</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3743193D">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"_Toc219900379"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3.1现有工程分析</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_Toc219900379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64</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2C6A542">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"_Toc219900380"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3.2建设项目概况</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_Toc219900380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80</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404B777">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"_Toc219900381"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3.3工程组成</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_Toc219900381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80</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07E79741">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"_Toc219900382"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3.4工程建设方案</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_Toc219900382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85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4AA82F42">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"_Toc219900383"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3.5场地布置及土地利用</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_Toc219900383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91</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A959D8E">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"_Toc219900384"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3.6施工方式</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_Toc219900384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94</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39F5D20">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"_Toc219900385"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3.7施工进度及时序</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_Toc219900385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97</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4685E600">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"_Toc219900386"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3.8设备及物料消耗</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_Toc219900386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97</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39BADFF">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"_Toc219900387"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3.9依托工程分析</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_Toc219900387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98</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2B06808">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"_Toc219900388"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3.10建设项目工程分析</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_Toc219900388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100</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783BED09">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"_Toc219900389"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3.11清洁生产分析</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_Toc219900389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116</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3735D4E">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"_Toc219900390"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4环境现状调查与评价</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_Toc219900390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117</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497910A4">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"_Toc219900391"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4.1自然环境状况</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_Toc219900391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117</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3533B33">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"_Toc219900392"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4.2环境保护目标调查</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_Toc219900392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124</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1A9165C8">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"_Toc219900393"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4.3环境质量现状调查与评价</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_Toc219900393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125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6D71908">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"_Toc219900394" </w:instrText>
      </w:r>
      <w:r>
        <w:rPr>
          <w:caps w:val="0"/>
          <w:smallCaps w:val="0"/>
          <w:color w:val="auto"/>
          <w:spacing w:val="0"/>
          <w:w w:val="100"/>
          <w:position w:val="0"/>
          <w:highlight w:val="none"/>
        </w:rPr>
        <w:fldChar w:fldCharType="separate"/>
      </w:r>
      <w:r>
        <w:rPr>
          <w:rStyle w:val="94"/>
          <w:rFonts w:eastAsiaTheme="minorEastAsia"/>
          <w:caps w:val="0"/>
          <w:smallCaps w:val="0"/>
          <w:color w:val="auto"/>
          <w:spacing w:val="0"/>
          <w:w w:val="100"/>
          <w:position w:val="0"/>
          <w:sz w:val="24"/>
          <w:szCs w:val="24"/>
          <w:highlight w:val="none"/>
        </w:rPr>
        <w:t>4.4区域污染源调查</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_Toc219900394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155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54AB321">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"_Toc219900395"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5环境影响预测与评价</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_Toc219900395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159</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3478625E">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"_Toc219900396"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5.1大气环境影响预测与评价</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_Toc219900396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159</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0A44D3E">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"_Toc219900397"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5.2地表水环境影响预测与评价</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_Toc219900397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161</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B869D53">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"_Toc219900398"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5.3地下水环境影响预测与评价</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_Toc219900398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163</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0B2E429A">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"_Toc219900399"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5.4声环境影响预测与评价</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_Toc219900399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172</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68CF564">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"_Toc219900400"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5.5固体废物环境影响分析</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_Toc219900400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174</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0051FB0B">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"_Toc219900401"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5.6生态环境影响评价</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_Toc219900401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175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BA3E9FC">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"_Toc219900402"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5.7土壤环境影响预测与评价</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_Toc219900402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180</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17CE768D">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"_Toc219900403"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5.8环境风险分析</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_Toc219900403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184</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04220CC4">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"_Toc219900404"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6环境保护措施及其可行性论证</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_Toc219900404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195</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0F24752D">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"_Toc219900405"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6.1污染防治措施</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_Toc219900405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195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10EAC97F">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"_Toc219900406"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6.2“三同时”项目一览表</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_Toc219900406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214</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4918D09">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"_Toc219900407"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7环境影响经济损益分析</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_Toc219900407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218</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1F611A74">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"_Toc219900408"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7.1环境损失费估算</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_Toc219900408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218</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3101CE4">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"_Toc219900409"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7.2环保投资估算及环境效益分析</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_Toc219900409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218</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1529723">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"_Toc219900410"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7.3环境经济损益分析结论</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_Toc219900410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219</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7184C51">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"_Toc219900411"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8环境管理与监测计划</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_Toc219900411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220</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7134EE26">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"_Toc219900412" </w:instrText>
      </w:r>
      <w:r>
        <w:rPr>
          <w:caps w:val="0"/>
          <w:smallCaps w:val="0"/>
          <w:color w:val="auto"/>
          <w:spacing w:val="0"/>
          <w:w w:val="100"/>
          <w:position w:val="0"/>
          <w:highlight w:val="none"/>
        </w:rPr>
        <w:fldChar w:fldCharType="separate"/>
      </w:r>
      <w:r>
        <w:rPr>
          <w:rStyle w:val="94"/>
          <w:rFonts w:eastAsiaTheme="minorEastAsia"/>
          <w:bCs/>
          <w:caps w:val="0"/>
          <w:smallCaps w:val="0"/>
          <w:snapToGrid w:val="0"/>
          <w:color w:val="auto"/>
          <w:spacing w:val="0"/>
          <w:w w:val="100"/>
          <w:position w:val="0"/>
          <w:sz w:val="24"/>
          <w:szCs w:val="24"/>
          <w:highlight w:val="none"/>
        </w:rPr>
        <w:t>8.1 HSE管理体系的建立和运行</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_Toc219900412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220</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2D5DA54">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"_Toc219900413" </w:instrText>
      </w:r>
      <w:r>
        <w:rPr>
          <w:caps w:val="0"/>
          <w:smallCaps w:val="0"/>
          <w:color w:val="auto"/>
          <w:spacing w:val="0"/>
          <w:w w:val="100"/>
          <w:position w:val="0"/>
          <w:highlight w:val="none"/>
        </w:rPr>
        <w:fldChar w:fldCharType="separate"/>
      </w:r>
      <w:r>
        <w:rPr>
          <w:rStyle w:val="94"/>
          <w:rFonts w:eastAsiaTheme="minorEastAsia"/>
          <w:bCs/>
          <w:caps w:val="0"/>
          <w:smallCaps w:val="0"/>
          <w:snapToGrid w:val="0"/>
          <w:color w:val="auto"/>
          <w:spacing w:val="0"/>
          <w:w w:val="100"/>
          <w:position w:val="0"/>
          <w:sz w:val="24"/>
          <w:szCs w:val="24"/>
          <w:highlight w:val="none"/>
        </w:rPr>
        <w:t>8.2环境监控</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_Toc219900413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221</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64D4729">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"_Toc219900414" </w:instrText>
      </w:r>
      <w:r>
        <w:rPr>
          <w:caps w:val="0"/>
          <w:smallCaps w:val="0"/>
          <w:color w:val="auto"/>
          <w:spacing w:val="0"/>
          <w:w w:val="100"/>
          <w:position w:val="0"/>
          <w:highlight w:val="none"/>
        </w:rPr>
        <w:fldChar w:fldCharType="separate"/>
      </w:r>
      <w:r>
        <w:rPr>
          <w:rStyle w:val="94"/>
          <w:rFonts w:eastAsiaTheme="minorEastAsia"/>
          <w:bCs/>
          <w:caps w:val="0"/>
          <w:smallCaps w:val="0"/>
          <w:snapToGrid w:val="0"/>
          <w:color w:val="auto"/>
          <w:spacing w:val="0"/>
          <w:w w:val="100"/>
          <w:position w:val="0"/>
          <w:sz w:val="24"/>
          <w:szCs w:val="24"/>
          <w:highlight w:val="none"/>
        </w:rPr>
        <w:t>8.3占地审批流程</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_Toc219900414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226</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D023A73">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"_Toc219900415" </w:instrText>
      </w:r>
      <w:r>
        <w:rPr>
          <w:caps w:val="0"/>
          <w:smallCaps w:val="0"/>
          <w:color w:val="auto"/>
          <w:spacing w:val="0"/>
          <w:w w:val="100"/>
          <w:position w:val="0"/>
          <w:highlight w:val="none"/>
        </w:rPr>
        <w:fldChar w:fldCharType="separate"/>
      </w:r>
      <w:r>
        <w:rPr>
          <w:rStyle w:val="94"/>
          <w:rFonts w:eastAsiaTheme="minorEastAsia"/>
          <w:b w:val="0"/>
          <w:caps w:val="0"/>
          <w:smallCaps w:val="0"/>
          <w:snapToGrid w:val="0"/>
          <w:color w:val="auto"/>
          <w:spacing w:val="0"/>
          <w:w w:val="100"/>
          <w:position w:val="0"/>
          <w:sz w:val="24"/>
          <w:szCs w:val="24"/>
          <w:highlight w:val="none"/>
        </w:rPr>
        <w:t>9环境影响评价结论</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_Toc219900415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228</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2D7611C9">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"_Toc219900416"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9.1建设项目概况</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_Toc219900416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228</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109AB7E">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"_Toc219900417"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9.2环境质量现状评价结论</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_Toc219900417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228</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41C9CD75">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"_Toc219900418"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9.3环境影响分析和污染防治措施可行性结论</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_Toc219900418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229</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1A33436">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"_Toc219900419"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9.4公众意见采纳情况</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_Toc219900419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230</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6103F9A2">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"_Toc219900420"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9.5环境经济损益分析结论</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_Toc219900420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231</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741DADF7">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"_Toc219900421"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9.6环境管理与监测计划结论</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_Toc219900421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231</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78A06AA1">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"_Toc219900422" </w:instrText>
      </w:r>
      <w:r>
        <w:rPr>
          <w:caps w:val="0"/>
          <w:smallCaps w:val="0"/>
          <w:color w:val="auto"/>
          <w:spacing w:val="0"/>
          <w:w w:val="100"/>
          <w:position w:val="0"/>
          <w:highlight w:val="none"/>
        </w:rPr>
        <w:fldChar w:fldCharType="separate"/>
      </w:r>
      <w:r>
        <w:rPr>
          <w:rStyle w:val="94"/>
          <w:rFonts w:eastAsiaTheme="minorEastAsia"/>
          <w:caps w:val="0"/>
          <w:smallCaps w:val="0"/>
          <w:snapToGrid w:val="0"/>
          <w:color w:val="auto"/>
          <w:spacing w:val="0"/>
          <w:w w:val="100"/>
          <w:position w:val="0"/>
          <w:sz w:val="24"/>
          <w:szCs w:val="24"/>
          <w:highlight w:val="none"/>
        </w:rPr>
        <w:t>9.7综合评价结论</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_Toc219900422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231</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54492030">
      <w:pPr>
        <w:pStyle w:val="54"/>
        <w:tabs>
          <w:tab w:val="right" w:leader="dot" w:pos="9060"/>
        </w:tabs>
        <w:rPr>
          <w:rFonts w:ascii="Times New Roman" w:hAnsi="Times New Roman" w:eastAsiaTheme="minorEastAsia"/>
          <w:b w:val="0"/>
          <w:caps w:val="0"/>
          <w:smallCaps w:val="0"/>
          <w:color w:val="auto"/>
          <w:spacing w:val="0"/>
          <w:w w:val="100"/>
          <w:kern w:val="2"/>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"_Toc219900423" </w:instrText>
      </w:r>
      <w:r>
        <w:rPr>
          <w:caps w:val="0"/>
          <w:smallCaps w:val="0"/>
          <w:color w:val="auto"/>
          <w:spacing w:val="0"/>
          <w:w w:val="100"/>
          <w:position w:val="0"/>
          <w:highlight w:val="none"/>
        </w:rPr>
        <w:fldChar w:fldCharType="separate"/>
      </w:r>
      <w:r>
        <w:rPr>
          <w:rStyle w:val="94"/>
          <w:rFonts w:eastAsiaTheme="minorEastAsia"/>
          <w:b w:val="0"/>
          <w:caps w:val="0"/>
          <w:smallCaps w:val="0"/>
          <w:color w:val="auto"/>
          <w:spacing w:val="0"/>
          <w:w w:val="100"/>
          <w:kern w:val="21"/>
          <w:position w:val="0"/>
          <w:sz w:val="24"/>
          <w:szCs w:val="24"/>
          <w:highlight w:val="none"/>
        </w:rPr>
        <w:t>附表</w:t>
      </w:r>
      <w:r>
        <w:rPr>
          <w:rFonts w:ascii="Times New Roman" w:hAnsi="Times New Roman" w:eastAsiaTheme="minorEastAsia"/>
          <w:b w:val="0"/>
          <w:caps w:val="0"/>
          <w:smallCaps w:val="0"/>
          <w:color w:val="auto"/>
          <w:spacing w:val="0"/>
          <w:w w:val="100"/>
          <w:position w:val="0"/>
          <w:sz w:val="24"/>
          <w:szCs w:val="24"/>
          <w:highlight w:val="none"/>
        </w:rPr>
        <w:tab/>
      </w:r>
      <w:r>
        <w:rPr>
          <w:rFonts w:ascii="Times New Roman" w:hAnsi="Times New Roman" w:eastAsiaTheme="minorEastAsia"/>
          <w:b w:val="0"/>
          <w:caps w:val="0"/>
          <w:smallCaps w:val="0"/>
          <w:color w:val="auto"/>
          <w:spacing w:val="0"/>
          <w:w w:val="100"/>
          <w:position w:val="0"/>
          <w:sz w:val="24"/>
          <w:szCs w:val="24"/>
          <w:highlight w:val="none"/>
        </w:rPr>
        <w:fldChar w:fldCharType="begin"/>
      </w:r>
      <w:r>
        <w:rPr>
          <w:rFonts w:ascii="Times New Roman" w:hAnsi="Times New Roman" w:eastAsiaTheme="minorEastAsia"/>
          <w:b w:val="0"/>
          <w:caps w:val="0"/>
          <w:smallCaps w:val="0"/>
          <w:color w:val="auto"/>
          <w:spacing w:val="0"/>
          <w:w w:val="100"/>
          <w:position w:val="0"/>
          <w:sz w:val="24"/>
          <w:szCs w:val="24"/>
          <w:highlight w:val="none"/>
        </w:rPr>
        <w:instrText xml:space="preserve"> PAGEREF _Toc219900423 \h </w:instrText>
      </w:r>
      <w:r>
        <w:rPr>
          <w:rFonts w:ascii="Times New Roman" w:hAnsi="Times New Roman" w:eastAsiaTheme="minorEastAsia"/>
          <w:b w:val="0"/>
          <w:caps w:val="0"/>
          <w:smallCaps w:val="0"/>
          <w:color w:val="auto"/>
          <w:spacing w:val="0"/>
          <w:w w:val="100"/>
          <w:position w:val="0"/>
          <w:sz w:val="24"/>
          <w:szCs w:val="24"/>
          <w:highlight w:val="none"/>
        </w:rPr>
        <w:fldChar w:fldCharType="separate"/>
      </w:r>
      <w:r>
        <w:rPr>
          <w:rFonts w:ascii="Times New Roman" w:hAnsi="Times New Roman" w:eastAsiaTheme="minorEastAsia"/>
          <w:b w:val="0"/>
          <w:caps w:val="0"/>
          <w:smallCaps w:val="0"/>
          <w:color w:val="auto"/>
          <w:spacing w:val="0"/>
          <w:w w:val="100"/>
          <w:position w:val="0"/>
          <w:sz w:val="24"/>
          <w:szCs w:val="24"/>
          <w:highlight w:val="none"/>
        </w:rPr>
        <w:t>233</w:t>
      </w:r>
      <w:r>
        <w:rPr>
          <w:rFonts w:ascii="Times New Roman" w:hAnsi="Times New Roman" w:eastAsiaTheme="minorEastAsia"/>
          <w:b w:val="0"/>
          <w:caps w:val="0"/>
          <w:smallCaps w:val="0"/>
          <w:color w:val="auto"/>
          <w:spacing w:val="0"/>
          <w:w w:val="100"/>
          <w:position w:val="0"/>
          <w:sz w:val="24"/>
          <w:szCs w:val="24"/>
          <w:highlight w:val="none"/>
        </w:rPr>
        <w:fldChar w:fldCharType="end"/>
      </w:r>
      <w:r>
        <w:rPr>
          <w:rFonts w:ascii="Times New Roman" w:hAnsi="Times New Roman" w:eastAsiaTheme="minorEastAsia"/>
          <w:b w:val="0"/>
          <w:caps w:val="0"/>
          <w:smallCaps w:val="0"/>
          <w:color w:val="auto"/>
          <w:spacing w:val="0"/>
          <w:w w:val="100"/>
          <w:position w:val="0"/>
          <w:sz w:val="24"/>
          <w:szCs w:val="24"/>
          <w:highlight w:val="none"/>
        </w:rPr>
        <w:fldChar w:fldCharType="end"/>
      </w:r>
    </w:p>
    <w:p w14:paraId="10D9D5D0">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"_Toc219900424" </w:instrText>
      </w:r>
      <w:r>
        <w:rPr>
          <w:caps w:val="0"/>
          <w:smallCaps w:val="0"/>
          <w:color w:val="auto"/>
          <w:spacing w:val="0"/>
          <w:w w:val="100"/>
          <w:position w:val="0"/>
          <w:highlight w:val="none"/>
        </w:rPr>
        <w:fldChar w:fldCharType="separate"/>
      </w:r>
      <w:r>
        <w:rPr>
          <w:rStyle w:val="94"/>
          <w:rFonts w:eastAsiaTheme="minorEastAsia"/>
          <w:caps w:val="0"/>
          <w:smallCaps w:val="0"/>
          <w:color w:val="auto"/>
          <w:spacing w:val="0"/>
          <w:w w:val="100"/>
          <w:kern w:val="21"/>
          <w:position w:val="0"/>
          <w:sz w:val="24"/>
          <w:szCs w:val="24"/>
          <w:highlight w:val="none"/>
        </w:rPr>
        <w:t>附表1：建设项目大气环境影响评价自查表</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_Toc219900424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233</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12891D4">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"_Toc219900425" </w:instrText>
      </w:r>
      <w:r>
        <w:rPr>
          <w:caps w:val="0"/>
          <w:smallCaps w:val="0"/>
          <w:color w:val="auto"/>
          <w:spacing w:val="0"/>
          <w:w w:val="100"/>
          <w:position w:val="0"/>
          <w:highlight w:val="none"/>
        </w:rPr>
        <w:fldChar w:fldCharType="separate"/>
      </w:r>
      <w:r>
        <w:rPr>
          <w:rStyle w:val="94"/>
          <w:rFonts w:eastAsiaTheme="minorEastAsia"/>
          <w:caps w:val="0"/>
          <w:smallCaps w:val="0"/>
          <w:color w:val="auto"/>
          <w:spacing w:val="0"/>
          <w:w w:val="100"/>
          <w:kern w:val="21"/>
          <w:position w:val="0"/>
          <w:sz w:val="24"/>
          <w:szCs w:val="24"/>
          <w:highlight w:val="none"/>
        </w:rPr>
        <w:t>附表2：建设项目环境风险评价自查表</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_Toc219900425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234</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1318D5E7">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"_Toc219900426" </w:instrText>
      </w:r>
      <w:r>
        <w:rPr>
          <w:caps w:val="0"/>
          <w:smallCaps w:val="0"/>
          <w:color w:val="auto"/>
          <w:spacing w:val="0"/>
          <w:w w:val="100"/>
          <w:position w:val="0"/>
          <w:highlight w:val="none"/>
        </w:rPr>
        <w:fldChar w:fldCharType="separate"/>
      </w:r>
      <w:r>
        <w:rPr>
          <w:rStyle w:val="94"/>
          <w:rFonts w:eastAsiaTheme="minorEastAsia"/>
          <w:caps w:val="0"/>
          <w:smallCaps w:val="0"/>
          <w:color w:val="auto"/>
          <w:spacing w:val="0"/>
          <w:w w:val="100"/>
          <w:kern w:val="21"/>
          <w:position w:val="0"/>
          <w:sz w:val="24"/>
          <w:szCs w:val="24"/>
          <w:highlight w:val="none"/>
        </w:rPr>
        <w:t>附表3：建设项目土壤环境影响评价自查表</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_Toc219900426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235</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4A566B99">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"_Toc219900427" </w:instrText>
      </w:r>
      <w:r>
        <w:rPr>
          <w:caps w:val="0"/>
          <w:smallCaps w:val="0"/>
          <w:color w:val="auto"/>
          <w:spacing w:val="0"/>
          <w:w w:val="100"/>
          <w:position w:val="0"/>
          <w:highlight w:val="none"/>
        </w:rPr>
        <w:fldChar w:fldCharType="separate"/>
      </w:r>
      <w:r>
        <w:rPr>
          <w:rStyle w:val="94"/>
          <w:rFonts w:eastAsiaTheme="minorEastAsia"/>
          <w:caps w:val="0"/>
          <w:smallCaps w:val="0"/>
          <w:color w:val="auto"/>
          <w:spacing w:val="0"/>
          <w:w w:val="100"/>
          <w:kern w:val="21"/>
          <w:position w:val="0"/>
          <w:sz w:val="24"/>
          <w:szCs w:val="24"/>
          <w:highlight w:val="none"/>
        </w:rPr>
        <w:t>附表4：地表水自查表</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_Toc219900427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236</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2A0C4D7E">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"_Toc219900428" </w:instrText>
      </w:r>
      <w:r>
        <w:rPr>
          <w:caps w:val="0"/>
          <w:smallCaps w:val="0"/>
          <w:color w:val="auto"/>
          <w:spacing w:val="0"/>
          <w:w w:val="100"/>
          <w:position w:val="0"/>
          <w:highlight w:val="none"/>
        </w:rPr>
        <w:fldChar w:fldCharType="separate"/>
      </w:r>
      <w:r>
        <w:rPr>
          <w:rStyle w:val="94"/>
          <w:rFonts w:eastAsiaTheme="minorEastAsia"/>
          <w:caps w:val="0"/>
          <w:smallCaps w:val="0"/>
          <w:color w:val="auto"/>
          <w:spacing w:val="0"/>
          <w:w w:val="100"/>
          <w:kern w:val="21"/>
          <w:position w:val="0"/>
          <w:sz w:val="24"/>
          <w:szCs w:val="24"/>
          <w:highlight w:val="none"/>
        </w:rPr>
        <w:t>附表5：生态影响评价自查表</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_Toc219900428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238</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092A68ED">
      <w:pPr>
        <w:pStyle w:val="66"/>
        <w:tabs>
          <w:tab w:val="right" w:leader="dot" w:pos="9060"/>
        </w:tabs>
        <w:rPr>
          <w:rFonts w:ascii="Times New Roman" w:hAnsi="Times New Roman" w:eastAsiaTheme="minorEastAsia"/>
          <w:caps w:val="0"/>
          <w:smallCaps w:val="0"/>
          <w:color w:val="auto"/>
          <w:spacing w:val="0"/>
          <w:w w:val="100"/>
          <w:position w:val="0"/>
          <w:sz w:val="24"/>
          <w:szCs w:val="24"/>
          <w:highlight w:val="none"/>
        </w:rPr>
      </w:pPr>
      <w:r>
        <w:rPr>
          <w:caps w:val="0"/>
          <w:smallCaps w:val="0"/>
          <w:color w:val="auto"/>
          <w:spacing w:val="0"/>
          <w:w w:val="100"/>
          <w:position w:val="0"/>
          <w:highlight w:val="none"/>
        </w:rPr>
        <w:fldChar w:fldCharType="begin"/>
      </w:r>
      <w:r>
        <w:rPr>
          <w:caps w:val="0"/>
          <w:smallCaps w:val="0"/>
          <w:color w:val="auto"/>
          <w:spacing w:val="0"/>
          <w:w w:val="100"/>
          <w:position w:val="0"/>
          <w:highlight w:val="none"/>
        </w:rPr>
        <w:instrText xml:space="preserve"> HYPERLINK \l "_Toc219900429" </w:instrText>
      </w:r>
      <w:r>
        <w:rPr>
          <w:caps w:val="0"/>
          <w:smallCaps w:val="0"/>
          <w:color w:val="auto"/>
          <w:spacing w:val="0"/>
          <w:w w:val="100"/>
          <w:position w:val="0"/>
          <w:highlight w:val="none"/>
        </w:rPr>
        <w:fldChar w:fldCharType="separate"/>
      </w:r>
      <w:r>
        <w:rPr>
          <w:rStyle w:val="94"/>
          <w:rFonts w:eastAsiaTheme="minorEastAsia"/>
          <w:caps w:val="0"/>
          <w:smallCaps w:val="0"/>
          <w:color w:val="auto"/>
          <w:spacing w:val="0"/>
          <w:w w:val="100"/>
          <w:kern w:val="21"/>
          <w:position w:val="0"/>
          <w:sz w:val="24"/>
          <w:szCs w:val="24"/>
          <w:highlight w:val="none"/>
        </w:rPr>
        <w:t>附表6：声环境影响评价自查表</w:t>
      </w:r>
      <w:r>
        <w:rPr>
          <w:rFonts w:ascii="Times New Roman" w:hAnsi="Times New Roman" w:eastAsiaTheme="minorEastAsia"/>
          <w:caps w:val="0"/>
          <w:smallCaps w:val="0"/>
          <w:color w:val="auto"/>
          <w:spacing w:val="0"/>
          <w:w w:val="100"/>
          <w:position w:val="0"/>
          <w:sz w:val="24"/>
          <w:szCs w:val="24"/>
          <w:highlight w:val="none"/>
        </w:rPr>
        <w:tab/>
      </w:r>
      <w:r>
        <w:rPr>
          <w:rFonts w:ascii="Times New Roman" w:hAnsi="Times New Roman" w:eastAsiaTheme="minorEastAsia"/>
          <w:caps w:val="0"/>
          <w:smallCaps w:val="0"/>
          <w:color w:val="auto"/>
          <w:spacing w:val="0"/>
          <w:w w:val="100"/>
          <w:position w:val="0"/>
          <w:sz w:val="24"/>
          <w:szCs w:val="24"/>
          <w:highlight w:val="none"/>
        </w:rPr>
        <w:fldChar w:fldCharType="begin"/>
      </w:r>
      <w:r>
        <w:rPr>
          <w:rFonts w:ascii="Times New Roman" w:hAnsi="Times New Roman" w:eastAsiaTheme="minorEastAsia"/>
          <w:caps w:val="0"/>
          <w:smallCaps w:val="0"/>
          <w:color w:val="auto"/>
          <w:spacing w:val="0"/>
          <w:w w:val="100"/>
          <w:position w:val="0"/>
          <w:sz w:val="24"/>
          <w:szCs w:val="24"/>
          <w:highlight w:val="none"/>
        </w:rPr>
        <w:instrText xml:space="preserve"> PAGEREF _Toc219900429 \h </w:instrText>
      </w:r>
      <w:r>
        <w:rPr>
          <w:rFonts w:ascii="Times New Roman" w:hAnsi="Times New Roman" w:eastAsiaTheme="minorEastAsia"/>
          <w:caps w:val="0"/>
          <w:smallCaps w:val="0"/>
          <w:color w:val="auto"/>
          <w:spacing w:val="0"/>
          <w:w w:val="100"/>
          <w:position w:val="0"/>
          <w:sz w:val="24"/>
          <w:szCs w:val="24"/>
          <w:highlight w:val="none"/>
        </w:rPr>
        <w:fldChar w:fldCharType="separate"/>
      </w:r>
      <w:r>
        <w:rPr>
          <w:rFonts w:ascii="Times New Roman" w:hAnsi="Times New Roman" w:eastAsiaTheme="minorEastAsia"/>
          <w:caps w:val="0"/>
          <w:smallCaps w:val="0"/>
          <w:color w:val="auto"/>
          <w:spacing w:val="0"/>
          <w:w w:val="100"/>
          <w:position w:val="0"/>
          <w:sz w:val="24"/>
          <w:szCs w:val="24"/>
          <w:highlight w:val="none"/>
        </w:rPr>
        <w:t>239</w:t>
      </w:r>
      <w:r>
        <w:rPr>
          <w:rFonts w:ascii="Times New Roman" w:hAnsi="Times New Roman" w:eastAsiaTheme="minorEastAsia"/>
          <w:caps w:val="0"/>
          <w:smallCaps w:val="0"/>
          <w:color w:val="auto"/>
          <w:spacing w:val="0"/>
          <w:w w:val="100"/>
          <w:position w:val="0"/>
          <w:sz w:val="24"/>
          <w:szCs w:val="24"/>
          <w:highlight w:val="none"/>
        </w:rPr>
        <w:fldChar w:fldCharType="end"/>
      </w:r>
      <w:r>
        <w:rPr>
          <w:rFonts w:ascii="Times New Roman" w:hAnsi="Times New Roman" w:eastAsiaTheme="minorEastAsia"/>
          <w:caps w:val="0"/>
          <w:smallCaps w:val="0"/>
          <w:color w:val="auto"/>
          <w:spacing w:val="0"/>
          <w:w w:val="100"/>
          <w:position w:val="0"/>
          <w:sz w:val="24"/>
          <w:szCs w:val="24"/>
          <w:highlight w:val="none"/>
        </w:rPr>
        <w:fldChar w:fldCharType="end"/>
      </w:r>
    </w:p>
    <w:p w14:paraId="46DF8E71">
      <w:pPr>
        <w:pStyle w:val="151"/>
        <w:widowControl w:val="0"/>
        <w:spacing w:before="120" w:after="120" w:line="240" w:lineRule="auto"/>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color w:val="auto"/>
          <w:spacing w:val="0"/>
          <w:w w:val="100"/>
          <w:position w:val="0"/>
          <w:sz w:val="24"/>
          <w:szCs w:val="24"/>
          <w:highlight w:val="none"/>
          <w:lang w:val="en-US"/>
        </w:rPr>
        <w:fldChar w:fldCharType="end"/>
      </w:r>
      <w:r>
        <w:rPr>
          <w:rFonts w:hint="eastAsia" w:ascii="Times New Roman" w:hAnsi="Times New Roman" w:eastAsiaTheme="minorEastAsia"/>
          <w:caps w:val="0"/>
          <w:smallCaps w:val="0"/>
          <w:snapToGrid w:val="0"/>
          <w:color w:val="auto"/>
          <w:spacing w:val="0"/>
          <w:w w:val="100"/>
          <w:position w:val="0"/>
          <w:sz w:val="24"/>
          <w:szCs w:val="24"/>
          <w:highlight w:val="none"/>
        </w:rPr>
        <w:t>附图</w:t>
      </w:r>
    </w:p>
    <w:p w14:paraId="7D7B254D">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1：地理位置图</w:t>
      </w:r>
    </w:p>
    <w:p w14:paraId="321C06ED">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2：拟建管道新路由与原路由对比图</w:t>
      </w:r>
    </w:p>
    <w:p w14:paraId="58B41A6D">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3：拟建管道路由走向及穿越点位置图</w:t>
      </w:r>
    </w:p>
    <w:p w14:paraId="212EA6E5">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4：弃置管线段走向图</w:t>
      </w:r>
    </w:p>
    <w:p w14:paraId="23FA958C">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5：施工总平面布置图</w:t>
      </w:r>
    </w:p>
    <w:p w14:paraId="74880A8C">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6：本项目与生态保护红线的位置关系图</w:t>
      </w:r>
    </w:p>
    <w:p w14:paraId="7D1030B4">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7：本项目区域与水土保持重点治理区和重点预防区位置关系</w:t>
      </w:r>
    </w:p>
    <w:p w14:paraId="66D56BB1">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8：本项目与环境管控单元的位置关系图</w:t>
      </w:r>
    </w:p>
    <w:p w14:paraId="0C7E303A">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9：本项目评价范围及保护目标分布图</w:t>
      </w:r>
    </w:p>
    <w:p w14:paraId="1397520F">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hint="eastAsia" w:ascii="Times New Roman" w:hAnsi="Times New Roman" w:eastAsiaTheme="minorEastAsia"/>
          <w:caps w:val="0"/>
          <w:smallCaps w:val="0"/>
          <w:snapToGrid w:val="0"/>
          <w:color w:val="auto"/>
          <w:spacing w:val="0"/>
          <w:w w:val="100"/>
          <w:position w:val="0"/>
          <w:sz w:val="24"/>
          <w:szCs w:val="24"/>
          <w:highlight w:val="none"/>
        </w:rPr>
        <w:t>1</w:t>
      </w:r>
      <w:r>
        <w:rPr>
          <w:rFonts w:ascii="Times New Roman" w:hAnsi="Times New Roman" w:eastAsiaTheme="minorEastAsia"/>
          <w:caps w:val="0"/>
          <w:smallCaps w:val="0"/>
          <w:snapToGrid w:val="0"/>
          <w:color w:val="auto"/>
          <w:spacing w:val="0"/>
          <w:w w:val="100"/>
          <w:position w:val="0"/>
          <w:sz w:val="24"/>
          <w:szCs w:val="24"/>
          <w:highlight w:val="none"/>
        </w:rPr>
        <w:t>0</w:t>
      </w:r>
      <w:r>
        <w:rPr>
          <w:rFonts w:hint="eastAsia" w:ascii="Times New Roman" w:hAnsi="Times New Roman" w:eastAsiaTheme="minorEastAsia"/>
          <w:caps w:val="0"/>
          <w:smallCaps w:val="0"/>
          <w:snapToGrid w:val="0"/>
          <w:color w:val="auto"/>
          <w:spacing w:val="0"/>
          <w:w w:val="100"/>
          <w:position w:val="0"/>
          <w:sz w:val="24"/>
          <w:szCs w:val="24"/>
          <w:highlight w:val="none"/>
        </w:rPr>
        <w:t>：现有区块跟踪监测井分布图</w:t>
      </w:r>
    </w:p>
    <w:p w14:paraId="01113639">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lang w:val="en-US"/>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11</w:t>
      </w:r>
      <w:r>
        <w:rPr>
          <w:rFonts w:hint="eastAsia" w:ascii="Times New Roman" w:hAnsi="Times New Roman" w:eastAsiaTheme="minorEastAsia"/>
          <w:caps w:val="0"/>
          <w:smallCaps w:val="0"/>
          <w:snapToGrid w:val="0"/>
          <w:color w:val="auto"/>
          <w:spacing w:val="0"/>
          <w:w w:val="100"/>
          <w:position w:val="0"/>
          <w:sz w:val="24"/>
          <w:szCs w:val="24"/>
          <w:highlight w:val="none"/>
        </w:rPr>
        <w:t>：项目区域综合水文地质图</w:t>
      </w:r>
    </w:p>
    <w:p w14:paraId="16DABFB0">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12</w:t>
      </w:r>
      <w:r>
        <w:rPr>
          <w:rFonts w:hint="eastAsia" w:ascii="Times New Roman" w:hAnsi="Times New Roman" w:eastAsiaTheme="minorEastAsia"/>
          <w:caps w:val="0"/>
          <w:smallCaps w:val="0"/>
          <w:snapToGrid w:val="0"/>
          <w:color w:val="auto"/>
          <w:spacing w:val="0"/>
          <w:w w:val="100"/>
          <w:position w:val="0"/>
          <w:sz w:val="24"/>
          <w:szCs w:val="24"/>
          <w:highlight w:val="none"/>
        </w:rPr>
        <w:t>：水文地质勘察钻孔柱状图</w:t>
      </w:r>
    </w:p>
    <w:p w14:paraId="1D218533">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13</w:t>
      </w:r>
      <w:r>
        <w:rPr>
          <w:rFonts w:hint="eastAsia" w:ascii="Times New Roman" w:hAnsi="Times New Roman" w:eastAsiaTheme="minorEastAsia"/>
          <w:caps w:val="0"/>
          <w:smallCaps w:val="0"/>
          <w:snapToGrid w:val="0"/>
          <w:color w:val="auto"/>
          <w:spacing w:val="0"/>
          <w:w w:val="100"/>
          <w:position w:val="0"/>
          <w:sz w:val="24"/>
          <w:szCs w:val="24"/>
          <w:highlight w:val="none"/>
        </w:rPr>
        <w:t>：区域水文地质剖面图</w:t>
      </w:r>
    </w:p>
    <w:p w14:paraId="5E4D0DBE">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14</w:t>
      </w:r>
      <w:r>
        <w:rPr>
          <w:rFonts w:hint="eastAsia" w:ascii="Times New Roman" w:hAnsi="Times New Roman" w:eastAsiaTheme="minorEastAsia"/>
          <w:caps w:val="0"/>
          <w:smallCaps w:val="0"/>
          <w:snapToGrid w:val="0"/>
          <w:color w:val="auto"/>
          <w:spacing w:val="0"/>
          <w:w w:val="100"/>
          <w:position w:val="0"/>
          <w:sz w:val="24"/>
          <w:szCs w:val="24"/>
          <w:highlight w:val="none"/>
        </w:rPr>
        <w:t>：本项目区域土壤类型分布图</w:t>
      </w:r>
    </w:p>
    <w:p w14:paraId="2DB95CC0">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15</w:t>
      </w:r>
      <w:r>
        <w:rPr>
          <w:rFonts w:hint="eastAsia" w:ascii="Times New Roman" w:hAnsi="Times New Roman" w:eastAsiaTheme="minorEastAsia"/>
          <w:caps w:val="0"/>
          <w:smallCaps w:val="0"/>
          <w:snapToGrid w:val="0"/>
          <w:color w:val="auto"/>
          <w:spacing w:val="0"/>
          <w:w w:val="100"/>
          <w:position w:val="0"/>
          <w:sz w:val="24"/>
          <w:szCs w:val="24"/>
          <w:highlight w:val="none"/>
        </w:rPr>
        <w:t>：项目区域土地利用现状图</w:t>
      </w:r>
    </w:p>
    <w:p w14:paraId="68E91051">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16</w:t>
      </w:r>
      <w:r>
        <w:rPr>
          <w:rFonts w:hint="eastAsia" w:ascii="Times New Roman" w:hAnsi="Times New Roman" w:eastAsiaTheme="minorEastAsia"/>
          <w:caps w:val="0"/>
          <w:smallCaps w:val="0"/>
          <w:snapToGrid w:val="0"/>
          <w:color w:val="auto"/>
          <w:spacing w:val="0"/>
          <w:w w:val="100"/>
          <w:position w:val="0"/>
          <w:sz w:val="24"/>
          <w:szCs w:val="24"/>
          <w:highlight w:val="none"/>
        </w:rPr>
        <w:t>：环境质量现状监测点位图</w:t>
      </w:r>
    </w:p>
    <w:p w14:paraId="15C9A938">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17</w:t>
      </w:r>
      <w:r>
        <w:rPr>
          <w:rFonts w:hint="eastAsia" w:ascii="Times New Roman" w:hAnsi="Times New Roman" w:eastAsiaTheme="minorEastAsia"/>
          <w:caps w:val="0"/>
          <w:smallCaps w:val="0"/>
          <w:snapToGrid w:val="0"/>
          <w:color w:val="auto"/>
          <w:spacing w:val="0"/>
          <w:w w:val="100"/>
          <w:position w:val="0"/>
          <w:sz w:val="24"/>
          <w:szCs w:val="24"/>
          <w:highlight w:val="none"/>
        </w:rPr>
        <w:t>：区域潜水等水位线图</w:t>
      </w:r>
    </w:p>
    <w:p w14:paraId="183EDCB6">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18</w:t>
      </w:r>
      <w:r>
        <w:rPr>
          <w:rFonts w:hint="eastAsia" w:ascii="Times New Roman" w:hAnsi="Times New Roman" w:eastAsiaTheme="minorEastAsia"/>
          <w:caps w:val="0"/>
          <w:smallCaps w:val="0"/>
          <w:snapToGrid w:val="0"/>
          <w:color w:val="auto"/>
          <w:spacing w:val="0"/>
          <w:w w:val="100"/>
          <w:position w:val="0"/>
          <w:sz w:val="24"/>
          <w:szCs w:val="24"/>
          <w:highlight w:val="none"/>
        </w:rPr>
        <w:t>：区域承压水等水位线图</w:t>
      </w:r>
    </w:p>
    <w:p w14:paraId="00C5251A">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19</w:t>
      </w:r>
      <w:r>
        <w:rPr>
          <w:rFonts w:hint="eastAsia" w:ascii="Times New Roman" w:hAnsi="Times New Roman" w:eastAsiaTheme="minorEastAsia"/>
          <w:caps w:val="0"/>
          <w:smallCaps w:val="0"/>
          <w:snapToGrid w:val="0"/>
          <w:color w:val="auto"/>
          <w:spacing w:val="0"/>
          <w:w w:val="100"/>
          <w:position w:val="0"/>
          <w:sz w:val="24"/>
          <w:szCs w:val="24"/>
          <w:highlight w:val="none"/>
        </w:rPr>
        <w:t>：本项目区域植被类型图</w:t>
      </w:r>
    </w:p>
    <w:p w14:paraId="7D946D46">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20</w:t>
      </w:r>
      <w:r>
        <w:rPr>
          <w:rFonts w:hint="eastAsia" w:ascii="Times New Roman" w:hAnsi="Times New Roman" w:eastAsiaTheme="minorEastAsia"/>
          <w:caps w:val="0"/>
          <w:smallCaps w:val="0"/>
          <w:snapToGrid w:val="0"/>
          <w:color w:val="auto"/>
          <w:spacing w:val="0"/>
          <w:w w:val="100"/>
          <w:position w:val="0"/>
          <w:sz w:val="24"/>
          <w:szCs w:val="24"/>
          <w:highlight w:val="none"/>
        </w:rPr>
        <w:t>：地下水及土壤跟踪监测布点图</w:t>
      </w:r>
    </w:p>
    <w:p w14:paraId="7BC5104F">
      <w:pPr>
        <w:pStyle w:val="151"/>
        <w:widowControl w:val="0"/>
        <w:spacing w:line="360" w:lineRule="exact"/>
        <w:ind w:left="210"/>
        <w:jc w:val="both"/>
        <w:rPr>
          <w:rFonts w:hint="eastAsia"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lang w:val="en-US"/>
        </w:rPr>
        <w:t>附图</w:t>
      </w:r>
      <w:r>
        <w:rPr>
          <w:rFonts w:ascii="Times New Roman" w:hAnsi="Times New Roman" w:eastAsiaTheme="minorEastAsia"/>
          <w:caps w:val="0"/>
          <w:smallCaps w:val="0"/>
          <w:snapToGrid w:val="0"/>
          <w:color w:val="auto"/>
          <w:spacing w:val="0"/>
          <w:w w:val="100"/>
          <w:position w:val="0"/>
          <w:sz w:val="24"/>
          <w:szCs w:val="24"/>
          <w:highlight w:val="none"/>
        </w:rPr>
        <w:t>21</w:t>
      </w:r>
      <w:r>
        <w:rPr>
          <w:rFonts w:hint="eastAsia" w:ascii="Times New Roman" w:hAnsi="Times New Roman" w:eastAsiaTheme="minorEastAsia"/>
          <w:caps w:val="0"/>
          <w:smallCaps w:val="0"/>
          <w:snapToGrid w:val="0"/>
          <w:color w:val="auto"/>
          <w:spacing w:val="0"/>
          <w:w w:val="100"/>
          <w:position w:val="0"/>
          <w:sz w:val="24"/>
          <w:szCs w:val="24"/>
          <w:highlight w:val="none"/>
        </w:rPr>
        <w:t>：典型生态保护措施平面布置示意图</w:t>
      </w:r>
    </w:p>
    <w:p w14:paraId="1E347D37">
      <w:pPr>
        <w:pStyle w:val="151"/>
        <w:widowControl w:val="0"/>
        <w:spacing w:before="120" w:after="120" w:line="240" w:lineRule="auto"/>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p>
    <w:p w14:paraId="6C699FEA">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1：企业投资项目备案承诺书</w:t>
      </w:r>
    </w:p>
    <w:p w14:paraId="14A93CBD">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2：现有工程环评及验收批复</w:t>
      </w:r>
    </w:p>
    <w:p w14:paraId="62540C4E">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3：相关依托场站环评及验收情况</w:t>
      </w:r>
    </w:p>
    <w:p w14:paraId="023817E4">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4：应急预案备案表</w:t>
      </w:r>
    </w:p>
    <w:p w14:paraId="4BA8C26E">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5：土壤类比项目环评及验收情况</w:t>
      </w:r>
    </w:p>
    <w:p w14:paraId="5B32BD7B">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6：第</w:t>
      </w:r>
      <w:r>
        <w:rPr>
          <w:rFonts w:hint="eastAsia" w:ascii="Times New Roman" w:hAnsi="Times New Roman" w:eastAsiaTheme="minorEastAsia"/>
          <w:caps w:val="0"/>
          <w:smallCaps w:val="0"/>
          <w:snapToGrid w:val="0"/>
          <w:color w:val="auto"/>
          <w:spacing w:val="0"/>
          <w:w w:val="100"/>
          <w:position w:val="0"/>
          <w:sz w:val="24"/>
          <w:szCs w:val="24"/>
          <w:highlight w:val="none"/>
          <w:lang w:val="en-US" w:eastAsia="zh-CN"/>
        </w:rPr>
        <w:t>十一</w:t>
      </w:r>
      <w:r>
        <w:rPr>
          <w:rFonts w:hint="eastAsia" w:ascii="Times New Roman" w:hAnsi="Times New Roman" w:eastAsiaTheme="minorEastAsia"/>
          <w:caps w:val="0"/>
          <w:smallCaps w:val="0"/>
          <w:snapToGrid w:val="0"/>
          <w:color w:val="auto"/>
          <w:spacing w:val="0"/>
          <w:w w:val="100"/>
          <w:position w:val="0"/>
          <w:sz w:val="24"/>
          <w:szCs w:val="24"/>
          <w:highlight w:val="none"/>
        </w:rPr>
        <w:t>采油厂排污许可证</w:t>
      </w:r>
    </w:p>
    <w:p w14:paraId="11991922">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7：引用监测报告</w:t>
      </w:r>
    </w:p>
    <w:p w14:paraId="376A772B">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8：本项目监测报告</w:t>
      </w:r>
    </w:p>
    <w:p w14:paraId="1631E819">
      <w:pPr>
        <w:pStyle w:val="151"/>
        <w:widowControl w:val="0"/>
        <w:spacing w:line="360" w:lineRule="exact"/>
        <w:ind w:left="210"/>
        <w:jc w:val="both"/>
        <w:rPr>
          <w:rFonts w:ascii="Times New Roman" w:hAnsi="Times New Roman" w:eastAsiaTheme="minorEastAsia"/>
          <w:caps w:val="0"/>
          <w:smallCaps w:val="0"/>
          <w:snapToGrid w:val="0"/>
          <w:color w:val="auto"/>
          <w:spacing w:val="0"/>
          <w:w w:val="100"/>
          <w:position w:val="0"/>
          <w:sz w:val="24"/>
          <w:szCs w:val="24"/>
          <w:highlight w:val="none"/>
        </w:rPr>
      </w:pPr>
      <w:r>
        <w:rPr>
          <w:rFonts w:ascii="Times New Roman" w:hAnsi="Times New Roman" w:eastAsiaTheme="minorEastAsia"/>
          <w:caps w:val="0"/>
          <w:smallCaps w:val="0"/>
          <w:snapToGrid w:val="0"/>
          <w:color w:val="auto"/>
          <w:spacing w:val="0"/>
          <w:w w:val="100"/>
          <w:position w:val="0"/>
          <w:sz w:val="24"/>
          <w:szCs w:val="24"/>
          <w:highlight w:val="none"/>
        </w:rPr>
        <w:t>附件</w:t>
      </w:r>
      <w:r>
        <w:rPr>
          <w:rFonts w:hint="eastAsia" w:ascii="Times New Roman" w:hAnsi="Times New Roman" w:eastAsiaTheme="minorEastAsia"/>
          <w:caps w:val="0"/>
          <w:smallCaps w:val="0"/>
          <w:snapToGrid w:val="0"/>
          <w:color w:val="auto"/>
          <w:spacing w:val="0"/>
          <w:w w:val="100"/>
          <w:position w:val="0"/>
          <w:sz w:val="24"/>
          <w:szCs w:val="24"/>
          <w:highlight w:val="none"/>
        </w:rPr>
        <w:t>9：生态环境分区管控分析报告</w:t>
      </w:r>
    </w:p>
    <w:p w14:paraId="0B64B571">
      <w:pPr>
        <w:pStyle w:val="151"/>
        <w:widowControl w:val="0"/>
        <w:spacing w:line="480" w:lineRule="auto"/>
        <w:jc w:val="both"/>
        <w:rPr>
          <w:rFonts w:ascii="Times New Roman" w:hAnsi="Times New Roman" w:eastAsiaTheme="minorEastAsia"/>
          <w:caps w:val="0"/>
          <w:smallCaps w:val="0"/>
          <w:snapToGrid w:val="0"/>
          <w:color w:val="auto"/>
          <w:spacing w:val="0"/>
          <w:w w:val="100"/>
          <w:position w:val="0"/>
          <w:sz w:val="24"/>
          <w:szCs w:val="24"/>
          <w:highlight w:val="none"/>
        </w:rPr>
      </w:pPr>
    </w:p>
    <w:p w14:paraId="5314F3D3">
      <w:pPr>
        <w:pStyle w:val="151"/>
        <w:widowControl w:val="0"/>
        <w:spacing w:line="480" w:lineRule="auto"/>
        <w:jc w:val="both"/>
        <w:rPr>
          <w:rFonts w:ascii="Times New Roman" w:hAnsi="Times New Roman" w:eastAsiaTheme="minorEastAsia"/>
          <w:caps w:val="0"/>
          <w:smallCaps w:val="0"/>
          <w:snapToGrid w:val="0"/>
          <w:color w:val="auto"/>
          <w:spacing w:val="0"/>
          <w:w w:val="100"/>
          <w:position w:val="0"/>
          <w:sz w:val="24"/>
          <w:szCs w:val="24"/>
          <w:highlight w:val="none"/>
        </w:rPr>
      </w:pPr>
    </w:p>
    <w:p w14:paraId="371C51B2">
      <w:pPr>
        <w:pStyle w:val="151"/>
        <w:widowControl w:val="0"/>
        <w:spacing w:line="480" w:lineRule="auto"/>
        <w:jc w:val="both"/>
        <w:rPr>
          <w:rFonts w:ascii="Times New Roman" w:hAnsi="Times New Roman" w:eastAsiaTheme="minorEastAsia"/>
          <w:caps w:val="0"/>
          <w:smallCaps w:val="0"/>
          <w:snapToGrid w:val="0"/>
          <w:color w:val="auto"/>
          <w:spacing w:val="0"/>
          <w:w w:val="100"/>
          <w:position w:val="0"/>
          <w:sz w:val="24"/>
          <w:szCs w:val="24"/>
          <w:highlight w:val="none"/>
        </w:rPr>
      </w:pPr>
    </w:p>
    <w:p w14:paraId="247999FA">
      <w:pPr>
        <w:pStyle w:val="151"/>
        <w:widowControl w:val="0"/>
        <w:spacing w:line="480" w:lineRule="auto"/>
        <w:jc w:val="both"/>
        <w:rPr>
          <w:rFonts w:ascii="Times New Roman" w:hAnsi="Times New Roman" w:eastAsiaTheme="minorEastAsia"/>
          <w:caps w:val="0"/>
          <w:smallCaps w:val="0"/>
          <w:snapToGrid w:val="0"/>
          <w:color w:val="auto"/>
          <w:spacing w:val="0"/>
          <w:w w:val="100"/>
          <w:position w:val="0"/>
          <w:sz w:val="24"/>
          <w:szCs w:val="24"/>
          <w:highlight w:val="none"/>
        </w:rPr>
      </w:pPr>
    </w:p>
    <w:p w14:paraId="6FA5FFB0">
      <w:pPr>
        <w:pStyle w:val="151"/>
        <w:widowControl w:val="0"/>
        <w:spacing w:line="480" w:lineRule="auto"/>
        <w:jc w:val="both"/>
        <w:rPr>
          <w:rFonts w:ascii="Times New Roman" w:hAnsi="Times New Roman" w:eastAsiaTheme="minorEastAsia"/>
          <w:caps w:val="0"/>
          <w:smallCaps w:val="0"/>
          <w:snapToGrid w:val="0"/>
          <w:color w:val="auto"/>
          <w:spacing w:val="0"/>
          <w:w w:val="100"/>
          <w:position w:val="0"/>
          <w:sz w:val="24"/>
          <w:szCs w:val="24"/>
          <w:highlight w:val="none"/>
        </w:rPr>
      </w:pPr>
    </w:p>
    <w:p w14:paraId="6187540B">
      <w:pPr>
        <w:pStyle w:val="151"/>
        <w:widowControl w:val="0"/>
        <w:spacing w:line="480" w:lineRule="auto"/>
        <w:jc w:val="both"/>
        <w:rPr>
          <w:rFonts w:ascii="Times New Roman" w:hAnsi="Times New Roman" w:eastAsiaTheme="minorEastAsia"/>
          <w:caps w:val="0"/>
          <w:smallCaps w:val="0"/>
          <w:snapToGrid w:val="0"/>
          <w:color w:val="auto"/>
          <w:spacing w:val="0"/>
          <w:w w:val="100"/>
          <w:position w:val="0"/>
          <w:sz w:val="24"/>
          <w:szCs w:val="24"/>
          <w:highlight w:val="none"/>
        </w:rPr>
      </w:pPr>
    </w:p>
    <w:p w14:paraId="3570495C">
      <w:pPr>
        <w:pStyle w:val="3"/>
        <w:widowControl w:val="0"/>
        <w:spacing w:before="180" w:after="180" w:line="500" w:lineRule="exact"/>
        <w:rPr>
          <w:rFonts w:ascii="Times New Roman" w:hAnsi="Times New Roman" w:eastAsiaTheme="minorEastAsia"/>
          <w:b/>
          <w:caps w:val="0"/>
          <w:smallCaps w:val="0"/>
          <w:snapToGrid w:val="0"/>
          <w:color w:val="auto"/>
          <w:spacing w:val="0"/>
          <w:w w:val="100"/>
          <w:position w:val="0"/>
          <w:sz w:val="30"/>
          <w:szCs w:val="30"/>
          <w:highlight w:val="none"/>
        </w:rPr>
        <w:sectPr>
          <w:footerReference r:id="rId3" w:type="default"/>
          <w:type w:val="nextColumn"/>
          <w:pgSz w:w="11906" w:h="16838"/>
          <w:pgMar w:top="1418" w:right="1418" w:bottom="1418" w:left="1418" w:header="851" w:footer="992" w:gutter="0"/>
          <w:pgNumType w:start="1"/>
          <w:cols w:space="720" w:num="1"/>
          <w:docGrid w:linePitch="312" w:charSpace="0"/>
        </w:sectPr>
      </w:pPr>
    </w:p>
    <w:p w14:paraId="4371126D">
      <w:pPr>
        <w:pStyle w:val="3"/>
        <w:widowControl w:val="0"/>
        <w:spacing w:before="180" w:after="180" w:line="500" w:lineRule="exact"/>
        <w:rPr>
          <w:rFonts w:ascii="Times New Roman" w:hAnsi="Times New Roman" w:eastAsiaTheme="minorEastAsia"/>
          <w:b/>
          <w:caps w:val="0"/>
          <w:smallCaps w:val="0"/>
          <w:snapToGrid w:val="0"/>
          <w:color w:val="auto"/>
          <w:spacing w:val="0"/>
          <w:w w:val="100"/>
          <w:position w:val="0"/>
          <w:sz w:val="30"/>
          <w:szCs w:val="30"/>
          <w:highlight w:val="none"/>
        </w:rPr>
      </w:pPr>
      <w:bookmarkStart w:id="3" w:name="_Toc219900363"/>
      <w:r>
        <w:rPr>
          <w:rFonts w:ascii="Times New Roman" w:hAnsi="Times New Roman" w:eastAsiaTheme="minorEastAsia"/>
          <w:b/>
          <w:caps w:val="0"/>
          <w:smallCaps w:val="0"/>
          <w:snapToGrid w:val="0"/>
          <w:color w:val="auto"/>
          <w:spacing w:val="0"/>
          <w:w w:val="100"/>
          <w:position w:val="0"/>
          <w:sz w:val="30"/>
          <w:szCs w:val="30"/>
          <w:highlight w:val="none"/>
        </w:rPr>
        <w:t>1概述</w:t>
      </w:r>
      <w:bookmarkEnd w:id="0"/>
      <w:bookmarkEnd w:id="1"/>
      <w:bookmarkEnd w:id="2"/>
      <w:bookmarkEnd w:id="3"/>
    </w:p>
    <w:p w14:paraId="249F541A">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4" w:name="_Toc219900364"/>
      <w:r>
        <w:rPr>
          <w:rFonts w:ascii="Times New Roman" w:hAnsi="Times New Roman" w:eastAsiaTheme="minorEastAsia"/>
          <w:b/>
          <w:caps w:val="0"/>
          <w:smallCaps w:val="0"/>
          <w:snapToGrid w:val="0"/>
          <w:color w:val="auto"/>
          <w:spacing w:val="0"/>
          <w:w w:val="100"/>
          <w:position w:val="0"/>
          <w:highlight w:val="none"/>
        </w:rPr>
        <w:t>1.1项目由来</w:t>
      </w:r>
      <w:bookmarkEnd w:id="4"/>
    </w:p>
    <w:p w14:paraId="7A9F7C9A">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bidi="zh-CN"/>
        </w:rPr>
      </w:pPr>
      <w:r>
        <w:rPr>
          <w:rFonts w:hint="eastAsia" w:ascii="Times New Roman" w:hAnsi="Times New Roman" w:cs="Times New Roman" w:eastAsiaTheme="minorEastAsia"/>
          <w:caps w:val="0"/>
          <w:smallCaps w:val="0"/>
          <w:color w:val="auto"/>
          <w:spacing w:val="0"/>
          <w:w w:val="100"/>
          <w:position w:val="0"/>
          <w:highlight w:val="none"/>
          <w:lang w:bidi="zh-CN"/>
        </w:rPr>
        <w:t>大庆油田有限责任公司第十一采油厂</w:t>
      </w:r>
      <w:r>
        <w:rPr>
          <w:rFonts w:hint="eastAsia" w:ascii="Times New Roman" w:hAnsi="Times New Roman" w:cs="Times New Roman" w:eastAsiaTheme="minorEastAsia"/>
          <w:caps w:val="0"/>
          <w:smallCaps w:val="0"/>
          <w:color w:val="auto"/>
          <w:spacing w:val="0"/>
          <w:w w:val="100"/>
          <w:position w:val="0"/>
          <w:highlight w:val="none"/>
          <w:lang w:val="en-US" w:bidi="zh-CN"/>
        </w:rPr>
        <w:t>庆新油田，</w:t>
      </w:r>
      <w:r>
        <w:rPr>
          <w:rFonts w:hint="eastAsia" w:ascii="Times New Roman" w:hAnsi="Times New Roman" w:eastAsiaTheme="minorEastAsia"/>
          <w:caps w:val="0"/>
          <w:smallCaps w:val="0"/>
          <w:color w:val="auto"/>
          <w:spacing w:val="0"/>
          <w:w w:val="100"/>
          <w:position w:val="0"/>
          <w:highlight w:val="none"/>
          <w:lang w:val="en-US" w:eastAsia="zh-CN" w:bidi="zh-CN"/>
        </w:rPr>
        <w:t>截止2025年12月已建各类管道 1400 条，总长度1075.73km，投产投产15年以上管道297.2km，占总量 27.6%。其中集输系统管道 609.3km，投产 15 年以上管道 168.1km，占总量 27.6%，注入系统管道 358.4km，投产 15 年以上的 69.1km，占总量的 19.3%。</w:t>
      </w:r>
    </w:p>
    <w:p w14:paraId="6C67B5A8">
      <w:pPr>
        <w:pStyle w:val="149"/>
        <w:widowControl w:val="0"/>
        <w:spacing w:line="440" w:lineRule="exact"/>
        <w:ind w:firstLine="473"/>
        <w:jc w:val="both"/>
        <w:rPr>
          <w:rFonts w:hint="default" w:ascii="Times New Roman" w:hAnsi="Times New Roman" w:cs="Times New Roman" w:eastAsiaTheme="minorEastAsia"/>
          <w:caps w:val="0"/>
          <w:smallCaps w:val="0"/>
          <w:color w:val="auto"/>
          <w:spacing w:val="0"/>
          <w:w w:val="100"/>
          <w:position w:val="0"/>
          <w:highlight w:val="none"/>
          <w:lang w:val="en-US" w:bidi="zh-CN"/>
        </w:rPr>
      </w:pPr>
      <w:r>
        <w:rPr>
          <w:rFonts w:hint="eastAsia" w:ascii="Times New Roman" w:hAnsi="Times New Roman" w:cs="Times New Roman" w:eastAsiaTheme="minorEastAsia"/>
          <w:caps w:val="0"/>
          <w:smallCaps w:val="0"/>
          <w:color w:val="auto"/>
          <w:spacing w:val="0"/>
          <w:w w:val="100"/>
          <w:position w:val="0"/>
          <w:highlight w:val="none"/>
          <w:lang w:val="en-US" w:eastAsia="zh-CN" w:bidi="zh-CN"/>
        </w:rPr>
        <w:t>本项目</w:t>
      </w:r>
      <w:r>
        <w:rPr>
          <w:rFonts w:hint="eastAsia" w:ascii="Times New Roman" w:hAnsi="Times New Roman" w:cs="Times New Roman" w:eastAsiaTheme="minorEastAsia"/>
          <w:caps w:val="0"/>
          <w:smallCaps w:val="0"/>
          <w:color w:val="auto"/>
          <w:spacing w:val="0"/>
          <w:w w:val="100"/>
          <w:position w:val="0"/>
          <w:highlight w:val="none"/>
          <w:lang w:bidi="zh-CN"/>
        </w:rPr>
        <w:t>建设地点位于黑龙江省绥化市安达市昌德镇</w:t>
      </w:r>
      <w:r>
        <w:rPr>
          <w:rFonts w:hint="eastAsia" w:ascii="Times New Roman" w:hAnsi="Times New Roman" w:cs="Times New Roman" w:eastAsiaTheme="minorEastAsia"/>
          <w:caps w:val="0"/>
          <w:smallCaps w:val="0"/>
          <w:color w:val="auto"/>
          <w:spacing w:val="0"/>
          <w:w w:val="100"/>
          <w:position w:val="0"/>
          <w:highlight w:val="none"/>
          <w:lang w:val="en-US" w:eastAsia="zh-CN" w:bidi="zh-CN"/>
        </w:rPr>
        <w:t>，项目</w:t>
      </w:r>
      <w:r>
        <w:rPr>
          <w:rFonts w:hint="default" w:ascii="Times New Roman" w:hAnsi="Times New Roman" w:cs="Times New Roman" w:eastAsiaTheme="minorEastAsia"/>
          <w:caps w:val="0"/>
          <w:smallCaps w:val="0"/>
          <w:color w:val="auto"/>
          <w:spacing w:val="0"/>
          <w:w w:val="100"/>
          <w:position w:val="0"/>
          <w:highlight w:val="none"/>
          <w:lang w:val="en-US" w:eastAsia="zh-CN" w:bidi="zh-CN"/>
        </w:rPr>
        <w:t>区域受输送介质、运行年限等因素影响，埋地管道进入老化腐蚀高峰期，管道腐蚀泄漏易导致周边环境污染，造成经济损失，存在着火、高压水伤人等安全隐患，影响生产安全平稳运行。随着管道运行年限增加，防腐层逐渐失效，导致管体与外部环境及输送介质直接接触，发生电化学腐蚀的几率增大，发生管道失效的风险也逐年升高。</w:t>
      </w:r>
    </w:p>
    <w:p w14:paraId="6E5C10B6">
      <w:pPr>
        <w:pStyle w:val="149"/>
        <w:widowControl w:val="0"/>
        <w:spacing w:line="440" w:lineRule="exact"/>
        <w:ind w:firstLine="473"/>
        <w:jc w:val="both"/>
        <w:rPr>
          <w:rFonts w:hint="eastAsia" w:ascii="Times New Roman" w:hAnsi="Times New Roman" w:cs="Times New Roman" w:eastAsiaTheme="minorEastAsia"/>
          <w:caps w:val="0"/>
          <w:smallCaps w:val="0"/>
          <w:color w:val="auto"/>
          <w:spacing w:val="0"/>
          <w:w w:val="100"/>
          <w:position w:val="0"/>
          <w:highlight w:val="none"/>
          <w:lang w:bidi="zh-CN"/>
        </w:rPr>
      </w:pPr>
      <w:r>
        <w:rPr>
          <w:rFonts w:hint="eastAsia" w:ascii="Times New Roman" w:hAnsi="Times New Roman" w:cs="Times New Roman" w:eastAsiaTheme="minorEastAsia"/>
          <w:caps w:val="0"/>
          <w:smallCaps w:val="0"/>
          <w:color w:val="auto"/>
          <w:spacing w:val="0"/>
          <w:w w:val="100"/>
          <w:position w:val="0"/>
          <w:highlight w:val="none"/>
          <w:lang w:bidi="zh-CN"/>
        </w:rPr>
        <w:t>为解决上述问题，大庆油田有限责任公司第十一采油厂拟建“</w:t>
      </w:r>
      <w:r>
        <w:rPr>
          <w:rFonts w:hint="eastAsia" w:ascii="Times New Roman" w:hAnsi="Times New Roman" w:cs="Times New Roman" w:eastAsiaTheme="minorEastAsia"/>
          <w:caps w:val="0"/>
          <w:smallCaps w:val="0"/>
          <w:color w:val="auto"/>
          <w:spacing w:val="0"/>
          <w:w w:val="100"/>
          <w:position w:val="0"/>
          <w:highlight w:val="none"/>
          <w:lang w:val="en-US" w:bidi="zh-CN"/>
        </w:rPr>
        <w:t>大庆油田第十一采油厂油系统管道安全隐患治理工程项目</w:t>
      </w:r>
      <w:r>
        <w:rPr>
          <w:rFonts w:hint="eastAsia" w:ascii="Times New Roman" w:hAnsi="Times New Roman" w:cs="Times New Roman" w:eastAsiaTheme="minorEastAsia"/>
          <w:caps w:val="0"/>
          <w:smallCaps w:val="0"/>
          <w:color w:val="auto"/>
          <w:spacing w:val="0"/>
          <w:w w:val="100"/>
          <w:position w:val="0"/>
          <w:highlight w:val="none"/>
          <w:lang w:bidi="zh-CN"/>
        </w:rPr>
        <w:t>”（以下简称“本项目”）。</w:t>
      </w:r>
    </w:p>
    <w:p w14:paraId="50537249">
      <w:pPr>
        <w:pStyle w:val="149"/>
        <w:widowControl w:val="0"/>
        <w:spacing w:line="440" w:lineRule="exact"/>
        <w:ind w:firstLine="473"/>
        <w:jc w:val="both"/>
        <w:rPr>
          <w:rFonts w:hint="eastAsia" w:ascii="Times New Roman" w:hAnsi="Times New Roman" w:cs="Times New Roman" w:eastAsiaTheme="minorEastAsia"/>
          <w:caps w:val="0"/>
          <w:smallCaps w:val="0"/>
          <w:color w:val="auto"/>
          <w:spacing w:val="0"/>
          <w:w w:val="100"/>
          <w:position w:val="0"/>
          <w:highlight w:val="none"/>
          <w:lang w:val="en-US" w:bidi="zh-CN"/>
        </w:rPr>
      </w:pPr>
      <w:r>
        <w:rPr>
          <w:rFonts w:hint="eastAsia" w:ascii="Times New Roman" w:hAnsi="Times New Roman" w:cs="Times New Roman" w:eastAsiaTheme="minorEastAsia"/>
          <w:caps w:val="0"/>
          <w:smallCaps w:val="0"/>
          <w:color w:val="auto"/>
          <w:spacing w:val="0"/>
          <w:w w:val="100"/>
          <w:position w:val="0"/>
          <w:highlight w:val="none"/>
          <w:lang w:bidi="zh-CN"/>
        </w:rPr>
        <w:t>本项目拟投资</w:t>
      </w:r>
      <w:r>
        <w:rPr>
          <w:rFonts w:hint="eastAsia" w:ascii="Times New Roman" w:hAnsi="Times New Roman" w:cs="Times New Roman" w:eastAsiaTheme="minorEastAsia"/>
          <w:caps w:val="0"/>
          <w:smallCaps w:val="0"/>
          <w:color w:val="auto"/>
          <w:spacing w:val="0"/>
          <w:w w:val="100"/>
          <w:position w:val="0"/>
          <w:highlight w:val="none"/>
          <w:lang w:val="en-US" w:bidi="zh-CN"/>
        </w:rPr>
        <w:t>646.90</w:t>
      </w:r>
      <w:r>
        <w:rPr>
          <w:rFonts w:hint="eastAsia" w:ascii="Times New Roman" w:hAnsi="Times New Roman" w:cs="Times New Roman" w:eastAsiaTheme="minorEastAsia"/>
          <w:caps w:val="0"/>
          <w:smallCaps w:val="0"/>
          <w:color w:val="auto"/>
          <w:spacing w:val="0"/>
          <w:w w:val="100"/>
          <w:position w:val="0"/>
          <w:highlight w:val="none"/>
          <w:lang w:bidi="zh-CN"/>
        </w:rPr>
        <w:t>万元，</w:t>
      </w:r>
      <w:r>
        <w:rPr>
          <w:rFonts w:hint="eastAsia" w:ascii="Times New Roman" w:hAnsi="Times New Roman" w:cs="Times New Roman" w:eastAsiaTheme="minorEastAsia"/>
          <w:caps w:val="0"/>
          <w:smallCaps w:val="0"/>
          <w:color w:val="auto"/>
          <w:spacing w:val="0"/>
          <w:w w:val="100"/>
          <w:position w:val="0"/>
          <w:highlight w:val="none"/>
          <w:lang w:val="en-US" w:eastAsia="zh-CN" w:bidi="zh-CN"/>
        </w:rPr>
        <w:t>整体更换站间管道 1 条，局部更换站间管道 1 条，长度共计 8.29km。整体更换集油环管道1个，局部更换集油环管道2个，长度共计7.83km。定向钻公路穿越 24 处，钢开穿越公路4处。</w:t>
      </w:r>
      <w:r>
        <w:rPr>
          <w:rFonts w:hint="eastAsia" w:ascii="Times New Roman" w:hAnsi="Times New Roman" w:cs="Times New Roman" w:eastAsiaTheme="minorEastAsia"/>
          <w:caps w:val="0"/>
          <w:smallCaps w:val="0"/>
          <w:color w:val="auto"/>
          <w:spacing w:val="0"/>
          <w:w w:val="100"/>
          <w:position w:val="0"/>
          <w:highlight w:val="none"/>
          <w:lang w:bidi="zh-CN"/>
        </w:rPr>
        <w:t>企业投资项目备案承诺书见附件1。</w:t>
      </w:r>
    </w:p>
    <w:p w14:paraId="0FB62C88">
      <w:pPr>
        <w:pStyle w:val="149"/>
        <w:widowControl w:val="0"/>
        <w:spacing w:line="440" w:lineRule="exact"/>
        <w:ind w:firstLine="473"/>
        <w:jc w:val="both"/>
        <w:rPr>
          <w:rFonts w:ascii="Times New Roman" w:hAnsi="Times New Roman" w:eastAsiaTheme="minorEastAsia"/>
          <w:bCs/>
          <w:caps w:val="0"/>
          <w:smallCaps w:val="0"/>
          <w:color w:val="auto"/>
          <w:spacing w:val="0"/>
          <w:w w:val="100"/>
          <w:position w:val="0"/>
          <w:highlight w:val="none"/>
          <w:lang w:bidi="zh-CN"/>
        </w:rPr>
      </w:pPr>
      <w:r>
        <w:rPr>
          <w:rFonts w:hint="eastAsia" w:ascii="Times New Roman" w:hAnsi="Times New Roman" w:eastAsiaTheme="minorEastAsia"/>
          <w:bCs/>
          <w:caps w:val="0"/>
          <w:smallCaps w:val="0"/>
          <w:color w:val="auto"/>
          <w:spacing w:val="0"/>
          <w:w w:val="100"/>
          <w:position w:val="0"/>
          <w:highlight w:val="none"/>
          <w:lang w:val="en-US" w:bidi="zh-CN"/>
        </w:rPr>
        <w:t>本</w:t>
      </w:r>
      <w:r>
        <w:rPr>
          <w:rFonts w:ascii="Times New Roman" w:hAnsi="Times New Roman" w:eastAsiaTheme="minorEastAsia"/>
          <w:bCs/>
          <w:caps w:val="0"/>
          <w:smallCaps w:val="0"/>
          <w:color w:val="auto"/>
          <w:spacing w:val="0"/>
          <w:w w:val="100"/>
          <w:position w:val="0"/>
          <w:highlight w:val="none"/>
          <w:lang w:bidi="zh-CN"/>
        </w:rPr>
        <w:t>项目占地范围内不涉及国家公园、自然保护区、风景名胜区、世界文化和自然遗产地、海洋特别保护区、</w:t>
      </w:r>
      <w:r>
        <w:rPr>
          <w:rFonts w:hint="eastAsia" w:ascii="Times New Roman" w:hAnsi="Times New Roman" w:eastAsiaTheme="minorEastAsia"/>
          <w:bCs/>
          <w:caps w:val="0"/>
          <w:smallCaps w:val="0"/>
          <w:color w:val="auto"/>
          <w:spacing w:val="0"/>
          <w:w w:val="100"/>
          <w:position w:val="0"/>
          <w:highlight w:val="none"/>
          <w:lang w:bidi="zh-CN"/>
        </w:rPr>
        <w:t>饮用水水源保护区、</w:t>
      </w:r>
      <w:r>
        <w:rPr>
          <w:rFonts w:ascii="Times New Roman" w:hAnsi="Times New Roman" w:eastAsiaTheme="minorEastAsia"/>
          <w:bCs/>
          <w:caps w:val="0"/>
          <w:smallCaps w:val="0"/>
          <w:color w:val="auto"/>
          <w:spacing w:val="0"/>
          <w:w w:val="100"/>
          <w:position w:val="0"/>
          <w:highlight w:val="none"/>
          <w:lang w:bidi="zh-CN"/>
        </w:rPr>
        <w:t>基本草原、自然公园、重要湿地、天然林、重点保护野生动物栖息地、重点保护野生植物生长繁殖地、重要水生生物的自然产卵场、索饵场、越冬场和洄游通道、天然渔场、水土流失重点</w:t>
      </w:r>
      <w:r>
        <w:rPr>
          <w:rFonts w:ascii="Times New Roman" w:hAnsi="Times New Roman" w:eastAsiaTheme="minorEastAsia"/>
          <w:bCs/>
          <w:caps w:val="0"/>
          <w:smallCaps w:val="0"/>
          <w:color w:val="auto"/>
          <w:spacing w:val="0"/>
          <w:w w:val="100"/>
          <w:position w:val="0"/>
          <w:highlight w:val="none"/>
          <w:lang w:bidi="zh-CN"/>
        </w:rPr>
        <w:t>预防区</w:t>
      </w:r>
      <w:r>
        <w:rPr>
          <w:rFonts w:hint="eastAsia" w:ascii="Times New Roman" w:hAnsi="Times New Roman" w:eastAsiaTheme="minorEastAsia"/>
          <w:bCs/>
          <w:caps w:val="0"/>
          <w:smallCaps w:val="0"/>
          <w:color w:val="auto"/>
          <w:spacing w:val="0"/>
          <w:w w:val="100"/>
          <w:position w:val="0"/>
          <w:highlight w:val="none"/>
          <w:lang w:val="en-US" w:bidi="zh-CN"/>
        </w:rPr>
        <w:t>和</w:t>
      </w:r>
      <w:r>
        <w:rPr>
          <w:rFonts w:ascii="Times New Roman" w:hAnsi="Times New Roman" w:eastAsiaTheme="minorEastAsia"/>
          <w:bCs/>
          <w:caps w:val="0"/>
          <w:smallCaps w:val="0"/>
          <w:color w:val="auto"/>
          <w:spacing w:val="0"/>
          <w:w w:val="100"/>
          <w:position w:val="0"/>
          <w:highlight w:val="none"/>
          <w:lang w:bidi="zh-CN"/>
        </w:rPr>
        <w:t>重点治理区、沙化土地封禁保护区、封闭及半封闭海域、以及以居住、医疗卫生、文化教育、科研、行政办公为主要功能的区域、文物保护单位等环境敏感区，且项目不在生态保护红线内。</w:t>
      </w:r>
      <w:r>
        <w:rPr>
          <w:rFonts w:hint="eastAsia" w:ascii="Times New Roman" w:hAnsi="Times New Roman" w:eastAsiaTheme="minorEastAsia"/>
          <w:bCs/>
          <w:caps w:val="0"/>
          <w:smallCaps w:val="0"/>
          <w:color w:val="auto"/>
          <w:spacing w:val="0"/>
          <w:w w:val="100"/>
          <w:position w:val="0"/>
          <w:highlight w:val="none"/>
          <w:lang w:val="en-US" w:bidi="zh-CN"/>
        </w:rPr>
        <w:t>本项目占用基本农田</w:t>
      </w:r>
      <w:r>
        <w:rPr>
          <w:rFonts w:ascii="Times New Roman" w:hAnsi="Times New Roman" w:eastAsiaTheme="minorEastAsia"/>
          <w:bCs/>
          <w:caps w:val="0"/>
          <w:smallCaps w:val="0"/>
          <w:color w:val="auto"/>
          <w:spacing w:val="0"/>
          <w:w w:val="100"/>
          <w:position w:val="0"/>
          <w:highlight w:val="none"/>
          <w:lang w:bidi="zh-CN"/>
        </w:rPr>
        <w:t>，</w:t>
      </w:r>
      <w:r>
        <w:rPr>
          <w:rFonts w:ascii="Times New Roman" w:hAnsi="Times New Roman" w:eastAsiaTheme="minorEastAsia"/>
          <w:caps w:val="0"/>
          <w:smallCaps w:val="0"/>
          <w:color w:val="auto"/>
          <w:spacing w:val="0"/>
          <w:w w:val="100"/>
          <w:position w:val="0"/>
          <w:highlight w:val="none"/>
        </w:rPr>
        <w:t>根据《</w:t>
      </w:r>
      <w:r>
        <w:rPr>
          <w:rFonts w:hint="eastAsia"/>
          <w:caps w:val="0"/>
          <w:smallCaps w:val="0"/>
          <w:color w:val="auto"/>
          <w:spacing w:val="0"/>
          <w:w w:val="100"/>
          <w:position w:val="0"/>
          <w:highlight w:val="none"/>
        </w:rPr>
        <w:t>国民经济行业分类</w:t>
      </w:r>
      <w:r>
        <w:rPr>
          <w:rFonts w:ascii="Times New Roman" w:hAnsi="Times New Roman" w:eastAsiaTheme="minorEastAsia"/>
          <w:caps w:val="0"/>
          <w:smallCaps w:val="0"/>
          <w:color w:val="auto"/>
          <w:spacing w:val="0"/>
          <w:w w:val="100"/>
          <w:position w:val="0"/>
          <w:highlight w:val="none"/>
        </w:rPr>
        <w:t>》（GB/T4754-2017），本项目</w:t>
      </w:r>
      <w:r>
        <w:rPr>
          <w:rFonts w:hint="eastAsia" w:ascii="Times New Roman" w:hAnsi="Times New Roman" w:eastAsiaTheme="minorEastAsia"/>
          <w:caps w:val="0"/>
          <w:smallCaps w:val="0"/>
          <w:color w:val="auto"/>
          <w:spacing w:val="0"/>
          <w:w w:val="100"/>
          <w:position w:val="0"/>
          <w:highlight w:val="none"/>
        </w:rPr>
        <w:t>国民经济分类为</w:t>
      </w:r>
      <w:r>
        <w:rPr>
          <w:rFonts w:ascii="Times New Roman" w:hAnsi="Times New Roman" w:eastAsiaTheme="minorEastAsia"/>
          <w:caps w:val="0"/>
          <w:smallCaps w:val="0"/>
          <w:color w:val="auto"/>
          <w:spacing w:val="0"/>
          <w:w w:val="100"/>
          <w:position w:val="0"/>
          <w:highlight w:val="none"/>
        </w:rPr>
        <w:t>B0711陆地石油开采，因此</w:t>
      </w:r>
      <w:r>
        <w:rPr>
          <w:rFonts w:ascii="Times New Roman" w:hAnsi="Times New Roman" w:eastAsiaTheme="minorEastAsia"/>
          <w:bCs/>
          <w:caps w:val="0"/>
          <w:smallCaps w:val="0"/>
          <w:color w:val="auto"/>
          <w:spacing w:val="0"/>
          <w:w w:val="100"/>
          <w:position w:val="0"/>
          <w:highlight w:val="none"/>
          <w:lang w:bidi="zh-CN"/>
        </w:rPr>
        <w:t xml:space="preserve">根据《建设项目环境影响评价分类管理名录（2021年版）》（部令第16号），判定本项目为“五、石油和天然气开采业-07、陆地石油开采 </w:t>
      </w:r>
      <w:r>
        <w:rPr>
          <w:rFonts w:ascii="Times New Roman" w:hAnsi="Times New Roman" w:eastAsiaTheme="minorEastAsia"/>
          <w:bCs/>
          <w:caps w:val="0"/>
          <w:smallCaps w:val="0"/>
          <w:color w:val="auto"/>
          <w:spacing w:val="0"/>
          <w:w w:val="100"/>
          <w:position w:val="0"/>
          <w:highlight w:val="none"/>
          <w:lang w:bidi="zh-CN"/>
        </w:rPr>
        <w:t>0711”中“涉及环境敏感区的（含内部集输管线建设）”，应编制环境影响报告书。</w:t>
      </w:r>
    </w:p>
    <w:p w14:paraId="01E5D491">
      <w:pPr>
        <w:pStyle w:val="149"/>
        <w:widowControl w:val="0"/>
        <w:spacing w:line="440" w:lineRule="exact"/>
        <w:ind w:firstLine="473"/>
        <w:jc w:val="both"/>
        <w:rPr>
          <w:rFonts w:ascii="Times New Roman" w:hAnsi="Times New Roman" w:eastAsiaTheme="minorEastAsia"/>
          <w:bCs/>
          <w:caps w:val="0"/>
          <w:smallCaps w:val="0"/>
          <w:color w:val="auto"/>
          <w:spacing w:val="0"/>
          <w:w w:val="100"/>
          <w:position w:val="0"/>
          <w:highlight w:val="none"/>
          <w:lang w:bidi="zh-CN"/>
        </w:rPr>
      </w:pPr>
      <w:r>
        <w:rPr>
          <w:rFonts w:ascii="Times New Roman" w:hAnsi="Times New Roman" w:eastAsiaTheme="minorEastAsia"/>
          <w:caps w:val="0"/>
          <w:smallCaps w:val="0"/>
          <w:color w:val="auto"/>
          <w:spacing w:val="0"/>
          <w:w w:val="100"/>
          <w:position w:val="0"/>
          <w:highlight w:val="none"/>
        </w:rPr>
        <w:t>根据2017年7月16日《国务院关于修改〈建设项目环境保护管理条例〉的决定》（中华人民共和国国务院令第682号）、《中华人民共和国环境影响评价法》、《建设项目环境影响评价分类管理名录（2021年版）》（生态环境部部令第16号）及《关于进一步加强石油天然气行业环境影响评价管理的通知》（环办环评函[2019]910号）等法律法规，为保证建设项目与环境保护协调发展，从环境保护角度评价建设项目的可行性，大庆油田有限责任公司第</w:t>
      </w:r>
      <w:r>
        <w:rPr>
          <w:rFonts w:hint="eastAsia" w:ascii="Times New Roman" w:hAnsi="Times New Roman" w:eastAsiaTheme="minorEastAsia"/>
          <w:caps w:val="0"/>
          <w:smallCaps w:val="0"/>
          <w:color w:val="auto"/>
          <w:spacing w:val="0"/>
          <w:w w:val="100"/>
          <w:position w:val="0"/>
          <w:highlight w:val="none"/>
          <w:lang w:val="en-US" w:eastAsia="zh-CN"/>
        </w:rPr>
        <w:t>十一</w:t>
      </w:r>
      <w:r>
        <w:rPr>
          <w:rFonts w:ascii="Times New Roman" w:hAnsi="Times New Roman" w:eastAsiaTheme="minorEastAsia"/>
          <w:caps w:val="0"/>
          <w:smallCaps w:val="0"/>
          <w:color w:val="auto"/>
          <w:spacing w:val="0"/>
          <w:w w:val="100"/>
          <w:position w:val="0"/>
          <w:highlight w:val="none"/>
        </w:rPr>
        <w:t>采油厂委托湖南葆华环保科技有限公司编制环境影响报告书。接受委托后，项目负责人对项目的建设方案进行了详细分析，并对拟建区域进行多次实地考察，并结合项目方案，分析了项目的类型、性质、建设规模及所在区域的环境状况，在详细研究了相关资料并进行类比调查分析的情况下，按照国家环境影响评价技术导则的要求，编制了《</w:t>
      </w:r>
      <w:r>
        <w:rPr>
          <w:rFonts w:hint="eastAsia" w:ascii="Times New Roman" w:hAnsi="Times New Roman" w:cs="Times New Roman" w:eastAsiaTheme="minorEastAsia"/>
          <w:caps w:val="0"/>
          <w:smallCaps w:val="0"/>
          <w:color w:val="auto"/>
          <w:spacing w:val="0"/>
          <w:w w:val="100"/>
          <w:position w:val="0"/>
          <w:highlight w:val="none"/>
          <w:lang w:val="en-US" w:bidi="zh-CN"/>
        </w:rPr>
        <w:t>大庆油田第十一采油厂油系统管道安全隐患治理工程项目</w:t>
      </w:r>
      <w:r>
        <w:rPr>
          <w:rFonts w:ascii="Times New Roman" w:hAnsi="Times New Roman" w:eastAsiaTheme="minorEastAsia"/>
          <w:caps w:val="0"/>
          <w:smallCaps w:val="0"/>
          <w:color w:val="auto"/>
          <w:spacing w:val="0"/>
          <w:w w:val="100"/>
          <w:position w:val="0"/>
          <w:highlight w:val="none"/>
        </w:rPr>
        <w:t>环境影响报告书》。</w:t>
      </w:r>
    </w:p>
    <w:p w14:paraId="1347D996">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auto"/>
          <w:spacing w:val="0"/>
          <w:w w:val="100"/>
          <w:position w:val="0"/>
          <w:highlight w:val="none"/>
        </w:rPr>
      </w:pPr>
      <w:bookmarkStart w:id="5" w:name="_Toc502736431"/>
      <w:bookmarkStart w:id="6" w:name="_Toc219900365"/>
      <w:r>
        <w:rPr>
          <w:rFonts w:ascii="Times New Roman" w:hAnsi="Times New Roman" w:eastAsiaTheme="minorEastAsia"/>
          <w:b/>
          <w:caps w:val="0"/>
          <w:smallCaps w:val="0"/>
          <w:snapToGrid w:val="0"/>
          <w:color w:val="auto"/>
          <w:spacing w:val="0"/>
          <w:w w:val="100"/>
          <w:position w:val="0"/>
          <w:highlight w:val="none"/>
        </w:rPr>
        <w:t>1.2项目特点</w:t>
      </w:r>
      <w:bookmarkEnd w:id="5"/>
      <w:bookmarkEnd w:id="6"/>
    </w:p>
    <w:p w14:paraId="4944D558">
      <w:pPr>
        <w:pStyle w:val="6"/>
        <w:widowControl w:val="0"/>
        <w:spacing w:before="60" w:after="60" w:line="440" w:lineRule="exact"/>
        <w:jc w:val="both"/>
        <w:rPr>
          <w:b/>
          <w:caps w:val="0"/>
          <w:smallCaps w:val="0"/>
          <w:color w:val="auto"/>
          <w:spacing w:val="0"/>
          <w:w w:val="100"/>
          <w:kern w:val="2"/>
          <w:position w:val="0"/>
          <w:sz w:val="24"/>
          <w:szCs w:val="24"/>
          <w:highlight w:val="none"/>
        </w:rPr>
      </w:pPr>
      <w:bookmarkStart w:id="7" w:name="_Toc80971325"/>
      <w:bookmarkStart w:id="8" w:name="_Toc78816408"/>
      <w:bookmarkStart w:id="9" w:name="_Toc76976191"/>
      <w:bookmarkStart w:id="10" w:name="_Toc74812262"/>
      <w:bookmarkStart w:id="11" w:name="_Toc84929175"/>
      <w:bookmarkStart w:id="12" w:name="_Toc71371891"/>
      <w:bookmarkStart w:id="13" w:name="_Toc85640700"/>
      <w:bookmarkStart w:id="14" w:name="_Toc83209420"/>
      <w:bookmarkStart w:id="15" w:name="_Toc110438427"/>
      <w:bookmarkStart w:id="16" w:name="_Toc77067607"/>
      <w:bookmarkStart w:id="17" w:name="_Toc80588203"/>
      <w:bookmarkStart w:id="18" w:name="_Toc86141883"/>
      <w:bookmarkStart w:id="19" w:name="_Toc22290"/>
      <w:r>
        <w:rPr>
          <w:b/>
          <w:caps w:val="0"/>
          <w:smallCaps w:val="0"/>
          <w:color w:val="auto"/>
          <w:spacing w:val="0"/>
          <w:w w:val="100"/>
          <w:kern w:val="2"/>
          <w:position w:val="0"/>
          <w:sz w:val="24"/>
          <w:szCs w:val="24"/>
          <w:highlight w:val="none"/>
        </w:rPr>
        <w:t>1.2.1项目选址</w:t>
      </w:r>
      <w:bookmarkEnd w:id="7"/>
      <w:bookmarkEnd w:id="8"/>
      <w:bookmarkEnd w:id="9"/>
      <w:bookmarkEnd w:id="10"/>
      <w:bookmarkEnd w:id="11"/>
      <w:bookmarkEnd w:id="12"/>
      <w:bookmarkEnd w:id="13"/>
      <w:bookmarkEnd w:id="14"/>
      <w:bookmarkEnd w:id="15"/>
      <w:bookmarkEnd w:id="16"/>
      <w:bookmarkEnd w:id="17"/>
      <w:bookmarkEnd w:id="18"/>
    </w:p>
    <w:p w14:paraId="1136CCFC">
      <w:pPr>
        <w:pStyle w:val="149"/>
        <w:widowControl w:val="0"/>
        <w:spacing w:line="440" w:lineRule="exact"/>
        <w:ind w:firstLine="473"/>
        <w:jc w:val="both"/>
        <w:rPr>
          <w:rFonts w:ascii="Times New Roman" w:hAnsi="Times New Roman" w:eastAsiaTheme="minorEastAsia"/>
          <w:bCs/>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rPr>
        <w:t>本项目选址位于</w:t>
      </w:r>
      <w:r>
        <w:rPr>
          <w:rFonts w:hint="eastAsia" w:ascii="Times New Roman" w:hAnsi="Times New Roman" w:cs="Times New Roman" w:eastAsiaTheme="minorEastAsia"/>
          <w:caps w:val="0"/>
          <w:smallCaps w:val="0"/>
          <w:color w:val="auto"/>
          <w:spacing w:val="0"/>
          <w:w w:val="100"/>
          <w:position w:val="0"/>
          <w:highlight w:val="none"/>
          <w:lang w:bidi="zh-CN"/>
        </w:rPr>
        <w:t>黑龙江省绥化市安达市昌德镇</w:t>
      </w:r>
      <w:r>
        <w:rPr>
          <w:rFonts w:hint="eastAsia" w:ascii="Times New Roman" w:hAnsi="Times New Roman" w:cs="Times New Roman" w:eastAsiaTheme="minorEastAsia"/>
          <w:caps w:val="0"/>
          <w:smallCaps w:val="0"/>
          <w:color w:val="auto"/>
          <w:spacing w:val="0"/>
          <w:w w:val="100"/>
          <w:position w:val="0"/>
          <w:highlight w:val="none"/>
          <w:lang w:val="en-US" w:bidi="zh-CN"/>
        </w:rPr>
        <w:t>卫1联合站东南侧</w:t>
      </w:r>
      <w:r>
        <w:rPr>
          <w:rFonts w:ascii="Times New Roman" w:hAnsi="Times New Roman" w:eastAsiaTheme="minorEastAsia"/>
          <w:caps w:val="0"/>
          <w:smallCaps w:val="0"/>
          <w:color w:val="auto"/>
          <w:spacing w:val="0"/>
          <w:w w:val="100"/>
          <w:position w:val="0"/>
          <w:highlight w:val="none"/>
        </w:rPr>
        <w:t>，项目不新增永久占地</w:t>
      </w:r>
      <w:r>
        <w:rPr>
          <w:rFonts w:ascii="Times New Roman" w:hAnsi="Times New Roman" w:eastAsiaTheme="minorEastAsia"/>
          <w:bCs/>
          <w:caps w:val="0"/>
          <w:smallCaps w:val="0"/>
          <w:color w:val="auto"/>
          <w:spacing w:val="0"/>
          <w:w w:val="100"/>
          <w:position w:val="0"/>
          <w:highlight w:val="none"/>
        </w:rPr>
        <w:t>，临时占地面积为</w:t>
      </w:r>
      <w:r>
        <w:rPr>
          <w:rFonts w:hint="eastAsia" w:ascii="Times New Roman" w:hAnsi="Times New Roman" w:eastAsiaTheme="minorEastAsia"/>
          <w:bCs/>
          <w:caps w:val="0"/>
          <w:smallCaps w:val="0"/>
          <w:color w:val="auto"/>
          <w:spacing w:val="0"/>
          <w:w w:val="100"/>
          <w:position w:val="0"/>
          <w:highlight w:val="none"/>
          <w:lang w:val="en-US" w:eastAsia="zh-CN"/>
        </w:rPr>
        <w:t>21.88</w:t>
      </w:r>
      <w:r>
        <w:rPr>
          <w:rFonts w:ascii="Times New Roman" w:hAnsi="Times New Roman" w:eastAsiaTheme="minorEastAsia"/>
          <w:bCs/>
          <w:caps w:val="0"/>
          <w:smallCaps w:val="0"/>
          <w:color w:val="auto"/>
          <w:spacing w:val="0"/>
          <w:w w:val="100"/>
          <w:position w:val="0"/>
          <w:highlight w:val="none"/>
        </w:rPr>
        <w:t>hm</w:t>
      </w:r>
      <w:r>
        <w:rPr>
          <w:rFonts w:ascii="Times New Roman" w:hAnsi="Times New Roman" w:eastAsiaTheme="minorEastAsia"/>
          <w:bCs/>
          <w:caps w:val="0"/>
          <w:smallCaps w:val="0"/>
          <w:color w:val="auto"/>
          <w:spacing w:val="0"/>
          <w:w w:val="100"/>
          <w:position w:val="0"/>
          <w:highlight w:val="none"/>
          <w:vertAlign w:val="superscript"/>
        </w:rPr>
        <w:t>2</w:t>
      </w:r>
      <w:r>
        <w:rPr>
          <w:rFonts w:ascii="Times New Roman" w:hAnsi="Times New Roman" w:eastAsiaTheme="minorEastAsia"/>
          <w:bCs/>
          <w:caps w:val="0"/>
          <w:smallCaps w:val="0"/>
          <w:color w:val="auto"/>
          <w:spacing w:val="0"/>
          <w:w w:val="100"/>
          <w:position w:val="0"/>
          <w:highlight w:val="none"/>
        </w:rPr>
        <w:t>，</w:t>
      </w:r>
      <w:r>
        <w:rPr>
          <w:rFonts w:ascii="Times New Roman" w:hAnsi="Times New Roman" w:eastAsiaTheme="minorEastAsia"/>
          <w:bCs/>
          <w:caps w:val="0"/>
          <w:smallCaps w:val="0"/>
          <w:color w:val="auto"/>
          <w:spacing w:val="0"/>
          <w:w w:val="100"/>
          <w:position w:val="0"/>
          <w:highlight w:val="none"/>
          <w:lang w:val="en-US"/>
        </w:rPr>
        <w:t>占地类型为耕地（永久基本农田）及草地（非基本草原）。本项目占用永久基本农田</w:t>
      </w:r>
      <w:r>
        <w:rPr>
          <w:rFonts w:hint="eastAsia" w:ascii="Times New Roman" w:hAnsi="Times New Roman" w:eastAsiaTheme="minorEastAsia"/>
          <w:bCs/>
          <w:caps w:val="0"/>
          <w:smallCaps w:val="0"/>
          <w:color w:val="auto"/>
          <w:spacing w:val="0"/>
          <w:w w:val="100"/>
          <w:position w:val="0"/>
          <w:highlight w:val="none"/>
          <w:lang w:val="en-US"/>
        </w:rPr>
        <w:t>，</w:t>
      </w:r>
      <w:r>
        <w:rPr>
          <w:rFonts w:ascii="Times New Roman" w:hAnsi="Times New Roman" w:eastAsiaTheme="minorEastAsia"/>
          <w:bCs/>
          <w:caps w:val="0"/>
          <w:smallCaps w:val="0"/>
          <w:color w:val="auto"/>
          <w:spacing w:val="0"/>
          <w:w w:val="100"/>
          <w:position w:val="0"/>
          <w:highlight w:val="none"/>
          <w:lang w:val="en-US"/>
        </w:rPr>
        <w:t>根据《基本农田保护条例》（2011年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针对永久占地按</w:t>
      </w:r>
      <w:r>
        <w:rPr>
          <w:rFonts w:hint="eastAsia" w:ascii="Times New Roman" w:hAnsi="Times New Roman" w:eastAsiaTheme="minorEastAsia"/>
          <w:bCs/>
          <w:caps w:val="0"/>
          <w:smallCaps w:val="0"/>
          <w:color w:val="auto"/>
          <w:spacing w:val="0"/>
          <w:w w:val="100"/>
          <w:position w:val="0"/>
          <w:highlight w:val="none"/>
          <w:lang w:val="en-US"/>
        </w:rPr>
        <w:t>“占一补一”原则及</w:t>
      </w:r>
      <w:r>
        <w:rPr>
          <w:rFonts w:ascii="Times New Roman" w:hAnsi="Times New Roman" w:eastAsiaTheme="minorEastAsia"/>
          <w:bCs/>
          <w:caps w:val="0"/>
          <w:smallCaps w:val="0"/>
          <w:color w:val="auto"/>
          <w:spacing w:val="0"/>
          <w:w w:val="100"/>
          <w:position w:val="0"/>
          <w:highlight w:val="none"/>
          <w:lang w:val="en-US"/>
        </w:rPr>
        <w:t>相关规定缴纳土地补偿费，专款用于占地补偿，按规定补划永久基本农田。管线工程临时占用基本农田施工前</w:t>
      </w:r>
      <w:r>
        <w:rPr>
          <w:rFonts w:hint="eastAsia" w:ascii="Times New Roman" w:hAnsi="Times New Roman" w:eastAsiaTheme="minorEastAsia"/>
          <w:bCs/>
          <w:caps w:val="0"/>
          <w:smallCaps w:val="0"/>
          <w:color w:val="auto"/>
          <w:spacing w:val="0"/>
          <w:w w:val="100"/>
          <w:position w:val="0"/>
          <w:highlight w:val="none"/>
          <w:lang w:val="en-US"/>
        </w:rPr>
        <w:t>由</w:t>
      </w:r>
      <w:r>
        <w:rPr>
          <w:rFonts w:hint="eastAsia" w:ascii="Times New Roman" w:hAnsi="Times New Roman" w:eastAsiaTheme="minorEastAsia"/>
          <w:bCs/>
          <w:caps w:val="0"/>
          <w:smallCaps w:val="0"/>
          <w:color w:val="auto"/>
          <w:spacing w:val="0"/>
          <w:w w:val="100"/>
          <w:position w:val="0"/>
          <w:highlight w:val="none"/>
          <w:lang w:val="en-US" w:eastAsia="zh-CN"/>
        </w:rPr>
        <w:t>第十一采油厂</w:t>
      </w:r>
      <w:r>
        <w:rPr>
          <w:rFonts w:ascii="Times New Roman" w:hAnsi="Times New Roman" w:eastAsiaTheme="minorEastAsia"/>
          <w:bCs/>
          <w:caps w:val="0"/>
          <w:smallCaps w:val="0"/>
          <w:color w:val="auto"/>
          <w:spacing w:val="0"/>
          <w:w w:val="100"/>
          <w:position w:val="0"/>
          <w:highlight w:val="none"/>
          <w:lang w:val="en-US"/>
        </w:rPr>
        <w:t>编制耕作层表土剥离利用方案，</w:t>
      </w:r>
      <w:r>
        <w:rPr>
          <w:rFonts w:hint="eastAsia" w:ascii="Times New Roman" w:hAnsi="Times New Roman" w:eastAsiaTheme="minorEastAsia"/>
          <w:bCs/>
          <w:caps w:val="0"/>
          <w:smallCaps w:val="0"/>
          <w:color w:val="auto"/>
          <w:spacing w:val="0"/>
          <w:w w:val="100"/>
          <w:position w:val="0"/>
          <w:highlight w:val="none"/>
          <w:lang w:val="en-US"/>
        </w:rPr>
        <w:t>报有关主管部门审批后，办理征地手续，</w:t>
      </w:r>
      <w:r>
        <w:rPr>
          <w:rFonts w:ascii="Times New Roman" w:hAnsi="Times New Roman" w:eastAsiaTheme="minorEastAsia"/>
          <w:bCs/>
          <w:caps w:val="0"/>
          <w:smallCaps w:val="0"/>
          <w:color w:val="auto"/>
          <w:spacing w:val="0"/>
          <w:w w:val="100"/>
          <w:position w:val="0"/>
          <w:highlight w:val="none"/>
          <w:lang w:val="en-US"/>
        </w:rPr>
        <w:t>完工后耕作层表土</w:t>
      </w:r>
      <w:r>
        <w:rPr>
          <w:rFonts w:hint="eastAsia" w:ascii="Times New Roman" w:hAnsi="Times New Roman" w:eastAsiaTheme="minorEastAsia"/>
          <w:bCs/>
          <w:caps w:val="0"/>
          <w:smallCaps w:val="0"/>
          <w:color w:val="auto"/>
          <w:spacing w:val="0"/>
          <w:w w:val="100"/>
          <w:position w:val="0"/>
          <w:highlight w:val="none"/>
          <w:lang w:val="en-US"/>
        </w:rPr>
        <w:t>全部</w:t>
      </w:r>
      <w:r>
        <w:rPr>
          <w:rFonts w:ascii="Times New Roman" w:hAnsi="Times New Roman" w:eastAsiaTheme="minorEastAsia"/>
          <w:bCs/>
          <w:caps w:val="0"/>
          <w:smallCaps w:val="0"/>
          <w:color w:val="auto"/>
          <w:spacing w:val="0"/>
          <w:w w:val="100"/>
          <w:position w:val="0"/>
          <w:highlight w:val="none"/>
          <w:lang w:val="en-US"/>
        </w:rPr>
        <w:t>回覆</w:t>
      </w:r>
      <w:r>
        <w:rPr>
          <w:rFonts w:hint="eastAsia" w:ascii="Times New Roman" w:hAnsi="Times New Roman" w:eastAsiaTheme="minorEastAsia"/>
          <w:bCs/>
          <w:caps w:val="0"/>
          <w:smallCaps w:val="0"/>
          <w:color w:val="auto"/>
          <w:spacing w:val="0"/>
          <w:w w:val="100"/>
          <w:position w:val="0"/>
          <w:highlight w:val="none"/>
          <w:lang w:val="en-US"/>
        </w:rPr>
        <w:t>平整</w:t>
      </w:r>
      <w:r>
        <w:rPr>
          <w:rFonts w:ascii="Times New Roman" w:hAnsi="Times New Roman" w:eastAsiaTheme="minorEastAsia"/>
          <w:bCs/>
          <w:caps w:val="0"/>
          <w:smallCaps w:val="0"/>
          <w:color w:val="auto"/>
          <w:spacing w:val="0"/>
          <w:w w:val="100"/>
          <w:position w:val="0"/>
          <w:highlight w:val="none"/>
          <w:lang w:val="en-US"/>
        </w:rPr>
        <w:t>。</w:t>
      </w:r>
    </w:p>
    <w:p w14:paraId="3EFD1755">
      <w:pPr>
        <w:pStyle w:val="149"/>
        <w:widowControl w:val="0"/>
        <w:spacing w:line="440" w:lineRule="exact"/>
        <w:ind w:firstLine="473"/>
        <w:jc w:val="both"/>
        <w:rPr>
          <w:rFonts w:ascii="Times New Roman" w:hAnsi="Times New Roman" w:eastAsiaTheme="minorEastAsia"/>
          <w:caps w:val="0"/>
          <w:smallCaps w:val="0"/>
          <w:color w:val="auto"/>
          <w:spacing w:val="0"/>
          <w:w w:val="100"/>
          <w:kern w:val="2"/>
          <w:position w:val="0"/>
          <w:szCs w:val="28"/>
          <w:highlight w:val="none"/>
        </w:rPr>
      </w:pPr>
      <w:r>
        <w:rPr>
          <w:rFonts w:ascii="Times New Roman" w:hAnsi="Times New Roman" w:eastAsiaTheme="minorEastAsia"/>
          <w:caps w:val="0"/>
          <w:smallCaps w:val="0"/>
          <w:color w:val="auto"/>
          <w:spacing w:val="0"/>
          <w:w w:val="100"/>
          <w:position w:val="0"/>
          <w:highlight w:val="none"/>
        </w:rPr>
        <w:t>根据《黑龙江省国土空间规划（2021-2035年）》、</w:t>
      </w:r>
      <w:r>
        <w:rPr>
          <w:rFonts w:ascii="Times New Roman" w:hAnsi="Times New Roman" w:cs="Times New Roman"/>
          <w:caps w:val="0"/>
          <w:smallCaps w:val="0"/>
          <w:color w:val="auto"/>
          <w:spacing w:val="0"/>
          <w:w w:val="100"/>
          <w:position w:val="0"/>
          <w:sz w:val="24"/>
          <w:szCs w:val="24"/>
          <w:highlight w:val="none"/>
          <w:lang w:val="en-US" w:bidi="ar-SA"/>
        </w:rPr>
        <w:t>《安达市国土空间总体规划（2021-2035）》</w:t>
      </w:r>
      <w:r>
        <w:rPr>
          <w:rFonts w:ascii="Times New Roman" w:hAnsi="Times New Roman" w:eastAsiaTheme="minorEastAsia"/>
          <w:caps w:val="0"/>
          <w:smallCaps w:val="0"/>
          <w:color w:val="auto"/>
          <w:spacing w:val="0"/>
          <w:w w:val="100"/>
          <w:position w:val="0"/>
          <w:highlight w:val="none"/>
        </w:rPr>
        <w:t>，以及黑龙江省生态环境分区管控数据应用平台和黑龙江省生态保护红线分布图，本项目占地范围内不涉及国家公园、自然保护区、风景名胜区、世界文化和自然遗产地、海洋特别保护区、</w:t>
      </w:r>
      <w:r>
        <w:rPr>
          <w:rFonts w:hint="eastAsia" w:ascii="Times New Roman" w:hAnsi="Times New Roman" w:eastAsiaTheme="minorEastAsia"/>
          <w:caps w:val="0"/>
          <w:smallCaps w:val="0"/>
          <w:color w:val="auto"/>
          <w:spacing w:val="0"/>
          <w:w w:val="100"/>
          <w:position w:val="0"/>
          <w:highlight w:val="none"/>
        </w:rPr>
        <w:t>饮用水水源保护区、</w:t>
      </w:r>
      <w:r>
        <w:rPr>
          <w:rFonts w:ascii="Times New Roman" w:hAnsi="Times New Roman" w:eastAsiaTheme="minorEastAsia"/>
          <w:caps w:val="0"/>
          <w:smallCaps w:val="0"/>
          <w:color w:val="auto"/>
          <w:spacing w:val="0"/>
          <w:w w:val="100"/>
          <w:position w:val="0"/>
          <w:highlight w:val="none"/>
        </w:rPr>
        <w:t>基本草原、自然公园、重要湿地、天然林、重点保护野生动物栖息地、重点保护野生植物生长繁殖地、重要水生生物的自然产卵场、索饵场、越冬场和洄游通道、天然渔场、水土流失重点预防区</w:t>
      </w:r>
      <w:r>
        <w:rPr>
          <w:rFonts w:hint="eastAsia" w:ascii="Times New Roman" w:hAnsi="Times New Roman" w:eastAsiaTheme="minorEastAsia"/>
          <w:caps w:val="0"/>
          <w:smallCaps w:val="0"/>
          <w:color w:val="auto"/>
          <w:spacing w:val="0"/>
          <w:w w:val="100"/>
          <w:position w:val="0"/>
          <w:highlight w:val="none"/>
          <w:lang w:val="en-US" w:eastAsia="zh-CN"/>
        </w:rPr>
        <w:t>和重点治理区</w:t>
      </w:r>
      <w:r>
        <w:rPr>
          <w:rFonts w:ascii="Times New Roman" w:hAnsi="Times New Roman" w:eastAsiaTheme="minorEastAsia"/>
          <w:caps w:val="0"/>
          <w:smallCaps w:val="0"/>
          <w:color w:val="auto"/>
          <w:spacing w:val="0"/>
          <w:w w:val="100"/>
          <w:position w:val="0"/>
          <w:highlight w:val="none"/>
        </w:rPr>
        <w:t>、沙化土地封禁保护区、封闭及半封闭海域、以及以居住、医疗卫生、文化教育、科研、行政办公为主要功能的区域、文物保护单位等环境敏感区，且项目不在生态保护红线内</w:t>
      </w:r>
      <w:r>
        <w:rPr>
          <w:rFonts w:ascii="Times New Roman" w:hAnsi="Times New Roman" w:eastAsiaTheme="minorEastAsia"/>
          <w:caps w:val="0"/>
          <w:smallCaps w:val="0"/>
          <w:color w:val="auto"/>
          <w:spacing w:val="0"/>
          <w:w w:val="100"/>
          <w:kern w:val="2"/>
          <w:position w:val="0"/>
          <w:szCs w:val="28"/>
          <w:highlight w:val="none"/>
        </w:rPr>
        <w:t>。</w:t>
      </w:r>
      <w:r>
        <w:rPr>
          <w:rFonts w:ascii="Times New Roman" w:hAnsi="Times New Roman" w:cs="Times New Roman"/>
          <w:caps w:val="0"/>
          <w:smallCaps w:val="0"/>
          <w:color w:val="auto"/>
          <w:spacing w:val="0"/>
          <w:w w:val="100"/>
          <w:kern w:val="2"/>
          <w:position w:val="0"/>
          <w:sz w:val="24"/>
          <w:szCs w:val="28"/>
          <w:highlight w:val="none"/>
          <w:lang w:val="en-US" w:bidi="ar-SA"/>
        </w:rPr>
        <w:t>本项目</w:t>
      </w:r>
      <w:r>
        <w:rPr>
          <w:rFonts w:hint="eastAsia" w:ascii="Times New Roman" w:hAnsi="Times New Roman" w:cs="Times New Roman"/>
          <w:caps w:val="0"/>
          <w:smallCaps w:val="0"/>
          <w:color w:val="auto"/>
          <w:spacing w:val="0"/>
          <w:w w:val="100"/>
          <w:kern w:val="2"/>
          <w:position w:val="0"/>
          <w:sz w:val="24"/>
          <w:szCs w:val="28"/>
          <w:highlight w:val="none"/>
          <w:lang w:val="en-US" w:eastAsia="zh-CN" w:bidi="ar-SA"/>
        </w:rPr>
        <w:t>新建管线</w:t>
      </w:r>
      <w:r>
        <w:rPr>
          <w:rFonts w:ascii="Times New Roman" w:hAnsi="Times New Roman" w:cs="Times New Roman"/>
          <w:caps w:val="0"/>
          <w:smallCaps w:val="0"/>
          <w:color w:val="auto"/>
          <w:spacing w:val="0"/>
          <w:w w:val="100"/>
          <w:kern w:val="2"/>
          <w:position w:val="0"/>
          <w:sz w:val="24"/>
          <w:szCs w:val="28"/>
          <w:highlight w:val="none"/>
          <w:lang w:val="en-US"/>
        </w:rPr>
        <w:t>东北侧</w:t>
      </w:r>
      <w:r>
        <w:rPr>
          <w:rFonts w:hint="eastAsia" w:ascii="Times New Roman" w:hAnsi="Times New Roman" w:cs="Times New Roman"/>
          <w:caps w:val="0"/>
          <w:smallCaps w:val="0"/>
          <w:color w:val="auto"/>
          <w:spacing w:val="0"/>
          <w:w w:val="100"/>
          <w:kern w:val="2"/>
          <w:position w:val="0"/>
          <w:sz w:val="24"/>
          <w:szCs w:val="28"/>
          <w:highlight w:val="none"/>
          <w:lang w:val="en-US" w:eastAsia="zh-CN"/>
        </w:rPr>
        <w:t>3.1</w:t>
      </w:r>
      <w:r>
        <w:rPr>
          <w:rFonts w:ascii="Times New Roman" w:hAnsi="Times New Roman" w:cs="Times New Roman"/>
          <w:caps w:val="0"/>
          <w:smallCaps w:val="0"/>
          <w:color w:val="auto"/>
          <w:spacing w:val="0"/>
          <w:w w:val="100"/>
          <w:kern w:val="2"/>
          <w:position w:val="0"/>
          <w:sz w:val="24"/>
          <w:szCs w:val="28"/>
          <w:highlight w:val="none"/>
          <w:lang w:val="en-US"/>
        </w:rPr>
        <w:t>km处</w:t>
      </w:r>
      <w:r>
        <w:rPr>
          <w:rFonts w:ascii="Times New Roman" w:hAnsi="Times New Roman" w:cs="Times New Roman"/>
          <w:caps w:val="0"/>
          <w:smallCaps w:val="0"/>
          <w:color w:val="auto"/>
          <w:spacing w:val="0"/>
          <w:w w:val="100"/>
          <w:kern w:val="2"/>
          <w:position w:val="0"/>
          <w:sz w:val="24"/>
          <w:szCs w:val="28"/>
          <w:highlight w:val="none"/>
          <w:lang w:val="en-US" w:bidi="ar-SA"/>
        </w:rPr>
        <w:t>分布有肇州县</w:t>
      </w:r>
      <w:bookmarkStart w:id="20" w:name="OLE_LINK13"/>
      <w:bookmarkStart w:id="21" w:name="OLE_LINK12"/>
      <w:r>
        <w:rPr>
          <w:rFonts w:ascii="Times New Roman" w:hAnsi="Times New Roman" w:cs="Times New Roman"/>
          <w:caps w:val="0"/>
          <w:smallCaps w:val="0"/>
          <w:color w:val="auto"/>
          <w:spacing w:val="0"/>
          <w:w w:val="100"/>
          <w:kern w:val="2"/>
          <w:position w:val="0"/>
          <w:sz w:val="24"/>
          <w:szCs w:val="28"/>
          <w:highlight w:val="none"/>
          <w:lang w:val="en-US" w:bidi="ar-SA"/>
        </w:rPr>
        <w:t>卫星牧场草原自然保护区</w:t>
      </w:r>
      <w:bookmarkEnd w:id="20"/>
      <w:bookmarkEnd w:id="21"/>
      <w:r>
        <w:rPr>
          <w:rFonts w:ascii="Times New Roman" w:hAnsi="Times New Roman" w:cs="Times New Roman"/>
          <w:caps w:val="0"/>
          <w:smallCaps w:val="0"/>
          <w:color w:val="auto"/>
          <w:spacing w:val="0"/>
          <w:w w:val="100"/>
          <w:kern w:val="2"/>
          <w:position w:val="0"/>
          <w:sz w:val="24"/>
          <w:szCs w:val="28"/>
          <w:highlight w:val="none"/>
          <w:lang w:val="en-US" w:bidi="ar-SA"/>
        </w:rPr>
        <w:t>，本项目永久占地和临时占地不占用保护区用地，对自然保护区影响不大。</w:t>
      </w:r>
    </w:p>
    <w:p w14:paraId="517C25BA">
      <w:pPr>
        <w:autoSpaceDE/>
        <w:autoSpaceDN/>
        <w:spacing w:line="440" w:lineRule="exact"/>
        <w:ind w:firstLine="480" w:firstLineChars="200"/>
        <w:jc w:val="both"/>
        <w:rPr>
          <w:rFonts w:ascii="Times New Roman" w:hAnsi="Times New Roman" w:cs="Times New Roman" w:eastAsiaTheme="minorEastAsia"/>
          <w:caps w:val="0"/>
          <w:smallCaps w:val="0"/>
          <w:color w:val="auto"/>
          <w:spacing w:val="0"/>
          <w:w w:val="100"/>
          <w:position w:val="0"/>
          <w:sz w:val="24"/>
          <w:szCs w:val="24"/>
          <w:highlight w:val="none"/>
          <w:lang w:val="en-US" w:eastAsia="zh-CN" w:bidi="ar-SA"/>
        </w:rPr>
      </w:pPr>
      <w:bookmarkStart w:id="22" w:name="_Toc143099524"/>
      <w:bookmarkStart w:id="23" w:name="_Toc186444222"/>
      <w:bookmarkStart w:id="24" w:name="_Toc83209421"/>
      <w:bookmarkStart w:id="25" w:name="_Toc80971326"/>
      <w:bookmarkStart w:id="26" w:name="_Toc78816409"/>
      <w:bookmarkStart w:id="27" w:name="_Toc84929176"/>
      <w:bookmarkStart w:id="28" w:name="_Toc110438428"/>
      <w:bookmarkStart w:id="29" w:name="_Toc86141884"/>
      <w:bookmarkStart w:id="30" w:name="_Toc80588204"/>
      <w:bookmarkStart w:id="31" w:name="_Toc71371892"/>
      <w:bookmarkStart w:id="32" w:name="_Toc74812263"/>
      <w:bookmarkStart w:id="33" w:name="_Toc77067608"/>
      <w:bookmarkStart w:id="34" w:name="_Toc76976192"/>
      <w:bookmarkStart w:id="35" w:name="_Toc85640701"/>
      <w:r>
        <w:rPr>
          <w:rFonts w:ascii="Times New Roman" w:hAnsi="Times New Roman" w:cs="Times New Roman" w:eastAsiaTheme="minorEastAsia"/>
          <w:caps w:val="0"/>
          <w:smallCaps w:val="0"/>
          <w:color w:val="auto"/>
          <w:spacing w:val="0"/>
          <w:w w:val="100"/>
          <w:position w:val="0"/>
          <w:sz w:val="24"/>
          <w:szCs w:val="24"/>
          <w:highlight w:val="none"/>
          <w:lang w:val="en-US" w:eastAsia="zh-CN" w:bidi="ar-SA"/>
        </w:rPr>
        <w:t>本项目不占用一般湿地，废水均不外排。综合分析，项目周边不涉及制约本项目建设的环境影响因素。</w:t>
      </w:r>
    </w:p>
    <w:p w14:paraId="30CFFC9B">
      <w:pPr>
        <w:pStyle w:val="6"/>
        <w:widowControl w:val="0"/>
        <w:spacing w:before="60" w:after="60"/>
        <w:jc w:val="both"/>
        <w:rPr>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1.2.2</w:t>
      </w:r>
      <w:bookmarkEnd w:id="22"/>
      <w:bookmarkEnd w:id="23"/>
      <w:r>
        <w:rPr>
          <w:b/>
          <w:caps w:val="0"/>
          <w:smallCaps w:val="0"/>
          <w:color w:val="auto"/>
          <w:spacing w:val="0"/>
          <w:w w:val="100"/>
          <w:kern w:val="2"/>
          <w:position w:val="0"/>
          <w:sz w:val="24"/>
          <w:szCs w:val="24"/>
          <w:highlight w:val="none"/>
        </w:rPr>
        <w:t>工艺特点</w:t>
      </w:r>
      <w:bookmarkEnd w:id="24"/>
      <w:bookmarkEnd w:id="25"/>
      <w:bookmarkEnd w:id="26"/>
      <w:bookmarkEnd w:id="27"/>
      <w:bookmarkEnd w:id="28"/>
      <w:bookmarkEnd w:id="29"/>
      <w:bookmarkEnd w:id="30"/>
      <w:bookmarkEnd w:id="31"/>
      <w:bookmarkEnd w:id="32"/>
      <w:bookmarkEnd w:id="33"/>
      <w:bookmarkEnd w:id="34"/>
      <w:bookmarkEnd w:id="35"/>
    </w:p>
    <w:p w14:paraId="01D7FF71">
      <w:pPr>
        <w:pStyle w:val="149"/>
        <w:widowControl w:val="0"/>
        <w:ind w:firstLine="473"/>
        <w:jc w:val="both"/>
        <w:rPr>
          <w:rFonts w:ascii="Times New Roman" w:hAnsi="Times New Roman" w:eastAsiaTheme="minorEastAsia"/>
          <w:bCs/>
          <w:caps w:val="0"/>
          <w:smallCaps w:val="0"/>
          <w:color w:val="auto"/>
          <w:spacing w:val="0"/>
          <w:w w:val="100"/>
          <w:position w:val="0"/>
          <w:highlight w:val="none"/>
        </w:rPr>
      </w:pPr>
      <w:r>
        <w:rPr>
          <w:rFonts w:ascii="Times New Roman" w:hAnsi="Times New Roman" w:eastAsiaTheme="minorEastAsia"/>
          <w:bCs/>
          <w:caps w:val="0"/>
          <w:smallCaps w:val="0"/>
          <w:color w:val="auto"/>
          <w:spacing w:val="0"/>
          <w:w w:val="100"/>
          <w:position w:val="0"/>
          <w:highlight w:val="none"/>
        </w:rPr>
        <w:t>本项目为油田内部</w:t>
      </w:r>
      <w:r>
        <w:rPr>
          <w:rFonts w:hint="eastAsia" w:ascii="Times New Roman" w:hAnsi="Times New Roman" w:eastAsiaTheme="minorEastAsia"/>
          <w:bCs/>
          <w:caps w:val="0"/>
          <w:smallCaps w:val="0"/>
          <w:color w:val="auto"/>
          <w:spacing w:val="0"/>
          <w:w w:val="100"/>
          <w:position w:val="0"/>
          <w:highlight w:val="none"/>
        </w:rPr>
        <w:t>输油管道及</w:t>
      </w:r>
      <w:r>
        <w:rPr>
          <w:rFonts w:hint="eastAsia" w:ascii="Times New Roman" w:hAnsi="Times New Roman" w:eastAsiaTheme="minorEastAsia"/>
          <w:bCs/>
          <w:caps w:val="0"/>
          <w:smallCaps w:val="0"/>
          <w:color w:val="auto"/>
          <w:spacing w:val="0"/>
          <w:w w:val="100"/>
          <w:position w:val="0"/>
          <w:highlight w:val="none"/>
          <w:lang w:val="en-US" w:eastAsia="zh-CN"/>
        </w:rPr>
        <w:t>掺水</w:t>
      </w:r>
      <w:r>
        <w:rPr>
          <w:rFonts w:hint="eastAsia" w:ascii="Times New Roman" w:hAnsi="Times New Roman" w:eastAsiaTheme="minorEastAsia"/>
          <w:bCs/>
          <w:caps w:val="0"/>
          <w:smallCaps w:val="0"/>
          <w:color w:val="auto"/>
          <w:spacing w:val="0"/>
          <w:w w:val="100"/>
          <w:position w:val="0"/>
          <w:highlight w:val="none"/>
        </w:rPr>
        <w:t>管道</w:t>
      </w:r>
      <w:r>
        <w:rPr>
          <w:rFonts w:ascii="Times New Roman" w:hAnsi="Times New Roman" w:eastAsiaTheme="minorEastAsia"/>
          <w:bCs/>
          <w:caps w:val="0"/>
          <w:smallCaps w:val="0"/>
          <w:color w:val="auto"/>
          <w:spacing w:val="0"/>
          <w:w w:val="100"/>
          <w:position w:val="0"/>
          <w:highlight w:val="none"/>
        </w:rPr>
        <w:t>建设项目。</w:t>
      </w:r>
      <w:r>
        <w:rPr>
          <w:rFonts w:hint="eastAsia" w:ascii="Times New Roman" w:hAnsi="Times New Roman" w:eastAsiaTheme="minorEastAsia"/>
          <w:bCs/>
          <w:caps w:val="0"/>
          <w:smallCaps w:val="0"/>
          <w:color w:val="auto"/>
          <w:spacing w:val="0"/>
          <w:w w:val="100"/>
          <w:position w:val="0"/>
          <w:highlight w:val="none"/>
          <w:lang w:val="en-US"/>
        </w:rPr>
        <w:t>管道工程包括测量定线、施工作业带清理和平整、修筑施工便道、开挖管沟、布管、组装焊接，防腐检验、完成下沟、分段清管、试压，连接等。</w:t>
      </w:r>
    </w:p>
    <w:p w14:paraId="7C951249">
      <w:pPr>
        <w:pStyle w:val="149"/>
        <w:widowControl w:val="0"/>
        <w:ind w:firstLine="473"/>
        <w:jc w:val="both"/>
        <w:rPr>
          <w:rFonts w:ascii="Times New Roman" w:hAnsi="Times New Roman" w:eastAsiaTheme="minorEastAsia"/>
          <w:bCs/>
          <w:caps w:val="0"/>
          <w:smallCaps w:val="0"/>
          <w:color w:val="auto"/>
          <w:spacing w:val="0"/>
          <w:w w:val="100"/>
          <w:position w:val="0"/>
          <w:highlight w:val="none"/>
        </w:rPr>
      </w:pPr>
      <w:r>
        <w:rPr>
          <w:rFonts w:hint="eastAsia" w:ascii="Times New Roman" w:hAnsi="Times New Roman" w:eastAsiaTheme="minorEastAsia"/>
          <w:bCs/>
          <w:caps w:val="0"/>
          <w:smallCaps w:val="0"/>
          <w:color w:val="auto"/>
          <w:spacing w:val="0"/>
          <w:w w:val="100"/>
          <w:position w:val="0"/>
          <w:highlight w:val="none"/>
          <w:lang w:val="en-US"/>
        </w:rPr>
        <w:t>施工方式采用人工开挖与机械开挖相结合的方式，一般线路段管道全部采用大开挖沟埋式敷设方式，采取机械开挖，一般线路段施工作业带宽度为</w:t>
      </w:r>
      <w:r>
        <w:rPr>
          <w:rFonts w:ascii="Times New Roman" w:hAnsi="Times New Roman" w:eastAsiaTheme="minorEastAsia"/>
          <w:bCs/>
          <w:caps w:val="0"/>
          <w:smallCaps w:val="0"/>
          <w:color w:val="auto"/>
          <w:spacing w:val="0"/>
          <w:w w:val="100"/>
          <w:position w:val="0"/>
          <w:highlight w:val="none"/>
          <w:lang w:val="en-US"/>
        </w:rPr>
        <w:t>10m，穿越地下电力、通信电缆、地下管道等部分特殊地段采用人工开挖。</w:t>
      </w:r>
      <w:r>
        <w:rPr>
          <w:rFonts w:ascii="Times New Roman" w:hAnsi="Times New Roman" w:eastAsiaTheme="minorEastAsia"/>
          <w:bCs/>
          <w:caps w:val="0"/>
          <w:smallCaps w:val="0"/>
          <w:color w:val="auto"/>
          <w:spacing w:val="0"/>
          <w:w w:val="100"/>
          <w:position w:val="0"/>
          <w:highlight w:val="none"/>
        </w:rPr>
        <w:t>本项目</w:t>
      </w:r>
      <w:r>
        <w:rPr>
          <w:rFonts w:hint="eastAsia" w:ascii="Times New Roman" w:hAnsi="Times New Roman" w:cs="Times New Roman" w:eastAsiaTheme="minorEastAsia"/>
          <w:caps w:val="0"/>
          <w:smallCaps w:val="0"/>
          <w:color w:val="auto"/>
          <w:spacing w:val="0"/>
          <w:w w:val="100"/>
          <w:position w:val="0"/>
          <w:highlight w:val="none"/>
          <w:lang w:val="en-US" w:eastAsia="zh-CN" w:bidi="zh-CN"/>
        </w:rPr>
        <w:t>定向钻公路穿越 24 处，钢开穿越公路4处</w:t>
      </w:r>
      <w:r>
        <w:rPr>
          <w:rFonts w:ascii="Times New Roman" w:hAnsi="Times New Roman" w:eastAsiaTheme="minorEastAsia"/>
          <w:bCs/>
          <w:caps w:val="0"/>
          <w:smallCaps w:val="0"/>
          <w:color w:val="auto"/>
          <w:spacing w:val="0"/>
          <w:w w:val="100"/>
          <w:position w:val="0"/>
          <w:highlight w:val="none"/>
        </w:rPr>
        <w:t>。</w:t>
      </w:r>
    </w:p>
    <w:p w14:paraId="1775E4C6">
      <w:pPr>
        <w:pStyle w:val="149"/>
        <w:widowControl w:val="0"/>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bCs/>
          <w:caps w:val="0"/>
          <w:smallCaps w:val="0"/>
          <w:color w:val="auto"/>
          <w:spacing w:val="0"/>
          <w:w w:val="100"/>
          <w:position w:val="0"/>
          <w:highlight w:val="none"/>
        </w:rPr>
        <w:t>退役期，对废弃管道</w:t>
      </w:r>
      <w:r>
        <w:rPr>
          <w:rFonts w:hint="eastAsia" w:ascii="Times New Roman" w:hAnsi="Times New Roman" w:eastAsiaTheme="minorEastAsia"/>
          <w:bCs/>
          <w:caps w:val="0"/>
          <w:smallCaps w:val="0"/>
          <w:color w:val="auto"/>
          <w:spacing w:val="0"/>
          <w:w w:val="100"/>
          <w:position w:val="0"/>
          <w:highlight w:val="none"/>
        </w:rPr>
        <w:t>清洗</w:t>
      </w:r>
      <w:r>
        <w:rPr>
          <w:rFonts w:ascii="Times New Roman" w:hAnsi="Times New Roman" w:eastAsiaTheme="minorEastAsia"/>
          <w:bCs/>
          <w:caps w:val="0"/>
          <w:smallCaps w:val="0"/>
          <w:color w:val="auto"/>
          <w:spacing w:val="0"/>
          <w:w w:val="100"/>
          <w:position w:val="0"/>
          <w:highlight w:val="none"/>
        </w:rPr>
        <w:t>吹扫后两端封堵直埋。</w:t>
      </w:r>
    </w:p>
    <w:p w14:paraId="2D89A5D6">
      <w:pPr>
        <w:pStyle w:val="6"/>
        <w:widowControl w:val="0"/>
        <w:spacing w:before="60" w:after="60"/>
        <w:jc w:val="both"/>
        <w:rPr>
          <w:b/>
          <w:caps w:val="0"/>
          <w:smallCaps w:val="0"/>
          <w:color w:val="auto"/>
          <w:spacing w:val="0"/>
          <w:w w:val="100"/>
          <w:kern w:val="2"/>
          <w:position w:val="0"/>
          <w:sz w:val="24"/>
          <w:szCs w:val="24"/>
          <w:highlight w:val="none"/>
        </w:rPr>
      </w:pPr>
      <w:bookmarkStart w:id="36" w:name="_Toc71371893"/>
      <w:bookmarkStart w:id="37" w:name="_Toc110438429"/>
      <w:bookmarkStart w:id="38" w:name="_Toc76976193"/>
      <w:bookmarkStart w:id="39" w:name="_Toc84929177"/>
      <w:bookmarkStart w:id="40" w:name="_Toc85640702"/>
      <w:bookmarkStart w:id="41" w:name="_Toc78816410"/>
      <w:bookmarkStart w:id="42" w:name="_Toc67523542"/>
      <w:bookmarkStart w:id="43" w:name="_Toc86141885"/>
      <w:bookmarkStart w:id="44" w:name="_Toc80588205"/>
      <w:bookmarkStart w:id="45" w:name="_Toc69690760"/>
      <w:bookmarkStart w:id="46" w:name="_Toc74812264"/>
      <w:bookmarkStart w:id="47" w:name="_Toc83209422"/>
      <w:bookmarkStart w:id="48" w:name="_Toc77067609"/>
      <w:bookmarkStart w:id="49" w:name="_Toc80971327"/>
      <w:r>
        <w:rPr>
          <w:b/>
          <w:caps w:val="0"/>
          <w:smallCaps w:val="0"/>
          <w:color w:val="auto"/>
          <w:spacing w:val="0"/>
          <w:w w:val="100"/>
          <w:kern w:val="2"/>
          <w:position w:val="0"/>
          <w:sz w:val="24"/>
          <w:szCs w:val="24"/>
          <w:highlight w:val="none"/>
        </w:rPr>
        <w:t>1.2.</w:t>
      </w:r>
      <w:bookmarkEnd w:id="36"/>
      <w:bookmarkEnd w:id="37"/>
      <w:bookmarkEnd w:id="38"/>
      <w:bookmarkEnd w:id="39"/>
      <w:bookmarkEnd w:id="40"/>
      <w:bookmarkEnd w:id="41"/>
      <w:bookmarkEnd w:id="42"/>
      <w:bookmarkEnd w:id="43"/>
      <w:bookmarkEnd w:id="44"/>
      <w:bookmarkEnd w:id="45"/>
      <w:bookmarkEnd w:id="46"/>
      <w:bookmarkEnd w:id="47"/>
      <w:bookmarkEnd w:id="48"/>
      <w:bookmarkEnd w:id="49"/>
      <w:r>
        <w:rPr>
          <w:b/>
          <w:caps w:val="0"/>
          <w:smallCaps w:val="0"/>
          <w:color w:val="auto"/>
          <w:spacing w:val="0"/>
          <w:w w:val="100"/>
          <w:kern w:val="2"/>
          <w:position w:val="0"/>
          <w:sz w:val="24"/>
          <w:szCs w:val="24"/>
          <w:highlight w:val="none"/>
        </w:rPr>
        <w:t>4</w:t>
      </w:r>
      <w:r>
        <w:rPr>
          <w:rFonts w:eastAsiaTheme="minorEastAsia"/>
          <w:b/>
          <w:caps w:val="0"/>
          <w:smallCaps w:val="0"/>
          <w:color w:val="auto"/>
          <w:spacing w:val="0"/>
          <w:w w:val="100"/>
          <w:kern w:val="2"/>
          <w:position w:val="0"/>
          <w:sz w:val="24"/>
          <w:szCs w:val="24"/>
          <w:highlight w:val="none"/>
        </w:rPr>
        <w:t>产污特点及措施</w:t>
      </w:r>
    </w:p>
    <w:p w14:paraId="7966D3AE">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eastAsia="zh-CN"/>
        </w:rPr>
        <w:t>（</w:t>
      </w:r>
      <w:r>
        <w:rPr>
          <w:rFonts w:hint="eastAsia" w:ascii="Times New Roman" w:hAnsi="Times New Roman" w:eastAsiaTheme="minorEastAsia"/>
          <w:caps w:val="0"/>
          <w:smallCaps w:val="0"/>
          <w:color w:val="auto"/>
          <w:spacing w:val="0"/>
          <w:w w:val="100"/>
          <w:position w:val="0"/>
          <w:highlight w:val="none"/>
          <w:lang w:val="en-US" w:eastAsia="zh-CN"/>
        </w:rPr>
        <w:t>1）废气</w:t>
      </w:r>
    </w:p>
    <w:p w14:paraId="476D6117">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对大气环境影响主要为施工期扬尘、焊接烟尘、施工机械及车辆尾气等。</w:t>
      </w:r>
    </w:p>
    <w:p w14:paraId="1CF627A9">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eastAsia="zh-CN"/>
        </w:rPr>
      </w:pPr>
      <w:r>
        <w:rPr>
          <w:rFonts w:hint="eastAsia" w:ascii="Times New Roman" w:hAnsi="Times New Roman" w:eastAsiaTheme="minorEastAsia"/>
          <w:caps w:val="0"/>
          <w:smallCaps w:val="0"/>
          <w:color w:val="auto"/>
          <w:spacing w:val="0"/>
          <w:w w:val="100"/>
          <w:position w:val="0"/>
          <w:highlight w:val="none"/>
          <w:lang w:eastAsia="zh-CN"/>
        </w:rPr>
        <w:t>施工扬尘主要采取对运输道路及施工场地定时洒水降尘的方式，土方开挖采取遮盖、围挡、洒水等防尘措施；加强对施工机械设备及运输车辆的维护保养。施工过程采用环保型焊材。施工场地处厂界颗粒物浓度满足《大气污染物综合排放标准》（GB16297-1996）中表2无组织排放监控浓度限值要求。</w:t>
      </w:r>
    </w:p>
    <w:p w14:paraId="3A621F17">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eastAsia="zh-CN"/>
        </w:rPr>
        <w:t>（</w:t>
      </w:r>
      <w:r>
        <w:rPr>
          <w:rFonts w:hint="eastAsia" w:ascii="Times New Roman" w:hAnsi="Times New Roman" w:eastAsiaTheme="minorEastAsia"/>
          <w:caps w:val="0"/>
          <w:smallCaps w:val="0"/>
          <w:color w:val="auto"/>
          <w:spacing w:val="0"/>
          <w:w w:val="100"/>
          <w:position w:val="0"/>
          <w:highlight w:val="none"/>
          <w:lang w:val="en-US" w:eastAsia="zh-CN"/>
        </w:rPr>
        <w:t>2）废水</w:t>
      </w:r>
    </w:p>
    <w:p w14:paraId="23B9706E">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对地表水的环境影响主要为施工期</w:t>
      </w:r>
      <w:r>
        <w:rPr>
          <w:rFonts w:hint="eastAsia" w:ascii="Times New Roman" w:hAnsi="Times New Roman" w:eastAsiaTheme="minorEastAsia"/>
          <w:caps w:val="0"/>
          <w:smallCaps w:val="0"/>
          <w:color w:val="auto"/>
          <w:spacing w:val="0"/>
          <w:w w:val="100"/>
          <w:position w:val="0"/>
          <w:highlight w:val="none"/>
          <w:lang w:val="en-US" w:eastAsia="zh-CN"/>
        </w:rPr>
        <w:t>、退役期废弃管道清管废水、新建管道</w:t>
      </w:r>
      <w:r>
        <w:rPr>
          <w:rFonts w:hint="eastAsia" w:ascii="Times New Roman" w:hAnsi="Times New Roman" w:eastAsiaTheme="minorEastAsia"/>
          <w:caps w:val="0"/>
          <w:smallCaps w:val="0"/>
          <w:color w:val="auto"/>
          <w:spacing w:val="0"/>
          <w:w w:val="100"/>
          <w:position w:val="0"/>
          <w:highlight w:val="none"/>
          <w:lang w:val="en-US" w:eastAsia="zh-CN"/>
        </w:rPr>
        <w:t>试压废水的处理排放。</w:t>
      </w:r>
    </w:p>
    <w:p w14:paraId="5D1E57BF">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施工期、退役期废弃管道清管废水，主要污染物为石油类、SS，由罐车拉运至卫一联含油污水深度处理站进行处理，达标后回注地下开采油层，不外排。</w:t>
      </w:r>
    </w:p>
    <w:p w14:paraId="04EF57D9">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施工期新建管道试压废水主要污染物为SS，管道试压废水管输至卫一联含油污水深度处理站进行处理，处理达标后回注地下开采油层，不外排。</w:t>
      </w:r>
    </w:p>
    <w:p w14:paraId="70D0CCAA">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卫一联含油污水深度处理站出水水质执行《大庆油田地面工程建设设计规定》（Q/SYDQ0639-2015）、《碎屑岩油藏注水水质指标技术要求及分析方法》（SY/T5329-2022）限值“含油量≤8mg/L、悬浮固体含量≤3mg/L、粒径中值≤2</w:t>
      </w:r>
      <w:r>
        <w:rPr>
          <w:rFonts w:hint="default" w:ascii="Times New Roman" w:hAnsi="Times New Roman" w:eastAsiaTheme="minorEastAsia"/>
          <w:caps w:val="0"/>
          <w:smallCaps w:val="0"/>
          <w:color w:val="auto"/>
          <w:spacing w:val="0"/>
          <w:w w:val="100"/>
          <w:position w:val="0"/>
          <w:highlight w:val="none"/>
          <w:lang w:val="en-US" w:eastAsia="zh-CN"/>
        </w:rPr>
        <w:t>µ</w:t>
      </w:r>
      <w:r>
        <w:rPr>
          <w:rFonts w:hint="eastAsia" w:ascii="Times New Roman" w:hAnsi="Times New Roman" w:eastAsiaTheme="minorEastAsia"/>
          <w:caps w:val="0"/>
          <w:smallCaps w:val="0"/>
          <w:color w:val="auto"/>
          <w:spacing w:val="0"/>
          <w:w w:val="100"/>
          <w:position w:val="0"/>
          <w:highlight w:val="none"/>
          <w:lang w:val="en-US" w:eastAsia="zh-CN"/>
        </w:rPr>
        <w:t>m”后回注地下开采油层。</w:t>
      </w:r>
    </w:p>
    <w:p w14:paraId="7B61182C">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施工期、退役期生活污水主要污染物为COD、氨氮等，施工人员生活污水排入附近集油阀组间防渗旱厕，</w:t>
      </w:r>
      <w:r>
        <w:rPr>
          <w:rFonts w:hint="eastAsia" w:ascii="Times New Roman" w:hAnsi="Times New Roman" w:eastAsiaTheme="minorEastAsia"/>
          <w:caps w:val="0"/>
          <w:smallCaps w:val="0"/>
          <w:color w:val="auto"/>
          <w:spacing w:val="0"/>
          <w:w w:val="100"/>
          <w:position w:val="0"/>
          <w:highlight w:val="none"/>
          <w:lang w:eastAsia="zh-CN"/>
        </w:rPr>
        <w:t>定期由安达市同昌油田工程有限公司拉运至大庆市净源环保科技有限公司进行处理</w:t>
      </w:r>
      <w:r>
        <w:rPr>
          <w:rFonts w:hint="eastAsia" w:ascii="Times New Roman" w:hAnsi="Times New Roman" w:eastAsiaTheme="minorEastAsia"/>
          <w:caps w:val="0"/>
          <w:smallCaps w:val="0"/>
          <w:color w:val="auto"/>
          <w:spacing w:val="0"/>
          <w:w w:val="100"/>
          <w:position w:val="0"/>
          <w:highlight w:val="none"/>
          <w:lang w:val="en-US" w:eastAsia="zh-CN"/>
        </w:rPr>
        <w:t>。</w:t>
      </w:r>
    </w:p>
    <w:p w14:paraId="6DFA6E9A">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eastAsia="zh-CN"/>
        </w:rPr>
        <w:t>（</w:t>
      </w:r>
      <w:r>
        <w:rPr>
          <w:rFonts w:hint="eastAsia" w:ascii="Times New Roman" w:hAnsi="Times New Roman" w:eastAsiaTheme="minorEastAsia"/>
          <w:caps w:val="0"/>
          <w:smallCaps w:val="0"/>
          <w:color w:val="auto"/>
          <w:spacing w:val="0"/>
          <w:w w:val="100"/>
          <w:position w:val="0"/>
          <w:highlight w:val="none"/>
          <w:lang w:val="en-US" w:eastAsia="zh-CN"/>
        </w:rPr>
        <w:t>3）地下水、土壤</w:t>
      </w:r>
    </w:p>
    <w:p w14:paraId="57F05436">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参照《环境影响评价技术导则 地下水环境》（HJ610-2016），本项目进行分区防渗：地下外输油管道及掺水管道均为重点防渗，管道采用无缝钢管，管道的连接方式采用焊接，防腐采用内缠聚乙烯胶带普通级防腐聚氨酯保温聚乙烯保护成品管，套管内外壁防腐采用环氧煤沥青涂料普通级；管道的连接方式均采用焊接，防渗性能等效黏土防渗层Mb≥6m、K≤1.0</w:t>
      </w:r>
      <w:r>
        <w:rPr>
          <w:rFonts w:hint="default" w:ascii="Times New Roman" w:hAnsi="Times New Roman" w:eastAsiaTheme="minorEastAsia"/>
          <w:caps w:val="0"/>
          <w:smallCaps w:val="0"/>
          <w:color w:val="auto"/>
          <w:spacing w:val="0"/>
          <w:w w:val="100"/>
          <w:position w:val="0"/>
          <w:highlight w:val="none"/>
          <w:lang w:val="en-US" w:eastAsia="zh-CN"/>
        </w:rPr>
        <w:t>×</w:t>
      </w:r>
      <w:r>
        <w:rPr>
          <w:rFonts w:hint="eastAsia" w:ascii="Times New Roman" w:hAnsi="Times New Roman" w:eastAsiaTheme="minorEastAsia"/>
          <w:caps w:val="0"/>
          <w:smallCaps w:val="0"/>
          <w:color w:val="auto"/>
          <w:spacing w:val="0"/>
          <w:w w:val="100"/>
          <w:position w:val="0"/>
          <w:highlight w:val="none"/>
          <w:lang w:val="en-US" w:eastAsia="zh-CN"/>
        </w:rPr>
        <w:t>10-7cm/s，满足《环境影响评价技术导则 地下水环境》（HJ610-2016）中重点防渗区的要求。定期对管道腐蚀情况及壁厚进行检测，发现问题及时处理，防止泄漏事故的发生；提高自动化水平，对管道的压力进行实时监控，当发生泄漏事故时可通过压力变化及时发现，然后采取维抢修及回收落地油</w:t>
      </w:r>
      <w:r>
        <w:rPr>
          <w:rFonts w:hint="eastAsia" w:ascii="Times New Roman" w:hAnsi="Times New Roman" w:eastAsiaTheme="minorEastAsia"/>
          <w:caps w:val="0"/>
          <w:smallCaps w:val="0"/>
          <w:color w:val="auto"/>
          <w:spacing w:val="0"/>
          <w:w w:val="100"/>
          <w:position w:val="0"/>
          <w:highlight w:val="none"/>
          <w:lang w:val="en-US" w:eastAsia="zh-CN"/>
        </w:rPr>
        <w:t>和被污染的土壤等措施控制事故对周围环境造成的影响，进一步防止污染地下水。</w:t>
      </w:r>
    </w:p>
    <w:p w14:paraId="68C23B76">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定向钻施工过程中，需要使用泥浆进行护壁、润滑、冷却和冲洗钻头、清扫土屑、传递动力，在定向钻穿越出土点、入土点处设置防渗泥浆池，挖深2m的5m×3m土坑，泥浆池内</w:t>
      </w:r>
      <w:r>
        <w:rPr>
          <w:rFonts w:ascii="Times New Roman" w:hAnsi="Times New Roman" w:eastAsiaTheme="minorEastAsia"/>
          <w:caps w:val="0"/>
          <w:smallCaps w:val="0"/>
          <w:color w:val="auto"/>
          <w:spacing w:val="0"/>
          <w:w w:val="100"/>
          <w:position w:val="0"/>
          <w:highlight w:val="none"/>
        </w:rPr>
        <w:t>铺设1.5mm厚高密度聚乙烯膜构筑防渗层，防渗性能等效黏土防渗层Mb≥1.5m、K≤1.0×10-7cm/s，</w:t>
      </w:r>
      <w:r>
        <w:rPr>
          <w:rFonts w:hint="eastAsia" w:ascii="Times New Roman" w:hAnsi="Times New Roman" w:eastAsiaTheme="minorEastAsia"/>
          <w:caps w:val="0"/>
          <w:smallCaps w:val="0"/>
          <w:color w:val="auto"/>
          <w:spacing w:val="0"/>
          <w:w w:val="100"/>
          <w:position w:val="0"/>
          <w:highlight w:val="none"/>
          <w:lang w:val="en-US" w:eastAsia="zh-CN"/>
        </w:rPr>
        <w:t>满足《环境影响评价技术导则 地下水环境》（HJ610-2016）一般防渗区技术要求。定向钻施工期间通过螺旋泵把回扩孔中的泥浆回收到防渗泥浆池中，经场地内安装的泥浆净化与回收装置处理后，泥浆循环使用，施工结束后，泥浆在防渗泥浆池内沉淀，上清液回收洒水降尘、固体部分用于井排路护坡。</w:t>
      </w:r>
    </w:p>
    <w:p w14:paraId="16D75B85">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建立相应的地下水例行监测计划，对所在地及其影响区地下水环境跟踪监测，同时对监测结果定期进行信息公开。</w:t>
      </w:r>
    </w:p>
    <w:p w14:paraId="143A8CBC">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（4）噪声</w:t>
      </w:r>
    </w:p>
    <w:p w14:paraId="03FAFFE7">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本项目施工期噪声主要是施工机械和车辆运行噪声，退役期仅清管过程产生一定的噪声。</w:t>
      </w:r>
    </w:p>
    <w:p w14:paraId="3A381954">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运输车辆应选择合理时间和路线；严格限定施工范围，选用噪声低的设备；注意对设备的维护和保养，合理操作，保证施工机械保持在最佳状态，降低噪声源强度，距离敏感目标较近的管段施工时，可采用设置移动声屏障，降低声源影响。</w:t>
      </w:r>
    </w:p>
    <w:p w14:paraId="6C7F830A">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（5）固体废物</w:t>
      </w:r>
    </w:p>
    <w:p w14:paraId="5C008702">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管道施工废料对照《固体废物分类与代码目录》（生态环境部2024年第4号），废物代码为900-099-S59其他工业生产过程中产生的固体废物，拉运至第八采油厂工业固废填埋场处理。</w:t>
      </w:r>
    </w:p>
    <w:p w14:paraId="0FD601A9">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本项目施工期管道定向钻施工产生的穿越工程废弃泥浆，对照《固体废物分类与代码目录》（生态环境部2024年第4号），废物代码为900-001-S71工程泥浆，经防渗泥浆池沉降后，上清液回收洒水降尘、固体部分用于井排路护坡。</w:t>
      </w:r>
    </w:p>
    <w:p w14:paraId="3A1AE2E2">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施工人员生活垃圾，对照《固体废物分类与代码目录》（生态环境部2024年第4号），废物代码为900-099-S64，统一收集后拉运至就近村屯生活垃圾回收点，定期由当地环卫部门清运至安达市生活垃圾填埋场处理。</w:t>
      </w:r>
    </w:p>
    <w:p w14:paraId="459CC8F2">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（6）生态环境</w:t>
      </w:r>
    </w:p>
    <w:p w14:paraId="50C89716">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对生态环境影响主要为管道施工作业对区域内植被破坏，对动物影响。</w:t>
      </w:r>
    </w:p>
    <w:p w14:paraId="576027E8">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（7）风险</w:t>
      </w:r>
    </w:p>
    <w:p w14:paraId="46027ECF">
      <w:pPr>
        <w:pStyle w:val="149"/>
        <w:widowControl w:val="0"/>
        <w:spacing w:line="440" w:lineRule="exact"/>
        <w:ind w:firstLine="473"/>
        <w:jc w:val="both"/>
        <w:rPr>
          <w:rFonts w:hint="default" w:ascii="Times New Roman" w:hAnsi="Times New Roman" w:eastAsiaTheme="minorEastAsia"/>
          <w:caps w:val="0"/>
          <w:smallCaps w:val="0"/>
          <w:color w:val="auto"/>
          <w:spacing w:val="0"/>
          <w:w w:val="100"/>
          <w:position w:val="0"/>
          <w:highlight w:val="none"/>
          <w:lang w:val="en-US" w:eastAsia="zh-CN"/>
        </w:rPr>
      </w:pPr>
      <w:r>
        <w:rPr>
          <w:rFonts w:hint="eastAsia" w:ascii="Times New Roman" w:hAnsi="Times New Roman" w:eastAsiaTheme="minorEastAsia"/>
          <w:caps w:val="0"/>
          <w:smallCaps w:val="0"/>
          <w:color w:val="auto"/>
          <w:spacing w:val="0"/>
          <w:w w:val="100"/>
          <w:position w:val="0"/>
          <w:highlight w:val="none"/>
          <w:lang w:val="en-US" w:eastAsia="zh-CN"/>
        </w:rPr>
        <w:t>本工程的主要环境风险是原油及含油污水泄漏（管道泄漏）、火灾爆炸。</w:t>
      </w:r>
    </w:p>
    <w:bookmarkEnd w:id="19"/>
    <w:p w14:paraId="1AB4213B">
      <w:pPr>
        <w:pStyle w:val="4"/>
        <w:keepNext w:val="0"/>
        <w:keepLines w:val="0"/>
        <w:widowControl w:val="0"/>
        <w:spacing w:before="120" w:after="120"/>
        <w:jc w:val="both"/>
        <w:rPr>
          <w:rFonts w:ascii="Times New Roman" w:hAnsi="Times New Roman" w:eastAsiaTheme="minorEastAsia"/>
          <w:b/>
          <w:caps w:val="0"/>
          <w:smallCaps w:val="0"/>
          <w:snapToGrid w:val="0"/>
          <w:color w:val="auto"/>
          <w:spacing w:val="0"/>
          <w:w w:val="100"/>
          <w:position w:val="0"/>
          <w:highlight w:val="none"/>
        </w:rPr>
      </w:pPr>
      <w:bookmarkStart w:id="50" w:name="_Toc219900366"/>
      <w:bookmarkStart w:id="51" w:name="_Toc502736432"/>
      <w:r>
        <w:rPr>
          <w:rFonts w:ascii="Times New Roman" w:hAnsi="Times New Roman" w:eastAsiaTheme="minorEastAsia"/>
          <w:b/>
          <w:caps w:val="0"/>
          <w:smallCaps w:val="0"/>
          <w:snapToGrid w:val="0"/>
          <w:color w:val="auto"/>
          <w:spacing w:val="0"/>
          <w:w w:val="100"/>
          <w:position w:val="0"/>
          <w:highlight w:val="none"/>
        </w:rPr>
        <w:t>1.3环境影响评价工作过程</w:t>
      </w:r>
      <w:bookmarkEnd w:id="50"/>
      <w:bookmarkEnd w:id="51"/>
    </w:p>
    <w:p w14:paraId="5FD4035E">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我单位在接受委托后，按照《建设项目环境影响评价技术导则 总纲》（HJ2.1-2016）、《环境影响评价技术导则 陆地石油天然气开发建设项目》（HJ349-2023）等国家有关环境影响评价规范、技术导则及环境保护管理部门的要求，依次完成以下环境影响评价工作：</w:t>
      </w:r>
    </w:p>
    <w:p w14:paraId="1ED7645F">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第一阶段：首先，收集分析工程技术文件以及相关基础资料，依据</w:t>
      </w:r>
      <w:r>
        <w:rPr>
          <w:rFonts w:ascii="Times New Roman" w:hAnsi="Times New Roman" w:eastAsiaTheme="minorEastAsia"/>
          <w:bCs/>
          <w:caps w:val="0"/>
          <w:smallCaps w:val="0"/>
          <w:color w:val="auto"/>
          <w:spacing w:val="0"/>
          <w:w w:val="100"/>
          <w:kern w:val="21"/>
          <w:position w:val="0"/>
          <w:highlight w:val="none"/>
        </w:rPr>
        <w:t>《建设项目环境影响评价分类管理名录（2021年版）》（部令第16号）</w:t>
      </w:r>
      <w:r>
        <w:rPr>
          <w:rFonts w:ascii="Times New Roman" w:hAnsi="Times New Roman" w:eastAsiaTheme="minorEastAsia"/>
          <w:caps w:val="0"/>
          <w:smallCaps w:val="0"/>
          <w:snapToGrid w:val="0"/>
          <w:color w:val="auto"/>
          <w:spacing w:val="0"/>
          <w:w w:val="100"/>
          <w:position w:val="0"/>
          <w:highlight w:val="none"/>
        </w:rPr>
        <w:t>规定，确定</w:t>
      </w:r>
      <w:r>
        <w:rPr>
          <w:rFonts w:hint="eastAsia" w:ascii="Times New Roman" w:hAnsi="Times New Roman" w:eastAsiaTheme="minorEastAsia"/>
          <w:caps w:val="0"/>
          <w:smallCaps w:val="0"/>
          <w:snapToGrid w:val="0"/>
          <w:color w:val="auto"/>
          <w:spacing w:val="0"/>
          <w:w w:val="100"/>
          <w:position w:val="0"/>
          <w:highlight w:val="none"/>
        </w:rPr>
        <w:t>大庆油田第十一采油厂油系统管道安全隐患治理工程项目</w:t>
      </w:r>
      <w:r>
        <w:rPr>
          <w:rFonts w:ascii="Times New Roman" w:hAnsi="Times New Roman" w:eastAsiaTheme="minorEastAsia"/>
          <w:caps w:val="0"/>
          <w:smallCaps w:val="0"/>
          <w:snapToGrid w:val="0"/>
          <w:color w:val="auto"/>
          <w:spacing w:val="0"/>
          <w:w w:val="100"/>
          <w:position w:val="0"/>
          <w:highlight w:val="none"/>
        </w:rPr>
        <w:t>环境影响评价技术文件类型为环境影响报告书。</w:t>
      </w:r>
    </w:p>
    <w:p w14:paraId="0BBE735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其次，在仔细研究工程技术文件的基础上，进行了工程分析，并对项目所在区域进行实地踏勘和调研，了解项目周围情况。在此基础上，识别环境影响并筛选评价因子，明确环境影响、评价工</w:t>
      </w:r>
      <w:r>
        <w:rPr>
          <w:rFonts w:ascii="Times New Roman" w:hAnsi="Times New Roman" w:eastAsiaTheme="minorEastAsia"/>
          <w:caps w:val="0"/>
          <w:smallCaps w:val="0"/>
          <w:snapToGrid w:val="0"/>
          <w:color w:val="auto"/>
          <w:spacing w:val="0"/>
          <w:w w:val="100"/>
          <w:position w:val="0"/>
          <w:highlight w:val="none"/>
        </w:rPr>
        <w:t>作重点和环境保护目标确定等工作。通过对项目概况、周围环境敏感性及导则要求分析确定：本项目大气环境影响评价工作等级为三级；声环境影响评价工作等级确定为二级；地表水环境影响评价工作等级为</w:t>
      </w:r>
      <w:r>
        <w:rPr>
          <w:rFonts w:hint="eastAsia" w:ascii="Times New Roman" w:hAnsi="Times New Roman" w:eastAsiaTheme="minorEastAsia"/>
          <w:caps w:val="0"/>
          <w:smallCaps w:val="0"/>
          <w:snapToGrid w:val="0"/>
          <w:color w:val="auto"/>
          <w:spacing w:val="0"/>
          <w:w w:val="100"/>
          <w:position w:val="0"/>
          <w:highlight w:val="none"/>
          <w:lang w:val="en-US" w:eastAsia="zh-CN"/>
        </w:rPr>
        <w:t>二</w:t>
      </w:r>
      <w:r>
        <w:rPr>
          <w:rFonts w:ascii="Times New Roman" w:hAnsi="Times New Roman" w:eastAsiaTheme="minorEastAsia"/>
          <w:caps w:val="0"/>
          <w:smallCaps w:val="0"/>
          <w:snapToGrid w:val="0"/>
          <w:color w:val="auto"/>
          <w:spacing w:val="0"/>
          <w:w w:val="100"/>
          <w:position w:val="0"/>
          <w:highlight w:val="none"/>
        </w:rPr>
        <w:t>级B；地下水环境影响评价工作等级为三级；生态环境影响评价工作等级为三级；土壤环境影响评价工作等级为</w:t>
      </w:r>
      <w:r>
        <w:rPr>
          <w:rFonts w:hint="eastAsia" w:ascii="Times New Roman" w:hAnsi="Times New Roman" w:eastAsiaTheme="minorEastAsia"/>
          <w:caps w:val="0"/>
          <w:smallCaps w:val="0"/>
          <w:snapToGrid w:val="0"/>
          <w:color w:val="auto"/>
          <w:spacing w:val="0"/>
          <w:w w:val="100"/>
          <w:position w:val="0"/>
          <w:highlight w:val="none"/>
          <w:lang w:val="en-US" w:eastAsia="zh-CN"/>
        </w:rPr>
        <w:t>二</w:t>
      </w:r>
      <w:r>
        <w:rPr>
          <w:rFonts w:ascii="Times New Roman" w:hAnsi="Times New Roman" w:eastAsiaTheme="minorEastAsia"/>
          <w:caps w:val="0"/>
          <w:smallCaps w:val="0"/>
          <w:snapToGrid w:val="0"/>
          <w:color w:val="auto"/>
          <w:spacing w:val="0"/>
          <w:w w:val="100"/>
          <w:position w:val="0"/>
          <w:highlight w:val="none"/>
        </w:rPr>
        <w:t>级，环境风险环境影响评价工作等级为简单分析。并以此确定评价范围和评价标准，制定了评价工作方案。</w:t>
      </w:r>
    </w:p>
    <w:p w14:paraId="78EB40F0">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第二阶段：根据工作方案，针对各环境要素的评价工作等级，调查了评价范围内的环境状况，制定了监测方案，进行生态环境现状监测并进行调查与评价，在现状监测与评价的基础上，进行各环境要素的环境影响预测和评价，编制完成各环境要素环境影响分析与评价章节。</w:t>
      </w:r>
    </w:p>
    <w:p w14:paraId="56630985">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第三阶段：通过工程分析、环境影响预测与评价的结果，确定科学合理、可行的工程方案，提出预防或减缓不利影响的环境保护措施，制定相应的环境管理或环境监测计划，从生态环境影响的角度给出工程建设项目是否可行的结论，完成报告的编制。</w:t>
      </w:r>
    </w:p>
    <w:p w14:paraId="4E59FD8F">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具体环境影响评价工作程序见图1.3-1。</w:t>
      </w:r>
    </w:p>
    <w:p w14:paraId="382EBD56">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2025年8月2日，大庆油田有限责任公司第</w:t>
      </w:r>
      <w:r>
        <w:rPr>
          <w:rFonts w:hint="eastAsia" w:ascii="Times New Roman" w:hAnsi="Times New Roman" w:eastAsiaTheme="minorEastAsia"/>
          <w:caps w:val="0"/>
          <w:smallCaps w:val="0"/>
          <w:snapToGrid w:val="0"/>
          <w:color w:val="auto"/>
          <w:spacing w:val="0"/>
          <w:w w:val="100"/>
          <w:position w:val="0"/>
          <w:highlight w:val="none"/>
          <w:lang w:val="en-US" w:eastAsia="zh-CN"/>
        </w:rPr>
        <w:t>十一</w:t>
      </w:r>
      <w:r>
        <w:rPr>
          <w:rFonts w:ascii="Times New Roman" w:hAnsi="Times New Roman" w:eastAsiaTheme="minorEastAsia"/>
          <w:caps w:val="0"/>
          <w:smallCaps w:val="0"/>
          <w:snapToGrid w:val="0"/>
          <w:color w:val="auto"/>
          <w:spacing w:val="0"/>
          <w:w w:val="100"/>
          <w:position w:val="0"/>
          <w:highlight w:val="none"/>
        </w:rPr>
        <w:t>采油厂委托湖南葆华环保科技有限公司编制《</w:t>
      </w:r>
      <w:r>
        <w:rPr>
          <w:rFonts w:hint="eastAsia" w:ascii="Times New Roman" w:hAnsi="Times New Roman" w:eastAsiaTheme="minorEastAsia"/>
          <w:caps w:val="0"/>
          <w:smallCaps w:val="0"/>
          <w:snapToGrid w:val="0"/>
          <w:color w:val="auto"/>
          <w:spacing w:val="0"/>
          <w:w w:val="100"/>
          <w:position w:val="0"/>
          <w:highlight w:val="none"/>
          <w:lang w:val="en-US" w:eastAsia="zh-CN"/>
        </w:rPr>
        <w:t>大庆油田</w:t>
      </w:r>
      <w:r>
        <w:rPr>
          <w:rFonts w:hint="eastAsia" w:ascii="Times New Roman" w:hAnsi="Times New Roman" w:eastAsiaTheme="minorEastAsia"/>
          <w:caps w:val="0"/>
          <w:smallCaps w:val="0"/>
          <w:snapToGrid w:val="0"/>
          <w:color w:val="auto"/>
          <w:spacing w:val="0"/>
          <w:w w:val="100"/>
          <w:position w:val="0"/>
          <w:highlight w:val="none"/>
        </w:rPr>
        <w:t>第十一采油厂油系统管道安全隐患治理工程项目</w:t>
      </w:r>
      <w:r>
        <w:rPr>
          <w:rFonts w:ascii="Times New Roman" w:hAnsi="Times New Roman" w:eastAsiaTheme="minorEastAsia"/>
          <w:caps w:val="0"/>
          <w:smallCaps w:val="0"/>
          <w:color w:val="auto"/>
          <w:spacing w:val="0"/>
          <w:w w:val="100"/>
          <w:position w:val="0"/>
          <w:highlight w:val="none"/>
        </w:rPr>
        <w:t>环境影响报告书</w:t>
      </w:r>
      <w:r>
        <w:rPr>
          <w:rFonts w:ascii="Times New Roman" w:hAnsi="Times New Roman" w:eastAsiaTheme="minorEastAsia"/>
          <w:caps w:val="0"/>
          <w:smallCaps w:val="0"/>
          <w:snapToGrid w:val="0"/>
          <w:color w:val="auto"/>
          <w:spacing w:val="0"/>
          <w:w w:val="100"/>
          <w:position w:val="0"/>
          <w:highlight w:val="none"/>
        </w:rPr>
        <w:t>》，在本项目环境影响报告书编制过程及初稿完成后，建设单位依据《中华人民共和国环境影响评价法》、《环境影响评价公众参与办法》及建设项目环境影响评价的相关规定开展项目的公众参与工作并单独出具环境影响评价公众参与说明。公众参与工作采用网络公示、报纸公示以及张贴公告等相结合的方式进行。本项目首次环境影响评价信息公开之日为2025年8月5日（黑龙江环保技术服务网），征求意见稿公示日期为</w:t>
      </w:r>
      <w:bookmarkStart w:id="52" w:name="OLE_LINK2"/>
      <w:bookmarkStart w:id="53" w:name="OLE_LINK1"/>
      <w:r>
        <w:rPr>
          <w:rFonts w:ascii="Times New Roman" w:hAnsi="Times New Roman" w:eastAsiaTheme="minorEastAsia"/>
          <w:caps w:val="0"/>
          <w:smallCaps w:val="0"/>
          <w:snapToGrid w:val="0"/>
          <w:color w:val="auto"/>
          <w:spacing w:val="0"/>
          <w:w w:val="100"/>
          <w:position w:val="0"/>
          <w:highlight w:val="none"/>
        </w:rPr>
        <w:t>2026年4月8日~21日</w:t>
      </w:r>
      <w:bookmarkEnd w:id="52"/>
      <w:bookmarkEnd w:id="53"/>
      <w:r>
        <w:rPr>
          <w:rFonts w:ascii="Times New Roman" w:hAnsi="Times New Roman" w:eastAsiaTheme="minorEastAsia"/>
          <w:caps w:val="0"/>
          <w:smallCaps w:val="0"/>
          <w:snapToGrid w:val="0"/>
          <w:color w:val="auto"/>
          <w:spacing w:val="0"/>
          <w:w w:val="100"/>
          <w:position w:val="0"/>
          <w:highlight w:val="none"/>
        </w:rPr>
        <w:t>（黑龙江环保技术服务网），报纸第一次公告日期为2026年4月16日（大庆油田报），报纸第二次公告日期为2026年4月17日（大庆油田报），现场张贴公示日期为2026年4月8日~21日，公示地点为评价范围内村屯，并于2026年4月22日在</w:t>
      </w:r>
      <w:r>
        <w:rPr>
          <w:rFonts w:ascii="Times New Roman" w:hAnsi="Times New Roman" w:eastAsiaTheme="minorEastAsia"/>
          <w:caps w:val="0"/>
          <w:smallCaps w:val="0"/>
          <w:color w:val="auto"/>
          <w:spacing w:val="0"/>
          <w:w w:val="100"/>
          <w:position w:val="0"/>
          <w:highlight w:val="none"/>
        </w:rPr>
        <w:t>黑龙江环保技术服务网</w:t>
      </w:r>
      <w:r>
        <w:rPr>
          <w:rFonts w:ascii="Times New Roman" w:hAnsi="Times New Roman" w:eastAsiaTheme="minorEastAsia"/>
          <w:caps w:val="0"/>
          <w:smallCaps w:val="0"/>
          <w:snapToGrid w:val="0"/>
          <w:color w:val="auto"/>
          <w:spacing w:val="0"/>
          <w:w w:val="100"/>
          <w:position w:val="0"/>
          <w:highlight w:val="none"/>
        </w:rPr>
        <w:t>公开发布平台进行</w:t>
      </w:r>
      <w:r>
        <w:rPr>
          <w:rFonts w:hint="eastAsia" w:ascii="Times New Roman" w:hAnsi="Times New Roman" w:eastAsiaTheme="minorEastAsia"/>
          <w:caps w:val="0"/>
          <w:smallCaps w:val="0"/>
          <w:snapToGrid w:val="0"/>
          <w:color w:val="auto"/>
          <w:spacing w:val="0"/>
          <w:w w:val="100"/>
          <w:position w:val="0"/>
          <w:highlight w:val="none"/>
          <w:lang w:val="en-US" w:eastAsia="zh-CN"/>
        </w:rPr>
        <w:t>大庆油田</w:t>
      </w:r>
      <w:r>
        <w:rPr>
          <w:rFonts w:hint="eastAsia" w:ascii="Times New Roman" w:hAnsi="Times New Roman" w:eastAsiaTheme="minorEastAsia"/>
          <w:caps w:val="0"/>
          <w:smallCaps w:val="0"/>
          <w:snapToGrid w:val="0"/>
          <w:color w:val="auto"/>
          <w:spacing w:val="0"/>
          <w:w w:val="100"/>
          <w:position w:val="0"/>
          <w:highlight w:val="none"/>
        </w:rPr>
        <w:t>第十一采油厂油系统管道安全隐患治理工程项目</w:t>
      </w:r>
      <w:r>
        <w:rPr>
          <w:rFonts w:ascii="Times New Roman" w:hAnsi="Times New Roman" w:eastAsiaTheme="minorEastAsia"/>
          <w:caps w:val="0"/>
          <w:smallCaps w:val="0"/>
          <w:snapToGrid w:val="0"/>
          <w:color w:val="auto"/>
          <w:spacing w:val="0"/>
          <w:w w:val="100"/>
          <w:position w:val="0"/>
          <w:highlight w:val="none"/>
        </w:rPr>
        <w:t>环境影响报告书全本公示和项目公众参与说明全本公示。在公示期间建设单位及环评单位未收到相关反馈，建设单位承诺将加强企业环境管理，强化诚信意识，恪守环保信用，项目运行中主动公开环保信息，接受公众监督。</w:t>
      </w:r>
    </w:p>
    <w:p w14:paraId="48A3FAF5">
      <w:pPr>
        <w:pStyle w:val="149"/>
        <w:widowControl w:val="0"/>
        <w:spacing w:line="240" w:lineRule="auto"/>
        <w:ind w:firstLine="0" w:firstLineChars="0"/>
        <w:jc w:val="center"/>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caps w:val="0"/>
          <w:smallCaps w:val="0"/>
          <w:color w:val="auto"/>
          <w:spacing w:val="0"/>
          <w:w w:val="100"/>
          <w:position w:val="0"/>
          <w:highlight w:val="none"/>
        </w:rPr>
        <w:drawing>
          <wp:inline distT="0" distB="0" distL="0" distR="0">
            <wp:extent cx="3757930" cy="4364355"/>
            <wp:effectExtent l="19050" t="19050" r="1397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a:srcRect l="2610" t="1955" r="1995"/>
                    <a:stretch>
                      <a:fillRect/>
                    </a:stretch>
                  </pic:blipFill>
                  <pic:spPr>
                    <a:xfrm>
                      <a:off x="0" y="0"/>
                      <a:ext cx="3780657" cy="4390786"/>
                    </a:xfrm>
                    <a:prstGeom prst="rect">
                      <a:avLst/>
                    </a:prstGeom>
                    <a:ln w="6350">
                      <a:solidFill>
                        <a:schemeClr val="tx1"/>
                      </a:solidFill>
                    </a:ln>
                  </pic:spPr>
                </pic:pic>
              </a:graphicData>
            </a:graphic>
          </wp:inline>
        </w:drawing>
      </w:r>
    </w:p>
    <w:p w14:paraId="7A02B1F9">
      <w:pPr>
        <w:pStyle w:val="149"/>
        <w:widowControl w:val="0"/>
        <w:spacing w:line="440" w:lineRule="exact"/>
        <w:ind w:firstLine="0" w:firstLineChars="0"/>
        <w:jc w:val="center"/>
        <w:rPr>
          <w:rFonts w:ascii="Times New Roman" w:hAnsi="Times New Roman" w:eastAsiaTheme="minorEastAsia"/>
          <w:b/>
          <w:caps w:val="0"/>
          <w:smallCaps w:val="0"/>
          <w:snapToGrid w:val="0"/>
          <w:color w:val="auto"/>
          <w:spacing w:val="0"/>
          <w:w w:val="100"/>
          <w:position w:val="0"/>
          <w:highlight w:val="none"/>
        </w:rPr>
      </w:pPr>
      <w:r>
        <w:rPr>
          <w:rFonts w:ascii="Times New Roman" w:hAnsi="Times New Roman" w:eastAsiaTheme="minorEastAsia"/>
          <w:b/>
          <w:caps w:val="0"/>
          <w:smallCaps w:val="0"/>
          <w:snapToGrid w:val="0"/>
          <w:color w:val="auto"/>
          <w:spacing w:val="0"/>
          <w:w w:val="100"/>
          <w:position w:val="0"/>
          <w:highlight w:val="none"/>
        </w:rPr>
        <w:t>图1.3-1    建设项目环境影响评价工作程序图</w:t>
      </w:r>
    </w:p>
    <w:p w14:paraId="38D90190">
      <w:pPr>
        <w:pStyle w:val="4"/>
        <w:keepNext w:val="0"/>
        <w:keepLines w:val="0"/>
        <w:widowControl w:val="0"/>
        <w:spacing w:before="120" w:after="120" w:line="480" w:lineRule="exact"/>
        <w:jc w:val="both"/>
        <w:rPr>
          <w:rFonts w:ascii="Times New Roman" w:hAnsi="Times New Roman" w:eastAsiaTheme="minorEastAsia"/>
          <w:b/>
          <w:caps w:val="0"/>
          <w:smallCaps w:val="0"/>
          <w:snapToGrid w:val="0"/>
          <w:color w:val="auto"/>
          <w:spacing w:val="0"/>
          <w:w w:val="100"/>
          <w:position w:val="0"/>
          <w:highlight w:val="none"/>
        </w:rPr>
      </w:pPr>
      <w:bookmarkStart w:id="54" w:name="_Toc502736433"/>
      <w:bookmarkStart w:id="55" w:name="_Toc219900367"/>
      <w:r>
        <w:rPr>
          <w:rFonts w:ascii="Times New Roman" w:hAnsi="Times New Roman" w:eastAsiaTheme="minorEastAsia"/>
          <w:b/>
          <w:caps w:val="0"/>
          <w:smallCaps w:val="0"/>
          <w:snapToGrid w:val="0"/>
          <w:color w:val="auto"/>
          <w:spacing w:val="0"/>
          <w:w w:val="100"/>
          <w:position w:val="0"/>
          <w:highlight w:val="none"/>
        </w:rPr>
        <w:t>1.4分析判定相关情况</w:t>
      </w:r>
      <w:bookmarkEnd w:id="54"/>
      <w:bookmarkEnd w:id="55"/>
    </w:p>
    <w:p w14:paraId="1908C3E5">
      <w:pPr>
        <w:pStyle w:val="6"/>
        <w:widowControl w:val="0"/>
        <w:spacing w:before="60" w:after="60" w:line="480" w:lineRule="exact"/>
        <w:jc w:val="both"/>
        <w:rPr>
          <w:rFonts w:eastAsiaTheme="minorEastAsia"/>
          <w:b/>
          <w:caps w:val="0"/>
          <w:smallCaps w:val="0"/>
          <w:color w:val="auto"/>
          <w:spacing w:val="0"/>
          <w:w w:val="100"/>
          <w:kern w:val="2"/>
          <w:position w:val="0"/>
          <w:sz w:val="24"/>
          <w:szCs w:val="24"/>
          <w:highlight w:val="none"/>
        </w:rPr>
      </w:pPr>
      <w:bookmarkStart w:id="56" w:name="_Toc84929180"/>
      <w:bookmarkStart w:id="57" w:name="_Toc76976196"/>
      <w:bookmarkStart w:id="58" w:name="_Toc83209425"/>
      <w:bookmarkStart w:id="59" w:name="_Toc61597173"/>
      <w:bookmarkStart w:id="60" w:name="_Toc86141888"/>
      <w:bookmarkStart w:id="61" w:name="_Toc85640705"/>
      <w:bookmarkStart w:id="62" w:name="_Toc57203203"/>
      <w:bookmarkStart w:id="63" w:name="_Toc110438432"/>
      <w:bookmarkStart w:id="64" w:name="_Toc502736434"/>
      <w:bookmarkStart w:id="65" w:name="_Toc57976628"/>
      <w:bookmarkStart w:id="66" w:name="_Toc57707873"/>
      <w:bookmarkStart w:id="67" w:name="_Toc80971330"/>
      <w:bookmarkStart w:id="68" w:name="_Toc17898120"/>
      <w:bookmarkStart w:id="69" w:name="_Toc80588208"/>
      <w:bookmarkStart w:id="70" w:name="_Toc29321"/>
      <w:bookmarkStart w:id="71" w:name="_Toc67860081"/>
      <w:bookmarkStart w:id="72" w:name="_Toc70050123"/>
      <w:bookmarkStart w:id="73" w:name="_Toc78816413"/>
      <w:bookmarkStart w:id="74" w:name="_Toc77067612"/>
      <w:r>
        <w:rPr>
          <w:rFonts w:eastAsiaTheme="minorEastAsia"/>
          <w:b/>
          <w:caps w:val="0"/>
          <w:smallCaps w:val="0"/>
          <w:color w:val="auto"/>
          <w:spacing w:val="0"/>
          <w:w w:val="100"/>
          <w:kern w:val="2"/>
          <w:position w:val="0"/>
          <w:sz w:val="24"/>
          <w:szCs w:val="24"/>
          <w:highlight w:val="none"/>
        </w:rPr>
        <w:t>1.4.1产业政策符合性分析</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1547A6D4">
      <w:pPr>
        <w:pStyle w:val="149"/>
        <w:widowControl w:val="0"/>
        <w:spacing w:line="480" w:lineRule="exact"/>
        <w:ind w:firstLine="473"/>
        <w:jc w:val="both"/>
        <w:rPr>
          <w:rFonts w:ascii="Times New Roman" w:hAnsi="Times New Roman" w:eastAsiaTheme="minorEastAsia"/>
          <w:caps w:val="0"/>
          <w:smallCaps w:val="0"/>
          <w:color w:val="auto"/>
          <w:spacing w:val="0"/>
          <w:w w:val="100"/>
          <w:position w:val="0"/>
          <w:highlight w:val="none"/>
        </w:rPr>
      </w:pPr>
      <w:bookmarkStart w:id="75" w:name="_Toc17898121"/>
      <w:bookmarkStart w:id="76" w:name="_Toc502736435"/>
      <w:bookmarkStart w:id="77" w:name="_Toc3092"/>
      <w:r>
        <w:rPr>
          <w:rFonts w:ascii="Times New Roman" w:hAnsi="Times New Roman"/>
          <w:caps w:val="0"/>
          <w:smallCaps w:val="0"/>
          <w:color w:val="auto"/>
          <w:spacing w:val="0"/>
          <w:w w:val="100"/>
          <w:position w:val="0"/>
          <w:highlight w:val="none"/>
        </w:rPr>
        <w:t>本项目为</w:t>
      </w:r>
      <w:r>
        <w:rPr>
          <w:rFonts w:hint="eastAsia" w:ascii="Times New Roman" w:hAnsi="Times New Roman"/>
          <w:bCs/>
          <w:caps w:val="0"/>
          <w:smallCaps w:val="0"/>
          <w:color w:val="auto"/>
          <w:spacing w:val="0"/>
          <w:w w:val="100"/>
          <w:position w:val="0"/>
          <w:highlight w:val="none"/>
        </w:rPr>
        <w:t>输油管道及</w:t>
      </w:r>
      <w:r>
        <w:rPr>
          <w:rFonts w:hint="eastAsia" w:ascii="Times New Roman" w:hAnsi="Times New Roman"/>
          <w:bCs/>
          <w:caps w:val="0"/>
          <w:smallCaps w:val="0"/>
          <w:color w:val="auto"/>
          <w:spacing w:val="0"/>
          <w:w w:val="100"/>
          <w:position w:val="0"/>
          <w:highlight w:val="none"/>
          <w:lang w:val="en-US" w:eastAsia="zh-CN"/>
        </w:rPr>
        <w:t>掺水</w:t>
      </w:r>
      <w:r>
        <w:rPr>
          <w:rFonts w:hint="eastAsia" w:ascii="Times New Roman" w:hAnsi="Times New Roman"/>
          <w:bCs/>
          <w:caps w:val="0"/>
          <w:smallCaps w:val="0"/>
          <w:color w:val="auto"/>
          <w:spacing w:val="0"/>
          <w:w w:val="100"/>
          <w:position w:val="0"/>
          <w:highlight w:val="none"/>
        </w:rPr>
        <w:t>管道</w:t>
      </w:r>
      <w:r>
        <w:rPr>
          <w:rFonts w:ascii="Times New Roman" w:hAnsi="Times New Roman"/>
          <w:caps w:val="0"/>
          <w:smallCaps w:val="0"/>
          <w:color w:val="auto"/>
          <w:spacing w:val="0"/>
          <w:w w:val="100"/>
          <w:position w:val="0"/>
          <w:highlight w:val="none"/>
        </w:rPr>
        <w:t>建设项目，属于常规石油开采项目的一部分，根据《产业结构调整指导目录（2024 年本）》，本项目属于鼓励类“七、石油天然气”中“1</w:t>
      </w:r>
      <w:r>
        <w:rPr>
          <w:rFonts w:hint="eastAsia" w:ascii="Times New Roman" w:hAnsi="Times New Roman"/>
          <w:caps w:val="0"/>
          <w:smallCaps w:val="0"/>
          <w:color w:val="auto"/>
          <w:spacing w:val="0"/>
          <w:w w:val="100"/>
          <w:position w:val="0"/>
          <w:highlight w:val="none"/>
        </w:rPr>
        <w:t>.</w:t>
      </w:r>
      <w:r>
        <w:rPr>
          <w:rFonts w:ascii="Times New Roman" w:hAnsi="Times New Roman"/>
          <w:caps w:val="0"/>
          <w:smallCaps w:val="0"/>
          <w:color w:val="auto"/>
          <w:spacing w:val="0"/>
          <w:w w:val="100"/>
          <w:position w:val="0"/>
          <w:highlight w:val="none"/>
        </w:rPr>
        <w:t>石油天然气开采：常规石油、天然气勘探与开采，页岩气、</w:t>
      </w:r>
      <w:r>
        <w:rPr>
          <w:rFonts w:hint="eastAsia" w:ascii="Times New Roman" w:hAnsi="Times New Roman"/>
          <w:caps w:val="0"/>
          <w:smallCaps w:val="0"/>
          <w:color w:val="auto"/>
          <w:spacing w:val="0"/>
          <w:w w:val="100"/>
          <w:position w:val="0"/>
          <w:highlight w:val="none"/>
        </w:rPr>
        <w:t>页岩油、致密油（气）、油砂、天然气水合物等非常规资源勘探开发</w:t>
      </w:r>
      <w:r>
        <w:rPr>
          <w:rFonts w:ascii="Times New Roman" w:hAnsi="Times New Roman"/>
          <w:caps w:val="0"/>
          <w:smallCaps w:val="0"/>
          <w:color w:val="auto"/>
          <w:spacing w:val="0"/>
          <w:w w:val="100"/>
          <w:position w:val="0"/>
          <w:highlight w:val="none"/>
        </w:rPr>
        <w:t>”，因此，本项目建设符合国家的产业政策。</w:t>
      </w:r>
    </w:p>
    <w:p w14:paraId="1E4E8378">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78" w:name="_Toc126863345"/>
      <w:bookmarkStart w:id="79" w:name="_Toc127192294"/>
      <w:bookmarkStart w:id="80" w:name="_Toc186444229"/>
      <w:bookmarkStart w:id="81" w:name="_Toc131167245"/>
      <w:bookmarkStart w:id="82" w:name="_Toc143099532"/>
      <w:bookmarkStart w:id="83" w:name="_Toc80588209"/>
      <w:bookmarkStart w:id="84" w:name="_Toc78816414"/>
      <w:bookmarkStart w:id="85" w:name="_Toc61597174"/>
      <w:bookmarkStart w:id="86" w:name="_Toc83209426"/>
      <w:bookmarkStart w:id="87" w:name="_Toc57203204"/>
      <w:bookmarkStart w:id="88" w:name="_Toc85640706"/>
      <w:bookmarkStart w:id="89" w:name="_Toc76976197"/>
      <w:bookmarkStart w:id="90" w:name="_Toc86141889"/>
      <w:bookmarkStart w:id="91" w:name="_Toc70050124"/>
      <w:bookmarkStart w:id="92" w:name="_Toc110438433"/>
      <w:bookmarkStart w:id="93" w:name="_Toc57707874"/>
      <w:bookmarkStart w:id="94" w:name="_Toc67860082"/>
      <w:bookmarkStart w:id="95" w:name="_Toc77067613"/>
      <w:bookmarkStart w:id="96" w:name="_Toc57976629"/>
      <w:bookmarkStart w:id="97" w:name="_Toc84929181"/>
      <w:bookmarkStart w:id="98" w:name="_Toc80971331"/>
      <w:r>
        <w:rPr>
          <w:rFonts w:eastAsiaTheme="minorEastAsia"/>
          <w:b/>
          <w:caps w:val="0"/>
          <w:smallCaps w:val="0"/>
          <w:color w:val="auto"/>
          <w:spacing w:val="0"/>
          <w:w w:val="100"/>
          <w:kern w:val="2"/>
          <w:position w:val="0"/>
          <w:sz w:val="24"/>
          <w:szCs w:val="24"/>
          <w:highlight w:val="none"/>
        </w:rPr>
        <w:t>1.4.2相关规划符合性分析</w:t>
      </w:r>
      <w:bookmarkEnd w:id="78"/>
      <w:bookmarkEnd w:id="79"/>
      <w:bookmarkEnd w:id="80"/>
      <w:bookmarkEnd w:id="81"/>
      <w:bookmarkEnd w:id="82"/>
    </w:p>
    <w:p w14:paraId="6BD46C1E">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1.4.2.1与《黑龙江省主体功能区划》符合性分析</w:t>
      </w:r>
    </w:p>
    <w:p w14:paraId="2A54D41B">
      <w:pPr>
        <w:pStyle w:val="149"/>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hint="eastAsia" w:ascii="Times New Roman" w:hAnsi="Times New Roman" w:eastAsiaTheme="minorEastAsia"/>
          <w:caps w:val="0"/>
          <w:smallCaps w:val="0"/>
          <w:color w:val="auto"/>
          <w:spacing w:val="0"/>
          <w:w w:val="100"/>
          <w:position w:val="0"/>
          <w:highlight w:val="none"/>
          <w:lang w:val="en-US"/>
        </w:rPr>
        <w:t>根据《黑龙江省主体功能区规划》第八章第二节能源开发利用中明确：“在大庆及周边地区，加大石油勘探开发力度，实施老油田二次开发工程和三次采油工程，稳定石油产量”，第三节主要矿产资源开发利用中明确：“鼓励开采石油、天然气、煤层气、地热、油页岩、铁、铜、铅、锌、岩金、铂、钯、水泥用大理岩、含钾岩石、熔炼水晶、玻璃用硅质原料、珍珠岩、陶粒用原料、岩棉用玄武岩、透辉石岩、饰面石岩等矿产资源”，</w:t>
      </w:r>
      <w:r>
        <w:rPr>
          <w:rFonts w:ascii="Times New Roman" w:hAnsi="Times New Roman" w:eastAsiaTheme="minorEastAsia"/>
          <w:caps w:val="0"/>
          <w:smallCaps w:val="0"/>
          <w:color w:val="auto"/>
          <w:spacing w:val="0"/>
          <w:w w:val="100"/>
          <w:position w:val="0"/>
          <w:highlight w:val="none"/>
          <w:lang w:val="en-US"/>
        </w:rPr>
        <w:t>本项目位于</w:t>
      </w:r>
      <w:r>
        <w:rPr>
          <w:rFonts w:hint="eastAsia" w:ascii="Times New Roman" w:hAnsi="Times New Roman" w:eastAsiaTheme="minorEastAsia"/>
          <w:caps w:val="0"/>
          <w:smallCaps w:val="0"/>
          <w:color w:val="auto"/>
          <w:spacing w:val="0"/>
          <w:w w:val="100"/>
          <w:position w:val="0"/>
          <w:highlight w:val="none"/>
          <w:lang w:val="en-US"/>
        </w:rPr>
        <w:t>黑龙江省绥化市安达市昌德镇境内</w:t>
      </w:r>
      <w:r>
        <w:rPr>
          <w:rFonts w:ascii="Times New Roman" w:hAnsi="Times New Roman" w:eastAsiaTheme="minorEastAsia"/>
          <w:caps w:val="0"/>
          <w:smallCaps w:val="0"/>
          <w:color w:val="auto"/>
          <w:spacing w:val="0"/>
          <w:w w:val="100"/>
          <w:position w:val="0"/>
          <w:highlight w:val="none"/>
          <w:lang w:val="en-US"/>
        </w:rPr>
        <w:t>，属于大庆周边地区，</w:t>
      </w:r>
      <w:r>
        <w:rPr>
          <w:rFonts w:ascii="Times New Roman" w:hAnsi="Times New Roman" w:eastAsiaTheme="minorEastAsia"/>
          <w:caps w:val="0"/>
          <w:smallCaps w:val="0"/>
          <w:color w:val="auto"/>
          <w:spacing w:val="0"/>
          <w:w w:val="100"/>
          <w:position w:val="0"/>
          <w:highlight w:val="none"/>
        </w:rPr>
        <w:t>本项目为油田内部集输管道建设项目，属于大庆油田陆地石油开采项目的一部分，符合《黑龙江省主体功能区规划》要求。本项目与黑龙江省主体功能区位置关系见图1.4-1。</w:t>
      </w:r>
    </w:p>
    <w:p w14:paraId="5E59C861">
      <w:pPr>
        <w:jc w:val="center"/>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mc:AlternateContent>
          <mc:Choice Requires="wps">
            <w:drawing>
              <wp:anchor distT="0" distB="0" distL="114300" distR="114300" simplePos="0" relativeHeight="251666432" behindDoc="0" locked="0" layoutInCell="1" allowOverlap="1">
                <wp:simplePos x="0" y="0"/>
                <wp:positionH relativeFrom="column">
                  <wp:posOffset>462280</wp:posOffset>
                </wp:positionH>
                <wp:positionV relativeFrom="paragraph">
                  <wp:posOffset>2475230</wp:posOffset>
                </wp:positionV>
                <wp:extent cx="1073150" cy="309245"/>
                <wp:effectExtent l="0" t="0" r="488950" b="319405"/>
                <wp:wrapNone/>
                <wp:docPr id="63" name="圆角矩形标注 63"/>
                <wp:cNvGraphicFramePr/>
                <a:graphic xmlns:a="http://schemas.openxmlformats.org/drawingml/2006/main">
                  <a:graphicData uri="http://schemas.microsoft.com/office/word/2010/wordprocessingShape">
                    <wps:wsp>
                      <wps:cNvSpPr/>
                      <wps:spPr>
                        <a:xfrm>
                          <a:off x="0" y="0"/>
                          <a:ext cx="1073150" cy="309245"/>
                        </a:xfrm>
                        <a:prstGeom prst="wedgeRoundRectCallout">
                          <a:avLst>
                            <a:gd name="adj1" fmla="val 88825"/>
                            <a:gd name="adj2" fmla="val 14094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A94318">
                            <w:pPr>
                              <w:jc w:val="center"/>
                            </w:pPr>
                            <w:r>
                              <w:rPr>
                                <w:rFonts w:hint="eastAsia"/>
                              </w:rPr>
                              <w:t>本项目</w:t>
                            </w:r>
                            <w: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6.4pt;margin-top:194.9pt;height:24.35pt;width:84.5pt;z-index:251666432;v-text-anchor:middle;mso-width-relative:page;mso-height-relative:page;" fillcolor="#5B9BD5 [3204]" filled="t" stroked="t" coordsize="21600,21600" o:gfxdata="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GAYW+NoAAAAKAQAADwAAAAAAAAABACAAAAAiAAAAZHJzL2Rvd25yZXYu&#10;eG1sUEsBAhQAFAAAAAgAh07iQPv9Zu7dAgAAtQUAAA4AAAAAAAAAAQAgAAAAKQEAAGRycy9lMm9E&#10;b2MueG1sUEsFBgAAAAAGAAYAWQEAAHgGAAAAAA==&#10;" adj="29986,41244,14400">
                <v:fill on="t" focussize="0,0"/>
                <v:stroke weight="1pt" color="#41719C [3204]" miterlimit="8" joinstyle="miter"/>
                <v:imagedata o:title=""/>
                <o:lock v:ext="edit" aspectratio="f"/>
                <v:textbox>
                  <w:txbxContent>
                    <w:p w14:paraId="0FA94318">
                      <w:pPr>
                        <w:jc w:val="center"/>
                      </w:pPr>
                      <w:r>
                        <w:rPr>
                          <w:rFonts w:hint="eastAsia"/>
                        </w:rPr>
                        <w:t>本项目</w:t>
                      </w:r>
                      <w:r>
                        <w:t>位置</w:t>
                      </w:r>
                    </w:p>
                  </w:txbxContent>
                </v:textbox>
              </v:shape>
            </w:pict>
          </mc:Fallback>
        </mc:AlternateContent>
      </w:r>
      <w:r>
        <w:rPr>
          <w:rFonts w:ascii="Times New Roman" w:hAnsi="Times New Roman" w:cs="Times New Roman"/>
          <w:caps w:val="0"/>
          <w:smallCaps w:val="0"/>
          <w:color w:val="auto"/>
          <w:spacing w:val="0"/>
          <w:w w:val="100"/>
          <w:position w:val="0"/>
          <w:highlight w:val="none"/>
        </w:rPr>
        <mc:AlternateContent>
          <mc:Choice Requires="wps">
            <w:drawing>
              <wp:anchor distT="0" distB="0" distL="114300" distR="114300" simplePos="0" relativeHeight="251665408" behindDoc="0" locked="0" layoutInCell="1" allowOverlap="1">
                <wp:simplePos x="0" y="0"/>
                <wp:positionH relativeFrom="column">
                  <wp:posOffset>1979930</wp:posOffset>
                </wp:positionH>
                <wp:positionV relativeFrom="paragraph">
                  <wp:posOffset>3051810</wp:posOffset>
                </wp:positionV>
                <wp:extent cx="45720" cy="45720"/>
                <wp:effectExtent l="0" t="0" r="11430" b="11430"/>
                <wp:wrapNone/>
                <wp:docPr id="499" name="矩形 499"/>
                <wp:cNvGraphicFramePr/>
                <a:graphic xmlns:a="http://schemas.openxmlformats.org/drawingml/2006/main">
                  <a:graphicData uri="http://schemas.microsoft.com/office/word/2010/wordprocessingShape">
                    <wps:wsp>
                      <wps:cNvSpPr/>
                      <wps:spPr>
                        <a:xfrm flipH="1">
                          <a:off x="0" y="0"/>
                          <a:ext cx="45720" cy="4572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155.9pt;margin-top:240.3pt;height:3.6pt;width:3.6pt;z-index:251665408;v-text-anchor:middle;mso-width-relative:page;mso-height-relative:page;" filled="f" stroked="t" coordsize="21600,21600" o:gfxdata="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C7LMHaAAAACwEAAA8AAAAAAAAAAQAgAAAAIgAAAGRycy9kb3ducmV2&#10;LnhtbFBLAQIUABQAAAAIAIdO4kAkfeYQbAIAANUEAAAOAAAAAAAAAAEAIAAAACkBAABkcnMvZTJv&#10;RG9jLnhtbFBLBQYAAAAABgAGAFkBAAAHBgAAAAA=&#10;">
                <v:fill on="f" focussize="0,0"/>
                <v:stroke weight="0.5pt" color="#FF0000 [3204]" miterlimit="8" joinstyle="miter"/>
                <v:imagedata o:title=""/>
                <o:lock v:ext="edit" aspectratio="f"/>
              </v:rect>
            </w:pict>
          </mc:Fallback>
        </mc:AlternateContent>
      </w:r>
      <w:r>
        <w:rPr>
          <w:rFonts w:ascii="Times New Roman" w:hAnsi="Times New Roman" w:cs="Times New Roman"/>
          <w:caps w:val="0"/>
          <w:smallCaps w:val="0"/>
          <w:color w:val="auto"/>
          <w:spacing w:val="0"/>
          <w:w w:val="100"/>
          <w:position w:val="0"/>
          <w:highlight w:val="none"/>
        </w:rPr>
        <w:drawing>
          <wp:inline distT="0" distB="0" distL="0" distR="0">
            <wp:extent cx="5759450" cy="4361815"/>
            <wp:effectExtent l="0" t="0" r="0" b="635"/>
            <wp:docPr id="500" name="图片 500" descr="21主体功能区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图片 500" descr="21主体功能区分布图"/>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759450" cy="4362218"/>
                    </a:xfrm>
                    <a:prstGeom prst="rect">
                      <a:avLst/>
                    </a:prstGeom>
                    <a:noFill/>
                    <a:ln>
                      <a:noFill/>
                    </a:ln>
                  </pic:spPr>
                </pic:pic>
              </a:graphicData>
            </a:graphic>
          </wp:inline>
        </w:drawing>
      </w:r>
    </w:p>
    <w:p w14:paraId="47005F6E">
      <w:pPr>
        <w:jc w:val="center"/>
        <w:rPr>
          <w:rFonts w:ascii="Times New Roman" w:hAnsi="Times New Roman" w:cs="Times New Roman"/>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图1.4-1    本项目与黑龙江省主体功能区位置关系图</w:t>
      </w:r>
    </w:p>
    <w:p w14:paraId="689B2524">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1.4.2.2与《黑龙江省生态功能区划》符合性分析</w:t>
      </w:r>
    </w:p>
    <w:p w14:paraId="609E5114">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根据《黑龙江省生态功能区划》，本项目所在区域位于</w:t>
      </w:r>
      <w:r>
        <w:rPr>
          <w:rFonts w:hint="eastAsia" w:ascii="Times New Roman" w:hAnsi="Times New Roman" w:eastAsiaTheme="minorEastAsia"/>
          <w:caps w:val="0"/>
          <w:smallCaps w:val="0"/>
          <w:color w:val="auto"/>
          <w:spacing w:val="0"/>
          <w:w w:val="100"/>
          <w:position w:val="0"/>
          <w:highlight w:val="none"/>
          <w:lang w:val="en-US"/>
        </w:rPr>
        <w:t>Ⅰ</w:t>
      </w:r>
      <w:r>
        <w:rPr>
          <w:rFonts w:ascii="Times New Roman" w:hAnsi="Times New Roman" w:eastAsiaTheme="minorEastAsia"/>
          <w:caps w:val="0"/>
          <w:smallCaps w:val="0"/>
          <w:color w:val="auto"/>
          <w:spacing w:val="0"/>
          <w:w w:val="100"/>
          <w:position w:val="0"/>
          <w:highlight w:val="none"/>
          <w:lang w:val="en-US"/>
        </w:rPr>
        <w:t>-6-1-3安达-肇东-肇源农、牧业与盐渍化控制生态功能区，该功能区的主要生态系统服务功能为盐渍化控制、生态系统产品提供</w:t>
      </w:r>
      <w:r>
        <w:rPr>
          <w:rFonts w:hint="eastAsia" w:ascii="Times New Roman" w:hAnsi="Times New Roman" w:eastAsiaTheme="minorEastAsia"/>
          <w:caps w:val="0"/>
          <w:smallCaps w:val="0"/>
          <w:color w:val="auto"/>
          <w:spacing w:val="0"/>
          <w:w w:val="100"/>
          <w:position w:val="0"/>
          <w:highlight w:val="none"/>
          <w:lang w:val="en-US"/>
        </w:rPr>
        <w:t>。</w:t>
      </w:r>
    </w:p>
    <w:p w14:paraId="28D2BCC6">
      <w:pPr>
        <w:pStyle w:val="149"/>
        <w:widowControl w:val="0"/>
        <w:spacing w:line="440" w:lineRule="exact"/>
        <w:ind w:firstLine="473"/>
        <w:jc w:val="both"/>
        <w:rPr>
          <w:rFonts w:ascii="Times New Roman" w:hAnsi="Times New Roman"/>
          <w:iCs/>
          <w:caps w:val="0"/>
          <w:smallCaps w:val="0"/>
          <w:color w:val="auto"/>
          <w:spacing w:val="0"/>
          <w:w w:val="100"/>
          <w:position w:val="0"/>
          <w:highlight w:val="none"/>
        </w:rPr>
      </w:pPr>
      <w:r>
        <w:rPr>
          <w:rFonts w:ascii="Times New Roman" w:hAnsi="Times New Roman"/>
          <w:iCs/>
          <w:caps w:val="0"/>
          <w:smallCaps w:val="0"/>
          <w:color w:val="auto"/>
          <w:spacing w:val="0"/>
          <w:w w:val="100"/>
          <w:position w:val="0"/>
          <w:highlight w:val="none"/>
        </w:rPr>
        <w:t>本项目为油田内部集输管道建设项目，属于大庆油田陆地石油开采项目的一部分，建成后不新增永久占</w:t>
      </w:r>
      <w:r>
        <w:rPr>
          <w:rFonts w:ascii="Times New Roman" w:hAnsi="Times New Roman"/>
          <w:iCs/>
          <w:caps w:val="0"/>
          <w:smallCaps w:val="0"/>
          <w:color w:val="auto"/>
          <w:spacing w:val="0"/>
          <w:w w:val="100"/>
          <w:position w:val="0"/>
          <w:highlight w:val="none"/>
        </w:rPr>
        <w:t>地</w:t>
      </w:r>
      <w:r>
        <w:rPr>
          <w:rFonts w:ascii="Times New Roman" w:hAnsi="Times New Roman"/>
          <w:bCs/>
          <w:iCs/>
          <w:caps w:val="0"/>
          <w:smallCaps w:val="0"/>
          <w:color w:val="auto"/>
          <w:spacing w:val="0"/>
          <w:w w:val="100"/>
          <w:position w:val="0"/>
          <w:highlight w:val="none"/>
        </w:rPr>
        <w:t>，临时占地面积为</w:t>
      </w:r>
      <w:r>
        <w:rPr>
          <w:rFonts w:hint="eastAsia" w:ascii="Times New Roman" w:hAnsi="Times New Roman"/>
          <w:bCs/>
          <w:iCs/>
          <w:caps w:val="0"/>
          <w:smallCaps w:val="0"/>
          <w:color w:val="auto"/>
          <w:spacing w:val="0"/>
          <w:w w:val="100"/>
          <w:position w:val="0"/>
          <w:highlight w:val="none"/>
          <w:lang w:val="en-US" w:eastAsia="zh-CN"/>
        </w:rPr>
        <w:t>21.88</w:t>
      </w:r>
      <w:r>
        <w:rPr>
          <w:rFonts w:ascii="Times New Roman" w:hAnsi="Times New Roman"/>
          <w:bCs/>
          <w:iCs/>
          <w:caps w:val="0"/>
          <w:smallCaps w:val="0"/>
          <w:color w:val="auto"/>
          <w:spacing w:val="0"/>
          <w:w w:val="100"/>
          <w:position w:val="0"/>
          <w:highlight w:val="none"/>
        </w:rPr>
        <w:t>hm</w:t>
      </w:r>
      <w:r>
        <w:rPr>
          <w:rFonts w:ascii="Times New Roman" w:hAnsi="Times New Roman"/>
          <w:bCs/>
          <w:iCs/>
          <w:caps w:val="0"/>
          <w:smallCaps w:val="0"/>
          <w:color w:val="auto"/>
          <w:spacing w:val="0"/>
          <w:w w:val="100"/>
          <w:position w:val="0"/>
          <w:highlight w:val="none"/>
          <w:vertAlign w:val="superscript"/>
        </w:rPr>
        <w:t>2</w:t>
      </w:r>
      <w:r>
        <w:rPr>
          <w:rFonts w:ascii="Times New Roman" w:hAnsi="Times New Roman"/>
          <w:bCs/>
          <w:iCs/>
          <w:caps w:val="0"/>
          <w:smallCaps w:val="0"/>
          <w:color w:val="auto"/>
          <w:spacing w:val="0"/>
          <w:w w:val="100"/>
          <w:position w:val="0"/>
          <w:highlight w:val="none"/>
        </w:rPr>
        <w:t>，</w:t>
      </w:r>
      <w:r>
        <w:rPr>
          <w:rFonts w:ascii="Times New Roman" w:hAnsi="Times New Roman"/>
          <w:iCs/>
          <w:caps w:val="0"/>
          <w:smallCaps w:val="0"/>
          <w:color w:val="auto"/>
          <w:spacing w:val="0"/>
          <w:w w:val="100"/>
          <w:position w:val="0"/>
          <w:highlight w:val="none"/>
        </w:rPr>
        <w:t>占地类型为</w:t>
      </w:r>
      <w:r>
        <w:rPr>
          <w:rFonts w:hint="eastAsia" w:ascii="Times New Roman" w:hAnsi="Times New Roman"/>
          <w:iCs/>
          <w:caps w:val="0"/>
          <w:smallCaps w:val="0"/>
          <w:color w:val="auto"/>
          <w:spacing w:val="0"/>
          <w:w w:val="100"/>
          <w:position w:val="0"/>
          <w:highlight w:val="none"/>
          <w:lang w:val="en-US" w:eastAsia="zh-CN"/>
        </w:rPr>
        <w:t>耕地（基本农田）和</w:t>
      </w:r>
      <w:r>
        <w:rPr>
          <w:rFonts w:ascii="Times New Roman" w:hAnsi="Times New Roman"/>
          <w:iCs/>
          <w:caps w:val="0"/>
          <w:smallCaps w:val="0"/>
          <w:color w:val="auto"/>
          <w:spacing w:val="0"/>
          <w:w w:val="100"/>
          <w:position w:val="0"/>
          <w:highlight w:val="none"/>
        </w:rPr>
        <w:t>草地（非基本草原），占地面</w:t>
      </w:r>
      <w:r>
        <w:rPr>
          <w:rFonts w:ascii="Times New Roman" w:hAnsi="Times New Roman"/>
          <w:iCs/>
          <w:caps w:val="0"/>
          <w:smallCaps w:val="0"/>
          <w:color w:val="auto"/>
          <w:spacing w:val="0"/>
          <w:w w:val="100"/>
          <w:position w:val="0"/>
          <w:highlight w:val="none"/>
        </w:rPr>
        <w:t>积不大。项目施工结束后对临时占地进行恢复，不会造成大面积的土地退化，项目的建设不会对区域生态功能产生明显影响，在项目实施过程中，应加强防沙治沙措施的实施，如尽量减少施工作业范围，施工过程中力求做到挖填平衡，施工结束后对破坏的土地进行平整并覆土压实，及时进行植被恢复等，本项目的建设不会对区域生态功能产生明显影响，满足该区域生态系统服务功能需求。因此，本项目符合《黑龙江省生态功能区规划》的要求。</w:t>
      </w:r>
    </w:p>
    <w:p w14:paraId="0E7697A8">
      <w:pPr>
        <w:pStyle w:val="14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mc:AlternateContent>
          <mc:Choice Requires="wps">
            <w:drawing>
              <wp:anchor distT="0" distB="0" distL="114300" distR="114300" simplePos="0" relativeHeight="251698176" behindDoc="0" locked="0" layoutInCell="1" allowOverlap="1">
                <wp:simplePos x="0" y="0"/>
                <wp:positionH relativeFrom="column">
                  <wp:posOffset>1130300</wp:posOffset>
                </wp:positionH>
                <wp:positionV relativeFrom="paragraph">
                  <wp:posOffset>2319655</wp:posOffset>
                </wp:positionV>
                <wp:extent cx="1073150" cy="309245"/>
                <wp:effectExtent l="6350" t="6350" r="482600" b="313055"/>
                <wp:wrapNone/>
                <wp:docPr id="261332481" name="圆角矩形标注 14"/>
                <wp:cNvGraphicFramePr/>
                <a:graphic xmlns:a="http://schemas.openxmlformats.org/drawingml/2006/main">
                  <a:graphicData uri="http://schemas.microsoft.com/office/word/2010/wordprocessingShape">
                    <wps:wsp>
                      <wps:cNvSpPr/>
                      <wps:spPr>
                        <a:xfrm>
                          <a:off x="0" y="0"/>
                          <a:ext cx="1073150" cy="309245"/>
                        </a:xfrm>
                        <a:prstGeom prst="wedgeRoundRectCallout">
                          <a:avLst>
                            <a:gd name="adj1" fmla="val 88825"/>
                            <a:gd name="adj2" fmla="val 140946"/>
                            <a:gd name="adj3" fmla="val 16667"/>
                          </a:avLst>
                        </a:prstGeom>
                      </wps:spPr>
                      <wps:style>
                        <a:lnRef idx="2">
                          <a:schemeClr val="accent2"/>
                        </a:lnRef>
                        <a:fillRef idx="1">
                          <a:schemeClr val="lt1"/>
                        </a:fillRef>
                        <a:effectRef idx="0">
                          <a:schemeClr val="accent2"/>
                        </a:effectRef>
                        <a:fontRef idx="minor">
                          <a:schemeClr val="dk1"/>
                        </a:fontRef>
                      </wps:style>
                      <wps:txbx>
                        <w:txbxContent>
                          <w:p w14:paraId="2DDD65CD">
                            <w:pPr>
                              <w:rPr>
                                <w:rFonts w:hint="eastAsia"/>
                              </w:rPr>
                            </w:pPr>
                            <w:r>
                              <w:rPr>
                                <w:rFonts w:hint="eastAsia"/>
                              </w:rPr>
                              <w:t>本项目</w:t>
                            </w:r>
                            <w: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14" o:spid="_x0000_s1026" o:spt="62" type="#_x0000_t62" style="position:absolute;left:0pt;margin-left:89pt;margin-top:182.65pt;height:24.35pt;width:84.5pt;z-index:251698176;v-text-anchor:middle;mso-width-relative:page;mso-height-relative:page;" fillcolor="#FFFFFF [3201]" filled="t" stroked="t" coordsize="21600,21600" o:gfxdata="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uzrTINkAAAALAQAADwAAAAAAAAABACAAAAAiAAAAZHJzL2Rvd25yZXYueG1sUEsBAhQAFAAA&#10;AAgAh07iQNx/QT7SAgAAmwUAAA4AAAAAAAAAAQAgAAAAKAEAAGRycy9lMm9Eb2MueG1sUEsFBgAA&#10;AAAGAAYAWQEAAGwGAAAAAA==&#10;" adj="29986,41244,14400">
                <v:fill on="t" focussize="0,0"/>
                <v:stroke weight="1pt" color="#ED7D31 [3205]" miterlimit="8" joinstyle="miter"/>
                <v:imagedata o:title=""/>
                <o:lock v:ext="edit" aspectratio="f"/>
                <v:textbox>
                  <w:txbxContent>
                    <w:p w14:paraId="2DDD65CD">
                      <w:pPr>
                        <w:rPr>
                          <w:rFonts w:hint="eastAsia"/>
                        </w:rPr>
                      </w:pPr>
                      <w:r>
                        <w:rPr>
                          <w:rFonts w:hint="eastAsia"/>
                        </w:rPr>
                        <w:t>本项目</w:t>
                      </w:r>
                      <w:r>
                        <w:t>位置</w:t>
                      </w:r>
                    </w:p>
                  </w:txbxContent>
                </v:textbox>
              </v:shape>
            </w:pict>
          </mc:Fallback>
        </mc:AlternateContent>
      </w:r>
      <w:r>
        <w:rPr>
          <w:rFonts w:ascii="Times New Roman" w:hAnsi="Times New Roman" w:cs="Times New Roman"/>
          <w:caps w:val="0"/>
          <w:smallCaps w:val="0"/>
          <w:color w:val="auto"/>
          <w:spacing w:val="0"/>
          <w:w w:val="100"/>
          <w:position w:val="0"/>
          <w:highlight w:val="none"/>
        </w:rPr>
        <mc:AlternateContent>
          <mc:Choice Requires="wps">
            <w:drawing>
              <wp:anchor distT="0" distB="0" distL="114300" distR="114300" simplePos="0" relativeHeight="251697152" behindDoc="0" locked="0" layoutInCell="1" allowOverlap="1">
                <wp:simplePos x="0" y="0"/>
                <wp:positionH relativeFrom="margin">
                  <wp:posOffset>2609850</wp:posOffset>
                </wp:positionH>
                <wp:positionV relativeFrom="paragraph">
                  <wp:posOffset>2872105</wp:posOffset>
                </wp:positionV>
                <wp:extent cx="76200" cy="66675"/>
                <wp:effectExtent l="4445" t="4445" r="14605" b="5080"/>
                <wp:wrapNone/>
                <wp:docPr id="12" name="矩形 12"/>
                <wp:cNvGraphicFramePr/>
                <a:graphic xmlns:a="http://schemas.openxmlformats.org/drawingml/2006/main">
                  <a:graphicData uri="http://schemas.microsoft.com/office/word/2010/wordprocessingShape">
                    <wps:wsp>
                      <wps:cNvSpPr/>
                      <wps:spPr>
                        <a:xfrm flipH="1">
                          <a:off x="0" y="0"/>
                          <a:ext cx="76200" cy="66675"/>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205.5pt;margin-top:226.15pt;height:5.25pt;width:6pt;mso-position-horizontal-relative:margin;z-index:251697152;v-text-anchor:middle;mso-width-relative:page;mso-height-relative:page;" filled="f" stroked="t" coordsize="21600,21600" o:gfxdata="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Jdqz32gAAAAsBAAAPAAAAAAAAAAEAIAAAACIAAABkcnMvZG93bnJl&#10;di54bWxQSwECFAAUAAAACACHTuJA6Kn5vG0CAADTBAAADgAAAAAAAAABACAAAAApAQAAZHJzL2Uy&#10;b0RvYy54bWxQSwUGAAAAAAYABgBZAQAACAYAAAAA&#10;">
                <v:fill on="f" focussize="0,0"/>
                <v:stroke weight="0.5pt" color="#FF0000 [3204]" miterlimit="8" joinstyle="miter"/>
                <v:imagedata o:title=""/>
                <o:lock v:ext="edit" aspectratio="f"/>
              </v:rect>
            </w:pict>
          </mc:Fallback>
        </mc:AlternateContent>
      </w:r>
      <w:r>
        <w:rPr>
          <w:rFonts w:ascii="Times New Roman" w:hAnsi="Times New Roman" w:cs="Times New Roman"/>
          <w:caps w:val="0"/>
          <w:smallCaps w:val="0"/>
          <w:color w:val="auto"/>
          <w:spacing w:val="0"/>
          <w:w w:val="100"/>
          <w:position w:val="0"/>
          <w:highlight w:val="none"/>
        </w:rPr>
        <w:drawing>
          <wp:inline distT="0" distB="0" distL="0" distR="0">
            <wp:extent cx="5461000" cy="3825875"/>
            <wp:effectExtent l="0" t="0" r="635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61000" cy="3825875"/>
                    </a:xfrm>
                    <a:prstGeom prst="rect">
                      <a:avLst/>
                    </a:prstGeom>
                  </pic:spPr>
                </pic:pic>
              </a:graphicData>
            </a:graphic>
          </wp:inline>
        </w:drawing>
      </w:r>
    </w:p>
    <w:p w14:paraId="0F153907">
      <w:pPr>
        <w:pStyle w:val="149"/>
        <w:keepNext w:val="0"/>
        <w:keepLines w:val="0"/>
        <w:pageBreakBefore w:val="0"/>
        <w:widowControl w:val="0"/>
        <w:kinsoku/>
        <w:wordWrap/>
        <w:overflowPunct/>
        <w:topLinePunct w:val="0"/>
        <w:autoSpaceDE/>
        <w:autoSpaceDN/>
        <w:bidi w:val="0"/>
        <w:adjustRightInd/>
        <w:snapToGrid/>
        <w:spacing w:line="240" w:lineRule="auto"/>
        <w:ind w:firstLine="473"/>
        <w:jc w:val="both"/>
        <w:textAlignment w:val="auto"/>
        <w:rPr>
          <w:rFonts w:hint="eastAsia" w:ascii="Times New Roman" w:hAnsi="Times New Roman" w:eastAsia="宋体"/>
          <w:iCs/>
          <w:caps w:val="0"/>
          <w:smallCaps w:val="0"/>
          <w:color w:val="auto"/>
          <w:spacing w:val="0"/>
          <w:w w:val="100"/>
          <w:position w:val="0"/>
          <w:highlight w:val="none"/>
          <w:lang w:val="en-US" w:eastAsia="zh-CN"/>
        </w:rPr>
      </w:pPr>
    </w:p>
    <w:p w14:paraId="6FE21524">
      <w:pPr>
        <w:jc w:val="center"/>
        <w:rPr>
          <w:rFonts w:ascii="Times New Roman" w:hAnsi="Times New Roman" w:cs="Times New Roman"/>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 xml:space="preserve">图1.4-2    </w:t>
      </w:r>
      <w:r>
        <w:rPr>
          <w:rFonts w:ascii="Times New Roman" w:hAnsi="Times New Roman" w:cs="Times New Roman" w:eastAsiaTheme="minorEastAsia"/>
          <w:b/>
          <w:iCs/>
          <w:caps w:val="0"/>
          <w:smallCaps w:val="0"/>
          <w:color w:val="auto"/>
          <w:spacing w:val="0"/>
          <w:w w:val="100"/>
          <w:position w:val="0"/>
          <w:highlight w:val="none"/>
        </w:rPr>
        <w:t>本项目与《黑龙江省生态功能区划》位置关系</w:t>
      </w:r>
      <w:r>
        <w:rPr>
          <w:rFonts w:ascii="Times New Roman" w:hAnsi="Times New Roman" w:cs="Times New Roman" w:eastAsiaTheme="minorEastAsia"/>
          <w:b/>
          <w:caps w:val="0"/>
          <w:smallCaps w:val="0"/>
          <w:color w:val="auto"/>
          <w:spacing w:val="0"/>
          <w:w w:val="100"/>
          <w:position w:val="0"/>
          <w:highlight w:val="none"/>
        </w:rPr>
        <w:t>图</w:t>
      </w:r>
    </w:p>
    <w:p w14:paraId="378ABBD1">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1.4.2.3与国土空间总体规划符合性分析</w:t>
      </w:r>
    </w:p>
    <w:p w14:paraId="34E2BC03">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根据《安达市</w:t>
      </w:r>
      <w:r>
        <w:rPr>
          <w:rFonts w:hint="eastAsia" w:ascii="Times New Roman" w:hAnsi="Times New Roman" w:eastAsiaTheme="minorEastAsia"/>
          <w:caps w:val="0"/>
          <w:smallCaps w:val="0"/>
          <w:color w:val="auto"/>
          <w:spacing w:val="0"/>
          <w:w w:val="100"/>
          <w:position w:val="0"/>
          <w:highlight w:val="none"/>
          <w:lang w:val="en-US"/>
        </w:rPr>
        <w:t>国土空间总体规划</w:t>
      </w:r>
      <w:r>
        <w:rPr>
          <w:rFonts w:ascii="Times New Roman" w:hAnsi="Times New Roman" w:eastAsiaTheme="minorEastAsia"/>
          <w:caps w:val="0"/>
          <w:smallCaps w:val="0"/>
          <w:color w:val="auto"/>
          <w:spacing w:val="0"/>
          <w:w w:val="100"/>
          <w:position w:val="0"/>
          <w:highlight w:val="none"/>
          <w:lang w:val="en-US"/>
        </w:rPr>
        <w:t>（</w:t>
      </w:r>
      <w:r>
        <w:rPr>
          <w:rFonts w:hint="eastAsia" w:ascii="Times New Roman" w:hAnsi="Times New Roman" w:eastAsiaTheme="minorEastAsia"/>
          <w:caps w:val="0"/>
          <w:smallCaps w:val="0"/>
          <w:color w:val="auto"/>
          <w:spacing w:val="0"/>
          <w:w w:val="100"/>
          <w:position w:val="0"/>
          <w:highlight w:val="none"/>
          <w:lang w:val="en-US"/>
        </w:rPr>
        <w:t>2021-2035</w:t>
      </w:r>
      <w:r>
        <w:rPr>
          <w:rFonts w:ascii="Times New Roman" w:hAnsi="Times New Roman" w:eastAsiaTheme="minorEastAsia"/>
          <w:caps w:val="0"/>
          <w:smallCaps w:val="0"/>
          <w:color w:val="auto"/>
          <w:spacing w:val="0"/>
          <w:w w:val="100"/>
          <w:position w:val="0"/>
          <w:highlight w:val="none"/>
          <w:lang w:val="en-US"/>
        </w:rPr>
        <w:t>）》，</w:t>
      </w:r>
      <w:r>
        <w:rPr>
          <w:rFonts w:hint="eastAsia" w:ascii="Times New Roman" w:hAnsi="Times New Roman" w:eastAsiaTheme="minorEastAsia"/>
          <w:caps w:val="0"/>
          <w:smallCaps w:val="0"/>
          <w:color w:val="auto"/>
          <w:spacing w:val="0"/>
          <w:w w:val="100"/>
          <w:position w:val="0"/>
          <w:highlight w:val="none"/>
          <w:lang w:val="en-US"/>
        </w:rPr>
        <w:t>安达市紧跟绥化市域发展步伐，积极融入“哈大绥”产业密集区、哈大齐工业走廊安达区段建设，充分发挥安达石油化工区的示范作用，提高产业集中度，实现产业集群化、园区化发展。发挥安达市打造黑龙江省“油头化尾”重要承载区，唯一精细化工县级承载基地基础优势，安达市重点承接大庆市辐射的精细化工、石油产品加工业，同时承接以农产品加工、机械制造、现代商贸物流等为特色优势的区域产业集群建设。安达具有发展石油化工产业所必需的石油资源，产业基础虽然薄弱但具有非常广阔的国际国内市场，以建设绿色油气化工名城为目标，力争成为中国最强支柱产业。</w:t>
      </w:r>
      <w:r>
        <w:rPr>
          <w:rFonts w:ascii="Times New Roman" w:hAnsi="Times New Roman"/>
          <w:iCs/>
          <w:caps w:val="0"/>
          <w:smallCaps w:val="0"/>
          <w:color w:val="auto"/>
          <w:spacing w:val="0"/>
          <w:w w:val="100"/>
          <w:position w:val="0"/>
          <w:highlight w:val="none"/>
        </w:rPr>
        <w:t>本项目为油田内部集输管道建设项目，</w:t>
      </w:r>
      <w:r>
        <w:rPr>
          <w:rFonts w:ascii="Times New Roman" w:hAnsi="Times New Roman"/>
          <w:iCs/>
          <w:caps w:val="0"/>
          <w:smallCaps w:val="0"/>
          <w:color w:val="auto"/>
          <w:spacing w:val="0"/>
          <w:w w:val="100"/>
          <w:position w:val="0"/>
          <w:highlight w:val="none"/>
          <w:lang w:val="en-US"/>
        </w:rPr>
        <w:t>为安达市发展石油化工提供产业基础。</w:t>
      </w:r>
    </w:p>
    <w:p w14:paraId="778C7A7A">
      <w:pPr>
        <w:pStyle w:val="149"/>
        <w:widowControl w:val="0"/>
        <w:spacing w:line="440" w:lineRule="exact"/>
        <w:ind w:firstLine="473"/>
        <w:jc w:val="both"/>
        <w:rPr>
          <w:rFonts w:hint="eastAsia"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根据《安达市国土空间总体规划（2021-2035）》，要推进高标准农田建设、黑土地保护利用、污染土地修复，提升耕地质量和农田生态功能。本项目开发区域不在生态保护红线、城镇开发边界内，但本项目部分管段建设占用永久基本农田。根据项目场站</w:t>
      </w:r>
      <w:r>
        <w:rPr>
          <w:rFonts w:hint="eastAsia" w:ascii="Times New Roman" w:hAnsi="Times New Roman" w:eastAsiaTheme="minorEastAsia"/>
          <w:caps w:val="0"/>
          <w:smallCaps w:val="0"/>
          <w:color w:val="auto"/>
          <w:spacing w:val="0"/>
          <w:w w:val="100"/>
          <w:position w:val="0"/>
          <w:highlight w:val="none"/>
          <w:lang w:val="en-US" w:eastAsia="zh-CN"/>
        </w:rPr>
        <w:t>分布位置</w:t>
      </w:r>
      <w:r>
        <w:rPr>
          <w:rFonts w:hint="eastAsia" w:ascii="Times New Roman" w:hAnsi="Times New Roman" w:eastAsiaTheme="minorEastAsia"/>
          <w:caps w:val="0"/>
          <w:smallCaps w:val="0"/>
          <w:color w:val="auto"/>
          <w:spacing w:val="0"/>
          <w:w w:val="100"/>
          <w:position w:val="0"/>
          <w:highlight w:val="none"/>
          <w:lang w:val="en-US"/>
        </w:rPr>
        <w:t>和基本农田分布情况，管线选线确实无法避让基本农田，根据《基本农田保护条例》（2011年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针对临时占地在将剥离的表土在施工结束后分层回填，确保恢复等质等量面积的耕地，临时占用草地进行植被恢复。在采取以上措施的前提下，本项目满足《安达市国土空间总体规划（2021-2035）》中的要求。</w:t>
      </w:r>
    </w:p>
    <w:p w14:paraId="6AAB2D8E">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1.4.2.4国民经济和社会发展规划符合性分析</w:t>
      </w:r>
    </w:p>
    <w:p w14:paraId="4DBFE489">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lang w:bidi="zh-CN"/>
        </w:rPr>
      </w:pPr>
      <w:r>
        <w:rPr>
          <w:rFonts w:ascii="Times New Roman" w:hAnsi="Times New Roman" w:eastAsiaTheme="minorEastAsia"/>
          <w:caps w:val="0"/>
          <w:smallCaps w:val="0"/>
          <w:color w:val="auto"/>
          <w:spacing w:val="0"/>
          <w:w w:val="100"/>
          <w:position w:val="0"/>
          <w:highlight w:val="none"/>
          <w:lang w:bidi="zh-CN"/>
        </w:rPr>
        <w:t>《黑龙江省国民经济和社会发展第十四个五年规划和二〇三五年远景目标纲要》中提出：保障国家能源安全。当好标杆旗帜，建设百年油田，推进大庆油田常规油气资源稳油增气，建立地企共建共享机制，加快大庆页岩油气开发产业化商业化步伐，到2025年油气产量当量达到4500万吨以上，巩固石油大省地位。</w:t>
      </w:r>
    </w:p>
    <w:p w14:paraId="1A4D1BA8">
      <w:pPr>
        <w:pStyle w:val="149"/>
        <w:widowControl w:val="0"/>
        <w:spacing w:line="440" w:lineRule="exact"/>
        <w:ind w:firstLine="473"/>
        <w:jc w:val="both"/>
        <w:rPr>
          <w:rFonts w:ascii="Times New Roman" w:hAnsi="Times New Roman" w:eastAsiaTheme="minorEastAsia"/>
          <w:bCs/>
          <w:caps w:val="0"/>
          <w:smallCaps w:val="0"/>
          <w:color w:val="auto"/>
          <w:spacing w:val="0"/>
          <w:w w:val="100"/>
          <w:position w:val="0"/>
          <w:highlight w:val="none"/>
          <w:lang w:bidi="zh-CN"/>
        </w:rPr>
      </w:pPr>
      <w:r>
        <w:rPr>
          <w:rFonts w:ascii="Times New Roman" w:hAnsi="Times New Roman" w:eastAsiaTheme="minorEastAsia"/>
          <w:bCs/>
          <w:caps w:val="0"/>
          <w:smallCaps w:val="0"/>
          <w:color w:val="auto"/>
          <w:spacing w:val="0"/>
          <w:w w:val="100"/>
          <w:position w:val="0"/>
          <w:highlight w:val="none"/>
          <w:lang w:bidi="zh-CN"/>
        </w:rPr>
        <w:t>本项目为油田内部集输管道建设项目，属于大庆油田陆地石油开采项目的一部分，属于能源附属基本设施建设，服务于国家能源设施重点建设。项目建设有利于加快推进大庆油田常规油气资源稳油增气，因此本项目符合</w:t>
      </w:r>
      <w:r>
        <w:rPr>
          <w:rFonts w:ascii="Times New Roman" w:hAnsi="Times New Roman" w:eastAsiaTheme="minorEastAsia"/>
          <w:caps w:val="0"/>
          <w:smallCaps w:val="0"/>
          <w:color w:val="auto"/>
          <w:spacing w:val="0"/>
          <w:w w:val="100"/>
          <w:position w:val="0"/>
          <w:highlight w:val="none"/>
          <w:lang w:bidi="zh-CN"/>
        </w:rPr>
        <w:t>《黑龙江省国民经济和社会发展第十四个五年规划和二〇三五年远景目标纲要》</w:t>
      </w:r>
      <w:r>
        <w:rPr>
          <w:rFonts w:ascii="Times New Roman" w:hAnsi="Times New Roman" w:eastAsiaTheme="minorEastAsia"/>
          <w:bCs/>
          <w:caps w:val="0"/>
          <w:smallCaps w:val="0"/>
          <w:color w:val="auto"/>
          <w:spacing w:val="0"/>
          <w:w w:val="100"/>
          <w:position w:val="0"/>
          <w:highlight w:val="none"/>
          <w:lang w:bidi="zh-CN"/>
        </w:rPr>
        <w:t>中要求。</w:t>
      </w:r>
    </w:p>
    <w:p w14:paraId="52B1E27A">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1.4.2.5</w:t>
      </w:r>
      <w:r>
        <w:rPr>
          <w:rFonts w:ascii="Times New Roman" w:hAnsi="Times New Roman" w:eastAsiaTheme="minorEastAsia"/>
          <w:b/>
          <w:caps w:val="0"/>
          <w:smallCaps w:val="0"/>
          <w:color w:val="auto"/>
          <w:spacing w:val="0"/>
          <w:w w:val="100"/>
          <w:position w:val="0"/>
          <w:highlight w:val="none"/>
          <w:lang w:bidi="zh-CN"/>
        </w:rPr>
        <w:t>与《</w:t>
      </w:r>
      <w:bookmarkStart w:id="99" w:name="OLE_LINK41"/>
      <w:r>
        <w:rPr>
          <w:rFonts w:ascii="Times New Roman" w:hAnsi="Times New Roman" w:eastAsiaTheme="minorEastAsia"/>
          <w:b/>
          <w:caps w:val="0"/>
          <w:smallCaps w:val="0"/>
          <w:color w:val="auto"/>
          <w:spacing w:val="0"/>
          <w:w w:val="100"/>
          <w:position w:val="0"/>
          <w:highlight w:val="none"/>
          <w:lang w:bidi="zh-CN"/>
        </w:rPr>
        <w:t>黑龙江省“十四五”生态环境保护规划</w:t>
      </w:r>
      <w:bookmarkEnd w:id="99"/>
      <w:r>
        <w:rPr>
          <w:rFonts w:ascii="Times New Roman" w:hAnsi="Times New Roman" w:eastAsiaTheme="minorEastAsia"/>
          <w:b/>
          <w:caps w:val="0"/>
          <w:smallCaps w:val="0"/>
          <w:color w:val="auto"/>
          <w:spacing w:val="0"/>
          <w:w w:val="100"/>
          <w:position w:val="0"/>
          <w:highlight w:val="none"/>
          <w:lang w:bidi="zh-CN"/>
        </w:rPr>
        <w:t>》符合性分析</w:t>
      </w:r>
    </w:p>
    <w:p w14:paraId="7830F225">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本项目与《黑龙江省“十四五”生态环境保护规划》符合性分析见表1.4-1。</w:t>
      </w:r>
    </w:p>
    <w:p w14:paraId="0A247B83">
      <w:pPr>
        <w:widowControl w:val="0"/>
        <w:spacing w:line="440" w:lineRule="exact"/>
        <w:jc w:val="center"/>
        <w:rPr>
          <w:rFonts w:ascii="Times New Roman" w:hAnsi="Times New Roman" w:cs="Times New Roman"/>
          <w:b/>
          <w:bCs/>
          <w:caps w:val="0"/>
          <w:smallCaps w:val="0"/>
          <w:color w:val="auto"/>
          <w:spacing w:val="0"/>
          <w:w w:val="100"/>
          <w:kern w:val="21"/>
          <w:position w:val="0"/>
          <w:szCs w:val="20"/>
          <w:highlight w:val="none"/>
        </w:rPr>
      </w:pPr>
      <w:r>
        <w:rPr>
          <w:rFonts w:ascii="Times New Roman" w:hAnsi="Times New Roman" w:cs="Times New Roman"/>
          <w:b/>
          <w:bCs/>
          <w:caps w:val="0"/>
          <w:smallCaps w:val="0"/>
          <w:color w:val="auto"/>
          <w:spacing w:val="0"/>
          <w:w w:val="100"/>
          <w:kern w:val="21"/>
          <w:position w:val="0"/>
          <w:szCs w:val="20"/>
          <w:highlight w:val="none"/>
        </w:rPr>
        <w:t>表1.4-1    本项目与《黑龙江省“十四五”生态环境保护规划》相关要求符合性</w:t>
      </w:r>
    </w:p>
    <w:tbl>
      <w:tblPr>
        <w:tblStyle w:val="81"/>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043"/>
        <w:gridCol w:w="4536"/>
        <w:gridCol w:w="850"/>
      </w:tblGrid>
      <w:tr w14:paraId="5E2C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697A6EA8">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序号</w:t>
            </w:r>
          </w:p>
        </w:tc>
        <w:tc>
          <w:tcPr>
            <w:tcW w:w="3043" w:type="dxa"/>
            <w:vAlign w:val="center"/>
          </w:tcPr>
          <w:p w14:paraId="406230B5">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相关要求</w:t>
            </w:r>
          </w:p>
        </w:tc>
        <w:tc>
          <w:tcPr>
            <w:tcW w:w="4536" w:type="dxa"/>
            <w:vAlign w:val="center"/>
          </w:tcPr>
          <w:p w14:paraId="2F2EC1C0">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符合性分析</w:t>
            </w:r>
          </w:p>
        </w:tc>
        <w:tc>
          <w:tcPr>
            <w:tcW w:w="850" w:type="dxa"/>
            <w:vAlign w:val="center"/>
          </w:tcPr>
          <w:p w14:paraId="427ADDB7">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符合性</w:t>
            </w:r>
          </w:p>
        </w:tc>
      </w:tr>
      <w:tr w14:paraId="4726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484B7520">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w:t>
            </w:r>
          </w:p>
        </w:tc>
        <w:tc>
          <w:tcPr>
            <w:tcW w:w="3043" w:type="dxa"/>
            <w:vAlign w:val="center"/>
          </w:tcPr>
          <w:p w14:paraId="1A41B3DC">
            <w:pPr>
              <w:widowControl w:val="0"/>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深化协同防止，全面改善空气质量”提出：推进扬尘精细化管控。全面推行绿色施工，严格落实施工工地扬尘管控责任，加强施工扬尘监管执法。</w:t>
            </w:r>
          </w:p>
        </w:tc>
        <w:tc>
          <w:tcPr>
            <w:tcW w:w="4536" w:type="dxa"/>
            <w:vAlign w:val="center"/>
          </w:tcPr>
          <w:p w14:paraId="0E0512C0">
            <w:pPr>
              <w:widowControl/>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①</w:t>
            </w:r>
            <w:r>
              <w:rPr>
                <w:rFonts w:ascii="Times New Roman" w:hAnsi="Times New Roman" w:cs="Times New Roman"/>
                <w:caps w:val="0"/>
                <w:smallCaps w:val="0"/>
                <w:color w:val="auto"/>
                <w:spacing w:val="0"/>
                <w:w w:val="100"/>
                <w:position w:val="0"/>
                <w:sz w:val="21"/>
                <w:szCs w:val="21"/>
                <w:highlight w:val="none"/>
              </w:rPr>
              <w:t>为防止因交通运输量的增加而导致的扬尘污染，应在施工初期合理规划道路运输路线，尽量利用现有公路网络。</w:t>
            </w:r>
          </w:p>
          <w:p w14:paraId="3042B71C">
            <w:pPr>
              <w:widowControl/>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②</w:t>
            </w:r>
            <w:r>
              <w:rPr>
                <w:rFonts w:ascii="Times New Roman" w:hAnsi="Times New Roman" w:cs="Times New Roman"/>
                <w:caps w:val="0"/>
                <w:smallCaps w:val="0"/>
                <w:color w:val="auto"/>
                <w:spacing w:val="0"/>
                <w:w w:val="100"/>
                <w:position w:val="0"/>
                <w:sz w:val="21"/>
                <w:szCs w:val="21"/>
                <w:highlight w:val="none"/>
              </w:rPr>
              <w:t>运输道路、施工场地干燥时洒水抑尘，定期清扫散落在施工场地的泥土，应实行湿法吸扫，严禁干扫和吹扫，以减少扬尘对周边土壤和植被的影响。</w:t>
            </w:r>
          </w:p>
          <w:p w14:paraId="5D9AFBD1">
            <w:pPr>
              <w:widowControl/>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③</w:t>
            </w:r>
            <w:r>
              <w:rPr>
                <w:rFonts w:ascii="Times New Roman" w:hAnsi="Times New Roman" w:cs="Times New Roman"/>
                <w:caps w:val="0"/>
                <w:smallCaps w:val="0"/>
                <w:color w:val="auto"/>
                <w:spacing w:val="0"/>
                <w:w w:val="100"/>
                <w:position w:val="0"/>
                <w:sz w:val="21"/>
                <w:szCs w:val="21"/>
                <w:highlight w:val="none"/>
              </w:rPr>
              <w:t>运料车辆在运输时，车辆应当采取苫布遮盖措施，严禁敞开式、半敞开式运输，不得装载过满，以防洒落在地，形成二次扬尘。</w:t>
            </w:r>
          </w:p>
          <w:p w14:paraId="4F116A32">
            <w:pPr>
              <w:widowControl/>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④</w:t>
            </w:r>
            <w:r>
              <w:rPr>
                <w:rFonts w:ascii="Times New Roman" w:hAnsi="Times New Roman" w:cs="Times New Roman"/>
                <w:caps w:val="0"/>
                <w:smallCaps w:val="0"/>
                <w:color w:val="auto"/>
                <w:spacing w:val="0"/>
                <w:w w:val="100"/>
                <w:position w:val="0"/>
                <w:sz w:val="21"/>
                <w:szCs w:val="21"/>
                <w:highlight w:val="none"/>
              </w:rPr>
              <w:t>土方开挖应采取遮盖、围挡、洒水等防尘措施。临时堆放土集中堆放在背风侧，并应采取覆盖、洒水等防尘措施；缩短土方裸露时间，且不宜堆积过久、过高，堆放过程中应在顶部加盖篷布；对易产生扬尘污染的建筑材料堆应覆盖到位。</w:t>
            </w:r>
          </w:p>
          <w:p w14:paraId="54E35774">
            <w:pPr>
              <w:widowControl/>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⑤</w:t>
            </w:r>
            <w:r>
              <w:rPr>
                <w:rFonts w:ascii="Times New Roman" w:hAnsi="Times New Roman" w:cs="Times New Roman"/>
                <w:caps w:val="0"/>
                <w:smallCaps w:val="0"/>
                <w:color w:val="auto"/>
                <w:spacing w:val="0"/>
                <w:w w:val="100"/>
                <w:position w:val="0"/>
                <w:sz w:val="21"/>
                <w:szCs w:val="21"/>
                <w:highlight w:val="none"/>
              </w:rPr>
              <w:t>管线尽可能沿道路走向设计，以避免施工活动对土地和地表植被的扰动；最大限度控制施工作业带宽度，避免因施工开挖加剧土地沙漠化和水土流失，同时在施工过程中定期洒水抑尘，防止施工扬尘量大对环境造成污染。</w:t>
            </w:r>
          </w:p>
          <w:p w14:paraId="2FF04B5E">
            <w:pPr>
              <w:widowControl/>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⑥</w:t>
            </w:r>
            <w:r>
              <w:rPr>
                <w:rFonts w:ascii="Times New Roman" w:hAnsi="Times New Roman" w:cs="Times New Roman"/>
                <w:caps w:val="0"/>
                <w:smallCaps w:val="0"/>
                <w:color w:val="auto"/>
                <w:spacing w:val="0"/>
                <w:w w:val="100"/>
                <w:position w:val="0"/>
                <w:sz w:val="21"/>
                <w:szCs w:val="21"/>
                <w:highlight w:val="none"/>
              </w:rPr>
              <w:t>合理规划施工进度，及时开挖，及时回填，防止临时堆放土风化失水而起沙起尘；遇大风天气应停止土方工程施工作业。</w:t>
            </w:r>
          </w:p>
          <w:p w14:paraId="2DB70D0D">
            <w:pPr>
              <w:widowControl/>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⑦</w:t>
            </w:r>
            <w:r>
              <w:rPr>
                <w:rFonts w:ascii="Times New Roman" w:hAnsi="Times New Roman" w:cs="Times New Roman"/>
                <w:caps w:val="0"/>
                <w:smallCaps w:val="0"/>
                <w:color w:val="auto"/>
                <w:spacing w:val="0"/>
                <w:w w:val="100"/>
                <w:position w:val="0"/>
                <w:sz w:val="21"/>
                <w:szCs w:val="21"/>
                <w:highlight w:val="none"/>
              </w:rPr>
              <w:t>施工结束后，应及时进行施工场地的清理，清除积土、堆物，并在绿化季节到来时应立即对临时占地进行植被恢复。</w:t>
            </w:r>
          </w:p>
        </w:tc>
        <w:tc>
          <w:tcPr>
            <w:tcW w:w="850" w:type="dxa"/>
            <w:vAlign w:val="center"/>
          </w:tcPr>
          <w:p w14:paraId="5A990D3E">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46A9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7A25A9C6">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2</w:t>
            </w:r>
          </w:p>
        </w:tc>
        <w:tc>
          <w:tcPr>
            <w:tcW w:w="3043" w:type="dxa"/>
            <w:vAlign w:val="center"/>
          </w:tcPr>
          <w:p w14:paraId="54479B0A">
            <w:pPr>
              <w:widowControl w:val="0"/>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保护寒地黑土，维护土壤环境安全”提出：加强空间布局管控。将土壤和地下水环境管理纳入国土空间规划，根据土壤污染的环境风险，合理确定土地用途。永久基本农田集中区禁止规划建设可能造成土壤污染的建设项目。对涉及有毒有害物质可能造成土壤污染的建设项目，依法进行环境影响评价，按规划定提出并落实防腐蚀、防渗漏、防遗撒等土壤污染防治具体措施。各地定期组织开展土壤污染重点监管单位和地下水重点污染源周边土壤、地下水环境监测，督促企业定期开展土壤和地下水环境自行监测、污染隐患排查治理。防控矿产资源开发污染土壤，加强尾矿库安全管理。</w:t>
            </w:r>
          </w:p>
        </w:tc>
        <w:tc>
          <w:tcPr>
            <w:tcW w:w="4536" w:type="dxa"/>
            <w:vAlign w:val="center"/>
          </w:tcPr>
          <w:p w14:paraId="5D03C69F">
            <w:pPr>
              <w:widowControl w:val="0"/>
              <w:spacing w:line="360" w:lineRule="exact"/>
              <w:ind w:firstLine="420" w:firstLineChars="200"/>
              <w:jc w:val="both"/>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针对项目可能对地下水及土壤造成的污染，本项目采取了分区防渗措施。</w:t>
            </w:r>
          </w:p>
          <w:p w14:paraId="002588C5">
            <w:pPr>
              <w:widowControl w:val="0"/>
              <w:spacing w:line="360" w:lineRule="exact"/>
              <w:ind w:firstLine="420" w:firstLineChars="200"/>
              <w:jc w:val="both"/>
              <w:rPr>
                <w:rFonts w:hint="eastAsia" w:ascii="Times New Roman" w:hAnsi="Times New Roman" w:cs="Times New Roman"/>
                <w:bCs/>
                <w:caps w:val="0"/>
                <w:smallCaps w:val="0"/>
                <w:color w:val="auto"/>
                <w:spacing w:val="0"/>
                <w:w w:val="100"/>
                <w:position w:val="0"/>
                <w:sz w:val="21"/>
                <w:szCs w:val="21"/>
                <w:highlight w:val="none"/>
                <w:lang w:val="en-US" w:eastAsia="zh-CN"/>
              </w:rPr>
            </w:pPr>
            <w:r>
              <w:rPr>
                <w:rFonts w:ascii="Times New Roman" w:hAnsi="Times New Roman" w:cs="Times New Roman"/>
                <w:bCs/>
                <w:caps w:val="0"/>
                <w:smallCaps w:val="0"/>
                <w:color w:val="auto"/>
                <w:spacing w:val="0"/>
                <w:w w:val="100"/>
                <w:position w:val="0"/>
                <w:sz w:val="21"/>
                <w:szCs w:val="21"/>
                <w:highlight w:val="none"/>
              </w:rPr>
              <w:t>本项目新建的</w:t>
            </w:r>
            <w:r>
              <w:rPr>
                <w:rFonts w:hint="eastAsia" w:ascii="Times New Roman" w:hAnsi="Times New Roman" w:cs="Times New Roman"/>
                <w:bCs/>
                <w:caps w:val="0"/>
                <w:smallCaps w:val="0"/>
                <w:color w:val="auto"/>
                <w:spacing w:val="0"/>
                <w:w w:val="100"/>
                <w:position w:val="0"/>
                <w:sz w:val="21"/>
                <w:szCs w:val="21"/>
                <w:highlight w:val="none"/>
              </w:rPr>
              <w:t>输油管道及</w:t>
            </w:r>
            <w:r>
              <w:rPr>
                <w:rFonts w:hint="eastAsia" w:ascii="Times New Roman" w:hAnsi="Times New Roman" w:cs="Times New Roman"/>
                <w:bCs/>
                <w:caps w:val="0"/>
                <w:smallCaps w:val="0"/>
                <w:color w:val="auto"/>
                <w:spacing w:val="0"/>
                <w:w w:val="100"/>
                <w:position w:val="0"/>
                <w:sz w:val="21"/>
                <w:szCs w:val="21"/>
                <w:highlight w:val="none"/>
                <w:lang w:val="en-US" w:eastAsia="zh-CN"/>
              </w:rPr>
              <w:t>掺水</w:t>
            </w:r>
            <w:r>
              <w:rPr>
                <w:rFonts w:hint="eastAsia" w:ascii="Times New Roman" w:hAnsi="Times New Roman" w:cs="Times New Roman"/>
                <w:bCs/>
                <w:caps w:val="0"/>
                <w:smallCaps w:val="0"/>
                <w:color w:val="auto"/>
                <w:spacing w:val="0"/>
                <w:w w:val="100"/>
                <w:position w:val="0"/>
                <w:sz w:val="21"/>
                <w:szCs w:val="21"/>
                <w:highlight w:val="none"/>
              </w:rPr>
              <w:t>管道</w:t>
            </w:r>
            <w:r>
              <w:rPr>
                <w:rFonts w:ascii="Times New Roman" w:hAnsi="Times New Roman" w:cs="Times New Roman"/>
                <w:bCs/>
                <w:caps w:val="0"/>
                <w:smallCaps w:val="0"/>
                <w:color w:val="auto"/>
                <w:spacing w:val="0"/>
                <w:w w:val="100"/>
                <w:position w:val="0"/>
                <w:sz w:val="21"/>
                <w:szCs w:val="21"/>
                <w:highlight w:val="none"/>
              </w:rPr>
              <w:t>均为重点防渗，管道采用无缝钢管，管道的连接方式采用焊接，</w:t>
            </w:r>
            <w:r>
              <w:rPr>
                <w:rFonts w:hint="eastAsia" w:ascii="Times New Roman" w:hAnsi="Times New Roman" w:cs="Times New Roman"/>
                <w:bCs/>
                <w:caps w:val="0"/>
                <w:smallCaps w:val="0"/>
                <w:color w:val="auto"/>
                <w:spacing w:val="0"/>
                <w:w w:val="100"/>
                <w:position w:val="0"/>
                <w:sz w:val="21"/>
                <w:szCs w:val="21"/>
                <w:highlight w:val="none"/>
                <w:lang w:val="en-US" w:eastAsia="zh-CN"/>
              </w:rPr>
              <w:t>防腐采用</w:t>
            </w:r>
            <w:r>
              <w:rPr>
                <w:rFonts w:ascii="Times New Roman" w:hAnsi="Times New Roman" w:cs="Times New Roman"/>
                <w:bCs/>
                <w:caps w:val="0"/>
                <w:smallCaps w:val="0"/>
                <w:color w:val="auto"/>
                <w:spacing w:val="0"/>
                <w:w w:val="100"/>
                <w:position w:val="0"/>
                <w:sz w:val="21"/>
                <w:szCs w:val="21"/>
                <w:highlight w:val="none"/>
                <w:lang w:val="en-US" w:eastAsia="zh-CN"/>
              </w:rPr>
              <w:t>内缠聚乙烯胶带普通级防腐聚</w:t>
            </w:r>
            <w:r>
              <w:rPr>
                <w:rFonts w:hint="default" w:ascii="Times New Roman" w:hAnsi="Times New Roman" w:cs="Times New Roman"/>
                <w:bCs/>
                <w:caps w:val="0"/>
                <w:smallCaps w:val="0"/>
                <w:color w:val="auto"/>
                <w:spacing w:val="0"/>
                <w:w w:val="100"/>
                <w:position w:val="0"/>
                <w:sz w:val="21"/>
                <w:szCs w:val="21"/>
                <w:highlight w:val="none"/>
                <w:lang w:val="en-US" w:eastAsia="zh-CN"/>
              </w:rPr>
              <w:t>氨酯保温聚乙烯保护成品管</w:t>
            </w:r>
            <w:r>
              <w:rPr>
                <w:rFonts w:hint="eastAsia" w:ascii="Times New Roman" w:hAnsi="Times New Roman" w:cs="Times New Roman"/>
                <w:bCs/>
                <w:caps w:val="0"/>
                <w:smallCaps w:val="0"/>
                <w:color w:val="auto"/>
                <w:spacing w:val="0"/>
                <w:w w:val="100"/>
                <w:position w:val="0"/>
                <w:sz w:val="21"/>
                <w:szCs w:val="21"/>
                <w:highlight w:val="none"/>
                <w:lang w:val="en-US" w:eastAsia="zh-CN"/>
              </w:rPr>
              <w:t>，套管内外壁防腐采用环氧煤沥青涂料普通级，1底4面。</w:t>
            </w:r>
          </w:p>
          <w:p w14:paraId="3B943EB7">
            <w:pPr>
              <w:widowControl w:val="0"/>
              <w:spacing w:line="360" w:lineRule="exact"/>
              <w:ind w:firstLine="420" w:firstLineChars="200"/>
              <w:jc w:val="both"/>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lang w:val="en-US" w:eastAsia="zh-CN"/>
              </w:rPr>
              <w:t>防腐补口采用配套聚乙烯黏胶带。保温补口采用配套硬质聚氨酯管壳补口。保护层补口采用配套2PE交联聚乙烯热收缩带补口。 沥青防腐胶带补口采用无溶剂环氧底漆+沥青防腐胶带，加强级，胶带缠2遍。</w:t>
            </w:r>
          </w:p>
          <w:p w14:paraId="09399935">
            <w:pPr>
              <w:widowControl w:val="0"/>
              <w:spacing w:line="360" w:lineRule="exact"/>
              <w:ind w:firstLine="420" w:firstLineChars="200"/>
              <w:jc w:val="both"/>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在新建管线西南侧</w:t>
            </w:r>
            <w:r>
              <w:rPr>
                <w:rFonts w:ascii="Times New Roman" w:hAnsi="Times New Roman" w:cs="Times New Roman"/>
                <w:bCs/>
                <w:caps w:val="0"/>
                <w:smallCaps w:val="0"/>
                <w:color w:val="auto"/>
                <w:spacing w:val="0"/>
                <w:w w:val="100"/>
                <w:position w:val="0"/>
                <w:sz w:val="21"/>
                <w:szCs w:val="21"/>
                <w:highlight w:val="none"/>
              </w:rPr>
              <w:t>50m（坐标：124.83972，46.32094）布设1口潜水跟踪监测井，定期对地下水进行跟踪监测。</w:t>
            </w:r>
          </w:p>
          <w:p w14:paraId="0E8C1EB4">
            <w:pPr>
              <w:widowControl w:val="0"/>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在</w:t>
            </w:r>
            <w:r>
              <w:rPr>
                <w:rFonts w:hint="eastAsia" w:ascii="Times New Roman" w:hAnsi="Times New Roman" w:cs="Times New Roman"/>
                <w:bCs/>
                <w:caps w:val="0"/>
                <w:smallCaps w:val="0"/>
                <w:color w:val="auto"/>
                <w:spacing w:val="0"/>
                <w:w w:val="100"/>
                <w:position w:val="0"/>
                <w:sz w:val="21"/>
                <w:szCs w:val="21"/>
                <w:highlight w:val="none"/>
              </w:rPr>
              <w:t>管道临时占地范围内、</w:t>
            </w:r>
            <w:r>
              <w:rPr>
                <w:rFonts w:ascii="Times New Roman" w:hAnsi="Times New Roman" w:cs="Times New Roman"/>
                <w:bCs/>
                <w:caps w:val="0"/>
                <w:smallCaps w:val="0"/>
                <w:color w:val="auto"/>
                <w:spacing w:val="0"/>
                <w:w w:val="100"/>
                <w:position w:val="0"/>
                <w:sz w:val="21"/>
                <w:szCs w:val="21"/>
                <w:highlight w:val="none"/>
              </w:rPr>
              <w:t>管道临时占地范围外草地各布设1个土壤跟踪监测点，</w:t>
            </w:r>
            <w:r>
              <w:rPr>
                <w:rFonts w:ascii="Times New Roman" w:hAnsi="Times New Roman" w:cs="Times New Roman"/>
                <w:bCs/>
                <w:caps w:val="0"/>
                <w:smallCaps w:val="0"/>
                <w:color w:val="auto"/>
                <w:spacing w:val="0"/>
                <w:w w:val="100"/>
                <w:position w:val="0"/>
                <w:sz w:val="21"/>
                <w:szCs w:val="21"/>
                <w:highlight w:val="none"/>
              </w:rPr>
              <w:t>定期对土壤进行跟踪监测，监测因子为pH、石油类、石油烃（C</w:t>
            </w:r>
            <w:r>
              <w:rPr>
                <w:rFonts w:ascii="Times New Roman" w:hAnsi="Times New Roman" w:cs="Times New Roman"/>
                <w:bCs/>
                <w:caps w:val="0"/>
                <w:smallCaps w:val="0"/>
                <w:color w:val="auto"/>
                <w:spacing w:val="0"/>
                <w:w w:val="100"/>
                <w:position w:val="0"/>
                <w:sz w:val="21"/>
                <w:szCs w:val="21"/>
                <w:highlight w:val="none"/>
                <w:vertAlign w:val="subscript"/>
              </w:rPr>
              <w:t>6</w:t>
            </w:r>
            <w:r>
              <w:rPr>
                <w:rFonts w:ascii="Times New Roman" w:hAnsi="Times New Roman" w:cs="Times New Roman"/>
                <w:bCs/>
                <w:caps w:val="0"/>
                <w:smallCaps w:val="0"/>
                <w:color w:val="auto"/>
                <w:spacing w:val="0"/>
                <w:w w:val="100"/>
                <w:position w:val="0"/>
                <w:sz w:val="21"/>
                <w:szCs w:val="21"/>
                <w:highlight w:val="none"/>
              </w:rPr>
              <w:t>~C</w:t>
            </w:r>
            <w:r>
              <w:rPr>
                <w:rFonts w:ascii="Times New Roman" w:hAnsi="Times New Roman" w:cs="Times New Roman"/>
                <w:bCs/>
                <w:caps w:val="0"/>
                <w:smallCaps w:val="0"/>
                <w:color w:val="auto"/>
                <w:spacing w:val="0"/>
                <w:w w:val="100"/>
                <w:position w:val="0"/>
                <w:sz w:val="21"/>
                <w:szCs w:val="21"/>
                <w:highlight w:val="none"/>
                <w:vertAlign w:val="subscript"/>
              </w:rPr>
              <w:t>9</w:t>
            </w:r>
            <w:r>
              <w:rPr>
                <w:rFonts w:ascii="Times New Roman" w:hAnsi="Times New Roman" w:cs="Times New Roman"/>
                <w:bCs/>
                <w:caps w:val="0"/>
                <w:smallCaps w:val="0"/>
                <w:color w:val="auto"/>
                <w:spacing w:val="0"/>
                <w:w w:val="100"/>
                <w:position w:val="0"/>
                <w:sz w:val="21"/>
                <w:szCs w:val="21"/>
                <w:highlight w:val="none"/>
              </w:rPr>
              <w:t>）、石油烃（C</w:t>
            </w:r>
            <w:r>
              <w:rPr>
                <w:rFonts w:ascii="Times New Roman" w:hAnsi="Times New Roman" w:cs="Times New Roman"/>
                <w:bCs/>
                <w:caps w:val="0"/>
                <w:smallCaps w:val="0"/>
                <w:color w:val="auto"/>
                <w:spacing w:val="0"/>
                <w:w w:val="100"/>
                <w:position w:val="0"/>
                <w:sz w:val="21"/>
                <w:szCs w:val="21"/>
                <w:highlight w:val="none"/>
                <w:vertAlign w:val="subscript"/>
              </w:rPr>
              <w:t>10</w:t>
            </w:r>
            <w:r>
              <w:rPr>
                <w:rFonts w:ascii="Times New Roman" w:hAnsi="Times New Roman" w:cs="Times New Roman"/>
                <w:bCs/>
                <w:caps w:val="0"/>
                <w:smallCaps w:val="0"/>
                <w:color w:val="auto"/>
                <w:spacing w:val="0"/>
                <w:w w:val="100"/>
                <w:position w:val="0"/>
                <w:sz w:val="21"/>
                <w:szCs w:val="21"/>
                <w:highlight w:val="none"/>
              </w:rPr>
              <w:t>~C</w:t>
            </w:r>
            <w:r>
              <w:rPr>
                <w:rFonts w:ascii="Times New Roman" w:hAnsi="Times New Roman" w:cs="Times New Roman"/>
                <w:bCs/>
                <w:caps w:val="0"/>
                <w:smallCaps w:val="0"/>
                <w:color w:val="auto"/>
                <w:spacing w:val="0"/>
                <w:w w:val="100"/>
                <w:position w:val="0"/>
                <w:sz w:val="21"/>
                <w:szCs w:val="21"/>
                <w:highlight w:val="none"/>
                <w:vertAlign w:val="subscript"/>
              </w:rPr>
              <w:t>40</w:t>
            </w:r>
            <w:r>
              <w:rPr>
                <w:rFonts w:ascii="Times New Roman" w:hAnsi="Times New Roman" w:cs="Times New Roman"/>
                <w:bCs/>
                <w:caps w:val="0"/>
                <w:smallCaps w:val="0"/>
                <w:color w:val="auto"/>
                <w:spacing w:val="0"/>
                <w:w w:val="100"/>
                <w:position w:val="0"/>
                <w:sz w:val="21"/>
                <w:szCs w:val="21"/>
                <w:highlight w:val="none"/>
              </w:rPr>
              <w:t>）、汞、砷、六价铬，监测频次为1次/年。</w:t>
            </w:r>
          </w:p>
        </w:tc>
        <w:tc>
          <w:tcPr>
            <w:tcW w:w="850" w:type="dxa"/>
            <w:vAlign w:val="center"/>
          </w:tcPr>
          <w:p w14:paraId="74AA53E0">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0C12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39DE5A72">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3</w:t>
            </w:r>
          </w:p>
        </w:tc>
        <w:tc>
          <w:tcPr>
            <w:tcW w:w="3043" w:type="dxa"/>
            <w:vAlign w:val="center"/>
          </w:tcPr>
          <w:p w14:paraId="4A58CC1B">
            <w:pPr>
              <w:widowControl w:val="0"/>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防范工矿企业新增土壤污染。动态更新土壤污染重点监管单位名录，监督全面落实土壤污染防治义务，依法纳入排污许可管理。鼓励土壤污染重点监管单位实施提标改造。各地定期组织开展土壤污染重点监管单位和地下水重点污染源周边土壤、地下水环境监测，督促企业定期开展土壤和地下水环境自行监测、污染隐患排查治理。</w:t>
            </w:r>
          </w:p>
        </w:tc>
        <w:tc>
          <w:tcPr>
            <w:tcW w:w="4536" w:type="dxa"/>
            <w:vAlign w:val="center"/>
          </w:tcPr>
          <w:p w14:paraId="6EFF8AB9">
            <w:pPr>
              <w:widowControl w:val="0"/>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大庆油田有限责任公司第</w:t>
            </w:r>
            <w:r>
              <w:rPr>
                <w:rFonts w:hint="eastAsia" w:ascii="Times New Roman" w:hAnsi="Times New Roman" w:cs="Times New Roman"/>
                <w:caps w:val="0"/>
                <w:smallCaps w:val="0"/>
                <w:color w:val="auto"/>
                <w:spacing w:val="0"/>
                <w:w w:val="100"/>
                <w:position w:val="0"/>
                <w:sz w:val="21"/>
                <w:szCs w:val="21"/>
                <w:highlight w:val="none"/>
                <w:lang w:val="en-US" w:eastAsia="zh-CN"/>
              </w:rPr>
              <w:t>十一采油厂</w:t>
            </w:r>
            <w:r>
              <w:rPr>
                <w:rFonts w:ascii="Times New Roman" w:hAnsi="Times New Roman" w:cs="Times New Roman"/>
                <w:caps w:val="0"/>
                <w:smallCaps w:val="0"/>
                <w:color w:val="auto"/>
                <w:spacing w:val="0"/>
                <w:w w:val="100"/>
                <w:position w:val="0"/>
                <w:sz w:val="21"/>
                <w:szCs w:val="21"/>
                <w:highlight w:val="none"/>
              </w:rPr>
              <w:t>作为土壤重点监管企业每年对区域内土壤进行监测，并定期进行信息公开。同时，本次评价设置了土壤跟踪监测点位，能够及时有效的跟踪调查项目土壤的受污染情况。</w:t>
            </w:r>
          </w:p>
        </w:tc>
        <w:tc>
          <w:tcPr>
            <w:tcW w:w="850" w:type="dxa"/>
            <w:vAlign w:val="center"/>
          </w:tcPr>
          <w:p w14:paraId="7BAF7D8E">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6FAD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398D897B">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5</w:t>
            </w:r>
          </w:p>
        </w:tc>
        <w:tc>
          <w:tcPr>
            <w:tcW w:w="3043" w:type="dxa"/>
            <w:vAlign w:val="center"/>
          </w:tcPr>
          <w:p w14:paraId="4B4CA288">
            <w:pPr>
              <w:widowControl w:val="0"/>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推进环境应急能力建设，健全环境应急指挥平台，更新扩充应急物资和防护装备，加强应急监测装备配置，定期开展环境应急演练和人员培训，增强应急处置能力。加强环境应急管理队伍建设。</w:t>
            </w:r>
          </w:p>
        </w:tc>
        <w:tc>
          <w:tcPr>
            <w:tcW w:w="4536" w:type="dxa"/>
            <w:vAlign w:val="center"/>
          </w:tcPr>
          <w:p w14:paraId="2B4ABA59">
            <w:pPr>
              <w:widowControl w:val="0"/>
              <w:spacing w:line="36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本工程针对管线运营过程存在的环境风险，提出相应防治措施；同时，第</w:t>
            </w:r>
            <w:r>
              <w:rPr>
                <w:rFonts w:hint="eastAsia" w:ascii="Times New Roman" w:hAnsi="Times New Roman" w:cs="Times New Roman"/>
                <w:caps w:val="0"/>
                <w:smallCaps w:val="0"/>
                <w:color w:val="auto"/>
                <w:spacing w:val="0"/>
                <w:w w:val="100"/>
                <w:position w:val="0"/>
                <w:sz w:val="21"/>
                <w:szCs w:val="21"/>
                <w:highlight w:val="none"/>
                <w:lang w:val="en-US" w:eastAsia="zh-CN"/>
              </w:rPr>
              <w:t>十一采油厂</w:t>
            </w:r>
            <w:r>
              <w:rPr>
                <w:rFonts w:ascii="Times New Roman" w:hAnsi="Times New Roman" w:cs="Times New Roman"/>
                <w:caps w:val="0"/>
                <w:smallCaps w:val="0"/>
                <w:color w:val="auto"/>
                <w:spacing w:val="0"/>
                <w:w w:val="100"/>
                <w:position w:val="0"/>
                <w:sz w:val="21"/>
                <w:szCs w:val="21"/>
                <w:highlight w:val="none"/>
              </w:rPr>
              <w:t>按照预案要求编制完成了《大庆油田有限责任公司第</w:t>
            </w:r>
            <w:r>
              <w:rPr>
                <w:rFonts w:hint="eastAsia" w:ascii="Times New Roman" w:hAnsi="Times New Roman" w:cs="Times New Roman"/>
                <w:caps w:val="0"/>
                <w:smallCaps w:val="0"/>
                <w:color w:val="auto"/>
                <w:spacing w:val="0"/>
                <w:w w:val="100"/>
                <w:position w:val="0"/>
                <w:sz w:val="21"/>
                <w:szCs w:val="21"/>
                <w:highlight w:val="none"/>
                <w:lang w:val="en-US" w:eastAsia="zh-CN"/>
              </w:rPr>
              <w:t>十一采油厂</w:t>
            </w:r>
            <w:r>
              <w:rPr>
                <w:rFonts w:ascii="Times New Roman" w:hAnsi="Times New Roman" w:cs="Times New Roman"/>
                <w:caps w:val="0"/>
                <w:smallCaps w:val="0"/>
                <w:color w:val="auto"/>
                <w:spacing w:val="0"/>
                <w:w w:val="100"/>
                <w:position w:val="0"/>
                <w:sz w:val="21"/>
                <w:szCs w:val="21"/>
                <w:highlight w:val="none"/>
              </w:rPr>
              <w:t>突发事件总体应急预案》《突发环境事件专项应急预案》等专项应急预案，</w:t>
            </w:r>
            <w:r>
              <w:rPr>
                <w:rFonts w:ascii="Times New Roman" w:hAnsi="Times New Roman" w:cs="Times New Roman" w:eastAsiaTheme="minorEastAsia"/>
                <w:caps w:val="0"/>
                <w:smallCaps w:val="0"/>
                <w:color w:val="auto"/>
                <w:spacing w:val="0"/>
                <w:w w:val="100"/>
                <w:kern w:val="2"/>
                <w:position w:val="0"/>
                <w:sz w:val="21"/>
                <w:highlight w:val="none"/>
              </w:rPr>
              <w:t>主要包括应急组织机构及职责明确、监测与预警、应急处置与应急响应、恢复与重建、应急保障与培训、督查与奖惩等内容。</w:t>
            </w:r>
            <w:r>
              <w:rPr>
                <w:rFonts w:ascii="Times New Roman" w:hAnsi="Times New Roman" w:eastAsia="宋体" w:cs="Times New Roman"/>
                <w:caps w:val="0"/>
                <w:smallCaps w:val="0"/>
                <w:color w:val="auto"/>
                <w:spacing w:val="0"/>
                <w:w w:val="100"/>
                <w:position w:val="0"/>
                <w:sz w:val="21"/>
                <w:szCs w:val="21"/>
                <w:highlight w:val="none"/>
              </w:rPr>
              <w:t>并于</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2025</w:t>
            </w:r>
            <w:r>
              <w:rPr>
                <w:rFonts w:ascii="Times New Roman" w:hAnsi="Times New Roman" w:eastAsia="宋体" w:cs="Times New Roman"/>
                <w:caps w:val="0"/>
                <w:smallCaps w:val="0"/>
                <w:color w:val="auto"/>
                <w:spacing w:val="0"/>
                <w:w w:val="100"/>
                <w:position w:val="0"/>
                <w:sz w:val="21"/>
                <w:szCs w:val="21"/>
                <w:highlight w:val="none"/>
              </w:rPr>
              <w:t>年</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3</w:t>
            </w:r>
            <w:r>
              <w:rPr>
                <w:rFonts w:ascii="Times New Roman" w:hAnsi="Times New Roman" w:eastAsia="宋体" w:cs="Times New Roman"/>
                <w:caps w:val="0"/>
                <w:smallCaps w:val="0"/>
                <w:color w:val="auto"/>
                <w:spacing w:val="0"/>
                <w:w w:val="100"/>
                <w:position w:val="0"/>
                <w:sz w:val="21"/>
                <w:szCs w:val="21"/>
                <w:highlight w:val="none"/>
              </w:rPr>
              <w:t>月</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25</w:t>
            </w:r>
            <w:r>
              <w:rPr>
                <w:rFonts w:ascii="Times New Roman" w:hAnsi="Times New Roman" w:eastAsia="宋体" w:cs="Times New Roman"/>
                <w:caps w:val="0"/>
                <w:smallCaps w:val="0"/>
                <w:color w:val="auto"/>
                <w:spacing w:val="0"/>
                <w:w w:val="100"/>
                <w:position w:val="0"/>
                <w:sz w:val="21"/>
                <w:szCs w:val="21"/>
                <w:highlight w:val="none"/>
              </w:rPr>
              <w:t>日在</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绥化市安达市</w:t>
            </w:r>
            <w:r>
              <w:rPr>
                <w:rFonts w:ascii="Times New Roman" w:hAnsi="Times New Roman" w:eastAsia="宋体" w:cs="Times New Roman"/>
                <w:caps w:val="0"/>
                <w:smallCaps w:val="0"/>
                <w:color w:val="auto"/>
                <w:spacing w:val="0"/>
                <w:w w:val="100"/>
                <w:position w:val="0"/>
                <w:sz w:val="21"/>
                <w:szCs w:val="21"/>
                <w:highlight w:val="none"/>
              </w:rPr>
              <w:t xml:space="preserve">生态环境局进行了备案，备案编号为 </w:t>
            </w:r>
            <w:r>
              <w:rPr>
                <w:rFonts w:hint="eastAsia" w:ascii="Times New Roman" w:hAnsi="Times New Roman" w:eastAsia="宋体" w:cs="Times New Roman"/>
                <w:caps w:val="0"/>
                <w:smallCaps w:val="0"/>
                <w:color w:val="auto"/>
                <w:spacing w:val="0"/>
                <w:w w:val="100"/>
                <w:position w:val="0"/>
                <w:sz w:val="21"/>
                <w:szCs w:val="21"/>
                <w:highlight w:val="none"/>
              </w:rPr>
              <w:t>231281-2025-014-L</w:t>
            </w:r>
            <w:r>
              <w:rPr>
                <w:rFonts w:ascii="Times New Roman" w:hAnsi="Times New Roman" w:cs="Times New Roman" w:eastAsiaTheme="minorEastAsia"/>
                <w:caps w:val="0"/>
                <w:smallCaps w:val="0"/>
                <w:color w:val="auto"/>
                <w:spacing w:val="0"/>
                <w:w w:val="100"/>
                <w:kern w:val="2"/>
                <w:position w:val="0"/>
                <w:sz w:val="21"/>
                <w:highlight w:val="none"/>
              </w:rPr>
              <w:t>。</w:t>
            </w:r>
            <w:r>
              <w:rPr>
                <w:rFonts w:hint="eastAsia" w:ascii="Times New Roman" w:hAnsi="Times New Roman" w:cs="Times New Roman" w:eastAsiaTheme="minorEastAsia"/>
                <w:caps w:val="0"/>
                <w:smallCaps w:val="0"/>
                <w:color w:val="auto"/>
                <w:spacing w:val="0"/>
                <w:w w:val="100"/>
                <w:kern w:val="2"/>
                <w:position w:val="0"/>
                <w:sz w:val="21"/>
                <w:highlight w:val="none"/>
              </w:rPr>
              <w:t>同时企业应结合本项目工艺特征，适时修订现有应急预案，将本项目纳入应急预案体系。</w:t>
            </w:r>
          </w:p>
        </w:tc>
        <w:tc>
          <w:tcPr>
            <w:tcW w:w="850" w:type="dxa"/>
            <w:vAlign w:val="center"/>
          </w:tcPr>
          <w:p w14:paraId="02AEF66B">
            <w:pPr>
              <w:widowControl/>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bl>
    <w:p w14:paraId="30D54D89">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rPr>
        <w:t>由上表可知</w:t>
      </w:r>
      <w:r>
        <w:rPr>
          <w:rFonts w:ascii="Times New Roman" w:hAnsi="Times New Roman" w:cs="Times New Roman"/>
          <w:caps w:val="0"/>
          <w:smallCaps w:val="0"/>
          <w:color w:val="auto"/>
          <w:spacing w:val="0"/>
          <w:w w:val="100"/>
          <w:position w:val="0"/>
          <w:highlight w:val="none"/>
          <w:lang w:val="zh-CN" w:bidi="zh-CN"/>
        </w:rPr>
        <w:t>，本项目符合《黑龙江省“十四五”生态环境保护规划》中相关规定。</w:t>
      </w:r>
    </w:p>
    <w:p w14:paraId="704D7D37">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1.4.2.6</w:t>
      </w:r>
      <w:r>
        <w:rPr>
          <w:rFonts w:ascii="Times New Roman" w:hAnsi="Times New Roman" w:eastAsiaTheme="minorEastAsia"/>
          <w:b/>
          <w:caps w:val="0"/>
          <w:smallCaps w:val="0"/>
          <w:color w:val="auto"/>
          <w:spacing w:val="0"/>
          <w:w w:val="100"/>
          <w:position w:val="0"/>
          <w:highlight w:val="none"/>
          <w:lang w:bidi="zh-CN"/>
        </w:rPr>
        <w:t>与《黑龙江省“十四五”黑土地保护规划》符合性分析</w:t>
      </w:r>
    </w:p>
    <w:p w14:paraId="69DB8DBE">
      <w:pPr>
        <w:snapToGrid w:val="0"/>
        <w:spacing w:line="440" w:lineRule="exact"/>
        <w:ind w:firstLine="480" w:firstLineChars="200"/>
        <w:jc w:val="both"/>
        <w:rPr>
          <w:rFonts w:ascii="Times New Roman" w:hAnsi="Times New Roman" w:cs="Times New Roman"/>
          <w:b/>
          <w:caps w:val="0"/>
          <w:smallCaps w:val="0"/>
          <w:color w:val="auto"/>
          <w:spacing w:val="0"/>
          <w:w w:val="100"/>
          <w:position w:val="0"/>
          <w:sz w:val="24"/>
          <w:szCs w:val="21"/>
          <w:highlight w:val="none"/>
        </w:rPr>
      </w:pPr>
      <w:r>
        <w:rPr>
          <w:rFonts w:ascii="Times New Roman" w:hAnsi="Times New Roman"/>
          <w:caps w:val="0"/>
          <w:smallCaps w:val="0"/>
          <w:color w:val="auto"/>
          <w:spacing w:val="0"/>
          <w:w w:val="100"/>
          <w:position w:val="0"/>
          <w:sz w:val="24"/>
          <w:szCs w:val="24"/>
          <w:highlight w:val="none"/>
          <w:lang w:val="en-US" w:bidi="ar-SA"/>
        </w:rPr>
        <w:t>本项目与《</w:t>
      </w:r>
      <w:r>
        <w:rPr>
          <w:rFonts w:hint="eastAsia" w:ascii="Times New Roman" w:hAnsi="Times New Roman"/>
          <w:caps w:val="0"/>
          <w:smallCaps w:val="0"/>
          <w:color w:val="auto"/>
          <w:spacing w:val="0"/>
          <w:w w:val="100"/>
          <w:position w:val="0"/>
          <w:sz w:val="24"/>
          <w:szCs w:val="24"/>
          <w:highlight w:val="none"/>
          <w:lang w:val="en-US" w:bidi="ar-SA"/>
        </w:rPr>
        <w:t>黑龙江省“十四五”黑土地保护规划</w:t>
      </w:r>
      <w:r>
        <w:rPr>
          <w:rFonts w:ascii="Times New Roman" w:hAnsi="Times New Roman"/>
          <w:caps w:val="0"/>
          <w:smallCaps w:val="0"/>
          <w:color w:val="auto"/>
          <w:spacing w:val="0"/>
          <w:w w:val="100"/>
          <w:position w:val="0"/>
          <w:sz w:val="24"/>
          <w:szCs w:val="24"/>
          <w:highlight w:val="none"/>
          <w:lang w:val="en-US" w:bidi="ar-SA"/>
        </w:rPr>
        <w:t>》符合性分析见表1.4-2。</w:t>
      </w:r>
    </w:p>
    <w:p w14:paraId="26D9A950">
      <w:pPr>
        <w:snapToGrid w:val="0"/>
        <w:spacing w:line="440" w:lineRule="exact"/>
        <w:ind w:firstLine="482" w:firstLineChars="200"/>
        <w:jc w:val="both"/>
        <w:rPr>
          <w:rFonts w:ascii="Times New Roman" w:hAnsi="Times New Roman" w:cs="Times New Roman"/>
          <w:b/>
          <w:caps w:val="0"/>
          <w:smallCaps w:val="0"/>
          <w:color w:val="auto"/>
          <w:spacing w:val="0"/>
          <w:w w:val="100"/>
          <w:position w:val="0"/>
          <w:sz w:val="24"/>
          <w:szCs w:val="21"/>
          <w:highlight w:val="none"/>
        </w:rPr>
      </w:pPr>
      <w:r>
        <w:rPr>
          <w:rFonts w:ascii="Times New Roman" w:hAnsi="Times New Roman" w:cs="Times New Roman"/>
          <w:b/>
          <w:caps w:val="0"/>
          <w:smallCaps w:val="0"/>
          <w:color w:val="auto"/>
          <w:spacing w:val="0"/>
          <w:w w:val="100"/>
          <w:position w:val="0"/>
          <w:sz w:val="24"/>
          <w:szCs w:val="21"/>
          <w:highlight w:val="none"/>
        </w:rPr>
        <w:t>表1.4-</w:t>
      </w:r>
      <w:r>
        <w:rPr>
          <w:rFonts w:hint="eastAsia" w:ascii="Times New Roman" w:hAnsi="Times New Roman" w:cs="Times New Roman"/>
          <w:b/>
          <w:caps w:val="0"/>
          <w:smallCaps w:val="0"/>
          <w:color w:val="auto"/>
          <w:spacing w:val="0"/>
          <w:w w:val="100"/>
          <w:position w:val="0"/>
          <w:sz w:val="24"/>
          <w:szCs w:val="21"/>
          <w:highlight w:val="none"/>
        </w:rPr>
        <w:t>2</w:t>
      </w:r>
      <w:r>
        <w:rPr>
          <w:rFonts w:ascii="Times New Roman" w:hAnsi="Times New Roman" w:cs="Times New Roman"/>
          <w:b/>
          <w:caps w:val="0"/>
          <w:smallCaps w:val="0"/>
          <w:color w:val="auto"/>
          <w:spacing w:val="0"/>
          <w:w w:val="100"/>
          <w:position w:val="0"/>
          <w:sz w:val="24"/>
          <w:szCs w:val="21"/>
          <w:highlight w:val="none"/>
        </w:rPr>
        <w:t xml:space="preserve">   本项目与《黑龙江省“十四五”黑土地保护规划》符合性分析</w:t>
      </w:r>
    </w:p>
    <w:tbl>
      <w:tblPr>
        <w:tblStyle w:val="80"/>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419"/>
        <w:gridCol w:w="3411"/>
        <w:gridCol w:w="4778"/>
        <w:gridCol w:w="468"/>
      </w:tblGrid>
      <w:tr w14:paraId="69AB72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31" w:type="pct"/>
            <w:vAlign w:val="center"/>
          </w:tcPr>
          <w:p w14:paraId="07411C23">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序号</w:t>
            </w:r>
          </w:p>
        </w:tc>
        <w:tc>
          <w:tcPr>
            <w:tcW w:w="1879" w:type="pct"/>
            <w:vAlign w:val="center"/>
          </w:tcPr>
          <w:p w14:paraId="67E1156C">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相关要求</w:t>
            </w:r>
          </w:p>
        </w:tc>
        <w:tc>
          <w:tcPr>
            <w:tcW w:w="2632" w:type="pct"/>
            <w:vAlign w:val="center"/>
          </w:tcPr>
          <w:p w14:paraId="40FFBE9B">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符合性分析</w:t>
            </w:r>
          </w:p>
        </w:tc>
        <w:tc>
          <w:tcPr>
            <w:tcW w:w="258" w:type="pct"/>
            <w:vAlign w:val="center"/>
          </w:tcPr>
          <w:p w14:paraId="2E400924">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结论</w:t>
            </w:r>
          </w:p>
        </w:tc>
      </w:tr>
      <w:tr w14:paraId="6DF27C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31" w:type="pct"/>
            <w:vAlign w:val="center"/>
          </w:tcPr>
          <w:p w14:paraId="71613D87">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w:t>
            </w:r>
          </w:p>
        </w:tc>
        <w:tc>
          <w:tcPr>
            <w:tcW w:w="1879" w:type="pct"/>
            <w:vAlign w:val="center"/>
          </w:tcPr>
          <w:p w14:paraId="3A825051">
            <w:pPr>
              <w:spacing w:line="34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严控耕地保护红线。实行最严格的耕地保护制度，划定耕地保护红线和永久基本农田控制线，严格落实耕地占补平衡、易地补充耕地、土地复垦等政策，确保完成规划期内黑土耕地保有量和永久基本农田保护任务。</w:t>
            </w:r>
          </w:p>
        </w:tc>
        <w:tc>
          <w:tcPr>
            <w:tcW w:w="2632" w:type="pct"/>
            <w:vAlign w:val="center"/>
          </w:tcPr>
          <w:p w14:paraId="344FF909">
            <w:pPr>
              <w:spacing w:line="340" w:lineRule="exact"/>
              <w:jc w:val="both"/>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lang w:val="en-US"/>
              </w:rPr>
              <w:t>本项目为油田内部管线建设项目，属于国家能源建设项目，项目占用永久基本农田，项目在施工前需要征收土地，应报请相关主管部门同意，取得用地审批。本项目新建管线尽可能沿路敷设，减少占地。</w:t>
            </w:r>
            <w:r>
              <w:rPr>
                <w:rFonts w:ascii="Times New Roman" w:hAnsi="Times New Roman" w:cs="Times New Roman"/>
                <w:caps w:val="0"/>
                <w:smallCaps w:val="0"/>
                <w:color w:val="auto"/>
                <w:spacing w:val="0"/>
                <w:w w:val="100"/>
                <w:position w:val="0"/>
                <w:sz w:val="21"/>
                <w:szCs w:val="21"/>
                <w:highlight w:val="none"/>
              </w:rPr>
              <w:t>对</w:t>
            </w:r>
            <w:r>
              <w:rPr>
                <w:rFonts w:hint="eastAsia" w:ascii="Times New Roman" w:hAnsi="Times New Roman" w:cs="Times New Roman"/>
                <w:caps w:val="0"/>
                <w:smallCaps w:val="0"/>
                <w:color w:val="auto"/>
                <w:spacing w:val="0"/>
                <w:w w:val="100"/>
                <w:position w:val="0"/>
                <w:sz w:val="21"/>
                <w:szCs w:val="21"/>
                <w:highlight w:val="none"/>
              </w:rPr>
              <w:t>临时占用的耕地，缴纳补偿费，将剥离表土恢复平整</w:t>
            </w:r>
            <w:r>
              <w:rPr>
                <w:rFonts w:ascii="Times New Roman" w:hAnsi="Times New Roman" w:cs="Times New Roman"/>
                <w:caps w:val="0"/>
                <w:smallCaps w:val="0"/>
                <w:color w:val="auto"/>
                <w:spacing w:val="0"/>
                <w:w w:val="100"/>
                <w:position w:val="0"/>
                <w:sz w:val="21"/>
                <w:szCs w:val="21"/>
                <w:highlight w:val="none"/>
              </w:rPr>
              <w:t>。</w:t>
            </w:r>
          </w:p>
        </w:tc>
        <w:tc>
          <w:tcPr>
            <w:tcW w:w="258" w:type="pct"/>
            <w:vAlign w:val="center"/>
          </w:tcPr>
          <w:p w14:paraId="7B119E4A">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3DFE06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31" w:type="pct"/>
            <w:vAlign w:val="center"/>
          </w:tcPr>
          <w:p w14:paraId="0AAA0743">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2</w:t>
            </w:r>
          </w:p>
        </w:tc>
        <w:tc>
          <w:tcPr>
            <w:tcW w:w="1879" w:type="pct"/>
            <w:vAlign w:val="center"/>
          </w:tcPr>
          <w:p w14:paraId="37E53988">
            <w:pPr>
              <w:spacing w:line="340" w:lineRule="exact"/>
              <w:jc w:val="both"/>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lang w:val="en-US"/>
              </w:rPr>
              <w:t>严格国土空间用途管制。划定一般农业区，把优质黑土耕地优先划入一般农业区。制定用途管制规则，实行严格的用途管制，严控非农建设用地规模，尽量少占优质黑土地。强化对占用黑土地的管控约束，使得城镇发展等非农建设尽量避让优质黑土地。</w:t>
            </w:r>
          </w:p>
        </w:tc>
        <w:tc>
          <w:tcPr>
            <w:tcW w:w="2632" w:type="pct"/>
            <w:vAlign w:val="center"/>
          </w:tcPr>
          <w:p w14:paraId="6FDCE5FA">
            <w:pPr>
              <w:spacing w:line="340" w:lineRule="exact"/>
              <w:jc w:val="both"/>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本项目临时占用基本</w:t>
            </w:r>
            <w:r>
              <w:rPr>
                <w:rFonts w:hint="eastAsia" w:ascii="Times New Roman" w:hAnsi="Times New Roman" w:cs="Times New Roman"/>
                <w:caps w:val="0"/>
                <w:smallCaps w:val="0"/>
                <w:color w:val="auto"/>
                <w:spacing w:val="0"/>
                <w:w w:val="100"/>
                <w:position w:val="0"/>
                <w:sz w:val="21"/>
                <w:szCs w:val="21"/>
                <w:highlight w:val="none"/>
              </w:rPr>
              <w:t>农田</w:t>
            </w:r>
            <w:r>
              <w:rPr>
                <w:rFonts w:hint="eastAsia" w:ascii="Times New Roman" w:hAnsi="Times New Roman" w:cs="Times New Roman"/>
                <w:caps w:val="0"/>
                <w:smallCaps w:val="0"/>
                <w:color w:val="auto"/>
                <w:spacing w:val="0"/>
                <w:w w:val="100"/>
                <w:position w:val="0"/>
                <w:sz w:val="21"/>
                <w:szCs w:val="21"/>
                <w:highlight w:val="none"/>
                <w:lang w:val="en-US" w:eastAsia="zh-CN"/>
              </w:rPr>
              <w:t>16.96</w:t>
            </w:r>
            <w:r>
              <w:rPr>
                <w:rFonts w:ascii="Times New Roman" w:hAnsi="Times New Roman" w:cs="Times New Roman"/>
                <w:caps w:val="0"/>
                <w:smallCaps w:val="0"/>
                <w:color w:val="auto"/>
                <w:spacing w:val="0"/>
                <w:w w:val="100"/>
                <w:position w:val="0"/>
                <w:sz w:val="21"/>
                <w:szCs w:val="21"/>
                <w:highlight w:val="none"/>
              </w:rPr>
              <w:t>hm</w:t>
            </w:r>
            <w:r>
              <w:rPr>
                <w:rFonts w:ascii="Times New Roman" w:hAnsi="Times New Roman" w:cs="Times New Roman"/>
                <w:caps w:val="0"/>
                <w:smallCaps w:val="0"/>
                <w:color w:val="auto"/>
                <w:spacing w:val="0"/>
                <w:w w:val="100"/>
                <w:position w:val="0"/>
                <w:sz w:val="21"/>
                <w:szCs w:val="21"/>
                <w:highlight w:val="none"/>
                <w:vertAlign w:val="superscript"/>
              </w:rPr>
              <w:t>2</w:t>
            </w:r>
            <w:r>
              <w:rPr>
                <w:rFonts w:hint="eastAsia"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position w:val="0"/>
                <w:sz w:val="21"/>
                <w:szCs w:val="21"/>
                <w:highlight w:val="none"/>
                <w:lang w:val="en-US"/>
              </w:rPr>
              <w:t>本</w:t>
            </w:r>
            <w:r>
              <w:rPr>
                <w:rFonts w:ascii="Times New Roman" w:hAnsi="Times New Roman" w:cs="Times New Roman"/>
                <w:caps w:val="0"/>
                <w:smallCaps w:val="0"/>
                <w:color w:val="auto"/>
                <w:spacing w:val="0"/>
                <w:w w:val="100"/>
                <w:position w:val="0"/>
                <w:sz w:val="21"/>
                <w:szCs w:val="21"/>
                <w:highlight w:val="none"/>
                <w:lang w:val="en-US"/>
              </w:rPr>
              <w:t>项目实施前编制建设项目占用耕地耕作层土壤剥离利用方案，统筹安排剥离、储存和再利用工作。项目占地范围内表土剥离和利用严格执行《建设占用耕地耕作层土壤剥离利用技术规范》（DB23/T2913-2021）中相关规定。项目施工过程中尽量保护黑土地，不打乱土层，工程占地范围内分层开挖，先剥离表土层，堆放于管线施工作业带内置土带外侧；然后挖心、底土层堆放于管线施工作业带内置土带内侧，堆土表面设防尘网覆盖。管线施工区域沿线平行设置表土堆存区。项目临时占地复原时先填心、底土，后平覆表土，以便尽快恢复土地原貌</w:t>
            </w:r>
            <w:r>
              <w:rPr>
                <w:rFonts w:hint="eastAsia" w:ascii="Times New Roman" w:hAnsi="Times New Roman" w:cs="Times New Roman"/>
                <w:caps w:val="0"/>
                <w:smallCaps w:val="0"/>
                <w:color w:val="auto"/>
                <w:spacing w:val="0"/>
                <w:w w:val="100"/>
                <w:position w:val="0"/>
                <w:sz w:val="21"/>
                <w:szCs w:val="21"/>
                <w:highlight w:val="none"/>
              </w:rPr>
              <w:t>。</w:t>
            </w:r>
          </w:p>
        </w:tc>
        <w:tc>
          <w:tcPr>
            <w:tcW w:w="258" w:type="pct"/>
            <w:vAlign w:val="center"/>
          </w:tcPr>
          <w:p w14:paraId="086FA448">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08B60C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926" w:hRule="atLeast"/>
          <w:jc w:val="center"/>
        </w:trPr>
        <w:tc>
          <w:tcPr>
            <w:tcW w:w="231" w:type="pct"/>
            <w:vAlign w:val="center"/>
          </w:tcPr>
          <w:p w14:paraId="554818EC">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3</w:t>
            </w:r>
          </w:p>
        </w:tc>
        <w:tc>
          <w:tcPr>
            <w:tcW w:w="1879" w:type="pct"/>
            <w:vAlign w:val="center"/>
          </w:tcPr>
          <w:p w14:paraId="49F0F378">
            <w:pPr>
              <w:spacing w:line="34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严格土地执法。建设项目占用耕地的，应当按规定进行表土剥离和利用。全面加大黑土耕地保护违法违规问题执法力度，及时发现、严肃查处土地违法特别是乱占耕地、破坏耕地、盗挖黑土等行为。</w:t>
            </w:r>
          </w:p>
        </w:tc>
        <w:tc>
          <w:tcPr>
            <w:tcW w:w="2632" w:type="pct"/>
            <w:vAlign w:val="center"/>
          </w:tcPr>
          <w:p w14:paraId="3BB9255A">
            <w:pPr>
              <w:spacing w:line="340" w:lineRule="exact"/>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实施前编制建设项目占用耕地耕作层土壤剥离利用方案，统筹安排剥离、储存和再利用。表土剥离和利用严格执行《建设占用耕地耕作层土壤剥离利用技术规范》（DB23/T2913-2021）。本项目在施工过程中针对临时占地，应剥离占地内0.3m的表土，采用分层开挖，分层堆放，表土沿管沟单独堆存，并采取苫布遮盖，防止水土流失。并定期洒水抑尘，施工结束后剥离表土分层回填，全部回用于临时占地地表平整。</w:t>
            </w:r>
          </w:p>
        </w:tc>
        <w:tc>
          <w:tcPr>
            <w:tcW w:w="258" w:type="pct"/>
            <w:vAlign w:val="center"/>
          </w:tcPr>
          <w:p w14:paraId="48DAB09B">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bl>
    <w:p w14:paraId="4B54CAF6">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1.4.2.7与《</w:t>
      </w:r>
      <w:r>
        <w:rPr>
          <w:rFonts w:hint="eastAsia" w:ascii="Times New Roman" w:hAnsi="Times New Roman" w:eastAsiaTheme="minorEastAsia"/>
          <w:b/>
          <w:caps w:val="0"/>
          <w:smallCaps w:val="0"/>
          <w:color w:val="auto"/>
          <w:spacing w:val="0"/>
          <w:w w:val="100"/>
          <w:position w:val="0"/>
          <w:highlight w:val="none"/>
          <w:lang w:val="en-US" w:eastAsia="zh-CN"/>
        </w:rPr>
        <w:t>绥化</w:t>
      </w:r>
      <w:r>
        <w:rPr>
          <w:rFonts w:ascii="Times New Roman" w:hAnsi="Times New Roman" w:eastAsiaTheme="minorEastAsia"/>
          <w:b/>
          <w:caps w:val="0"/>
          <w:smallCaps w:val="0"/>
          <w:color w:val="auto"/>
          <w:spacing w:val="0"/>
          <w:w w:val="100"/>
          <w:position w:val="0"/>
          <w:highlight w:val="none"/>
        </w:rPr>
        <w:t>市“十四五”生态环境保护规划》符合性分析</w:t>
      </w:r>
    </w:p>
    <w:p w14:paraId="31FCCA69">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本项目与《</w:t>
      </w:r>
      <w:r>
        <w:rPr>
          <w:rFonts w:hint="eastAsia" w:ascii="Times New Roman" w:hAnsi="Times New Roman" w:eastAsiaTheme="minorEastAsia"/>
          <w:caps w:val="0"/>
          <w:smallCaps w:val="0"/>
          <w:color w:val="auto"/>
          <w:spacing w:val="0"/>
          <w:w w:val="100"/>
          <w:position w:val="0"/>
          <w:highlight w:val="none"/>
          <w:lang w:val="en-US" w:eastAsia="zh-CN"/>
        </w:rPr>
        <w:t>绥化</w:t>
      </w:r>
      <w:r>
        <w:rPr>
          <w:rFonts w:ascii="Times New Roman" w:hAnsi="Times New Roman" w:eastAsiaTheme="minorEastAsia"/>
          <w:caps w:val="0"/>
          <w:smallCaps w:val="0"/>
          <w:color w:val="auto"/>
          <w:spacing w:val="0"/>
          <w:w w:val="100"/>
          <w:position w:val="0"/>
          <w:highlight w:val="none"/>
        </w:rPr>
        <w:t>市“十四五”生态环境保护规划》符合性分析见表1.4-</w:t>
      </w:r>
      <w:r>
        <w:rPr>
          <w:rFonts w:hint="eastAsia" w:ascii="Times New Roman" w:hAnsi="Times New Roman" w:eastAsiaTheme="minorEastAsia"/>
          <w:caps w:val="0"/>
          <w:smallCaps w:val="0"/>
          <w:color w:val="auto"/>
          <w:spacing w:val="0"/>
          <w:w w:val="100"/>
          <w:position w:val="0"/>
          <w:highlight w:val="none"/>
          <w:lang w:val="en-US" w:eastAsia="zh-CN"/>
        </w:rPr>
        <w:t>3</w:t>
      </w:r>
      <w:r>
        <w:rPr>
          <w:rFonts w:ascii="Times New Roman" w:hAnsi="Times New Roman" w:eastAsiaTheme="minorEastAsia"/>
          <w:caps w:val="0"/>
          <w:smallCaps w:val="0"/>
          <w:color w:val="auto"/>
          <w:spacing w:val="0"/>
          <w:w w:val="100"/>
          <w:position w:val="0"/>
          <w:highlight w:val="none"/>
        </w:rPr>
        <w:t>。</w:t>
      </w:r>
    </w:p>
    <w:p w14:paraId="4297E5A2">
      <w:pPr>
        <w:widowControl/>
        <w:autoSpaceDE/>
        <w:autoSpaceDN/>
        <w:spacing w:line="440" w:lineRule="exact"/>
        <w:ind w:firstLine="482" w:firstLineChars="200"/>
        <w:jc w:val="both"/>
        <w:rPr>
          <w:rFonts w:ascii="Times New Roman" w:hAnsi="Times New Roman" w:cs="Times New Roman"/>
          <w:b/>
          <w:bCs/>
          <w:caps w:val="0"/>
          <w:smallCaps w:val="0"/>
          <w:color w:val="auto"/>
          <w:spacing w:val="0"/>
          <w:w w:val="100"/>
          <w:kern w:val="21"/>
          <w:position w:val="0"/>
          <w:sz w:val="24"/>
          <w:szCs w:val="20"/>
          <w:highlight w:val="none"/>
          <w:lang w:val="en-US" w:bidi="ar-SA"/>
        </w:rPr>
      </w:pPr>
      <w:r>
        <w:rPr>
          <w:rFonts w:ascii="Times New Roman" w:hAnsi="Times New Roman" w:cs="Times New Roman" w:eastAsiaTheme="minorEastAsia"/>
          <w:b/>
          <w:bCs/>
          <w:caps w:val="0"/>
          <w:smallCaps w:val="0"/>
          <w:color w:val="auto"/>
          <w:spacing w:val="0"/>
          <w:w w:val="100"/>
          <w:kern w:val="21"/>
          <w:position w:val="0"/>
          <w:szCs w:val="20"/>
          <w:highlight w:val="none"/>
        </w:rPr>
        <w:t>表1.4-</w:t>
      </w:r>
      <w:r>
        <w:rPr>
          <w:rFonts w:hint="eastAsia" w:ascii="Times New Roman" w:hAnsi="Times New Roman" w:cs="Times New Roman" w:eastAsiaTheme="minorEastAsia"/>
          <w:b/>
          <w:bCs/>
          <w:caps w:val="0"/>
          <w:smallCaps w:val="0"/>
          <w:color w:val="auto"/>
          <w:spacing w:val="0"/>
          <w:w w:val="100"/>
          <w:kern w:val="21"/>
          <w:position w:val="0"/>
          <w:szCs w:val="20"/>
          <w:highlight w:val="none"/>
          <w:lang w:val="en-US" w:eastAsia="zh-CN"/>
        </w:rPr>
        <w:t>3</w:t>
      </w:r>
      <w:r>
        <w:rPr>
          <w:rFonts w:ascii="Times New Roman" w:hAnsi="Times New Roman" w:cs="Times New Roman" w:eastAsiaTheme="minorEastAsia"/>
          <w:b/>
          <w:bCs/>
          <w:caps w:val="0"/>
          <w:smallCaps w:val="0"/>
          <w:color w:val="auto"/>
          <w:spacing w:val="0"/>
          <w:w w:val="100"/>
          <w:kern w:val="21"/>
          <w:position w:val="0"/>
          <w:szCs w:val="20"/>
          <w:highlight w:val="none"/>
        </w:rPr>
        <w:t xml:space="preserve">    本项目与《</w:t>
      </w:r>
      <w:r>
        <w:rPr>
          <w:rFonts w:hint="eastAsia" w:ascii="Times New Roman" w:hAnsi="Times New Roman" w:cs="Times New Roman" w:eastAsiaTheme="minorEastAsia"/>
          <w:b/>
          <w:bCs/>
          <w:caps w:val="0"/>
          <w:smallCaps w:val="0"/>
          <w:color w:val="auto"/>
          <w:spacing w:val="0"/>
          <w:w w:val="100"/>
          <w:kern w:val="21"/>
          <w:position w:val="0"/>
          <w:szCs w:val="20"/>
          <w:highlight w:val="none"/>
          <w:lang w:val="en-US" w:eastAsia="zh-CN"/>
        </w:rPr>
        <w:t>绥化</w:t>
      </w:r>
      <w:r>
        <w:rPr>
          <w:rFonts w:ascii="Times New Roman" w:hAnsi="Times New Roman" w:cs="Times New Roman" w:eastAsiaTheme="minorEastAsia"/>
          <w:b/>
          <w:bCs/>
          <w:caps w:val="0"/>
          <w:smallCaps w:val="0"/>
          <w:color w:val="auto"/>
          <w:spacing w:val="0"/>
          <w:w w:val="100"/>
          <w:kern w:val="21"/>
          <w:position w:val="0"/>
          <w:szCs w:val="20"/>
          <w:highlight w:val="none"/>
        </w:rPr>
        <w:t>市“十四五”生态环境保护规划》相关要求符合</w:t>
      </w:r>
      <w:r>
        <w:rPr>
          <w:rFonts w:ascii="Times New Roman" w:hAnsi="Times New Roman" w:cs="Times New Roman"/>
          <w:b/>
          <w:bCs/>
          <w:caps w:val="0"/>
          <w:smallCaps w:val="0"/>
          <w:color w:val="auto"/>
          <w:spacing w:val="0"/>
          <w:w w:val="100"/>
          <w:kern w:val="21"/>
          <w:position w:val="0"/>
          <w:sz w:val="24"/>
          <w:szCs w:val="20"/>
          <w:highlight w:val="none"/>
          <w:lang w:val="en-US" w:bidi="ar-SA"/>
        </w:rPr>
        <w:t>性</w:t>
      </w:r>
    </w:p>
    <w:tbl>
      <w:tblPr>
        <w:tblStyle w:val="80"/>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43"/>
        <w:gridCol w:w="3772"/>
        <w:gridCol w:w="3324"/>
        <w:gridCol w:w="921"/>
      </w:tblGrid>
      <w:tr w14:paraId="0553B1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58515177">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序号</w:t>
            </w:r>
          </w:p>
        </w:tc>
        <w:tc>
          <w:tcPr>
            <w:tcW w:w="3772" w:type="dxa"/>
            <w:vAlign w:val="center"/>
          </w:tcPr>
          <w:p w14:paraId="42AF255C">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相关要求</w:t>
            </w:r>
          </w:p>
        </w:tc>
        <w:tc>
          <w:tcPr>
            <w:tcW w:w="3324" w:type="dxa"/>
            <w:vAlign w:val="center"/>
          </w:tcPr>
          <w:p w14:paraId="5439202C">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符合性分析</w:t>
            </w:r>
          </w:p>
        </w:tc>
        <w:tc>
          <w:tcPr>
            <w:tcW w:w="921" w:type="dxa"/>
            <w:vAlign w:val="center"/>
          </w:tcPr>
          <w:p w14:paraId="2E942B73">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符合性</w:t>
            </w:r>
          </w:p>
        </w:tc>
      </w:tr>
      <w:tr w14:paraId="37A8BE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76BDC925">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1</w:t>
            </w:r>
          </w:p>
        </w:tc>
        <w:tc>
          <w:tcPr>
            <w:tcW w:w="3772" w:type="dxa"/>
            <w:vAlign w:val="center"/>
          </w:tcPr>
          <w:p w14:paraId="69DA9211">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lang w:val="en-US" w:bidi="ar-SA"/>
              </w:rPr>
              <w:t>开展扬尘综合治理。督办各职能部门，落实扬尘管控职责，持续推进扬尘综合治理，减少扬尘污染。</w:t>
            </w:r>
          </w:p>
        </w:tc>
        <w:tc>
          <w:tcPr>
            <w:tcW w:w="3324" w:type="dxa"/>
            <w:vAlign w:val="center"/>
          </w:tcPr>
          <w:p w14:paraId="0122794F">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hint="eastAsia"/>
                <w:caps w:val="0"/>
                <w:smallCaps w:val="0"/>
                <w:color w:val="auto"/>
                <w:spacing w:val="0"/>
                <w:w w:val="100"/>
                <w:position w:val="0"/>
                <w:sz w:val="21"/>
                <w:szCs w:val="21"/>
                <w:highlight w:val="none"/>
                <w:lang w:val="en-US" w:bidi="ar-SA"/>
              </w:rPr>
              <w:t>①</w:t>
            </w:r>
            <w:r>
              <w:rPr>
                <w:rFonts w:ascii="Times New Roman" w:hAnsi="Times New Roman" w:cs="Times New Roman"/>
                <w:caps w:val="0"/>
                <w:smallCaps w:val="0"/>
                <w:color w:val="auto"/>
                <w:spacing w:val="0"/>
                <w:w w:val="100"/>
                <w:position w:val="0"/>
                <w:sz w:val="21"/>
                <w:szCs w:val="21"/>
                <w:highlight w:val="none"/>
                <w:lang w:val="en-US" w:bidi="ar-SA"/>
              </w:rPr>
              <w:t>运输道路、施工场地干燥时洒水抑尘。</w:t>
            </w:r>
            <w:r>
              <w:rPr>
                <w:rFonts w:hint="eastAsia"/>
                <w:caps w:val="0"/>
                <w:smallCaps w:val="0"/>
                <w:color w:val="auto"/>
                <w:spacing w:val="0"/>
                <w:w w:val="100"/>
                <w:position w:val="0"/>
                <w:sz w:val="21"/>
                <w:szCs w:val="21"/>
                <w:highlight w:val="none"/>
                <w:lang w:val="en-US" w:bidi="ar-SA"/>
              </w:rPr>
              <w:t>②</w:t>
            </w:r>
            <w:r>
              <w:rPr>
                <w:rFonts w:ascii="Times New Roman" w:hAnsi="Times New Roman" w:cs="Times New Roman"/>
                <w:caps w:val="0"/>
                <w:smallCaps w:val="0"/>
                <w:color w:val="auto"/>
                <w:spacing w:val="0"/>
                <w:w w:val="100"/>
                <w:position w:val="0"/>
                <w:sz w:val="21"/>
                <w:szCs w:val="21"/>
                <w:highlight w:val="none"/>
                <w:lang w:val="en-US" w:bidi="ar-SA"/>
              </w:rPr>
              <w:t>运料车辆在运输时，车辆应当采取苫布遮盖措施。</w:t>
            </w:r>
            <w:r>
              <w:rPr>
                <w:rFonts w:hint="eastAsia"/>
                <w:caps w:val="0"/>
                <w:smallCaps w:val="0"/>
                <w:color w:val="auto"/>
                <w:spacing w:val="0"/>
                <w:w w:val="100"/>
                <w:position w:val="0"/>
                <w:sz w:val="21"/>
                <w:szCs w:val="21"/>
                <w:highlight w:val="none"/>
                <w:lang w:val="en-US" w:bidi="ar-SA"/>
              </w:rPr>
              <w:t>③</w:t>
            </w:r>
            <w:r>
              <w:rPr>
                <w:rFonts w:ascii="Times New Roman" w:hAnsi="Times New Roman" w:cs="Times New Roman"/>
                <w:caps w:val="0"/>
                <w:smallCaps w:val="0"/>
                <w:color w:val="auto"/>
                <w:spacing w:val="0"/>
                <w:w w:val="100"/>
                <w:position w:val="0"/>
                <w:sz w:val="21"/>
                <w:szCs w:val="21"/>
                <w:highlight w:val="none"/>
                <w:lang w:val="en-US" w:bidi="ar-SA"/>
              </w:rPr>
              <w:t>土方开挖应采取遮盖、围挡、洒水等防尘措施。</w:t>
            </w:r>
            <w:r>
              <w:rPr>
                <w:rFonts w:hint="eastAsia"/>
                <w:caps w:val="0"/>
                <w:smallCaps w:val="0"/>
                <w:color w:val="auto"/>
                <w:spacing w:val="0"/>
                <w:w w:val="100"/>
                <w:position w:val="0"/>
                <w:sz w:val="21"/>
                <w:szCs w:val="21"/>
                <w:highlight w:val="none"/>
                <w:lang w:val="en-US" w:bidi="ar-SA"/>
              </w:rPr>
              <w:t>④</w:t>
            </w:r>
            <w:r>
              <w:rPr>
                <w:rFonts w:ascii="Times New Roman" w:hAnsi="Times New Roman" w:cs="Times New Roman"/>
                <w:caps w:val="0"/>
                <w:smallCaps w:val="0"/>
                <w:color w:val="auto"/>
                <w:spacing w:val="0"/>
                <w:w w:val="100"/>
                <w:position w:val="0"/>
                <w:sz w:val="21"/>
                <w:szCs w:val="21"/>
                <w:highlight w:val="none"/>
                <w:lang w:val="en-US" w:bidi="ar-SA"/>
              </w:rPr>
              <w:t>控制施工作业带宽度，避免因施工开挖加剧土地沙漠化和水土流失。</w:t>
            </w:r>
            <w:r>
              <w:rPr>
                <w:rFonts w:hint="eastAsia"/>
                <w:caps w:val="0"/>
                <w:smallCaps w:val="0"/>
                <w:color w:val="auto"/>
                <w:spacing w:val="0"/>
                <w:w w:val="100"/>
                <w:position w:val="0"/>
                <w:sz w:val="21"/>
                <w:szCs w:val="21"/>
                <w:highlight w:val="none"/>
                <w:lang w:val="en-US" w:bidi="ar-SA"/>
              </w:rPr>
              <w:t>⑤</w:t>
            </w:r>
            <w:r>
              <w:rPr>
                <w:rFonts w:ascii="Times New Roman" w:hAnsi="Times New Roman" w:cs="Times New Roman"/>
                <w:caps w:val="0"/>
                <w:smallCaps w:val="0"/>
                <w:color w:val="auto"/>
                <w:spacing w:val="0"/>
                <w:w w:val="100"/>
                <w:position w:val="0"/>
                <w:sz w:val="21"/>
                <w:szCs w:val="21"/>
                <w:highlight w:val="none"/>
                <w:lang w:val="en-US" w:bidi="ar-SA"/>
              </w:rPr>
              <w:t>施工结束后，应及时进行施工场地的清理，清除积土、堆物。</w:t>
            </w:r>
          </w:p>
        </w:tc>
        <w:tc>
          <w:tcPr>
            <w:tcW w:w="921" w:type="dxa"/>
            <w:vAlign w:val="center"/>
          </w:tcPr>
          <w:p w14:paraId="22948B17">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w:t>
            </w:r>
          </w:p>
        </w:tc>
      </w:tr>
      <w:tr w14:paraId="4BB76E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5F9F7052">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2</w:t>
            </w:r>
          </w:p>
        </w:tc>
        <w:tc>
          <w:tcPr>
            <w:tcW w:w="3772" w:type="dxa"/>
            <w:vAlign w:val="center"/>
          </w:tcPr>
          <w:p w14:paraId="02A4EBD6">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lang w:val="en-US" w:bidi="ar-SA"/>
              </w:rPr>
              <w:t>在制定国土空间规划及交通运输等相关规划时，合理划定防噪声距离，明确规划设计要求。因特殊需要必须连续作业的，必须有县级以上政府或者其有关主管部门证明，并公告附近居民。鼓励采用低噪声施工设备和工艺。依法将工业企业噪声纳入排污许可管理，严厉查处工业企业噪声排放超标扰民行为。加强对文化娱乐、商业经营中社会生活噪声热点问题日常监管和集中整治。到</w:t>
            </w:r>
            <w:r>
              <w:rPr>
                <w:rFonts w:ascii="Times New Roman" w:hAnsi="Times New Roman" w:cs="Times New Roman"/>
                <w:caps w:val="0"/>
                <w:smallCaps w:val="0"/>
                <w:color w:val="auto"/>
                <w:spacing w:val="0"/>
                <w:w w:val="100"/>
                <w:position w:val="0"/>
                <w:sz w:val="21"/>
                <w:szCs w:val="21"/>
                <w:highlight w:val="none"/>
                <w:lang w:val="en-US" w:bidi="ar-SA"/>
              </w:rPr>
              <w:t>2025年，全面实现功能区声环境质量自动监测，声环境功能区夜间达标率达到国家要求。</w:t>
            </w:r>
          </w:p>
        </w:tc>
        <w:tc>
          <w:tcPr>
            <w:tcW w:w="3324" w:type="dxa"/>
            <w:vAlign w:val="center"/>
          </w:tcPr>
          <w:p w14:paraId="0BF80F64">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施工期选用低噪声设备，注意设备维护和保养，避免设备不正常运行产生的高噪声。施工场界能够满足《建筑施工噪声排放标准》（GB12523-20</w:t>
            </w:r>
            <w:r>
              <w:rPr>
                <w:rFonts w:hint="eastAsia" w:ascii="Times New Roman" w:hAnsi="Times New Roman" w:cs="Times New Roman"/>
                <w:caps w:val="0"/>
                <w:smallCaps w:val="0"/>
                <w:color w:val="auto"/>
                <w:spacing w:val="0"/>
                <w:w w:val="100"/>
                <w:position w:val="0"/>
                <w:sz w:val="21"/>
                <w:szCs w:val="21"/>
                <w:highlight w:val="none"/>
                <w:lang w:val="en-US" w:bidi="ar-SA"/>
              </w:rPr>
              <w:t>25</w:t>
            </w:r>
            <w:r>
              <w:rPr>
                <w:rFonts w:ascii="Times New Roman" w:hAnsi="Times New Roman" w:cs="Times New Roman"/>
                <w:caps w:val="0"/>
                <w:smallCaps w:val="0"/>
                <w:color w:val="auto"/>
                <w:spacing w:val="0"/>
                <w:w w:val="100"/>
                <w:position w:val="0"/>
                <w:sz w:val="21"/>
                <w:szCs w:val="21"/>
                <w:highlight w:val="none"/>
                <w:lang w:val="en-US" w:bidi="ar-SA"/>
              </w:rPr>
              <w:t>）中要求。</w:t>
            </w:r>
          </w:p>
        </w:tc>
        <w:tc>
          <w:tcPr>
            <w:tcW w:w="921" w:type="dxa"/>
            <w:vAlign w:val="center"/>
          </w:tcPr>
          <w:p w14:paraId="46732DF8">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w:t>
            </w:r>
          </w:p>
        </w:tc>
      </w:tr>
      <w:tr w14:paraId="37C3D9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570CB49C">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3</w:t>
            </w:r>
          </w:p>
        </w:tc>
        <w:tc>
          <w:tcPr>
            <w:tcW w:w="3772" w:type="dxa"/>
            <w:vAlign w:val="center"/>
          </w:tcPr>
          <w:p w14:paraId="1D79A315">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lang w:val="en-US" w:bidi="ar-SA"/>
              </w:rPr>
              <w:t>提升黑土区资源利用可持续性。严控耕地保护红线。实行最严格的耕地保护制度，对黑土耕地全面进行管控。落实“三线一单”生态环境分区中与耕地相关管控要求。推广保护性耕作模式。</w:t>
            </w:r>
          </w:p>
          <w:p w14:paraId="5E72315F">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lang w:val="en-US" w:bidi="ar-SA"/>
              </w:rPr>
              <w:t>强化黑土耕地保护监督管理。落实属地监督管理责任，实行黑土耕地动态监管、日常巡查。</w:t>
            </w:r>
          </w:p>
          <w:p w14:paraId="5DDCF40F">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加快耕地水土流失综合治理。坚持山水林田湖草沙冰系统治理、综合治理，减轻风蚀水蚀，防治水土流失。</w:t>
            </w:r>
          </w:p>
        </w:tc>
        <w:tc>
          <w:tcPr>
            <w:tcW w:w="3324" w:type="dxa"/>
            <w:vAlign w:val="center"/>
          </w:tcPr>
          <w:p w14:paraId="008BC888">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rPr>
              <w:t>本</w:t>
            </w:r>
            <w:r>
              <w:rPr>
                <w:rFonts w:hint="eastAsia" w:ascii="Times New Roman" w:hAnsi="Times New Roman" w:cs="Times New Roman"/>
                <w:caps w:val="0"/>
                <w:smallCaps w:val="0"/>
                <w:color w:val="auto"/>
                <w:spacing w:val="0"/>
                <w:w w:val="100"/>
                <w:position w:val="0"/>
                <w:sz w:val="21"/>
                <w:szCs w:val="21"/>
                <w:highlight w:val="none"/>
              </w:rPr>
              <w:t>项目临时占用基本农田</w:t>
            </w:r>
            <w:r>
              <w:rPr>
                <w:rFonts w:hint="eastAsia" w:ascii="Times New Roman" w:hAnsi="Times New Roman" w:cs="Times New Roman"/>
                <w:caps w:val="0"/>
                <w:smallCaps w:val="0"/>
                <w:color w:val="auto"/>
                <w:spacing w:val="0"/>
                <w:w w:val="100"/>
                <w:position w:val="0"/>
                <w:sz w:val="21"/>
                <w:szCs w:val="21"/>
                <w:highlight w:val="none"/>
                <w:lang w:val="en-US" w:eastAsia="zh-CN"/>
              </w:rPr>
              <w:t>16.96</w:t>
            </w:r>
            <w:r>
              <w:rPr>
                <w:rFonts w:ascii="Times New Roman" w:hAnsi="Times New Roman" w:cs="Times New Roman"/>
                <w:caps w:val="0"/>
                <w:smallCaps w:val="0"/>
                <w:color w:val="auto"/>
                <w:spacing w:val="0"/>
                <w:w w:val="100"/>
                <w:position w:val="0"/>
                <w:sz w:val="21"/>
                <w:szCs w:val="21"/>
                <w:highlight w:val="none"/>
              </w:rPr>
              <w:t>hm</w:t>
            </w:r>
            <w:r>
              <w:rPr>
                <w:rFonts w:ascii="Times New Roman" w:hAnsi="Times New Roman" w:cs="Times New Roman"/>
                <w:caps w:val="0"/>
                <w:smallCaps w:val="0"/>
                <w:color w:val="auto"/>
                <w:spacing w:val="0"/>
                <w:w w:val="100"/>
                <w:position w:val="0"/>
                <w:sz w:val="21"/>
                <w:szCs w:val="21"/>
                <w:highlight w:val="none"/>
                <w:vertAlign w:val="superscript"/>
              </w:rPr>
              <w:t>2</w:t>
            </w:r>
            <w:r>
              <w:rPr>
                <w:rFonts w:ascii="Times New Roman" w:hAnsi="Times New Roman" w:cs="Times New Roman"/>
                <w:caps w:val="0"/>
                <w:smallCaps w:val="0"/>
                <w:color w:val="auto"/>
                <w:spacing w:val="0"/>
                <w:w w:val="100"/>
                <w:position w:val="0"/>
                <w:sz w:val="21"/>
                <w:szCs w:val="21"/>
                <w:highlight w:val="none"/>
                <w:lang w:val="en-US" w:bidi="ar-SA"/>
              </w:rPr>
              <w:t>，本项目</w:t>
            </w:r>
            <w:r>
              <w:rPr>
                <w:rFonts w:ascii="Times New Roman" w:hAnsi="Times New Roman" w:cs="Times New Roman"/>
                <w:caps w:val="0"/>
                <w:smallCaps w:val="0"/>
                <w:color w:val="auto"/>
                <w:spacing w:val="0"/>
                <w:w w:val="100"/>
                <w:position w:val="0"/>
                <w:sz w:val="21"/>
                <w:szCs w:val="21"/>
                <w:highlight w:val="none"/>
                <w:lang w:val="en-US" w:bidi="ar-SA"/>
              </w:rPr>
              <w:t>实施前编制建设项目占用耕地耕作层土壤剥离利用方案，统筹安排剥离、储存和再利用。表土剥离和利用严格执行《建设占用耕地耕作层土壤剥离利用技术规范》（DB23/T2913-2021）。本项目在施工过程中针对临时占地，应剥离占地内表土，采用分层开挖，分层堆放，暂存于临时占地内的表土剥离临时堆放区，并采取苫布遮盖等措施防止水土流失，定期采取洒水抑尘措施，剥离的表土在施工结束后分层回填，并及时恢复地表植被。</w:t>
            </w:r>
          </w:p>
        </w:tc>
        <w:tc>
          <w:tcPr>
            <w:tcW w:w="921" w:type="dxa"/>
            <w:vAlign w:val="center"/>
          </w:tcPr>
          <w:p w14:paraId="0D98BE29">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w:t>
            </w:r>
          </w:p>
        </w:tc>
      </w:tr>
      <w:tr w14:paraId="0D15E1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6F7EC7F6">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4</w:t>
            </w:r>
          </w:p>
        </w:tc>
        <w:tc>
          <w:tcPr>
            <w:tcW w:w="3772" w:type="dxa"/>
            <w:vAlign w:val="center"/>
          </w:tcPr>
          <w:p w14:paraId="6DCA0B92">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lang w:val="en-US" w:bidi="ar-SA"/>
              </w:rPr>
              <w:t>推进地下水生态环境保护</w:t>
            </w:r>
            <w:r>
              <w:rPr>
                <w:rFonts w:ascii="Times New Roman" w:hAnsi="Times New Roman" w:cs="Times New Roman"/>
                <w:caps w:val="0"/>
                <w:smallCaps w:val="0"/>
                <w:color w:val="auto"/>
                <w:spacing w:val="0"/>
                <w:w w:val="100"/>
                <w:position w:val="0"/>
                <w:sz w:val="21"/>
                <w:szCs w:val="21"/>
                <w:highlight w:val="none"/>
                <w:lang w:val="en-US" w:bidi="ar-SA"/>
              </w:rPr>
              <w:t>。</w:t>
            </w:r>
            <w:r>
              <w:rPr>
                <w:rFonts w:hint="eastAsia" w:ascii="Times New Roman" w:hAnsi="Times New Roman" w:cs="Times New Roman"/>
                <w:caps w:val="0"/>
                <w:smallCaps w:val="0"/>
                <w:color w:val="auto"/>
                <w:spacing w:val="0"/>
                <w:w w:val="100"/>
                <w:position w:val="0"/>
                <w:sz w:val="21"/>
                <w:szCs w:val="21"/>
                <w:highlight w:val="none"/>
                <w:lang w:val="en-US" w:bidi="ar-SA"/>
              </w:rPr>
              <w:t>以保护和改善地下水环境质量为核心，建立健全地下水生态环境管理体系。扭住“双源”，加强地下水污染源头预防。强化饮用水水源地保护，保障地下水型饮用水水源环境安全</w:t>
            </w:r>
            <w:r>
              <w:rPr>
                <w:rFonts w:ascii="Times New Roman" w:hAnsi="Times New Roman" w:cs="Times New Roman"/>
                <w:caps w:val="0"/>
                <w:smallCaps w:val="0"/>
                <w:color w:val="auto"/>
                <w:spacing w:val="0"/>
                <w:w w:val="100"/>
                <w:position w:val="0"/>
                <w:sz w:val="21"/>
                <w:szCs w:val="21"/>
                <w:highlight w:val="none"/>
                <w:lang w:val="en-US" w:bidi="ar-SA"/>
              </w:rPr>
              <w:t>。</w:t>
            </w:r>
          </w:p>
          <w:p w14:paraId="7B2ACCC2">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lang w:val="en-US" w:bidi="ar-SA"/>
              </w:rPr>
              <w:t>建立地下水生态环境管理体系。制定地下水环境质量达标方案。针对国家地下水环境质量考核点位，分析地下水环境质量状况，非地质背景导致未达到水质目标要求的，因地制宜制定地下水环境质量达标或保持方案。建立地下水污染重点监管单位名录。地下水污染重点监管单位依法纳入排污许可管理，建立名录，加强防渗排查整治，开展地下水环境质量监测，加强执法检查</w:t>
            </w:r>
            <w:r>
              <w:rPr>
                <w:rFonts w:ascii="Times New Roman" w:hAnsi="Times New Roman" w:cs="Times New Roman"/>
                <w:caps w:val="0"/>
                <w:smallCaps w:val="0"/>
                <w:color w:val="auto"/>
                <w:spacing w:val="0"/>
                <w:w w:val="100"/>
                <w:position w:val="0"/>
                <w:sz w:val="21"/>
                <w:szCs w:val="21"/>
                <w:highlight w:val="none"/>
                <w:lang w:val="en-US" w:bidi="ar-SA"/>
              </w:rPr>
              <w:t>。</w:t>
            </w:r>
          </w:p>
        </w:tc>
        <w:tc>
          <w:tcPr>
            <w:tcW w:w="3324" w:type="dxa"/>
            <w:vAlign w:val="center"/>
          </w:tcPr>
          <w:p w14:paraId="33FE1DE5">
            <w:pPr>
              <w:widowControl/>
              <w:autoSpaceDE/>
              <w:autoSpaceDN/>
              <w:spacing w:line="360" w:lineRule="exact"/>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本项目针对拟建管线采取了分区防渗措施，</w:t>
            </w:r>
            <w:r>
              <w:rPr>
                <w:rFonts w:ascii="Times New Roman" w:hAnsi="Times New Roman" w:cs="Times New Roman"/>
                <w:caps w:val="0"/>
                <w:smallCaps w:val="0"/>
                <w:color w:val="auto"/>
                <w:spacing w:val="0"/>
                <w:w w:val="100"/>
                <w:position w:val="0"/>
                <w:sz w:val="21"/>
                <w:szCs w:val="21"/>
                <w:highlight w:val="none"/>
                <w:lang w:val="en-US" w:bidi="ar-SA"/>
              </w:rPr>
              <w:t>并在</w:t>
            </w:r>
            <w:r>
              <w:rPr>
                <w:rFonts w:hint="eastAsia" w:ascii="Times New Roman" w:hAnsi="Times New Roman" w:cs="Times New Roman"/>
                <w:caps w:val="0"/>
                <w:smallCaps w:val="0"/>
                <w:color w:val="auto"/>
                <w:spacing w:val="0"/>
                <w:w w:val="100"/>
                <w:position w:val="0"/>
                <w:sz w:val="21"/>
                <w:szCs w:val="21"/>
                <w:highlight w:val="none"/>
                <w:lang w:val="en-US" w:bidi="ar-SA"/>
              </w:rPr>
              <w:t>管线区域下游</w:t>
            </w:r>
            <w:r>
              <w:rPr>
                <w:rFonts w:ascii="Times New Roman" w:hAnsi="Times New Roman" w:cs="Times New Roman"/>
                <w:caps w:val="0"/>
                <w:smallCaps w:val="0"/>
                <w:color w:val="auto"/>
                <w:spacing w:val="0"/>
                <w:w w:val="100"/>
                <w:position w:val="0"/>
                <w:sz w:val="21"/>
                <w:szCs w:val="21"/>
                <w:highlight w:val="none"/>
                <w:lang w:val="en-US" w:bidi="ar-SA"/>
              </w:rPr>
              <w:t>布置</w:t>
            </w:r>
            <w:r>
              <w:rPr>
                <w:rFonts w:hint="eastAsia" w:ascii="Times New Roman" w:hAnsi="Times New Roman" w:cs="Times New Roman"/>
                <w:caps w:val="0"/>
                <w:smallCaps w:val="0"/>
                <w:color w:val="auto"/>
                <w:spacing w:val="0"/>
                <w:w w:val="100"/>
                <w:position w:val="0"/>
                <w:sz w:val="21"/>
                <w:szCs w:val="21"/>
                <w:highlight w:val="none"/>
                <w:lang w:val="en-US" w:bidi="ar-SA"/>
              </w:rPr>
              <w:t>1</w:t>
            </w:r>
            <w:r>
              <w:rPr>
                <w:rFonts w:ascii="Times New Roman" w:hAnsi="Times New Roman" w:cs="Times New Roman"/>
                <w:caps w:val="0"/>
                <w:smallCaps w:val="0"/>
                <w:color w:val="auto"/>
                <w:spacing w:val="0"/>
                <w:w w:val="100"/>
                <w:position w:val="0"/>
                <w:sz w:val="21"/>
                <w:szCs w:val="21"/>
                <w:highlight w:val="none"/>
                <w:lang w:val="en-US" w:bidi="ar-SA"/>
              </w:rPr>
              <w:t>口潜水跟踪监测井，定期进行跟踪监测。</w:t>
            </w:r>
          </w:p>
        </w:tc>
        <w:tc>
          <w:tcPr>
            <w:tcW w:w="921" w:type="dxa"/>
            <w:vAlign w:val="center"/>
          </w:tcPr>
          <w:p w14:paraId="36CDB7ED">
            <w:pPr>
              <w:widowControl/>
              <w:autoSpaceDE/>
              <w:autoSpaceDN/>
              <w:spacing w:line="360" w:lineRule="exact"/>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w:t>
            </w:r>
          </w:p>
        </w:tc>
      </w:tr>
    </w:tbl>
    <w:p w14:paraId="5E8D8A10">
      <w:pPr>
        <w:autoSpaceDE/>
        <w:autoSpaceDN/>
        <w:spacing w:line="440" w:lineRule="exact"/>
        <w:jc w:val="both"/>
        <w:outlineLvl w:val="3"/>
        <w:rPr>
          <w:rFonts w:ascii="Times New Roman" w:hAnsi="Times New Roman" w:cs="Times New Roman"/>
          <w:b/>
          <w:bCs/>
          <w:caps w:val="0"/>
          <w:smallCaps w:val="0"/>
          <w:color w:val="auto"/>
          <w:spacing w:val="0"/>
          <w:w w:val="100"/>
          <w:position w:val="0"/>
          <w:sz w:val="24"/>
          <w:szCs w:val="24"/>
          <w:highlight w:val="none"/>
          <w:lang w:val="en-US" w:bidi="ar-SA"/>
        </w:rPr>
      </w:pPr>
      <w:r>
        <w:rPr>
          <w:rFonts w:ascii="Times New Roman" w:hAnsi="Times New Roman" w:eastAsiaTheme="minorEastAsia"/>
          <w:b/>
          <w:caps w:val="0"/>
          <w:smallCaps w:val="0"/>
          <w:color w:val="auto"/>
          <w:spacing w:val="0"/>
          <w:w w:val="100"/>
          <w:position w:val="0"/>
          <w:highlight w:val="none"/>
        </w:rPr>
        <w:t>1.4.2.8</w:t>
      </w:r>
      <w:r>
        <w:rPr>
          <w:rFonts w:ascii="Times New Roman" w:hAnsi="Times New Roman" w:cs="Times New Roman"/>
          <w:b/>
          <w:bCs/>
          <w:caps w:val="0"/>
          <w:smallCaps w:val="0"/>
          <w:color w:val="auto"/>
          <w:spacing w:val="0"/>
          <w:w w:val="100"/>
          <w:position w:val="0"/>
          <w:sz w:val="24"/>
          <w:szCs w:val="24"/>
          <w:highlight w:val="none"/>
          <w:lang w:val="en-US" w:bidi="ar-SA"/>
        </w:rPr>
        <w:t>与《绥化市“十四五”黑土地保护规划》符合性分析</w:t>
      </w:r>
    </w:p>
    <w:p w14:paraId="76F66AF1">
      <w:pPr>
        <w:widowControl/>
        <w:autoSpaceDE/>
        <w:autoSpaceDN/>
        <w:spacing w:line="440" w:lineRule="exact"/>
        <w:ind w:firstLine="480" w:firstLineChars="200"/>
        <w:rPr>
          <w:rFonts w:ascii="Times New Roman" w:hAnsi="Times New Roman" w:cs="Times New Roman"/>
          <w:caps w:val="0"/>
          <w:smallCaps w:val="0"/>
          <w:color w:val="auto"/>
          <w:spacing w:val="0"/>
          <w:w w:val="100"/>
          <w:position w:val="0"/>
          <w:sz w:val="24"/>
          <w:szCs w:val="24"/>
          <w:highlight w:val="none"/>
          <w:lang w:val="en-US" w:bidi="ar-SA"/>
        </w:rPr>
      </w:pPr>
      <w:r>
        <w:rPr>
          <w:rFonts w:ascii="Times New Roman" w:hAnsi="Times New Roman" w:cs="Times New Roman"/>
          <w:caps w:val="0"/>
          <w:smallCaps w:val="0"/>
          <w:color w:val="auto"/>
          <w:spacing w:val="0"/>
          <w:w w:val="100"/>
          <w:position w:val="0"/>
          <w:sz w:val="24"/>
          <w:szCs w:val="24"/>
          <w:highlight w:val="none"/>
          <w:lang w:val="en-US" w:bidi="ar-SA"/>
        </w:rPr>
        <w:t>本项目与《绥化市“十四五”黑土地保护规划》符合性分析见表1.4-4。</w:t>
      </w:r>
    </w:p>
    <w:p w14:paraId="6671854D">
      <w:pPr>
        <w:widowControl/>
        <w:autoSpaceDE/>
        <w:autoSpaceDN/>
        <w:spacing w:line="440" w:lineRule="exact"/>
        <w:ind w:firstLine="482" w:firstLineChars="200"/>
        <w:rPr>
          <w:rFonts w:hint="eastAsia"/>
          <w:caps w:val="0"/>
          <w:smallCaps w:val="0"/>
          <w:color w:val="auto"/>
          <w:spacing w:val="0"/>
          <w:w w:val="100"/>
          <w:position w:val="0"/>
          <w:sz w:val="24"/>
          <w:szCs w:val="24"/>
          <w:highlight w:val="none"/>
          <w:lang w:val="en-US" w:bidi="ar-SA"/>
        </w:rPr>
      </w:pPr>
      <w:r>
        <w:rPr>
          <w:rFonts w:ascii="Times New Roman" w:hAnsi="Times New Roman" w:cs="Times New Roman"/>
          <w:b/>
          <w:bCs/>
          <w:caps w:val="0"/>
          <w:smallCaps w:val="0"/>
          <w:color w:val="auto"/>
          <w:spacing w:val="0"/>
          <w:w w:val="100"/>
          <w:position w:val="0"/>
          <w:sz w:val="24"/>
          <w:szCs w:val="24"/>
          <w:highlight w:val="none"/>
          <w:lang w:val="en-US" w:bidi="ar-SA"/>
        </w:rPr>
        <w:t xml:space="preserve">表1.4-4   </w:t>
      </w:r>
      <w:r>
        <w:rPr>
          <w:b/>
          <w:bCs/>
          <w:caps w:val="0"/>
          <w:smallCaps w:val="0"/>
          <w:color w:val="auto"/>
          <w:spacing w:val="0"/>
          <w:w w:val="100"/>
          <w:position w:val="0"/>
          <w:sz w:val="24"/>
          <w:szCs w:val="24"/>
          <w:highlight w:val="none"/>
          <w:lang w:val="en-US" w:bidi="ar-SA"/>
        </w:rPr>
        <w:t xml:space="preserve"> 本项目与《</w:t>
      </w:r>
      <w:r>
        <w:rPr>
          <w:rFonts w:hint="eastAsia"/>
          <w:b/>
          <w:bCs/>
          <w:caps w:val="0"/>
          <w:smallCaps w:val="0"/>
          <w:color w:val="auto"/>
          <w:spacing w:val="0"/>
          <w:w w:val="100"/>
          <w:position w:val="0"/>
          <w:sz w:val="24"/>
          <w:szCs w:val="24"/>
          <w:highlight w:val="none"/>
          <w:lang w:val="en-US" w:bidi="ar-SA"/>
        </w:rPr>
        <w:t>绥化市“十四五”黑土地保护规划</w:t>
      </w:r>
      <w:r>
        <w:rPr>
          <w:b/>
          <w:bCs/>
          <w:caps w:val="0"/>
          <w:smallCaps w:val="0"/>
          <w:color w:val="auto"/>
          <w:spacing w:val="0"/>
          <w:w w:val="100"/>
          <w:position w:val="0"/>
          <w:sz w:val="24"/>
          <w:szCs w:val="24"/>
          <w:highlight w:val="none"/>
          <w:lang w:val="en-US" w:bidi="ar-SA"/>
        </w:rPr>
        <w:t>》相关要求符合性</w:t>
      </w:r>
    </w:p>
    <w:tbl>
      <w:tblPr>
        <w:tblStyle w:val="81"/>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185"/>
        <w:gridCol w:w="4365"/>
        <w:gridCol w:w="879"/>
      </w:tblGrid>
      <w:tr w14:paraId="744C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C13CE97">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序号</w:t>
            </w:r>
          </w:p>
        </w:tc>
        <w:tc>
          <w:tcPr>
            <w:tcW w:w="3185" w:type="dxa"/>
            <w:vAlign w:val="center"/>
          </w:tcPr>
          <w:p w14:paraId="0EE934C0">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相关要求</w:t>
            </w:r>
          </w:p>
        </w:tc>
        <w:tc>
          <w:tcPr>
            <w:tcW w:w="4365" w:type="dxa"/>
            <w:vAlign w:val="center"/>
          </w:tcPr>
          <w:p w14:paraId="23995E94">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符合性分析</w:t>
            </w:r>
          </w:p>
        </w:tc>
        <w:tc>
          <w:tcPr>
            <w:tcW w:w="879" w:type="dxa"/>
            <w:vAlign w:val="center"/>
          </w:tcPr>
          <w:p w14:paraId="4DCE096A">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符合性</w:t>
            </w:r>
          </w:p>
        </w:tc>
      </w:tr>
      <w:tr w14:paraId="4DFC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32D0163">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1</w:t>
            </w:r>
          </w:p>
        </w:tc>
        <w:tc>
          <w:tcPr>
            <w:tcW w:w="3185" w:type="dxa"/>
            <w:vAlign w:val="center"/>
          </w:tcPr>
          <w:p w14:paraId="109AE5D8">
            <w:pPr>
              <w:widowControl/>
              <w:autoSpaceDE/>
              <w:autoSpaceDN/>
              <w:jc w:val="left"/>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严守耕地保护红线。牢固树立保障国家粮食安全的重要责任，充分发挥农业大市和粮食主产区重要职能，落实最严格的耕地保护制度、节约集约用地制度，严格落实规划指标，严守耕地保护红线，确保耕地数量不减少、质量不降低。</w:t>
            </w:r>
          </w:p>
        </w:tc>
        <w:tc>
          <w:tcPr>
            <w:tcW w:w="4365" w:type="dxa"/>
            <w:vAlign w:val="center"/>
          </w:tcPr>
          <w:p w14:paraId="21704FC2">
            <w:pPr>
              <w:widowControl/>
              <w:autoSpaceDE/>
              <w:autoSpaceDN/>
              <w:jc w:val="left"/>
              <w:rPr>
                <w:rFonts w:ascii="Times New Roman" w:hAnsi="Times New Roman" w:cs="Times New Roman"/>
                <w:caps w:val="0"/>
                <w:smallCaps w:val="0"/>
                <w:color w:val="auto"/>
                <w:spacing w:val="0"/>
                <w:w w:val="100"/>
                <w:position w:val="0"/>
                <w:sz w:val="21"/>
                <w:szCs w:val="24"/>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lang w:val="en-US"/>
              </w:rPr>
              <w:t>本项目为油田内部管线建设项目，属于国家能源建设项目，项目占用永久基本农田，项目在施工前需要征收土地，应报请相关主管部门同意，取得用地审批。本项目新建管线尽可能沿路敷设，减少占地。</w:t>
            </w:r>
            <w:r>
              <w:rPr>
                <w:rFonts w:ascii="Times New Roman" w:hAnsi="Times New Roman" w:cs="Times New Roman"/>
                <w:caps w:val="0"/>
                <w:smallCaps w:val="0"/>
                <w:color w:val="auto"/>
                <w:spacing w:val="0"/>
                <w:w w:val="100"/>
                <w:position w:val="0"/>
                <w:sz w:val="21"/>
                <w:szCs w:val="21"/>
                <w:highlight w:val="none"/>
              </w:rPr>
              <w:t>对</w:t>
            </w:r>
            <w:r>
              <w:rPr>
                <w:rFonts w:hint="eastAsia" w:ascii="Times New Roman" w:hAnsi="Times New Roman" w:cs="Times New Roman"/>
                <w:caps w:val="0"/>
                <w:smallCaps w:val="0"/>
                <w:color w:val="auto"/>
                <w:spacing w:val="0"/>
                <w:w w:val="100"/>
                <w:position w:val="0"/>
                <w:sz w:val="21"/>
                <w:szCs w:val="21"/>
                <w:highlight w:val="none"/>
              </w:rPr>
              <w:t>临时占用的耕地，缴纳补偿费，将剥离表土恢复平整</w:t>
            </w:r>
            <w:r>
              <w:rPr>
                <w:rFonts w:ascii="Times New Roman" w:hAnsi="Times New Roman" w:cs="Times New Roman"/>
                <w:caps w:val="0"/>
                <w:smallCaps w:val="0"/>
                <w:color w:val="auto"/>
                <w:spacing w:val="0"/>
                <w:w w:val="100"/>
                <w:position w:val="0"/>
                <w:sz w:val="21"/>
                <w:szCs w:val="24"/>
                <w:highlight w:val="none"/>
                <w:lang w:val="en-US" w:bidi="ar-SA"/>
              </w:rPr>
              <w:t>。</w:t>
            </w:r>
          </w:p>
        </w:tc>
        <w:tc>
          <w:tcPr>
            <w:tcW w:w="879" w:type="dxa"/>
            <w:vAlign w:val="center"/>
          </w:tcPr>
          <w:p w14:paraId="6CB09978">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符合</w:t>
            </w:r>
          </w:p>
        </w:tc>
      </w:tr>
      <w:tr w14:paraId="77D3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6B1B2CFF">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2</w:t>
            </w:r>
          </w:p>
        </w:tc>
        <w:tc>
          <w:tcPr>
            <w:tcW w:w="3185" w:type="dxa"/>
            <w:vAlign w:val="center"/>
          </w:tcPr>
          <w:p w14:paraId="0C9A305F">
            <w:pPr>
              <w:widowControl/>
              <w:autoSpaceDE/>
              <w:autoSpaceDN/>
              <w:jc w:val="left"/>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严格国土空间用途管制。严格土地利用总体规划确定的土地用途，严格控制新增建设用地总量和新增建设用地占用耕地的数量，建设占用土地，涉及农用地转为建设用地的，须依法办理农用地转用审批手续。坚持计划指标跟着项目走，以真实有效的项目作为配置计划的依据。保障全市建设项目用地需求，优先保障民生、环保、基础设施等省市重点项目用地需求。</w:t>
            </w:r>
          </w:p>
        </w:tc>
        <w:tc>
          <w:tcPr>
            <w:tcW w:w="4365" w:type="dxa"/>
            <w:vAlign w:val="center"/>
          </w:tcPr>
          <w:p w14:paraId="123E5833">
            <w:pPr>
              <w:widowControl/>
              <w:autoSpaceDE/>
              <w:autoSpaceDN/>
              <w:jc w:val="left"/>
              <w:rPr>
                <w:rFonts w:ascii="Times New Roman" w:hAnsi="Times New Roman" w:cs="Times New Roman"/>
                <w:caps w:val="0"/>
                <w:smallCaps w:val="0"/>
                <w:color w:val="auto"/>
                <w:spacing w:val="0"/>
                <w:w w:val="100"/>
                <w:position w:val="0"/>
                <w:sz w:val="21"/>
                <w:szCs w:val="24"/>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rPr>
              <w:t>本项目临时占用基本农田</w:t>
            </w:r>
            <w:r>
              <w:rPr>
                <w:rFonts w:hint="eastAsia" w:ascii="Times New Roman" w:hAnsi="Times New Roman" w:cs="Times New Roman"/>
                <w:caps w:val="0"/>
                <w:smallCaps w:val="0"/>
                <w:color w:val="auto"/>
                <w:spacing w:val="0"/>
                <w:w w:val="100"/>
                <w:position w:val="0"/>
                <w:sz w:val="21"/>
                <w:szCs w:val="21"/>
                <w:highlight w:val="none"/>
                <w:lang w:val="en-US" w:eastAsia="zh-CN"/>
              </w:rPr>
              <w:t>16.96</w:t>
            </w:r>
            <w:r>
              <w:rPr>
                <w:rFonts w:ascii="Times New Roman" w:hAnsi="Times New Roman" w:cs="Times New Roman"/>
                <w:caps w:val="0"/>
                <w:smallCaps w:val="0"/>
                <w:color w:val="auto"/>
                <w:spacing w:val="0"/>
                <w:w w:val="100"/>
                <w:position w:val="0"/>
                <w:sz w:val="21"/>
                <w:szCs w:val="21"/>
                <w:highlight w:val="none"/>
              </w:rPr>
              <w:t>hm</w:t>
            </w:r>
            <w:r>
              <w:rPr>
                <w:rFonts w:ascii="Times New Roman" w:hAnsi="Times New Roman" w:cs="Times New Roman"/>
                <w:caps w:val="0"/>
                <w:smallCaps w:val="0"/>
                <w:color w:val="auto"/>
                <w:spacing w:val="0"/>
                <w:w w:val="100"/>
                <w:position w:val="0"/>
                <w:sz w:val="21"/>
                <w:szCs w:val="21"/>
                <w:highlight w:val="none"/>
                <w:vertAlign w:val="superscript"/>
              </w:rPr>
              <w:t>2</w:t>
            </w:r>
            <w:r>
              <w:rPr>
                <w:rFonts w:hint="eastAsia"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position w:val="0"/>
                <w:sz w:val="21"/>
                <w:szCs w:val="21"/>
                <w:highlight w:val="none"/>
                <w:lang w:val="en-US"/>
              </w:rPr>
              <w:t>项目实施前编制建设项目占用耕地耕作层土壤剥离利用方案，统筹安排剥离、储存和再利用工作。项目占地范围内表土剥离和利用严格执行《建设占用耕地耕作层土壤剥离利用技术规范》（DB23/T2913-2021）中相关规定。项目施工过程中尽量保护黑土地，不打乱土层，工程占地范围内分层开挖，先剥离表土层，堆放于管线施工作业带内置土带外侧；然后挖心、底土层堆放于管线施工作业带内置土带内侧，堆土表面设防尘网覆盖。管线施工区域沿线平行设置表土堆存区。项目临时占地复原时先填心、底土，后平覆表土，以便尽快恢复土地原貌</w:t>
            </w:r>
            <w:r>
              <w:rPr>
                <w:rFonts w:hint="eastAsia" w:ascii="Times New Roman" w:hAnsi="Times New Roman" w:cs="Times New Roman"/>
                <w:caps w:val="0"/>
                <w:smallCaps w:val="0"/>
                <w:color w:val="auto"/>
                <w:spacing w:val="0"/>
                <w:w w:val="100"/>
                <w:position w:val="0"/>
                <w:sz w:val="21"/>
                <w:szCs w:val="21"/>
                <w:highlight w:val="none"/>
              </w:rPr>
              <w:t>。</w:t>
            </w:r>
          </w:p>
        </w:tc>
        <w:tc>
          <w:tcPr>
            <w:tcW w:w="879" w:type="dxa"/>
            <w:vAlign w:val="center"/>
          </w:tcPr>
          <w:p w14:paraId="7CCA4C07">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符合</w:t>
            </w:r>
          </w:p>
        </w:tc>
      </w:tr>
      <w:tr w14:paraId="27BC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0EE92E88">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3</w:t>
            </w:r>
          </w:p>
        </w:tc>
        <w:tc>
          <w:tcPr>
            <w:tcW w:w="3185" w:type="dxa"/>
            <w:vAlign w:val="center"/>
          </w:tcPr>
          <w:p w14:paraId="22AAD8D2">
            <w:pPr>
              <w:widowControl/>
              <w:autoSpaceDE/>
              <w:autoSpaceDN/>
              <w:jc w:val="left"/>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严格土地执法。以“零容忍”的态度依法依规严肃处理新增农村乱占耕地建房问题，重点整治产业类、公共管理服务类项目实质性违法违规占用耕地，尤其是占用永久基本农田问题。</w:t>
            </w:r>
          </w:p>
        </w:tc>
        <w:tc>
          <w:tcPr>
            <w:tcW w:w="4365" w:type="dxa"/>
            <w:vAlign w:val="center"/>
          </w:tcPr>
          <w:p w14:paraId="0F4CB9B9">
            <w:pPr>
              <w:widowControl/>
              <w:autoSpaceDE/>
              <w:autoSpaceDN/>
              <w:jc w:val="left"/>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本工程实施前编制建设项目占用耕地耕作层土壤剥离利用方案，统筹安排剥离、储存和再利用。表土剥离和利用严格执行《建设占用耕地耕作层土壤剥离利用技术规范》（DB23/T2913-2021）。本项目在施工过程中针对永久占地及临时占地，应剥离占地内表土，采用分层开挖，分层堆放，暂存于施工井场内的表土剥离临时堆放区，并采取苫布遮盖，定期洒水抑尘措施，针对临时占地在将剥离的表土在施工结束后分层回填，并及时恢复地表植被。</w:t>
            </w:r>
          </w:p>
        </w:tc>
        <w:tc>
          <w:tcPr>
            <w:tcW w:w="879" w:type="dxa"/>
            <w:vAlign w:val="center"/>
          </w:tcPr>
          <w:p w14:paraId="0D7DA1FC">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符合</w:t>
            </w:r>
          </w:p>
        </w:tc>
      </w:tr>
      <w:tr w14:paraId="70B4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738159D6">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4</w:t>
            </w:r>
          </w:p>
        </w:tc>
        <w:tc>
          <w:tcPr>
            <w:tcW w:w="3185" w:type="dxa"/>
            <w:vAlign w:val="center"/>
          </w:tcPr>
          <w:p w14:paraId="44605CD4">
            <w:pPr>
              <w:widowControl/>
              <w:autoSpaceDE/>
              <w:autoSpaceDN/>
              <w:jc w:val="left"/>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实施耕地深松轮作。推行深松（翻）整地，打破犁底层，增加土壤通透性和耕层厚度，建立“土壤水库”，提高土壤抗旱防涝、蓄水保墒能力，实现春旱秋防。</w:t>
            </w:r>
          </w:p>
        </w:tc>
        <w:tc>
          <w:tcPr>
            <w:tcW w:w="4365" w:type="dxa"/>
            <w:vAlign w:val="center"/>
          </w:tcPr>
          <w:p w14:paraId="3FD6150C">
            <w:pPr>
              <w:widowControl/>
              <w:autoSpaceDE/>
              <w:autoSpaceDN/>
              <w:jc w:val="left"/>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本工程对临时占用的耕地采用深松深耕进行复垦。</w:t>
            </w:r>
          </w:p>
        </w:tc>
        <w:tc>
          <w:tcPr>
            <w:tcW w:w="879" w:type="dxa"/>
            <w:vAlign w:val="center"/>
          </w:tcPr>
          <w:p w14:paraId="12F233A5">
            <w:pPr>
              <w:widowControl/>
              <w:autoSpaceDE/>
              <w:autoSpaceDN/>
              <w:jc w:val="center"/>
              <w:rPr>
                <w:rFonts w:ascii="Times New Roman" w:hAnsi="Times New Roman" w:cs="Times New Roman"/>
                <w:caps w:val="0"/>
                <w:smallCaps w:val="0"/>
                <w:color w:val="auto"/>
                <w:spacing w:val="0"/>
                <w:w w:val="100"/>
                <w:position w:val="0"/>
                <w:sz w:val="21"/>
                <w:szCs w:val="24"/>
                <w:highlight w:val="none"/>
                <w:lang w:val="en-US" w:bidi="ar-SA"/>
              </w:rPr>
            </w:pPr>
            <w:r>
              <w:rPr>
                <w:rFonts w:ascii="Times New Roman" w:hAnsi="Times New Roman" w:cs="Times New Roman"/>
                <w:caps w:val="0"/>
                <w:smallCaps w:val="0"/>
                <w:color w:val="auto"/>
                <w:spacing w:val="0"/>
                <w:w w:val="100"/>
                <w:position w:val="0"/>
                <w:sz w:val="21"/>
                <w:szCs w:val="24"/>
                <w:highlight w:val="none"/>
                <w:lang w:val="en-US" w:bidi="ar-SA"/>
              </w:rPr>
              <w:t>符合</w:t>
            </w:r>
          </w:p>
        </w:tc>
      </w:tr>
    </w:tbl>
    <w:p w14:paraId="44E22574">
      <w:pPr>
        <w:autoSpaceDE/>
        <w:autoSpaceDN/>
        <w:spacing w:line="440" w:lineRule="exact"/>
        <w:jc w:val="both"/>
        <w:outlineLvl w:val="3"/>
        <w:rPr>
          <w:rFonts w:ascii="Times New Roman" w:hAnsi="Times New Roman" w:cs="Times New Roman"/>
          <w:b/>
          <w:caps w:val="0"/>
          <w:smallCaps w:val="0"/>
          <w:color w:val="auto"/>
          <w:spacing w:val="0"/>
          <w:w w:val="100"/>
          <w:position w:val="0"/>
          <w:sz w:val="24"/>
          <w:szCs w:val="24"/>
          <w:highlight w:val="none"/>
          <w:lang w:val="en-US" w:bidi="ar-SA"/>
        </w:rPr>
      </w:pPr>
      <w:r>
        <w:rPr>
          <w:rFonts w:hint="eastAsia" w:ascii="Times New Roman" w:hAnsi="Times New Roman" w:cs="Times New Roman"/>
          <w:b/>
          <w:caps w:val="0"/>
          <w:smallCaps w:val="0"/>
          <w:color w:val="auto"/>
          <w:spacing w:val="0"/>
          <w:w w:val="100"/>
          <w:position w:val="0"/>
          <w:sz w:val="24"/>
          <w:szCs w:val="24"/>
          <w:highlight w:val="none"/>
          <w:lang w:val="en-US" w:bidi="ar-SA"/>
        </w:rPr>
        <w:t>1</w:t>
      </w:r>
      <w:r>
        <w:rPr>
          <w:rFonts w:ascii="Times New Roman" w:hAnsi="Times New Roman" w:cs="Times New Roman"/>
          <w:b/>
          <w:caps w:val="0"/>
          <w:smallCaps w:val="0"/>
          <w:color w:val="auto"/>
          <w:spacing w:val="0"/>
          <w:w w:val="100"/>
          <w:position w:val="0"/>
          <w:sz w:val="24"/>
          <w:szCs w:val="24"/>
          <w:highlight w:val="none"/>
          <w:lang w:val="en-US" w:bidi="ar-SA"/>
        </w:rPr>
        <w:t>.4.2.</w:t>
      </w:r>
      <w:r>
        <w:rPr>
          <w:rFonts w:hint="eastAsia" w:ascii="Times New Roman" w:hAnsi="Times New Roman" w:cs="Times New Roman"/>
          <w:b/>
          <w:caps w:val="0"/>
          <w:smallCaps w:val="0"/>
          <w:color w:val="auto"/>
          <w:spacing w:val="0"/>
          <w:w w:val="100"/>
          <w:position w:val="0"/>
          <w:sz w:val="24"/>
          <w:szCs w:val="24"/>
          <w:highlight w:val="none"/>
          <w:lang w:val="en-US" w:bidi="ar-SA"/>
        </w:rPr>
        <w:t>8</w:t>
      </w:r>
      <w:r>
        <w:rPr>
          <w:rFonts w:ascii="Times New Roman" w:hAnsi="Times New Roman" w:cs="Times New Roman"/>
          <w:b/>
          <w:bCs/>
          <w:caps w:val="0"/>
          <w:smallCaps w:val="0"/>
          <w:color w:val="auto"/>
          <w:spacing w:val="0"/>
          <w:w w:val="100"/>
          <w:position w:val="0"/>
          <w:sz w:val="24"/>
          <w:szCs w:val="24"/>
          <w:highlight w:val="none"/>
          <w:lang w:val="en-US" w:bidi="ar-SA"/>
        </w:rPr>
        <w:t>与《绥化市水土保持规划》（2019～2030年）符合性分析</w:t>
      </w:r>
    </w:p>
    <w:p w14:paraId="32C3B2AD">
      <w:pPr>
        <w:widowControl/>
        <w:autoSpaceDE/>
        <w:autoSpaceDN/>
        <w:spacing w:line="440" w:lineRule="exact"/>
        <w:ind w:firstLine="480" w:firstLineChars="200"/>
        <w:rPr>
          <w:rFonts w:ascii="Times New Roman" w:hAnsi="Times New Roman" w:cs="Times New Roman"/>
          <w:caps w:val="0"/>
          <w:smallCaps w:val="0"/>
          <w:color w:val="auto"/>
          <w:spacing w:val="0"/>
          <w:w w:val="100"/>
          <w:position w:val="0"/>
          <w:sz w:val="24"/>
          <w:szCs w:val="24"/>
          <w:highlight w:val="none"/>
          <w:lang w:val="en-US" w:bidi="ar-SA"/>
        </w:rPr>
      </w:pPr>
      <w:r>
        <w:rPr>
          <w:rFonts w:ascii="Times New Roman" w:hAnsi="Times New Roman" w:cs="Times New Roman"/>
          <w:caps w:val="0"/>
          <w:smallCaps w:val="0"/>
          <w:color w:val="auto"/>
          <w:spacing w:val="0"/>
          <w:w w:val="100"/>
          <w:position w:val="0"/>
          <w:sz w:val="24"/>
          <w:szCs w:val="24"/>
          <w:highlight w:val="none"/>
          <w:lang w:val="en-US" w:bidi="ar-SA"/>
        </w:rPr>
        <w:t>根据《绥化市水土保持规划》（2019～2030 年），绥化市划定了市级水土流失重点预防区和重点治理区，本项目</w:t>
      </w:r>
      <w:r>
        <w:rPr>
          <w:rFonts w:hint="eastAsia" w:ascii="Times New Roman" w:hAnsi="Times New Roman" w:cs="Times New Roman"/>
          <w:caps w:val="0"/>
          <w:smallCaps w:val="0"/>
          <w:color w:val="auto"/>
          <w:spacing w:val="0"/>
          <w:w w:val="100"/>
          <w:position w:val="0"/>
          <w:sz w:val="24"/>
          <w:szCs w:val="24"/>
          <w:highlight w:val="none"/>
          <w:lang w:val="en-US" w:bidi="ar-SA"/>
        </w:rPr>
        <w:t>管线工程</w:t>
      </w:r>
      <w:r>
        <w:rPr>
          <w:rFonts w:ascii="Times New Roman" w:hAnsi="Times New Roman" w:cs="Times New Roman"/>
          <w:caps w:val="0"/>
          <w:smallCaps w:val="0"/>
          <w:color w:val="auto"/>
          <w:spacing w:val="0"/>
          <w:w w:val="100"/>
          <w:position w:val="0"/>
          <w:sz w:val="24"/>
          <w:szCs w:val="24"/>
          <w:highlight w:val="none"/>
          <w:lang w:val="en-US" w:bidi="ar-SA"/>
        </w:rPr>
        <w:t>位于绥化市安达市，不属于市级水土流失重点治理区和重点预防区。</w:t>
      </w:r>
    </w:p>
    <w:p w14:paraId="18AA6108">
      <w:pPr>
        <w:widowControl/>
        <w:autoSpaceDE/>
        <w:autoSpaceDN/>
        <w:spacing w:line="440" w:lineRule="exact"/>
        <w:ind w:firstLine="480" w:firstLineChars="200"/>
        <w:rPr>
          <w:rFonts w:ascii="Times New Roman" w:hAnsi="Times New Roman" w:cs="Times New Roman"/>
          <w:caps w:val="0"/>
          <w:smallCaps w:val="0"/>
          <w:color w:val="auto"/>
          <w:spacing w:val="0"/>
          <w:w w:val="100"/>
          <w:position w:val="0"/>
          <w:sz w:val="24"/>
          <w:szCs w:val="24"/>
          <w:highlight w:val="none"/>
          <w:lang w:val="en-US" w:bidi="ar-SA"/>
        </w:rPr>
      </w:pPr>
      <w:r>
        <w:rPr>
          <w:rFonts w:ascii="Times New Roman" w:hAnsi="Times New Roman" w:cs="Times New Roman"/>
          <w:caps w:val="0"/>
          <w:smallCaps w:val="0"/>
          <w:color w:val="auto"/>
          <w:spacing w:val="0"/>
          <w:w w:val="100"/>
          <w:position w:val="0"/>
          <w:sz w:val="24"/>
          <w:szCs w:val="24"/>
          <w:highlight w:val="none"/>
          <w:lang w:val="en-US" w:bidi="ar-SA"/>
        </w:rPr>
        <w:t>本项目所在的区域为西南部河谷平原轻度水蚀土壤保持区Ⅲ区。该区位于绥化市西南部，属于河谷平原区，行政区划范围包括安达市、肇东市、兰西县3个市县，总面积为1040584.45hm</w:t>
      </w:r>
      <w:r>
        <w:rPr>
          <w:rFonts w:ascii="Times New Roman" w:hAnsi="Times New Roman" w:cs="Times New Roman"/>
          <w:caps w:val="0"/>
          <w:smallCaps w:val="0"/>
          <w:color w:val="auto"/>
          <w:spacing w:val="0"/>
          <w:w w:val="100"/>
          <w:position w:val="0"/>
          <w:sz w:val="24"/>
          <w:szCs w:val="24"/>
          <w:highlight w:val="none"/>
          <w:vertAlign w:val="superscript"/>
          <w:lang w:val="en-US" w:bidi="ar-SA"/>
        </w:rPr>
        <w:t>2</w:t>
      </w:r>
      <w:r>
        <w:rPr>
          <w:rFonts w:ascii="Times New Roman" w:hAnsi="Times New Roman" w:cs="Times New Roman"/>
          <w:caps w:val="0"/>
          <w:smallCaps w:val="0"/>
          <w:color w:val="auto"/>
          <w:spacing w:val="0"/>
          <w:w w:val="100"/>
          <w:position w:val="0"/>
          <w:sz w:val="24"/>
          <w:szCs w:val="24"/>
          <w:highlight w:val="none"/>
          <w:lang w:val="en-US" w:bidi="ar-SA"/>
        </w:rPr>
        <w:t>。本区地貌宽阔平坦，微向河流倾斜。海拔在180-210m。该区水土保持功能以保护天然草地和永久基本农田为主，同时土壤保持、蓄水保水、生态维护、水质维护等功能。本区治理方向为：营造农田防护林、改良草地。对耕地以营造农田防护林，推广旱作农业技术、节水灌溉技术；对牧草地以营造草原防护林、草地改良和种草为主；对荒地和难利用地，选择抗盐碱和耐盐 碱的树、草种，提高林草覆盖率。达到防治水土流失、改善生态环境的目的。加强油气开采区及井田沉降带的监督管理和水土流失治理，保护区域的生态环境。</w:t>
      </w:r>
    </w:p>
    <w:p w14:paraId="5B591CA3">
      <w:pPr>
        <w:autoSpaceDE/>
        <w:autoSpaceDN/>
        <w:spacing w:line="440" w:lineRule="exact"/>
        <w:ind w:firstLine="480" w:firstLineChars="200"/>
        <w:jc w:val="both"/>
        <w:rPr>
          <w:rFonts w:ascii="Times New Roman" w:hAnsi="Times New Roman" w:cs="Times New Roman"/>
          <w:caps w:val="0"/>
          <w:smallCaps w:val="0"/>
          <w:color w:val="auto"/>
          <w:spacing w:val="0"/>
          <w:w w:val="100"/>
          <w:position w:val="0"/>
          <w:sz w:val="24"/>
          <w:szCs w:val="24"/>
          <w:highlight w:val="none"/>
          <w:lang w:val="en-US" w:bidi="ar-SA"/>
        </w:rPr>
      </w:pPr>
      <w:r>
        <w:rPr>
          <w:rFonts w:ascii="Times New Roman" w:hAnsi="Times New Roman" w:cs="Times New Roman"/>
          <w:caps w:val="0"/>
          <w:smallCaps w:val="0"/>
          <w:color w:val="auto"/>
          <w:spacing w:val="0"/>
          <w:w w:val="100"/>
          <w:position w:val="0"/>
          <w:sz w:val="24"/>
          <w:szCs w:val="24"/>
          <w:highlight w:val="none"/>
          <w:lang w:val="en-US" w:bidi="ar-SA"/>
        </w:rPr>
        <w:t>本项目施工现场表土集中堆存、苫盖，以免发生水土流失；利用现有公路和已有便道行车，减少新建</w:t>
      </w:r>
      <w:r>
        <w:rPr>
          <w:rFonts w:hint="eastAsia" w:ascii="Times New Roman" w:hAnsi="Times New Roman" w:cs="Times New Roman"/>
          <w:caps w:val="0"/>
          <w:smallCaps w:val="0"/>
          <w:color w:val="auto"/>
          <w:spacing w:val="0"/>
          <w:w w:val="100"/>
          <w:position w:val="0"/>
          <w:sz w:val="24"/>
          <w:szCs w:val="24"/>
          <w:highlight w:val="none"/>
          <w:lang w:val="en-US" w:bidi="ar-SA"/>
        </w:rPr>
        <w:t>施工便道</w:t>
      </w:r>
      <w:r>
        <w:rPr>
          <w:rFonts w:ascii="Times New Roman" w:hAnsi="Times New Roman" w:cs="Times New Roman"/>
          <w:caps w:val="0"/>
          <w:smallCaps w:val="0"/>
          <w:color w:val="auto"/>
          <w:spacing w:val="0"/>
          <w:w w:val="100"/>
          <w:position w:val="0"/>
          <w:sz w:val="24"/>
          <w:szCs w:val="24"/>
          <w:highlight w:val="none"/>
          <w:lang w:val="en-US" w:bidi="ar-SA"/>
        </w:rPr>
        <w:t>，避免造成新的裸露地表，施工便道应在推平后加以机械碾压；做好原有植被恢复工作，最大程度的降低因本项目施工建设和生产运行而新增的水土流失量。土石方就近占地进行临时堆放，</w:t>
      </w:r>
      <w:r>
        <w:rPr>
          <w:rFonts w:hint="eastAsia" w:ascii="Times New Roman" w:hAnsi="Times New Roman" w:cs="Times New Roman"/>
          <w:caps w:val="0"/>
          <w:smallCaps w:val="0"/>
          <w:color w:val="auto"/>
          <w:spacing w:val="0"/>
          <w:w w:val="100"/>
          <w:position w:val="0"/>
          <w:sz w:val="24"/>
          <w:szCs w:val="24"/>
          <w:highlight w:val="none"/>
          <w:lang w:val="en-US" w:bidi="ar-SA"/>
        </w:rPr>
        <w:t>永久占地剥离表土用于周边占地平整和植被恢复</w:t>
      </w:r>
      <w:r>
        <w:rPr>
          <w:rFonts w:ascii="Times New Roman" w:hAnsi="Times New Roman" w:cs="Times New Roman"/>
          <w:caps w:val="0"/>
          <w:smallCaps w:val="0"/>
          <w:color w:val="auto"/>
          <w:spacing w:val="0"/>
          <w:w w:val="100"/>
          <w:position w:val="0"/>
          <w:sz w:val="24"/>
          <w:szCs w:val="24"/>
          <w:highlight w:val="none"/>
          <w:lang w:val="en-US" w:bidi="ar-SA"/>
        </w:rPr>
        <w:t>。剥离表层土临时堆场</w:t>
      </w:r>
      <w:r>
        <w:rPr>
          <w:rFonts w:hint="eastAsia" w:ascii="Times New Roman" w:hAnsi="Times New Roman" w:cs="Times New Roman"/>
          <w:caps w:val="0"/>
          <w:smallCaps w:val="0"/>
          <w:color w:val="auto"/>
          <w:spacing w:val="0"/>
          <w:w w:val="100"/>
          <w:position w:val="0"/>
          <w:sz w:val="24"/>
          <w:szCs w:val="24"/>
          <w:highlight w:val="none"/>
          <w:lang w:val="en-US" w:bidi="ar-SA"/>
        </w:rPr>
        <w:t>采取苫盖</w:t>
      </w:r>
      <w:r>
        <w:rPr>
          <w:rFonts w:ascii="Times New Roman" w:hAnsi="Times New Roman" w:cs="Times New Roman"/>
          <w:caps w:val="0"/>
          <w:smallCaps w:val="0"/>
          <w:color w:val="auto"/>
          <w:spacing w:val="0"/>
          <w:w w:val="100"/>
          <w:position w:val="0"/>
          <w:sz w:val="24"/>
          <w:szCs w:val="24"/>
          <w:highlight w:val="none"/>
          <w:lang w:val="en-US" w:bidi="ar-SA"/>
        </w:rPr>
        <w:t>措施防止水土流失。施工结束后及时清理施工现场，对临时占地采取植被恢复、耕地复垦、水土保持等措施进行生态恢复。在采取水土保持措施后，本项目满足《绥化市水土保持规划》（2019～2030年）要求。</w:t>
      </w:r>
    </w:p>
    <w:p w14:paraId="04AC83EB">
      <w:pPr>
        <w:autoSpaceDE/>
        <w:autoSpaceDN/>
        <w:spacing w:line="440" w:lineRule="exact"/>
        <w:jc w:val="both"/>
        <w:outlineLvl w:val="3"/>
        <w:rPr>
          <w:rFonts w:ascii="Times New Roman" w:hAnsi="Times New Roman" w:cs="Times New Roman"/>
          <w:b/>
          <w:caps w:val="0"/>
          <w:smallCaps w:val="0"/>
          <w:color w:val="auto"/>
          <w:spacing w:val="0"/>
          <w:w w:val="100"/>
          <w:position w:val="0"/>
          <w:sz w:val="24"/>
          <w:szCs w:val="24"/>
          <w:highlight w:val="none"/>
          <w:lang w:val="en-US" w:bidi="ar-SA"/>
        </w:rPr>
      </w:pPr>
      <w:r>
        <w:rPr>
          <w:rFonts w:hint="eastAsia" w:ascii="Times New Roman" w:hAnsi="Times New Roman" w:cs="Times New Roman"/>
          <w:b/>
          <w:caps w:val="0"/>
          <w:smallCaps w:val="0"/>
          <w:color w:val="auto"/>
          <w:spacing w:val="0"/>
          <w:w w:val="100"/>
          <w:position w:val="0"/>
          <w:sz w:val="24"/>
          <w:szCs w:val="24"/>
          <w:highlight w:val="none"/>
          <w:lang w:val="en-US" w:bidi="ar-SA"/>
        </w:rPr>
        <w:t>1</w:t>
      </w:r>
      <w:r>
        <w:rPr>
          <w:rFonts w:ascii="Times New Roman" w:hAnsi="Times New Roman" w:cs="Times New Roman"/>
          <w:b/>
          <w:caps w:val="0"/>
          <w:smallCaps w:val="0"/>
          <w:color w:val="auto"/>
          <w:spacing w:val="0"/>
          <w:w w:val="100"/>
          <w:position w:val="0"/>
          <w:sz w:val="24"/>
          <w:szCs w:val="24"/>
          <w:highlight w:val="none"/>
          <w:lang w:val="en-US" w:bidi="ar-SA"/>
        </w:rPr>
        <w:t>.4.2.</w:t>
      </w:r>
      <w:r>
        <w:rPr>
          <w:rFonts w:hint="eastAsia" w:ascii="Times New Roman" w:hAnsi="Times New Roman" w:cs="Times New Roman"/>
          <w:b/>
          <w:caps w:val="0"/>
          <w:smallCaps w:val="0"/>
          <w:color w:val="auto"/>
          <w:spacing w:val="0"/>
          <w:w w:val="100"/>
          <w:position w:val="0"/>
          <w:sz w:val="24"/>
          <w:szCs w:val="24"/>
          <w:highlight w:val="none"/>
          <w:lang w:val="en-US" w:bidi="ar-SA"/>
        </w:rPr>
        <w:t>9</w:t>
      </w:r>
      <w:r>
        <w:rPr>
          <w:rFonts w:ascii="Times New Roman" w:hAnsi="Times New Roman" w:cs="Times New Roman"/>
          <w:b/>
          <w:caps w:val="0"/>
          <w:smallCaps w:val="0"/>
          <w:color w:val="auto"/>
          <w:spacing w:val="0"/>
          <w:w w:val="100"/>
          <w:position w:val="0"/>
          <w:sz w:val="24"/>
          <w:szCs w:val="24"/>
          <w:highlight w:val="none"/>
          <w:lang w:val="en-US" w:bidi="ar-SA"/>
        </w:rPr>
        <w:t>与</w:t>
      </w:r>
      <w:r>
        <w:rPr>
          <w:rFonts w:hint="eastAsia" w:ascii="Times New Roman" w:hAnsi="Times New Roman" w:cs="Times New Roman"/>
          <w:b/>
          <w:caps w:val="0"/>
          <w:smallCaps w:val="0"/>
          <w:color w:val="auto"/>
          <w:spacing w:val="0"/>
          <w:w w:val="100"/>
          <w:position w:val="0"/>
          <w:sz w:val="24"/>
          <w:szCs w:val="24"/>
          <w:highlight w:val="none"/>
          <w:lang w:val="en-US" w:bidi="ar-SA"/>
        </w:rPr>
        <w:t>《绥化市“十四五”土壤地下水和农村生态环境保护规划》符合性分析</w:t>
      </w:r>
    </w:p>
    <w:p w14:paraId="694D74A8">
      <w:pPr>
        <w:widowControl/>
        <w:autoSpaceDE/>
        <w:autoSpaceDN/>
        <w:spacing w:line="440" w:lineRule="exact"/>
        <w:ind w:firstLine="480"/>
        <w:rPr>
          <w:rFonts w:ascii="Times New Roman" w:hAnsi="Times New Roman" w:cs="Times New Roman"/>
          <w:caps w:val="0"/>
          <w:smallCaps w:val="0"/>
          <w:color w:val="auto"/>
          <w:spacing w:val="0"/>
          <w:w w:val="100"/>
          <w:position w:val="0"/>
          <w:sz w:val="24"/>
          <w:szCs w:val="24"/>
          <w:highlight w:val="none"/>
          <w:lang w:val="en-US" w:bidi="ar-SA"/>
        </w:rPr>
      </w:pPr>
      <w:r>
        <w:rPr>
          <w:caps w:val="0"/>
          <w:smallCaps w:val="0"/>
          <w:color w:val="auto"/>
          <w:spacing w:val="0"/>
          <w:w w:val="100"/>
          <w:position w:val="0"/>
          <w:sz w:val="24"/>
          <w:szCs w:val="24"/>
          <w:highlight w:val="none"/>
          <w:lang w:val="en-US" w:bidi="ar-SA"/>
        </w:rPr>
        <w:t>本项目与</w:t>
      </w:r>
      <w:r>
        <w:rPr>
          <w:rFonts w:hint="eastAsia"/>
          <w:caps w:val="0"/>
          <w:smallCaps w:val="0"/>
          <w:color w:val="auto"/>
          <w:spacing w:val="0"/>
          <w:w w:val="100"/>
          <w:position w:val="0"/>
          <w:sz w:val="24"/>
          <w:szCs w:val="24"/>
          <w:highlight w:val="none"/>
          <w:lang w:val="en-US" w:bidi="ar-SA"/>
        </w:rPr>
        <w:t>《绥化市“十四五”土壤地下水和农村生态环境保护规划》相关要求符合</w:t>
      </w:r>
      <w:r>
        <w:rPr>
          <w:rFonts w:ascii="Times New Roman" w:hAnsi="Times New Roman" w:cs="Times New Roman"/>
          <w:caps w:val="0"/>
          <w:smallCaps w:val="0"/>
          <w:color w:val="auto"/>
          <w:spacing w:val="0"/>
          <w:w w:val="100"/>
          <w:position w:val="0"/>
          <w:sz w:val="24"/>
          <w:szCs w:val="24"/>
          <w:highlight w:val="none"/>
          <w:lang w:val="en-US" w:bidi="ar-SA"/>
        </w:rPr>
        <w:t>性分析见表1.4-5。</w:t>
      </w:r>
    </w:p>
    <w:p w14:paraId="5B814A44">
      <w:pPr>
        <w:widowControl/>
        <w:autoSpaceDE/>
        <w:autoSpaceDN/>
        <w:spacing w:line="440" w:lineRule="exact"/>
        <w:ind w:firstLine="482" w:firstLineChars="200"/>
        <w:rPr>
          <w:rFonts w:ascii="Times New Roman" w:hAnsi="Times New Roman" w:cs="Times New Roman"/>
          <w:b/>
          <w:caps w:val="0"/>
          <w:smallCaps w:val="0"/>
          <w:color w:val="auto"/>
          <w:spacing w:val="0"/>
          <w:w w:val="100"/>
          <w:position w:val="0"/>
          <w:sz w:val="24"/>
          <w:szCs w:val="24"/>
          <w:highlight w:val="none"/>
          <w:lang w:val="en-US" w:bidi="ar-SA"/>
        </w:rPr>
      </w:pPr>
      <w:r>
        <w:rPr>
          <w:rFonts w:ascii="Times New Roman" w:hAnsi="Times New Roman" w:cs="Times New Roman"/>
          <w:b/>
          <w:caps w:val="0"/>
          <w:smallCaps w:val="0"/>
          <w:color w:val="auto"/>
          <w:spacing w:val="0"/>
          <w:w w:val="100"/>
          <w:position w:val="0"/>
          <w:sz w:val="24"/>
          <w:szCs w:val="24"/>
          <w:highlight w:val="none"/>
          <w:lang w:val="en-US" w:bidi="ar-SA"/>
        </w:rPr>
        <w:t>表1.4-5 与《绥化市“十四五”土壤地下水和农村生态环境保护规划》符合性分析</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3337"/>
        <w:gridCol w:w="4795"/>
        <w:gridCol w:w="718"/>
      </w:tblGrid>
      <w:tr w14:paraId="315D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5" w:type="pct"/>
            <w:vAlign w:val="center"/>
          </w:tcPr>
          <w:p w14:paraId="0A0AE880">
            <w:pPr>
              <w:autoSpaceDE/>
              <w:autoSpaceDN/>
              <w:spacing w:line="320" w:lineRule="exact"/>
              <w:jc w:val="center"/>
              <w:rPr>
                <w:rFonts w:ascii="Times New Roman" w:hAnsi="Times New Roman" w:cs="Times New Roman"/>
                <w:caps w:val="0"/>
                <w:smallCaps w:val="0"/>
                <w:color w:val="auto"/>
                <w:spacing w:val="0"/>
                <w:w w:val="100"/>
                <w:kern w:val="2"/>
                <w:position w:val="0"/>
                <w:sz w:val="21"/>
                <w:szCs w:val="24"/>
                <w:highlight w:val="none"/>
                <w:lang w:val="en-US" w:bidi="ar-SA"/>
              </w:rPr>
            </w:pPr>
            <w:r>
              <w:rPr>
                <w:rFonts w:ascii="Times New Roman" w:hAnsi="Times New Roman" w:cs="Times New Roman"/>
                <w:caps w:val="0"/>
                <w:smallCaps w:val="0"/>
                <w:color w:val="auto"/>
                <w:spacing w:val="0"/>
                <w:w w:val="100"/>
                <w:kern w:val="2"/>
                <w:position w:val="0"/>
                <w:sz w:val="21"/>
                <w:szCs w:val="24"/>
                <w:highlight w:val="none"/>
                <w:lang w:val="en-US" w:bidi="ar-SA"/>
              </w:rPr>
              <w:t>序号</w:t>
            </w:r>
          </w:p>
        </w:tc>
        <w:tc>
          <w:tcPr>
            <w:tcW w:w="1797" w:type="pct"/>
            <w:vAlign w:val="center"/>
          </w:tcPr>
          <w:p w14:paraId="5F862926">
            <w:pPr>
              <w:autoSpaceDE/>
              <w:autoSpaceDN/>
              <w:spacing w:line="320" w:lineRule="exact"/>
              <w:jc w:val="center"/>
              <w:rPr>
                <w:rFonts w:ascii="Times New Roman" w:hAnsi="Times New Roman" w:cs="Times New Roman"/>
                <w:caps w:val="0"/>
                <w:smallCaps w:val="0"/>
                <w:color w:val="auto"/>
                <w:spacing w:val="0"/>
                <w:w w:val="100"/>
                <w:kern w:val="2"/>
                <w:position w:val="0"/>
                <w:sz w:val="21"/>
                <w:szCs w:val="24"/>
                <w:highlight w:val="none"/>
                <w:lang w:val="en-US" w:bidi="ar-SA"/>
              </w:rPr>
            </w:pPr>
            <w:r>
              <w:rPr>
                <w:rFonts w:ascii="Times New Roman" w:hAnsi="Times New Roman" w:cs="Times New Roman"/>
                <w:caps w:val="0"/>
                <w:smallCaps w:val="0"/>
                <w:color w:val="auto"/>
                <w:spacing w:val="0"/>
                <w:w w:val="100"/>
                <w:kern w:val="2"/>
                <w:position w:val="0"/>
                <w:sz w:val="21"/>
                <w:szCs w:val="24"/>
                <w:highlight w:val="none"/>
                <w:lang w:val="en-US" w:bidi="ar-SA"/>
              </w:rPr>
              <w:t>文件要求</w:t>
            </w:r>
          </w:p>
        </w:tc>
        <w:tc>
          <w:tcPr>
            <w:tcW w:w="2582" w:type="pct"/>
            <w:vAlign w:val="center"/>
          </w:tcPr>
          <w:p w14:paraId="38E58EEA">
            <w:pPr>
              <w:autoSpaceDE/>
              <w:autoSpaceDN/>
              <w:spacing w:line="320" w:lineRule="exact"/>
              <w:jc w:val="center"/>
              <w:rPr>
                <w:rFonts w:ascii="Times New Roman" w:hAnsi="Times New Roman" w:cs="Times New Roman"/>
                <w:caps w:val="0"/>
                <w:smallCaps w:val="0"/>
                <w:color w:val="auto"/>
                <w:spacing w:val="0"/>
                <w:w w:val="100"/>
                <w:kern w:val="2"/>
                <w:position w:val="0"/>
                <w:sz w:val="21"/>
                <w:szCs w:val="24"/>
                <w:highlight w:val="none"/>
                <w:lang w:val="en-US" w:bidi="ar-SA"/>
              </w:rPr>
            </w:pPr>
            <w:r>
              <w:rPr>
                <w:rFonts w:ascii="Times New Roman" w:hAnsi="Times New Roman" w:cs="Times New Roman"/>
                <w:caps w:val="0"/>
                <w:smallCaps w:val="0"/>
                <w:color w:val="auto"/>
                <w:spacing w:val="0"/>
                <w:w w:val="100"/>
                <w:kern w:val="2"/>
                <w:position w:val="0"/>
                <w:sz w:val="21"/>
                <w:szCs w:val="24"/>
                <w:highlight w:val="none"/>
                <w:lang w:val="en-US" w:bidi="ar-SA"/>
              </w:rPr>
              <w:t>符合性分析</w:t>
            </w:r>
          </w:p>
        </w:tc>
        <w:tc>
          <w:tcPr>
            <w:tcW w:w="387" w:type="pct"/>
            <w:vAlign w:val="center"/>
          </w:tcPr>
          <w:p w14:paraId="59A8875D">
            <w:pPr>
              <w:autoSpaceDE/>
              <w:autoSpaceDN/>
              <w:spacing w:line="320" w:lineRule="exact"/>
              <w:jc w:val="center"/>
              <w:rPr>
                <w:rFonts w:ascii="Times New Roman" w:hAnsi="Times New Roman" w:cs="Times New Roman"/>
                <w:caps w:val="0"/>
                <w:smallCaps w:val="0"/>
                <w:color w:val="auto"/>
                <w:spacing w:val="0"/>
                <w:w w:val="100"/>
                <w:kern w:val="2"/>
                <w:position w:val="0"/>
                <w:sz w:val="21"/>
                <w:szCs w:val="24"/>
                <w:highlight w:val="none"/>
                <w:lang w:val="en-US" w:bidi="ar-SA"/>
              </w:rPr>
            </w:pPr>
            <w:r>
              <w:rPr>
                <w:rFonts w:ascii="Times New Roman" w:hAnsi="Times New Roman" w:cs="Times New Roman"/>
                <w:caps w:val="0"/>
                <w:smallCaps w:val="0"/>
                <w:color w:val="auto"/>
                <w:spacing w:val="0"/>
                <w:w w:val="100"/>
                <w:kern w:val="2"/>
                <w:position w:val="0"/>
                <w:sz w:val="21"/>
                <w:szCs w:val="24"/>
                <w:highlight w:val="none"/>
                <w:lang w:val="en-US" w:bidi="ar-SA"/>
              </w:rPr>
              <w:t>符合性</w:t>
            </w:r>
          </w:p>
        </w:tc>
      </w:tr>
      <w:tr w14:paraId="7508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5" w:type="pct"/>
            <w:vAlign w:val="center"/>
          </w:tcPr>
          <w:p w14:paraId="7B16E8BD">
            <w:pPr>
              <w:autoSpaceDE/>
              <w:autoSpaceDN/>
              <w:spacing w:line="320" w:lineRule="exact"/>
              <w:jc w:val="center"/>
              <w:rPr>
                <w:rFonts w:ascii="Times New Roman" w:hAnsi="Times New Roman" w:cs="Times New Roman"/>
                <w:caps w:val="0"/>
                <w:smallCaps w:val="0"/>
                <w:color w:val="auto"/>
                <w:spacing w:val="0"/>
                <w:w w:val="100"/>
                <w:kern w:val="2"/>
                <w:position w:val="0"/>
                <w:sz w:val="21"/>
                <w:szCs w:val="24"/>
                <w:highlight w:val="none"/>
                <w:lang w:val="en-US" w:bidi="ar-SA"/>
              </w:rPr>
            </w:pPr>
            <w:r>
              <w:rPr>
                <w:rFonts w:ascii="Times New Roman" w:hAnsi="Times New Roman" w:cs="Times New Roman"/>
                <w:caps w:val="0"/>
                <w:smallCaps w:val="0"/>
                <w:color w:val="auto"/>
                <w:spacing w:val="0"/>
                <w:w w:val="100"/>
                <w:kern w:val="2"/>
                <w:position w:val="0"/>
                <w:sz w:val="21"/>
                <w:szCs w:val="24"/>
                <w:highlight w:val="none"/>
                <w:lang w:val="en-US" w:bidi="ar-SA"/>
              </w:rPr>
              <w:t>1</w:t>
            </w:r>
          </w:p>
        </w:tc>
        <w:tc>
          <w:tcPr>
            <w:tcW w:w="1797" w:type="pct"/>
            <w:vAlign w:val="center"/>
          </w:tcPr>
          <w:p w14:paraId="38EB897B">
            <w:pPr>
              <w:autoSpaceDE/>
              <w:autoSpaceDN/>
              <w:spacing w:line="320" w:lineRule="exact"/>
              <w:jc w:val="both"/>
              <w:rPr>
                <w:rFonts w:ascii="Times New Roman" w:hAnsi="Times New Roman" w:cs="Times New Roman"/>
                <w:caps w:val="0"/>
                <w:smallCaps w:val="0"/>
                <w:color w:val="auto"/>
                <w:spacing w:val="0"/>
                <w:w w:val="100"/>
                <w:kern w:val="2"/>
                <w:position w:val="0"/>
                <w:sz w:val="21"/>
                <w:szCs w:val="24"/>
                <w:highlight w:val="none"/>
                <w:lang w:val="en-US" w:bidi="ar-SA"/>
              </w:rPr>
            </w:pPr>
            <w:r>
              <w:rPr>
                <w:rFonts w:hint="eastAsia" w:ascii="Times New Roman" w:hAnsi="Times New Roman" w:cs="Times New Roman"/>
                <w:caps w:val="0"/>
                <w:smallCaps w:val="0"/>
                <w:color w:val="auto"/>
                <w:spacing w:val="0"/>
                <w:w w:val="100"/>
                <w:kern w:val="2"/>
                <w:position w:val="0"/>
                <w:sz w:val="21"/>
                <w:szCs w:val="24"/>
                <w:highlight w:val="none"/>
                <w:lang w:val="en-US" w:bidi="ar-SA"/>
              </w:rPr>
              <w:t>提升黑土区资源利用可持续性。严控耕地保护红线。实行最严格的耕地保护制度，对黑土耕地全面进行管控。落实“三线一单”生态环境分区中与耕地相关管控要求。推广保护性耕作模式。</w:t>
            </w:r>
          </w:p>
        </w:tc>
        <w:tc>
          <w:tcPr>
            <w:tcW w:w="2582" w:type="pct"/>
            <w:vAlign w:val="center"/>
          </w:tcPr>
          <w:p w14:paraId="3F060009">
            <w:pPr>
              <w:autoSpaceDE/>
              <w:autoSpaceDN/>
              <w:spacing w:line="320" w:lineRule="exact"/>
              <w:jc w:val="both"/>
              <w:rPr>
                <w:rFonts w:ascii="Times New Roman" w:hAnsi="Times New Roman" w:cs="Times New Roman"/>
                <w:caps w:val="0"/>
                <w:smallCaps w:val="0"/>
                <w:color w:val="auto"/>
                <w:spacing w:val="0"/>
                <w:w w:val="100"/>
                <w:kern w:val="2"/>
                <w:position w:val="0"/>
                <w:sz w:val="21"/>
                <w:szCs w:val="24"/>
                <w:highlight w:val="none"/>
                <w:lang w:val="en-US"/>
              </w:rPr>
            </w:pPr>
            <w:r>
              <w:rPr>
                <w:rFonts w:hint="eastAsia" w:ascii="Times New Roman" w:hAnsi="Times New Roman" w:cs="Times New Roman"/>
                <w:caps w:val="0"/>
                <w:smallCaps w:val="0"/>
                <w:color w:val="auto"/>
                <w:spacing w:val="0"/>
                <w:w w:val="100"/>
                <w:position w:val="0"/>
                <w:sz w:val="21"/>
                <w:szCs w:val="21"/>
                <w:highlight w:val="none"/>
                <w:lang w:val="en-US"/>
              </w:rPr>
              <w:t>本项目为油田内部管线建设项目，属于国家能源建设项目，项目占用永久基本农田，项目在施工前需要征收土地，应报请相关主管部门同意，取得用地审批。本项目新建管线尽可能沿路敷设，减少占地。</w:t>
            </w:r>
            <w:r>
              <w:rPr>
                <w:rFonts w:ascii="Times New Roman" w:hAnsi="Times New Roman" w:cs="Times New Roman"/>
                <w:caps w:val="0"/>
                <w:smallCaps w:val="0"/>
                <w:color w:val="auto"/>
                <w:spacing w:val="0"/>
                <w:w w:val="100"/>
                <w:position w:val="0"/>
                <w:sz w:val="21"/>
                <w:szCs w:val="21"/>
                <w:highlight w:val="none"/>
              </w:rPr>
              <w:t>对</w:t>
            </w:r>
            <w:r>
              <w:rPr>
                <w:rFonts w:hint="eastAsia" w:ascii="Times New Roman" w:hAnsi="Times New Roman" w:cs="Times New Roman"/>
                <w:caps w:val="0"/>
                <w:smallCaps w:val="0"/>
                <w:color w:val="auto"/>
                <w:spacing w:val="0"/>
                <w:w w:val="100"/>
                <w:position w:val="0"/>
                <w:sz w:val="21"/>
                <w:szCs w:val="21"/>
                <w:highlight w:val="none"/>
              </w:rPr>
              <w:t>临时占用的耕地，缴纳补偿费，将剥离表土恢复平整</w:t>
            </w:r>
            <w:r>
              <w:rPr>
                <w:rFonts w:ascii="Times New Roman" w:hAnsi="Times New Roman" w:cs="Times New Roman"/>
                <w:caps w:val="0"/>
                <w:smallCaps w:val="0"/>
                <w:color w:val="auto"/>
                <w:spacing w:val="0"/>
                <w:w w:val="100"/>
                <w:position w:val="0"/>
                <w:sz w:val="21"/>
                <w:szCs w:val="24"/>
                <w:highlight w:val="none"/>
                <w:lang w:val="en-US" w:bidi="ar-SA"/>
              </w:rPr>
              <w:t>。</w:t>
            </w:r>
          </w:p>
        </w:tc>
        <w:tc>
          <w:tcPr>
            <w:tcW w:w="387" w:type="pct"/>
            <w:vAlign w:val="center"/>
          </w:tcPr>
          <w:p w14:paraId="643C36A1">
            <w:pPr>
              <w:autoSpaceDE/>
              <w:autoSpaceDN/>
              <w:spacing w:line="320" w:lineRule="exact"/>
              <w:jc w:val="center"/>
              <w:rPr>
                <w:rFonts w:ascii="Times New Roman" w:hAnsi="Times New Roman" w:cs="Times New Roman"/>
                <w:caps w:val="0"/>
                <w:smallCaps w:val="0"/>
                <w:color w:val="auto"/>
                <w:spacing w:val="0"/>
                <w:w w:val="100"/>
                <w:kern w:val="2"/>
                <w:position w:val="0"/>
                <w:sz w:val="21"/>
                <w:szCs w:val="24"/>
                <w:highlight w:val="none"/>
                <w:lang w:val="en-US" w:bidi="ar-SA"/>
              </w:rPr>
            </w:pPr>
            <w:r>
              <w:rPr>
                <w:rFonts w:ascii="Times New Roman" w:hAnsi="Times New Roman" w:cs="Times New Roman"/>
                <w:caps w:val="0"/>
                <w:smallCaps w:val="0"/>
                <w:color w:val="auto"/>
                <w:spacing w:val="0"/>
                <w:w w:val="100"/>
                <w:kern w:val="2"/>
                <w:position w:val="0"/>
                <w:sz w:val="21"/>
                <w:szCs w:val="24"/>
                <w:highlight w:val="none"/>
                <w:lang w:val="en-US" w:bidi="ar-SA"/>
              </w:rPr>
              <w:t>符合</w:t>
            </w:r>
          </w:p>
        </w:tc>
      </w:tr>
      <w:tr w14:paraId="5596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5" w:type="pct"/>
            <w:vAlign w:val="center"/>
          </w:tcPr>
          <w:p w14:paraId="67A5CAB8">
            <w:pPr>
              <w:autoSpaceDE/>
              <w:autoSpaceDN/>
              <w:spacing w:line="320" w:lineRule="exact"/>
              <w:jc w:val="center"/>
              <w:rPr>
                <w:rFonts w:ascii="Times New Roman" w:hAnsi="Times New Roman" w:cs="Times New Roman"/>
                <w:caps w:val="0"/>
                <w:smallCaps w:val="0"/>
                <w:color w:val="auto"/>
                <w:spacing w:val="0"/>
                <w:w w:val="100"/>
                <w:kern w:val="2"/>
                <w:position w:val="0"/>
                <w:sz w:val="21"/>
                <w:szCs w:val="24"/>
                <w:highlight w:val="none"/>
                <w:lang w:val="en-US" w:bidi="ar-SA"/>
              </w:rPr>
            </w:pPr>
            <w:r>
              <w:rPr>
                <w:rFonts w:hint="eastAsia" w:ascii="Times New Roman" w:hAnsi="Times New Roman" w:cs="Times New Roman"/>
                <w:caps w:val="0"/>
                <w:smallCaps w:val="0"/>
                <w:color w:val="auto"/>
                <w:spacing w:val="0"/>
                <w:w w:val="100"/>
                <w:kern w:val="2"/>
                <w:position w:val="0"/>
                <w:sz w:val="21"/>
                <w:szCs w:val="24"/>
                <w:highlight w:val="none"/>
                <w:lang w:val="en-US" w:bidi="ar-SA"/>
              </w:rPr>
              <w:t>2</w:t>
            </w:r>
          </w:p>
        </w:tc>
        <w:tc>
          <w:tcPr>
            <w:tcW w:w="1797" w:type="pct"/>
            <w:vAlign w:val="center"/>
          </w:tcPr>
          <w:p w14:paraId="5E5ED4AD">
            <w:pPr>
              <w:autoSpaceDE/>
              <w:autoSpaceDN/>
              <w:spacing w:line="320" w:lineRule="exact"/>
              <w:jc w:val="both"/>
              <w:rPr>
                <w:rFonts w:ascii="Times New Roman" w:hAnsi="Times New Roman" w:cs="Times New Roman"/>
                <w:caps w:val="0"/>
                <w:smallCaps w:val="0"/>
                <w:color w:val="auto"/>
                <w:spacing w:val="0"/>
                <w:w w:val="100"/>
                <w:kern w:val="2"/>
                <w:position w:val="0"/>
                <w:sz w:val="21"/>
                <w:szCs w:val="24"/>
                <w:highlight w:val="none"/>
                <w:lang w:val="en-US" w:bidi="ar-SA"/>
              </w:rPr>
            </w:pPr>
            <w:r>
              <w:rPr>
                <w:rFonts w:hint="eastAsia" w:ascii="Times New Roman" w:hAnsi="Times New Roman" w:cs="Times New Roman"/>
                <w:caps w:val="0"/>
                <w:smallCaps w:val="0"/>
                <w:color w:val="auto"/>
                <w:spacing w:val="0"/>
                <w:w w:val="100"/>
                <w:kern w:val="2"/>
                <w:position w:val="0"/>
                <w:sz w:val="21"/>
                <w:szCs w:val="24"/>
                <w:highlight w:val="none"/>
                <w:lang w:val="en-US" w:bidi="ar-SA"/>
              </w:rPr>
              <w:t>推动地下水环境分区管理。开展地下水污染防治重点区划定，明确环境准入、隐患排查、风险管控等差别化环境管理要求。推动地下水环境分区管理、分级防治，因地制宜开展典型环境问题监管，探索创新地下水生态环境管理制度和经济政策</w:t>
            </w:r>
          </w:p>
        </w:tc>
        <w:tc>
          <w:tcPr>
            <w:tcW w:w="2582" w:type="pct"/>
            <w:vAlign w:val="center"/>
          </w:tcPr>
          <w:p w14:paraId="7711D6E6">
            <w:pPr>
              <w:autoSpaceDE/>
              <w:autoSpaceDN/>
              <w:spacing w:line="320" w:lineRule="exact"/>
              <w:jc w:val="both"/>
              <w:rPr>
                <w:rFonts w:ascii="Times New Roman" w:hAnsi="Times New Roman" w:cs="Times New Roman"/>
                <w:caps w:val="0"/>
                <w:smallCaps w:val="0"/>
                <w:color w:val="auto"/>
                <w:spacing w:val="0"/>
                <w:w w:val="100"/>
                <w:kern w:val="2"/>
                <w:position w:val="0"/>
                <w:sz w:val="21"/>
                <w:szCs w:val="24"/>
                <w:highlight w:val="none"/>
                <w:lang w:val="en-US"/>
              </w:rPr>
            </w:pPr>
            <w:r>
              <w:rPr>
                <w:rFonts w:ascii="Times New Roman" w:hAnsi="Times New Roman" w:cs="Times New Roman"/>
                <w:iCs/>
                <w:caps w:val="0"/>
                <w:smallCaps w:val="0"/>
                <w:color w:val="auto"/>
                <w:spacing w:val="0"/>
                <w:w w:val="100"/>
                <w:kern w:val="28"/>
                <w:position w:val="0"/>
                <w:sz w:val="21"/>
                <w:szCs w:val="21"/>
                <w:highlight w:val="none"/>
                <w:lang w:val="en-US" w:bidi="ar-SA"/>
              </w:rPr>
              <w:t>本项目已针对项目特点提出针对性地下水污染防治措施，主要包括采取分区防渗措施，根据可能对地下水造成污染的污染源分布制定重点防渗区、</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一般防渗区和</w:t>
            </w:r>
            <w:r>
              <w:rPr>
                <w:rFonts w:ascii="Times New Roman" w:hAnsi="Times New Roman" w:cs="Times New Roman"/>
                <w:iCs/>
                <w:caps w:val="0"/>
                <w:smallCaps w:val="0"/>
                <w:color w:val="auto"/>
                <w:spacing w:val="0"/>
                <w:w w:val="100"/>
                <w:kern w:val="28"/>
                <w:position w:val="0"/>
                <w:sz w:val="21"/>
                <w:szCs w:val="21"/>
                <w:highlight w:val="none"/>
                <w:lang w:val="en-US" w:bidi="ar-SA"/>
              </w:rPr>
              <w:t>简单防渗区；根据区域潜水流向，</w:t>
            </w:r>
            <w:r>
              <w:rPr>
                <w:rFonts w:ascii="Times New Roman" w:hAnsi="Times New Roman" w:cs="Times New Roman"/>
                <w:iCs/>
                <w:caps w:val="0"/>
                <w:smallCaps w:val="0"/>
                <w:color w:val="auto"/>
                <w:spacing w:val="0"/>
                <w:w w:val="100"/>
                <w:kern w:val="28"/>
                <w:position w:val="0"/>
                <w:sz w:val="21"/>
                <w:szCs w:val="21"/>
                <w:highlight w:val="none"/>
                <w:lang w:val="en-US" w:bidi="ar-SA"/>
              </w:rPr>
              <w:t>在</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项目</w:t>
            </w:r>
            <w:r>
              <w:rPr>
                <w:rFonts w:ascii="Times New Roman" w:hAnsi="Times New Roman" w:cs="Times New Roman"/>
                <w:iCs/>
                <w:caps w:val="0"/>
                <w:smallCaps w:val="0"/>
                <w:color w:val="auto"/>
                <w:spacing w:val="0"/>
                <w:w w:val="100"/>
                <w:kern w:val="28"/>
                <w:position w:val="0"/>
                <w:sz w:val="21"/>
                <w:szCs w:val="21"/>
                <w:highlight w:val="none"/>
                <w:lang w:val="en-US" w:bidi="ar-SA"/>
              </w:rPr>
              <w:t>区域下游</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选取1口潜水监测井作为</w:t>
            </w:r>
            <w:r>
              <w:rPr>
                <w:rFonts w:ascii="Times New Roman" w:hAnsi="Times New Roman" w:cs="Times New Roman"/>
                <w:iCs/>
                <w:caps w:val="0"/>
                <w:smallCaps w:val="0"/>
                <w:color w:val="auto"/>
                <w:spacing w:val="0"/>
                <w:w w:val="100"/>
                <w:kern w:val="28"/>
                <w:position w:val="0"/>
                <w:sz w:val="21"/>
                <w:szCs w:val="21"/>
                <w:highlight w:val="none"/>
                <w:lang w:val="en-US" w:bidi="ar-SA"/>
              </w:rPr>
              <w:t>跟踪监测点，定期对地下水进行跟踪监测。</w:t>
            </w:r>
          </w:p>
        </w:tc>
        <w:tc>
          <w:tcPr>
            <w:tcW w:w="387" w:type="pct"/>
            <w:vAlign w:val="center"/>
          </w:tcPr>
          <w:p w14:paraId="026E1E89">
            <w:pPr>
              <w:autoSpaceDE/>
              <w:autoSpaceDN/>
              <w:spacing w:line="320" w:lineRule="exact"/>
              <w:jc w:val="center"/>
              <w:rPr>
                <w:rFonts w:ascii="Times New Roman" w:hAnsi="Times New Roman" w:cs="Times New Roman"/>
                <w:caps w:val="0"/>
                <w:smallCaps w:val="0"/>
                <w:color w:val="auto"/>
                <w:spacing w:val="0"/>
                <w:w w:val="100"/>
                <w:kern w:val="2"/>
                <w:position w:val="0"/>
                <w:sz w:val="21"/>
                <w:szCs w:val="24"/>
                <w:highlight w:val="none"/>
                <w:lang w:val="en-US" w:bidi="ar-SA"/>
              </w:rPr>
            </w:pPr>
            <w:r>
              <w:rPr>
                <w:rFonts w:ascii="Times New Roman" w:hAnsi="Times New Roman" w:cs="Times New Roman"/>
                <w:caps w:val="0"/>
                <w:smallCaps w:val="0"/>
                <w:color w:val="auto"/>
                <w:spacing w:val="0"/>
                <w:w w:val="100"/>
                <w:kern w:val="2"/>
                <w:position w:val="0"/>
                <w:sz w:val="21"/>
                <w:szCs w:val="24"/>
                <w:highlight w:val="none"/>
                <w:lang w:val="en-US" w:bidi="ar-SA"/>
              </w:rPr>
              <w:t>符合</w:t>
            </w:r>
          </w:p>
        </w:tc>
      </w:tr>
    </w:tbl>
    <w:p w14:paraId="3E5EAA21">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100" w:name="_Toc127192295"/>
      <w:bookmarkStart w:id="101" w:name="_Toc131167246"/>
      <w:bookmarkStart w:id="102" w:name="_Toc126863346"/>
      <w:bookmarkStart w:id="103" w:name="_Toc186444230"/>
      <w:bookmarkStart w:id="104" w:name="_Toc143099533"/>
      <w:r>
        <w:rPr>
          <w:rFonts w:eastAsiaTheme="minorEastAsia"/>
          <w:b/>
          <w:caps w:val="0"/>
          <w:smallCaps w:val="0"/>
          <w:color w:val="auto"/>
          <w:spacing w:val="0"/>
          <w:w w:val="100"/>
          <w:kern w:val="2"/>
          <w:position w:val="0"/>
          <w:sz w:val="24"/>
          <w:szCs w:val="24"/>
          <w:highlight w:val="none"/>
        </w:rPr>
        <w:t>1.4.3相关政策符合性分析</w:t>
      </w:r>
      <w:bookmarkEnd w:id="100"/>
      <w:bookmarkEnd w:id="101"/>
      <w:bookmarkEnd w:id="102"/>
      <w:bookmarkEnd w:id="103"/>
      <w:bookmarkEnd w:id="104"/>
    </w:p>
    <w:p w14:paraId="76EC2E45">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1.4.3.1与《关于进一步加强石油天然气行业环境影响评价管理的通知》符合性分析</w:t>
      </w:r>
    </w:p>
    <w:p w14:paraId="3495071C">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本项目与《关于进一步加强石油天然气行业环境影响评价管理的通知》（环办环评函[2019]910号）符合性分析见表1.4-4。</w:t>
      </w:r>
    </w:p>
    <w:p w14:paraId="47AC8FFB">
      <w:pPr>
        <w:pStyle w:val="149"/>
        <w:widowControl w:val="0"/>
        <w:spacing w:line="440" w:lineRule="exact"/>
        <w:ind w:firstLine="478"/>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b/>
          <w:bCs/>
          <w:caps w:val="0"/>
          <w:smallCaps w:val="0"/>
          <w:color w:val="auto"/>
          <w:spacing w:val="0"/>
          <w:w w:val="100"/>
          <w:kern w:val="21"/>
          <w:position w:val="0"/>
          <w:szCs w:val="20"/>
          <w:highlight w:val="none"/>
        </w:rPr>
        <w:t>表1.4-4</w:t>
      </w:r>
      <w:r>
        <w:rPr>
          <w:rFonts w:ascii="Times New Roman" w:hAnsi="Times New Roman" w:eastAsiaTheme="minorEastAsia"/>
          <w:b/>
          <w:caps w:val="0"/>
          <w:smallCaps w:val="0"/>
          <w:color w:val="auto"/>
          <w:spacing w:val="0"/>
          <w:w w:val="100"/>
          <w:position w:val="0"/>
          <w:highlight w:val="none"/>
        </w:rPr>
        <w:t>与《关于进一步加强石油天然气行业环境影响评价管理的通知》符合性分析</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2594"/>
        <w:gridCol w:w="4966"/>
        <w:gridCol w:w="981"/>
      </w:tblGrid>
      <w:tr w14:paraId="2E5C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1" w:type="pct"/>
            <w:vAlign w:val="center"/>
          </w:tcPr>
          <w:p w14:paraId="1D35929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序号</w:t>
            </w:r>
          </w:p>
        </w:tc>
        <w:tc>
          <w:tcPr>
            <w:tcW w:w="1396" w:type="pct"/>
            <w:vAlign w:val="center"/>
          </w:tcPr>
          <w:p w14:paraId="5B481A6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文件要求</w:t>
            </w:r>
          </w:p>
        </w:tc>
        <w:tc>
          <w:tcPr>
            <w:tcW w:w="2673" w:type="pct"/>
            <w:vAlign w:val="center"/>
          </w:tcPr>
          <w:p w14:paraId="71B3CE3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符合性分析</w:t>
            </w:r>
          </w:p>
        </w:tc>
        <w:tc>
          <w:tcPr>
            <w:tcW w:w="528" w:type="pct"/>
            <w:vAlign w:val="center"/>
          </w:tcPr>
          <w:p w14:paraId="738F9E7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符合性</w:t>
            </w:r>
          </w:p>
        </w:tc>
      </w:tr>
      <w:tr w14:paraId="7C79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1" w:type="pct"/>
            <w:vAlign w:val="center"/>
          </w:tcPr>
          <w:p w14:paraId="3C00905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1</w:t>
            </w:r>
          </w:p>
        </w:tc>
        <w:tc>
          <w:tcPr>
            <w:tcW w:w="1396" w:type="pct"/>
            <w:vAlign w:val="center"/>
          </w:tcPr>
          <w:p w14:paraId="21D073C8">
            <w:pPr>
              <w:widowControl w:val="0"/>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油气开采项目（含新开发和滚动开发项目）原则上应当以区块为单位开展环评（以下简称区块环评），一般包括区块内拟建的新井、加密井、调整井、站场、设备、管道和电缆及其更换工程、弃置工程及配套工程等。项目环评应当深入评价项目建设、运营带来的环境影响和环境风险，提出有效的生态环境保护和环境风险防范措施。滚动开发区块产能建设项目环评文件中还应对现有工程环境影响进行回顾性评价，对存在的生态环境问题和环境风险隐患提出有效防治措施。依托其他防治设施的或者委托第三方处置的，应当论证其可行性和有效性。</w:t>
            </w:r>
          </w:p>
        </w:tc>
        <w:tc>
          <w:tcPr>
            <w:tcW w:w="2673" w:type="pct"/>
            <w:vAlign w:val="center"/>
          </w:tcPr>
          <w:p w14:paraId="6744ED85">
            <w:pPr>
              <w:widowControl w:val="0"/>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lang w:val="en-US" w:eastAsia="zh-CN"/>
              </w:rPr>
            </w:pPr>
            <w:r>
              <w:rPr>
                <w:rFonts w:ascii="Times New Roman" w:hAnsi="Times New Roman" w:cs="Times New Roman" w:eastAsiaTheme="minorEastAsia"/>
                <w:caps w:val="0"/>
                <w:smallCaps w:val="0"/>
                <w:color w:val="auto"/>
                <w:spacing w:val="0"/>
                <w:w w:val="100"/>
                <w:kern w:val="2"/>
                <w:position w:val="0"/>
                <w:sz w:val="21"/>
                <w:highlight w:val="none"/>
                <w:lang w:val="en-US" w:eastAsia="zh-CN"/>
              </w:rPr>
              <w:t>本项目为</w:t>
            </w:r>
            <w:r>
              <w:rPr>
                <w:rFonts w:hint="eastAsia" w:ascii="Times New Roman" w:hAnsi="Times New Roman" w:cs="Times New Roman" w:eastAsiaTheme="minorEastAsia"/>
                <w:caps w:val="0"/>
                <w:smallCaps w:val="0"/>
                <w:color w:val="auto"/>
                <w:spacing w:val="0"/>
                <w:w w:val="100"/>
                <w:kern w:val="2"/>
                <w:position w:val="0"/>
                <w:sz w:val="21"/>
                <w:highlight w:val="none"/>
                <w:lang w:eastAsia="zh-CN"/>
              </w:rPr>
              <w:t>油</w:t>
            </w:r>
            <w:r>
              <w:rPr>
                <w:rFonts w:hint="eastAsia" w:ascii="Times New Roman" w:hAnsi="Times New Roman" w:cs="Times New Roman"/>
                <w:caps w:val="0"/>
                <w:smallCaps w:val="0"/>
                <w:color w:val="auto"/>
                <w:spacing w:val="0"/>
                <w:w w:val="100"/>
                <w:position w:val="0"/>
                <w:sz w:val="21"/>
                <w:szCs w:val="21"/>
                <w:highlight w:val="none"/>
                <w:lang w:val="en-US"/>
              </w:rPr>
              <w:t>田内部管线建设项目</w:t>
            </w:r>
            <w:r>
              <w:rPr>
                <w:rFonts w:ascii="Times New Roman" w:hAnsi="Times New Roman" w:cs="Times New Roman" w:eastAsiaTheme="minorEastAsia"/>
                <w:caps w:val="0"/>
                <w:smallCaps w:val="0"/>
                <w:color w:val="auto"/>
                <w:spacing w:val="0"/>
                <w:w w:val="100"/>
                <w:kern w:val="2"/>
                <w:position w:val="0"/>
                <w:sz w:val="21"/>
                <w:highlight w:val="none"/>
                <w:lang w:val="en-US" w:eastAsia="zh-CN"/>
              </w:rPr>
              <w:t>。本项目属于“五、石油和天然气开采业-07、陆地石油开采0711”内部</w:t>
            </w:r>
            <w:r>
              <w:rPr>
                <w:rFonts w:hint="eastAsia" w:ascii="Times New Roman" w:hAnsi="Times New Roman" w:cs="Times New Roman" w:eastAsiaTheme="minorEastAsia"/>
                <w:caps w:val="0"/>
                <w:smallCaps w:val="0"/>
                <w:color w:val="auto"/>
                <w:spacing w:val="0"/>
                <w:w w:val="100"/>
                <w:kern w:val="2"/>
                <w:position w:val="0"/>
                <w:sz w:val="21"/>
                <w:highlight w:val="none"/>
                <w:lang w:val="en-US" w:eastAsia="zh-CN"/>
              </w:rPr>
              <w:t>外输油管道</w:t>
            </w:r>
            <w:r>
              <w:rPr>
                <w:rFonts w:ascii="Times New Roman" w:hAnsi="Times New Roman" w:cs="Times New Roman" w:eastAsiaTheme="minorEastAsia"/>
                <w:caps w:val="0"/>
                <w:smallCaps w:val="0"/>
                <w:color w:val="auto"/>
                <w:spacing w:val="0"/>
                <w:w w:val="100"/>
                <w:kern w:val="2"/>
                <w:position w:val="0"/>
                <w:sz w:val="21"/>
                <w:highlight w:val="none"/>
                <w:lang w:val="en-US" w:eastAsia="zh-CN"/>
              </w:rPr>
              <w:t>更换工程。本报告已在第五章评价项目建设、运营带来的环境影响和环境风险，第六章提出有效的生态环境保护和环境风险防范措施。</w:t>
            </w:r>
          </w:p>
          <w:p w14:paraId="34D3AE35">
            <w:pPr>
              <w:widowControl w:val="0"/>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lang w:val="en-US" w:eastAsia="zh-CN"/>
              </w:rPr>
            </w:pPr>
            <w:r>
              <w:rPr>
                <w:rFonts w:ascii="Times New Roman" w:hAnsi="Times New Roman" w:cs="Times New Roman" w:eastAsiaTheme="minorEastAsia"/>
                <w:caps w:val="0"/>
                <w:smallCaps w:val="0"/>
                <w:color w:val="auto"/>
                <w:spacing w:val="0"/>
                <w:w w:val="100"/>
                <w:kern w:val="2"/>
                <w:position w:val="0"/>
                <w:sz w:val="21"/>
                <w:highlight w:val="none"/>
                <w:lang w:val="en-US" w:eastAsia="zh-CN"/>
              </w:rPr>
              <w:t>更换管道位于</w:t>
            </w:r>
            <w:r>
              <w:rPr>
                <w:rFonts w:hint="eastAsia" w:ascii="Times New Roman" w:hAnsi="Times New Roman" w:cs="Times New Roman" w:eastAsiaTheme="minorEastAsia"/>
                <w:caps w:val="0"/>
                <w:smallCaps w:val="0"/>
                <w:color w:val="auto"/>
                <w:spacing w:val="0"/>
                <w:w w:val="100"/>
                <w:kern w:val="2"/>
                <w:position w:val="0"/>
                <w:sz w:val="21"/>
                <w:highlight w:val="none"/>
                <w:lang w:val="en-US" w:eastAsia="zh-CN"/>
              </w:rPr>
              <w:t>卫星油田</w:t>
            </w:r>
            <w:r>
              <w:rPr>
                <w:rFonts w:ascii="Times New Roman" w:hAnsi="Times New Roman" w:cs="Times New Roman" w:eastAsiaTheme="minorEastAsia"/>
                <w:caps w:val="0"/>
                <w:smallCaps w:val="0"/>
                <w:color w:val="auto"/>
                <w:spacing w:val="0"/>
                <w:w w:val="100"/>
                <w:kern w:val="2"/>
                <w:position w:val="0"/>
                <w:sz w:val="21"/>
                <w:highlight w:val="none"/>
                <w:lang w:val="en-US" w:eastAsia="zh-CN"/>
              </w:rPr>
              <w:t>已开发区，已在</w:t>
            </w:r>
            <w:r>
              <w:rPr>
                <w:rFonts w:hint="eastAsia" w:ascii="Times New Roman" w:hAnsi="Times New Roman" w:cs="Times New Roman" w:eastAsiaTheme="minorEastAsia"/>
                <w:caps w:val="0"/>
                <w:smallCaps w:val="0"/>
                <w:color w:val="auto"/>
                <w:spacing w:val="0"/>
                <w:w w:val="100"/>
                <w:kern w:val="2"/>
                <w:position w:val="0"/>
                <w:sz w:val="21"/>
                <w:highlight w:val="none"/>
                <w:lang w:val="en-US" w:eastAsia="zh-CN"/>
              </w:rPr>
              <w:t>3.1</w:t>
            </w:r>
            <w:r>
              <w:rPr>
                <w:rFonts w:ascii="Times New Roman" w:hAnsi="Times New Roman" w:cs="Times New Roman" w:eastAsiaTheme="minorEastAsia"/>
                <w:caps w:val="0"/>
                <w:smallCaps w:val="0"/>
                <w:color w:val="auto"/>
                <w:spacing w:val="0"/>
                <w:w w:val="100"/>
                <w:kern w:val="2"/>
                <w:position w:val="0"/>
                <w:sz w:val="21"/>
                <w:highlight w:val="none"/>
                <w:lang w:val="en-US" w:eastAsia="zh-CN"/>
              </w:rPr>
              <w:t>章节中对现有工程环境影响进行回顾性评价，本项目主要为油田</w:t>
            </w:r>
            <w:r>
              <w:rPr>
                <w:rFonts w:hint="eastAsia" w:ascii="Times New Roman" w:hAnsi="Times New Roman" w:cs="Times New Roman" w:eastAsiaTheme="minorEastAsia"/>
                <w:caps w:val="0"/>
                <w:smallCaps w:val="0"/>
                <w:color w:val="auto"/>
                <w:spacing w:val="0"/>
                <w:w w:val="100"/>
                <w:kern w:val="2"/>
                <w:position w:val="0"/>
                <w:sz w:val="21"/>
                <w:highlight w:val="none"/>
                <w:lang w:val="en-US" w:eastAsia="zh-CN"/>
              </w:rPr>
              <w:t>内部外输油管道更换</w:t>
            </w:r>
            <w:r>
              <w:rPr>
                <w:rFonts w:ascii="Times New Roman" w:hAnsi="Times New Roman" w:cs="Times New Roman" w:eastAsiaTheme="minorEastAsia"/>
                <w:caps w:val="0"/>
                <w:smallCaps w:val="0"/>
                <w:color w:val="auto"/>
                <w:spacing w:val="0"/>
                <w:w w:val="100"/>
                <w:kern w:val="2"/>
                <w:position w:val="0"/>
                <w:sz w:val="21"/>
                <w:highlight w:val="none"/>
                <w:lang w:val="en-US" w:eastAsia="zh-CN"/>
              </w:rPr>
              <w:t>。区块内临时占地生态恢复良好，未发现生态环境问题和环境风险隐患。</w:t>
            </w:r>
          </w:p>
          <w:p w14:paraId="6F966814">
            <w:pPr>
              <w:widowControl w:val="0"/>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lang w:bidi="zh-CN"/>
              </w:rPr>
            </w:pPr>
            <w:r>
              <w:rPr>
                <w:rFonts w:ascii="Times New Roman" w:hAnsi="Times New Roman" w:cs="Times New Roman" w:eastAsiaTheme="minorEastAsia"/>
                <w:caps w:val="0"/>
                <w:smallCaps w:val="0"/>
                <w:color w:val="auto"/>
                <w:spacing w:val="0"/>
                <w:w w:val="100"/>
                <w:kern w:val="2"/>
                <w:position w:val="0"/>
                <w:sz w:val="21"/>
                <w:highlight w:val="none"/>
                <w:lang w:val="en-US" w:eastAsia="zh-CN"/>
              </w:rPr>
              <w:t>本项目为管道更换工程，不属于滚动开发区块的产能项目。因此未对区块内已建场站排放的污染物进行分析。</w:t>
            </w:r>
          </w:p>
        </w:tc>
        <w:tc>
          <w:tcPr>
            <w:tcW w:w="528" w:type="pct"/>
            <w:vAlign w:val="center"/>
          </w:tcPr>
          <w:p w14:paraId="536EEAD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符合</w:t>
            </w:r>
          </w:p>
        </w:tc>
      </w:tr>
      <w:tr w14:paraId="0C5D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1" w:type="pct"/>
            <w:vAlign w:val="center"/>
          </w:tcPr>
          <w:p w14:paraId="098962E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2</w:t>
            </w:r>
          </w:p>
        </w:tc>
        <w:tc>
          <w:tcPr>
            <w:tcW w:w="1396" w:type="pct"/>
            <w:vAlign w:val="center"/>
          </w:tcPr>
          <w:p w14:paraId="0DF00536">
            <w:pPr>
              <w:widowControl w:val="0"/>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涉及向地表水体排放污染物的陆地油气开采项目，应当符合国家和地方污染物排放标准，满足重点污染物排放总量控制要求。</w:t>
            </w:r>
          </w:p>
        </w:tc>
        <w:tc>
          <w:tcPr>
            <w:tcW w:w="2673" w:type="pct"/>
            <w:vAlign w:val="center"/>
          </w:tcPr>
          <w:p w14:paraId="0CE59966">
            <w:pPr>
              <w:widowControl w:val="0"/>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本项目施工人员产生的生活污水排入</w:t>
            </w:r>
            <w:r>
              <w:rPr>
                <w:rFonts w:hint="eastAsia" w:ascii="Times New Roman" w:hAnsi="Times New Roman" w:cs="Times New Roman" w:eastAsiaTheme="minorEastAsia"/>
                <w:caps w:val="0"/>
                <w:smallCaps w:val="0"/>
                <w:color w:val="auto"/>
                <w:spacing w:val="0"/>
                <w:w w:val="100"/>
                <w:kern w:val="2"/>
                <w:position w:val="0"/>
                <w:sz w:val="21"/>
                <w:highlight w:val="none"/>
                <w:lang w:val="en-US" w:eastAsia="zh-CN"/>
              </w:rPr>
              <w:t>附近集油阀组间防渗旱厕</w:t>
            </w:r>
            <w:r>
              <w:rPr>
                <w:rFonts w:ascii="Times New Roman" w:hAnsi="Times New Roman" w:cs="Times New Roman" w:eastAsiaTheme="minorEastAsia"/>
                <w:caps w:val="0"/>
                <w:smallCaps w:val="0"/>
                <w:color w:val="auto"/>
                <w:spacing w:val="0"/>
                <w:w w:val="100"/>
                <w:kern w:val="2"/>
                <w:position w:val="0"/>
                <w:sz w:val="21"/>
                <w:highlight w:val="none"/>
              </w:rPr>
              <w:t>，</w:t>
            </w:r>
            <w:r>
              <w:rPr>
                <w:rFonts w:hint="eastAsia" w:ascii="Times New Roman" w:hAnsi="Times New Roman" w:cs="Times New Roman" w:eastAsiaTheme="minorEastAsia"/>
                <w:caps w:val="0"/>
                <w:smallCaps w:val="0"/>
                <w:color w:val="auto"/>
                <w:spacing w:val="0"/>
                <w:w w:val="100"/>
                <w:kern w:val="2"/>
                <w:position w:val="0"/>
                <w:sz w:val="21"/>
                <w:highlight w:val="none"/>
                <w:lang w:val="en-US" w:eastAsia="zh-CN"/>
              </w:rPr>
              <w:t>定期由安达市同昌油田工程有限公司拉运至大庆市净源环保科技有限公司进行处理。新建</w:t>
            </w:r>
            <w:r>
              <w:rPr>
                <w:rFonts w:ascii="Times New Roman" w:hAnsi="Times New Roman" w:cs="Times New Roman" w:eastAsiaTheme="minorEastAsia"/>
                <w:caps w:val="0"/>
                <w:smallCaps w:val="0"/>
                <w:color w:val="auto"/>
                <w:spacing w:val="0"/>
                <w:w w:val="100"/>
                <w:kern w:val="2"/>
                <w:position w:val="0"/>
                <w:sz w:val="21"/>
                <w:highlight w:val="none"/>
              </w:rPr>
              <w:t>管线试压废水及现有管线清洗废水由罐车拉运至</w:t>
            </w:r>
            <w:r>
              <w:rPr>
                <w:rFonts w:hint="eastAsia" w:ascii="Times New Roman" w:hAnsi="Times New Roman" w:cs="Times New Roman" w:eastAsiaTheme="minorEastAsia"/>
                <w:caps w:val="0"/>
                <w:smallCaps w:val="0"/>
                <w:color w:val="auto"/>
                <w:spacing w:val="0"/>
                <w:w w:val="100"/>
                <w:kern w:val="2"/>
                <w:position w:val="0"/>
                <w:sz w:val="21"/>
                <w:highlight w:val="none"/>
                <w:lang w:val="en-US" w:eastAsia="zh-CN"/>
              </w:rPr>
              <w:t>卫一联含油污水深度处理站</w:t>
            </w:r>
            <w:r>
              <w:rPr>
                <w:rFonts w:ascii="Times New Roman" w:hAnsi="Times New Roman" w:cs="Times New Roman" w:eastAsiaTheme="minorEastAsia"/>
                <w:caps w:val="0"/>
                <w:smallCaps w:val="0"/>
                <w:color w:val="auto"/>
                <w:spacing w:val="0"/>
                <w:w w:val="100"/>
                <w:kern w:val="2"/>
                <w:position w:val="0"/>
                <w:sz w:val="21"/>
                <w:highlight w:val="none"/>
              </w:rPr>
              <w:t>处理满足《大庆油田地面工程建设设计规定》（Q/SYDQ0639-2015）及《碎屑岩油藏注水水质指标技术要求及分析方法》（SY/T5329-2022）限值要求后回注油层，不外排。本项目废水均不外排，不向附近地表水体排放污染物。</w:t>
            </w:r>
          </w:p>
        </w:tc>
        <w:tc>
          <w:tcPr>
            <w:tcW w:w="528" w:type="pct"/>
            <w:vAlign w:val="center"/>
          </w:tcPr>
          <w:p w14:paraId="600CC5B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符合</w:t>
            </w:r>
          </w:p>
        </w:tc>
      </w:tr>
      <w:tr w14:paraId="014F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1" w:type="pct"/>
            <w:vAlign w:val="center"/>
          </w:tcPr>
          <w:p w14:paraId="4CC69B4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3</w:t>
            </w:r>
          </w:p>
        </w:tc>
        <w:tc>
          <w:tcPr>
            <w:tcW w:w="1396" w:type="pct"/>
            <w:vAlign w:val="center"/>
          </w:tcPr>
          <w:p w14:paraId="340D64AE">
            <w:pPr>
              <w:widowControl w:val="0"/>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涉及废水回注的，应当论证回注的环境可行性，采取切实可行的地下水污染防治和监控措施，不得回注与油气开采无关的废水，严禁造成地下水污染。在相关行业污染控制标准发布前，回注的开采废水应当经处理并符合《碎屑岩油藏注水水质推荐指标及分析方法》（SY/T5329）等相关标准要求后回注，同步采取切实可行措施防治污染。回注目的层应当为地质构造封闭地层，一般应当回注到现役油气藏或枯竭废弃油气藏。</w:t>
            </w:r>
          </w:p>
        </w:tc>
        <w:tc>
          <w:tcPr>
            <w:tcW w:w="2673" w:type="pct"/>
            <w:vAlign w:val="center"/>
          </w:tcPr>
          <w:p w14:paraId="3A1A204E">
            <w:pPr>
              <w:widowControl w:val="0"/>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bCs/>
                <w:caps w:val="0"/>
                <w:smallCaps w:val="0"/>
                <w:color w:val="auto"/>
                <w:spacing w:val="0"/>
                <w:w w:val="100"/>
                <w:kern w:val="2"/>
                <w:position w:val="0"/>
                <w:sz w:val="21"/>
                <w:highlight w:val="none"/>
                <w:lang w:bidi="zh-CN"/>
              </w:rPr>
              <w:t>施工阶段产生的</w:t>
            </w:r>
            <w:r>
              <w:rPr>
                <w:rFonts w:hint="eastAsia" w:ascii="Times New Roman" w:hAnsi="Times New Roman" w:cs="Times New Roman" w:eastAsiaTheme="minorEastAsia"/>
                <w:bCs/>
                <w:caps w:val="0"/>
                <w:smallCaps w:val="0"/>
                <w:color w:val="auto"/>
                <w:spacing w:val="0"/>
                <w:w w:val="100"/>
                <w:kern w:val="2"/>
                <w:position w:val="0"/>
                <w:sz w:val="21"/>
                <w:highlight w:val="none"/>
                <w:lang w:bidi="zh-CN"/>
              </w:rPr>
              <w:t>废水均依托现有场站进行处理。</w:t>
            </w:r>
            <w:r>
              <w:rPr>
                <w:rFonts w:ascii="Times New Roman" w:hAnsi="Times New Roman" w:cs="Times New Roman" w:eastAsiaTheme="minorEastAsia"/>
                <w:bCs/>
                <w:caps w:val="0"/>
                <w:smallCaps w:val="0"/>
                <w:color w:val="auto"/>
                <w:spacing w:val="0"/>
                <w:w w:val="100"/>
                <w:kern w:val="2"/>
                <w:position w:val="0"/>
                <w:sz w:val="21"/>
                <w:highlight w:val="none"/>
                <w:lang w:bidi="zh-CN"/>
              </w:rPr>
              <w:t>本项目新建管线试压废水及现有管线清洗废水由罐车拉运至</w:t>
            </w:r>
            <w:r>
              <w:rPr>
                <w:rFonts w:hint="eastAsia" w:ascii="Times New Roman" w:hAnsi="Times New Roman" w:cs="Times New Roman" w:eastAsiaTheme="minorEastAsia"/>
                <w:bCs/>
                <w:caps w:val="0"/>
                <w:smallCaps w:val="0"/>
                <w:color w:val="auto"/>
                <w:spacing w:val="0"/>
                <w:w w:val="100"/>
                <w:kern w:val="2"/>
                <w:position w:val="0"/>
                <w:sz w:val="21"/>
                <w:highlight w:val="none"/>
                <w:lang w:bidi="zh-CN"/>
              </w:rPr>
              <w:t>卫一联含油污水深度处理站</w:t>
            </w:r>
            <w:r>
              <w:rPr>
                <w:rFonts w:ascii="Times New Roman" w:hAnsi="Times New Roman" w:cs="Times New Roman" w:eastAsiaTheme="minorEastAsia"/>
                <w:bCs/>
                <w:caps w:val="0"/>
                <w:smallCaps w:val="0"/>
                <w:color w:val="auto"/>
                <w:spacing w:val="0"/>
                <w:w w:val="100"/>
                <w:kern w:val="2"/>
                <w:position w:val="0"/>
                <w:sz w:val="21"/>
                <w:highlight w:val="none"/>
                <w:lang w:bidi="zh-CN"/>
              </w:rPr>
              <w:t>处理满足《大庆油田地面工程建设设计规定》（Q/SYDQ0639-2015）及《碎屑岩油藏注水水质指标技术要求及分析方法》（SY/T5329-2022）限值要求后回注油层</w:t>
            </w:r>
            <w:r>
              <w:rPr>
                <w:rFonts w:ascii="Times New Roman" w:hAnsi="Times New Roman" w:cs="Times New Roman" w:eastAsiaTheme="minorEastAsia"/>
                <w:caps w:val="0"/>
                <w:smallCaps w:val="0"/>
                <w:color w:val="auto"/>
                <w:spacing w:val="0"/>
                <w:w w:val="100"/>
                <w:kern w:val="2"/>
                <w:position w:val="0"/>
                <w:sz w:val="21"/>
                <w:highlight w:val="none"/>
                <w:lang w:bidi="zh-CN"/>
              </w:rPr>
              <w:t>，属于回注到现役油气藏层位。</w:t>
            </w:r>
            <w:r>
              <w:rPr>
                <w:rFonts w:ascii="Times New Roman" w:hAnsi="Times New Roman" w:cs="Times New Roman" w:eastAsiaTheme="minorEastAsia"/>
                <w:caps w:val="0"/>
                <w:smallCaps w:val="0"/>
                <w:color w:val="auto"/>
                <w:spacing w:val="0"/>
                <w:w w:val="100"/>
                <w:kern w:val="2"/>
                <w:position w:val="0"/>
                <w:sz w:val="21"/>
                <w:highlight w:val="none"/>
              </w:rPr>
              <w:t>地下水防治措施采取过程防控、跟踪监测来防止污染地下水。</w:t>
            </w:r>
          </w:p>
        </w:tc>
        <w:tc>
          <w:tcPr>
            <w:tcW w:w="528" w:type="pct"/>
            <w:vAlign w:val="center"/>
          </w:tcPr>
          <w:p w14:paraId="2EA36BC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符合</w:t>
            </w:r>
          </w:p>
        </w:tc>
      </w:tr>
      <w:tr w14:paraId="6D6E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 w:type="pct"/>
            <w:vAlign w:val="center"/>
          </w:tcPr>
          <w:p w14:paraId="57C9B666">
            <w:pPr>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4</w:t>
            </w:r>
          </w:p>
        </w:tc>
        <w:tc>
          <w:tcPr>
            <w:tcW w:w="1396" w:type="pct"/>
            <w:vAlign w:val="center"/>
          </w:tcPr>
          <w:p w14:paraId="023E1509">
            <w:pPr>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施工期应当尽量减少施工占地、缩短施工时间、选择合理施工方式、落实环境敏感区管控要求以及其他生态环境保护措施，降低生态环境影响。钻井和压裂设备应当优先使用网电、高标准清洁燃油，减少废气排放。</w:t>
            </w:r>
          </w:p>
        </w:tc>
        <w:tc>
          <w:tcPr>
            <w:tcW w:w="2673" w:type="pct"/>
            <w:vAlign w:val="center"/>
          </w:tcPr>
          <w:p w14:paraId="4CE2D9E0">
            <w:pPr>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lang w:bidi="zh-CN"/>
              </w:rPr>
            </w:pPr>
            <w:r>
              <w:rPr>
                <w:rFonts w:ascii="Times New Roman" w:hAnsi="Times New Roman" w:cs="Times New Roman" w:eastAsiaTheme="minorEastAsia"/>
                <w:caps w:val="0"/>
                <w:smallCaps w:val="0"/>
                <w:color w:val="auto"/>
                <w:spacing w:val="0"/>
                <w:w w:val="100"/>
                <w:kern w:val="2"/>
                <w:position w:val="0"/>
                <w:sz w:val="21"/>
                <w:highlight w:val="none"/>
                <w:lang w:bidi="zh-CN"/>
              </w:rPr>
              <w:t>项目施工期均在临时用地内进行，严格控制施工作业面宽度，管线施工作业带宽度为10m，</w:t>
            </w:r>
            <w:r>
              <w:rPr>
                <w:rFonts w:hint="eastAsia" w:ascii="Times New Roman" w:hAnsi="Times New Roman" w:cs="Times New Roman" w:eastAsiaTheme="minorEastAsia"/>
                <w:caps w:val="0"/>
                <w:smallCaps w:val="0"/>
                <w:color w:val="auto"/>
                <w:spacing w:val="0"/>
                <w:w w:val="100"/>
                <w:kern w:val="2"/>
                <w:position w:val="0"/>
                <w:sz w:val="21"/>
                <w:highlight w:val="none"/>
                <w:lang w:bidi="zh-CN"/>
              </w:rPr>
              <w:t>管沟</w:t>
            </w:r>
            <w:r>
              <w:rPr>
                <w:rFonts w:ascii="Times New Roman" w:hAnsi="Times New Roman" w:cs="Times New Roman" w:eastAsiaTheme="minorEastAsia"/>
                <w:caps w:val="0"/>
                <w:smallCaps w:val="0"/>
                <w:color w:val="auto"/>
                <w:spacing w:val="0"/>
                <w:w w:val="100"/>
                <w:kern w:val="2"/>
                <w:position w:val="0"/>
                <w:sz w:val="21"/>
                <w:highlight w:val="none"/>
                <w:lang w:bidi="zh-CN"/>
              </w:rPr>
              <w:t>开挖尽量采用小型施工机械和人工开挖，尽量减少</w:t>
            </w:r>
            <w:r>
              <w:rPr>
                <w:rFonts w:hint="eastAsia" w:ascii="Times New Roman" w:hAnsi="Times New Roman" w:cs="Times New Roman" w:eastAsiaTheme="minorEastAsia"/>
                <w:caps w:val="0"/>
                <w:smallCaps w:val="0"/>
                <w:color w:val="auto"/>
                <w:spacing w:val="0"/>
                <w:w w:val="100"/>
                <w:kern w:val="2"/>
                <w:position w:val="0"/>
                <w:sz w:val="21"/>
                <w:highlight w:val="none"/>
                <w:lang w:bidi="zh-CN"/>
              </w:rPr>
              <w:t>占地</w:t>
            </w:r>
            <w:r>
              <w:rPr>
                <w:rFonts w:ascii="Times New Roman" w:hAnsi="Times New Roman" w:cs="Times New Roman" w:eastAsiaTheme="minorEastAsia"/>
                <w:caps w:val="0"/>
                <w:smallCaps w:val="0"/>
                <w:color w:val="auto"/>
                <w:spacing w:val="0"/>
                <w:w w:val="100"/>
                <w:kern w:val="2"/>
                <w:position w:val="0"/>
                <w:sz w:val="21"/>
                <w:highlight w:val="none"/>
                <w:lang w:bidi="zh-CN"/>
              </w:rPr>
              <w:t>。对不同地段采用合理的施工方式，主要采用人工开挖和机械开挖相结合的方式，管线采取多段同时施工方式，尽量缩短了施工时间。项目施工过程中施工材料合理堆放，规范运输车辆行驶路线，采用“一”字型作业法，禁止碾压和破坏占地外地表植被；管沟挖、填方作业互补平衡，分层开挖，分层回填土方予以平整、压实；对临时开挖土方采用防尘网覆盖，并对施工场地及开挖土方定期进行洒水抑尘；施工结束后对临时占地进行植被恢复和人工绿化，降低人为因素导致当地土壤盐碱化的趋势；强化管理，减少人员随意践踏造成的水土流失。在施工过程中加强防沙治沙措施和水土保持措施，最大程度有效降低生态环境影响。</w:t>
            </w:r>
          </w:p>
          <w:p w14:paraId="49B752E7">
            <w:pPr>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lang w:bidi="zh-CN"/>
              </w:rPr>
              <w:t>项目不涉及钻井和压裂作业。</w:t>
            </w:r>
          </w:p>
        </w:tc>
        <w:tc>
          <w:tcPr>
            <w:tcW w:w="528" w:type="pct"/>
            <w:vAlign w:val="center"/>
          </w:tcPr>
          <w:p w14:paraId="37E9B5B3">
            <w:pPr>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符合</w:t>
            </w:r>
          </w:p>
        </w:tc>
      </w:tr>
      <w:tr w14:paraId="2E4D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01" w:type="pct"/>
            <w:vAlign w:val="center"/>
          </w:tcPr>
          <w:p w14:paraId="12588180">
            <w:pPr>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5</w:t>
            </w:r>
          </w:p>
        </w:tc>
        <w:tc>
          <w:tcPr>
            <w:tcW w:w="1396" w:type="pct"/>
            <w:vAlign w:val="center"/>
          </w:tcPr>
          <w:p w14:paraId="368C30A5">
            <w:pPr>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rPr>
            </w:pPr>
            <w:r>
              <w:rPr>
                <w:rFonts w:ascii="Times New Roman" w:hAnsi="Times New Roman" w:cs="Times New Roman" w:eastAsiaTheme="minorEastAsia"/>
                <w:caps w:val="0"/>
                <w:smallCaps w:val="0"/>
                <w:color w:val="auto"/>
                <w:spacing w:val="0"/>
                <w:w w:val="100"/>
                <w:kern w:val="2"/>
                <w:position w:val="0"/>
                <w:sz w:val="21"/>
                <w:highlight w:val="none"/>
              </w:rPr>
              <w:t>油气企业应当加强风险防控，按规定编制突发环境事件应急预案，报所在地生态环境主管部门备案。</w:t>
            </w:r>
          </w:p>
        </w:tc>
        <w:tc>
          <w:tcPr>
            <w:tcW w:w="2673" w:type="pct"/>
            <w:vAlign w:val="center"/>
          </w:tcPr>
          <w:p w14:paraId="3BACE8A9">
            <w:pPr>
              <w:spacing w:line="320" w:lineRule="exact"/>
              <w:jc w:val="both"/>
              <w:rPr>
                <w:rFonts w:ascii="Times New Roman" w:hAnsi="Times New Roman" w:cs="Times New Roman" w:eastAsiaTheme="minorEastAsia"/>
                <w:caps w:val="0"/>
                <w:smallCaps w:val="0"/>
                <w:color w:val="auto"/>
                <w:spacing w:val="0"/>
                <w:w w:val="100"/>
                <w:kern w:val="2"/>
                <w:position w:val="0"/>
                <w:sz w:val="21"/>
                <w:highlight w:val="none"/>
                <w:lang w:bidi="zh-CN"/>
              </w:rPr>
            </w:pPr>
            <w:r>
              <w:rPr>
                <w:rFonts w:hint="eastAsia" w:ascii="Times New Roman" w:hAnsi="Times New Roman" w:cs="Times New Roman" w:eastAsiaTheme="minorEastAsia"/>
                <w:caps w:val="0"/>
                <w:smallCaps w:val="0"/>
                <w:color w:val="auto"/>
                <w:spacing w:val="0"/>
                <w:w w:val="100"/>
                <w:kern w:val="2"/>
                <w:position w:val="0"/>
                <w:sz w:val="21"/>
                <w:highlight w:val="none"/>
                <w:lang w:eastAsia="zh-CN"/>
              </w:rPr>
              <w:t>大庆油田有限责任公司第十一采油厂</w:t>
            </w:r>
            <w:r>
              <w:rPr>
                <w:rFonts w:ascii="Times New Roman" w:hAnsi="Times New Roman" w:cs="Times New Roman" w:eastAsiaTheme="minorEastAsia"/>
                <w:caps w:val="0"/>
                <w:smallCaps w:val="0"/>
                <w:color w:val="auto"/>
                <w:spacing w:val="0"/>
                <w:w w:val="100"/>
                <w:kern w:val="2"/>
                <w:position w:val="0"/>
                <w:sz w:val="21"/>
                <w:highlight w:val="none"/>
              </w:rPr>
              <w:t>现有《</w:t>
            </w:r>
            <w:r>
              <w:rPr>
                <w:rFonts w:hint="eastAsia" w:ascii="Times New Roman" w:hAnsi="Times New Roman" w:cs="Times New Roman" w:eastAsiaTheme="minorEastAsia"/>
                <w:caps w:val="0"/>
                <w:smallCaps w:val="0"/>
                <w:color w:val="auto"/>
                <w:spacing w:val="0"/>
                <w:w w:val="100"/>
                <w:kern w:val="2"/>
                <w:position w:val="0"/>
                <w:sz w:val="21"/>
                <w:highlight w:val="none"/>
                <w:lang w:eastAsia="zh-CN"/>
              </w:rPr>
              <w:t>大庆油田有限责任公司第十一采油厂突发环境事件应急预案</w:t>
            </w:r>
            <w:r>
              <w:rPr>
                <w:rFonts w:ascii="Times New Roman" w:hAnsi="Times New Roman" w:cs="Times New Roman" w:eastAsiaTheme="minorEastAsia"/>
                <w:caps w:val="0"/>
                <w:smallCaps w:val="0"/>
                <w:color w:val="auto"/>
                <w:spacing w:val="0"/>
                <w:w w:val="100"/>
                <w:kern w:val="2"/>
                <w:position w:val="0"/>
                <w:sz w:val="21"/>
                <w:highlight w:val="none"/>
              </w:rPr>
              <w:t>》主要包括应急组织机构及职责明确、监测与预警、应急处置与应急响应、恢复与重建、应急保障与培训、督查与奖惩等内容。</w:t>
            </w:r>
            <w:r>
              <w:rPr>
                <w:rFonts w:ascii="Times New Roman" w:hAnsi="Times New Roman" w:eastAsia="宋体" w:cs="Times New Roman"/>
                <w:caps w:val="0"/>
                <w:smallCaps w:val="0"/>
                <w:color w:val="auto"/>
                <w:spacing w:val="0"/>
                <w:w w:val="100"/>
                <w:position w:val="0"/>
                <w:sz w:val="21"/>
                <w:szCs w:val="21"/>
                <w:highlight w:val="none"/>
              </w:rPr>
              <w:t>并于</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2025</w:t>
            </w:r>
            <w:r>
              <w:rPr>
                <w:rFonts w:ascii="Times New Roman" w:hAnsi="Times New Roman" w:eastAsia="宋体" w:cs="Times New Roman"/>
                <w:caps w:val="0"/>
                <w:smallCaps w:val="0"/>
                <w:color w:val="auto"/>
                <w:spacing w:val="0"/>
                <w:w w:val="100"/>
                <w:position w:val="0"/>
                <w:sz w:val="21"/>
                <w:szCs w:val="21"/>
                <w:highlight w:val="none"/>
              </w:rPr>
              <w:t>年</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3</w:t>
            </w:r>
            <w:r>
              <w:rPr>
                <w:rFonts w:ascii="Times New Roman" w:hAnsi="Times New Roman" w:eastAsia="宋体" w:cs="Times New Roman"/>
                <w:caps w:val="0"/>
                <w:smallCaps w:val="0"/>
                <w:color w:val="auto"/>
                <w:spacing w:val="0"/>
                <w:w w:val="100"/>
                <w:position w:val="0"/>
                <w:sz w:val="21"/>
                <w:szCs w:val="21"/>
                <w:highlight w:val="none"/>
              </w:rPr>
              <w:t>月</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25</w:t>
            </w:r>
            <w:r>
              <w:rPr>
                <w:rFonts w:ascii="Times New Roman" w:hAnsi="Times New Roman" w:eastAsia="宋体" w:cs="Times New Roman"/>
                <w:caps w:val="0"/>
                <w:smallCaps w:val="0"/>
                <w:color w:val="auto"/>
                <w:spacing w:val="0"/>
                <w:w w:val="100"/>
                <w:position w:val="0"/>
                <w:sz w:val="21"/>
                <w:szCs w:val="21"/>
                <w:highlight w:val="none"/>
              </w:rPr>
              <w:t>日在</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绥化市安达市</w:t>
            </w:r>
            <w:r>
              <w:rPr>
                <w:rFonts w:ascii="Times New Roman" w:hAnsi="Times New Roman" w:eastAsia="宋体" w:cs="Times New Roman"/>
                <w:caps w:val="0"/>
                <w:smallCaps w:val="0"/>
                <w:color w:val="auto"/>
                <w:spacing w:val="0"/>
                <w:w w:val="100"/>
                <w:position w:val="0"/>
                <w:sz w:val="21"/>
                <w:szCs w:val="21"/>
                <w:highlight w:val="none"/>
              </w:rPr>
              <w:t xml:space="preserve">生态环境局进行了备案，备案编号为 </w:t>
            </w:r>
            <w:r>
              <w:rPr>
                <w:rFonts w:hint="eastAsia" w:ascii="Times New Roman" w:hAnsi="Times New Roman" w:eastAsia="宋体" w:cs="Times New Roman"/>
                <w:caps w:val="0"/>
                <w:smallCaps w:val="0"/>
                <w:color w:val="auto"/>
                <w:spacing w:val="0"/>
                <w:w w:val="100"/>
                <w:position w:val="0"/>
                <w:sz w:val="21"/>
                <w:szCs w:val="21"/>
                <w:highlight w:val="none"/>
              </w:rPr>
              <w:t>231281-2025-014-L</w:t>
            </w:r>
            <w:r>
              <w:rPr>
                <w:rFonts w:ascii="Times New Roman" w:hAnsi="Times New Roman" w:cs="Times New Roman" w:eastAsiaTheme="minorEastAsia"/>
                <w:caps w:val="0"/>
                <w:smallCaps w:val="0"/>
                <w:color w:val="auto"/>
                <w:spacing w:val="0"/>
                <w:w w:val="100"/>
                <w:kern w:val="2"/>
                <w:position w:val="0"/>
                <w:sz w:val="21"/>
                <w:highlight w:val="none"/>
              </w:rPr>
              <w:t>。</w:t>
            </w:r>
            <w:r>
              <w:rPr>
                <w:rFonts w:hint="eastAsia" w:ascii="Times New Roman" w:hAnsi="Times New Roman" w:cs="Times New Roman" w:eastAsiaTheme="minorEastAsia"/>
                <w:caps w:val="0"/>
                <w:smallCaps w:val="0"/>
                <w:color w:val="auto"/>
                <w:spacing w:val="0"/>
                <w:w w:val="100"/>
                <w:kern w:val="2"/>
                <w:position w:val="0"/>
                <w:sz w:val="21"/>
                <w:highlight w:val="none"/>
              </w:rPr>
              <w:t>同时企业应结合本项目工艺特征，适时修订现有应急预案，将本项目纳入应急预案体系。</w:t>
            </w:r>
          </w:p>
        </w:tc>
        <w:tc>
          <w:tcPr>
            <w:tcW w:w="528" w:type="pct"/>
            <w:vAlign w:val="center"/>
          </w:tcPr>
          <w:p w14:paraId="25665A53">
            <w:pPr>
              <w:spacing w:line="320" w:lineRule="exact"/>
              <w:jc w:val="center"/>
              <w:rPr>
                <w:rFonts w:ascii="Times New Roman" w:hAnsi="Times New Roman" w:cs="Times New Roman" w:eastAsiaTheme="minorEastAsia"/>
                <w:caps w:val="0"/>
                <w:smallCaps w:val="0"/>
                <w:color w:val="auto"/>
                <w:spacing w:val="0"/>
                <w:w w:val="100"/>
                <w:kern w:val="2"/>
                <w:position w:val="0"/>
                <w:sz w:val="21"/>
                <w:highlight w:val="none"/>
              </w:rPr>
            </w:pPr>
          </w:p>
        </w:tc>
      </w:tr>
    </w:tbl>
    <w:p w14:paraId="4791B93D">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
          <w:position w:val="0"/>
          <w:highlight w:val="none"/>
        </w:rPr>
      </w:pPr>
      <w:r>
        <w:rPr>
          <w:rFonts w:ascii="Times New Roman" w:hAnsi="Times New Roman" w:cs="Times New Roman" w:eastAsiaTheme="minorEastAsia"/>
          <w:bCs/>
          <w:caps w:val="0"/>
          <w:smallCaps w:val="0"/>
          <w:color w:val="auto"/>
          <w:spacing w:val="0"/>
          <w:w w:val="100"/>
          <w:kern w:val="2"/>
          <w:position w:val="0"/>
          <w:highlight w:val="none"/>
        </w:rPr>
        <w:t>由上表可知，本项目符合</w:t>
      </w:r>
      <w:r>
        <w:rPr>
          <w:rFonts w:ascii="Times New Roman" w:hAnsi="Times New Roman" w:cs="Times New Roman" w:eastAsiaTheme="minorEastAsia"/>
          <w:bCs/>
          <w:caps w:val="0"/>
          <w:smallCaps w:val="0"/>
          <w:snapToGrid w:val="0"/>
          <w:color w:val="auto"/>
          <w:spacing w:val="0"/>
          <w:w w:val="100"/>
          <w:position w:val="0"/>
          <w:highlight w:val="none"/>
        </w:rPr>
        <w:t>《关于进一步加强石油天然气行业环境影响评价管理的通知》中要求。</w:t>
      </w:r>
    </w:p>
    <w:p w14:paraId="34032086">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1.4.3.2 与《石油天然气开采业污染防治技术政策》符合性判定</w:t>
      </w:r>
    </w:p>
    <w:p w14:paraId="51072A72">
      <w:pPr>
        <w:spacing w:line="440" w:lineRule="exact"/>
        <w:ind w:firstLine="480" w:firstLineChars="200"/>
        <w:jc w:val="both"/>
        <w:rPr>
          <w:rFonts w:ascii="Times New Roman" w:hAnsi="Times New Roman" w:cs="Times New Roman" w:eastAsiaTheme="majorEastAsia"/>
          <w:caps w:val="0"/>
          <w:smallCaps w:val="0"/>
          <w:color w:val="auto"/>
          <w:spacing w:val="0"/>
          <w:w w:val="100"/>
          <w:position w:val="0"/>
          <w:szCs w:val="32"/>
          <w:highlight w:val="none"/>
        </w:rPr>
      </w:pPr>
      <w:r>
        <w:rPr>
          <w:rFonts w:ascii="Times New Roman" w:hAnsi="Times New Roman" w:cs="Times New Roman" w:eastAsiaTheme="majorEastAsia"/>
          <w:caps w:val="0"/>
          <w:smallCaps w:val="0"/>
          <w:color w:val="auto"/>
          <w:spacing w:val="0"/>
          <w:w w:val="100"/>
          <w:position w:val="0"/>
          <w:szCs w:val="32"/>
          <w:highlight w:val="none"/>
          <w:lang w:bidi="zh-CN"/>
        </w:rPr>
        <w:t>本项目与《</w:t>
      </w:r>
      <w:r>
        <w:rPr>
          <w:rFonts w:ascii="Times New Roman" w:hAnsi="Times New Roman" w:cs="Times New Roman" w:eastAsiaTheme="minorEastAsia"/>
          <w:bCs/>
          <w:caps w:val="0"/>
          <w:smallCaps w:val="0"/>
          <w:color w:val="auto"/>
          <w:spacing w:val="0"/>
          <w:w w:val="100"/>
          <w:position w:val="0"/>
          <w:highlight w:val="none"/>
        </w:rPr>
        <w:t>石油天然气开采业污染防治技术政策</w:t>
      </w:r>
      <w:r>
        <w:rPr>
          <w:rFonts w:ascii="Times New Roman" w:hAnsi="Times New Roman" w:cs="Times New Roman" w:eastAsiaTheme="majorEastAsia"/>
          <w:caps w:val="0"/>
          <w:smallCaps w:val="0"/>
          <w:color w:val="auto"/>
          <w:spacing w:val="0"/>
          <w:w w:val="100"/>
          <w:position w:val="0"/>
          <w:szCs w:val="32"/>
          <w:highlight w:val="none"/>
          <w:lang w:bidi="zh-CN"/>
        </w:rPr>
        <w:t>》（环保部公告2012年第18号）符合性分析见表1.4-5。</w:t>
      </w:r>
    </w:p>
    <w:p w14:paraId="724B1522">
      <w:pPr>
        <w:spacing w:line="440" w:lineRule="exact"/>
        <w:jc w:val="center"/>
        <w:rPr>
          <w:rFonts w:ascii="Times New Roman" w:hAnsi="Times New Roman" w:cs="Times New Roman" w:eastAsiaTheme="majorEastAsia"/>
          <w:b/>
          <w:caps w:val="0"/>
          <w:smallCaps w:val="0"/>
          <w:color w:val="auto"/>
          <w:spacing w:val="0"/>
          <w:w w:val="100"/>
          <w:position w:val="0"/>
          <w:szCs w:val="32"/>
          <w:highlight w:val="none"/>
        </w:rPr>
      </w:pPr>
      <w:r>
        <w:rPr>
          <w:rFonts w:ascii="Times New Roman" w:hAnsi="Times New Roman" w:cs="Times New Roman" w:eastAsiaTheme="majorEastAsia"/>
          <w:b/>
          <w:caps w:val="0"/>
          <w:smallCaps w:val="0"/>
          <w:color w:val="auto"/>
          <w:spacing w:val="0"/>
          <w:w w:val="100"/>
          <w:position w:val="0"/>
          <w:szCs w:val="32"/>
          <w:highlight w:val="none"/>
          <w:lang w:bidi="zh-CN"/>
        </w:rPr>
        <w:t>表1.4-5    本工程与《石油天然气开采业污染防治技术政策》相关要求符合性</w:t>
      </w:r>
    </w:p>
    <w:tbl>
      <w:tblPr>
        <w:tblStyle w:val="8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964"/>
        <w:gridCol w:w="4387"/>
      </w:tblGrid>
      <w:tr w14:paraId="5740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66CA755A">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序号</w:t>
            </w:r>
          </w:p>
        </w:tc>
        <w:tc>
          <w:tcPr>
            <w:tcW w:w="3964" w:type="dxa"/>
            <w:vAlign w:val="center"/>
          </w:tcPr>
          <w:p w14:paraId="519077A7">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相关要求</w:t>
            </w:r>
          </w:p>
        </w:tc>
        <w:tc>
          <w:tcPr>
            <w:tcW w:w="4387" w:type="dxa"/>
            <w:vAlign w:val="center"/>
          </w:tcPr>
          <w:p w14:paraId="704A3CE2">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本工程符合性</w:t>
            </w:r>
          </w:p>
        </w:tc>
      </w:tr>
      <w:tr w14:paraId="334C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6D7F0289">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w:t>
            </w:r>
          </w:p>
        </w:tc>
        <w:tc>
          <w:tcPr>
            <w:tcW w:w="3964" w:type="dxa"/>
            <w:vAlign w:val="center"/>
          </w:tcPr>
          <w:p w14:paraId="2FBA43DF">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到2015年末，行业新、改、扩建项目均采用清洁生产工艺和技术，工业废水回用率达到90%以上，工业固体废物资源化及无害化处理处置率达到100%。</w:t>
            </w:r>
          </w:p>
        </w:tc>
        <w:tc>
          <w:tcPr>
            <w:tcW w:w="4387" w:type="dxa"/>
            <w:vAlign w:val="center"/>
          </w:tcPr>
          <w:p w14:paraId="4820B74D">
            <w:pPr>
              <w:adjustRightInd w:val="0"/>
              <w:snapToGrid w:val="0"/>
              <w:spacing w:line="360" w:lineRule="exact"/>
              <w:jc w:val="both"/>
              <w:rPr>
                <w:rFonts w:ascii="Times New Roman" w:hAnsi="Times New Roman" w:eastAsia="宋体" w:cs="Times New Roman"/>
                <w:caps w:val="0"/>
                <w:smallCaps w:val="0"/>
                <w:color w:val="auto"/>
                <w:spacing w:val="0"/>
                <w:w w:val="100"/>
                <w:position w:val="0"/>
                <w:sz w:val="21"/>
                <w:szCs w:val="21"/>
                <w:highlight w:val="none"/>
              </w:rPr>
            </w:pPr>
            <w:r>
              <w:rPr>
                <w:rFonts w:ascii="Times New Roman" w:hAnsi="Times New Roman" w:eastAsia="宋体" w:cs="Times New Roman"/>
                <w:caps w:val="0"/>
                <w:smallCaps w:val="0"/>
                <w:color w:val="auto"/>
                <w:spacing w:val="0"/>
                <w:w w:val="100"/>
                <w:position w:val="0"/>
                <w:sz w:val="21"/>
                <w:szCs w:val="21"/>
                <w:highlight w:val="none"/>
              </w:rPr>
              <w:t>符合。本项目采用清洁生产的工艺和技术，工业废水回用率100%，工业固体废物资源化及无害化处理处置率达到100%。</w:t>
            </w:r>
          </w:p>
          <w:p w14:paraId="5AB7BCB6">
            <w:pPr>
              <w:adjustRightInd w:val="0"/>
              <w:snapToGrid w:val="0"/>
              <w:spacing w:line="360" w:lineRule="exact"/>
              <w:jc w:val="both"/>
              <w:rPr>
                <w:rFonts w:ascii="Times New Roman" w:hAnsi="Times New Roman" w:eastAsia="宋体" w:cs="Times New Roman"/>
                <w:caps w:val="0"/>
                <w:smallCaps w:val="0"/>
                <w:color w:val="auto"/>
                <w:spacing w:val="0"/>
                <w:w w:val="100"/>
                <w:position w:val="0"/>
                <w:sz w:val="21"/>
                <w:szCs w:val="21"/>
                <w:highlight w:val="none"/>
              </w:rPr>
            </w:pPr>
            <w:r>
              <w:rPr>
                <w:rFonts w:ascii="Times New Roman" w:hAnsi="Times New Roman" w:eastAsia="宋体" w:cs="Times New Roman"/>
                <w:caps w:val="0"/>
                <w:smallCaps w:val="0"/>
                <w:color w:val="auto"/>
                <w:spacing w:val="0"/>
                <w:w w:val="100"/>
                <w:position w:val="0"/>
                <w:sz w:val="21"/>
                <w:szCs w:val="21"/>
                <w:highlight w:val="none"/>
              </w:rPr>
              <w:t>本项目施工期</w:t>
            </w:r>
            <w:r>
              <w:rPr>
                <w:rFonts w:hint="eastAsia" w:ascii="Times New Roman" w:hAnsi="Times New Roman" w:eastAsia="宋体" w:cs="Times New Roman"/>
                <w:caps w:val="0"/>
                <w:smallCaps w:val="0"/>
                <w:color w:val="auto"/>
                <w:spacing w:val="0"/>
                <w:w w:val="100"/>
                <w:position w:val="0"/>
                <w:sz w:val="21"/>
                <w:szCs w:val="21"/>
                <w:highlight w:val="none"/>
              </w:rPr>
              <w:t>新建管线试压废水及现有管线清洗废水</w:t>
            </w:r>
            <w:r>
              <w:rPr>
                <w:rFonts w:ascii="Times New Roman" w:hAnsi="Times New Roman" w:eastAsia="宋体" w:cs="Times New Roman"/>
                <w:caps w:val="0"/>
                <w:smallCaps w:val="0"/>
                <w:color w:val="auto"/>
                <w:spacing w:val="0"/>
                <w:w w:val="100"/>
                <w:position w:val="0"/>
                <w:sz w:val="21"/>
                <w:szCs w:val="21"/>
                <w:highlight w:val="none"/>
              </w:rPr>
              <w:t>由罐车拉运至</w:t>
            </w:r>
            <w:r>
              <w:rPr>
                <w:rFonts w:hint="eastAsia" w:ascii="Times New Roman" w:hAnsi="Times New Roman" w:cs="Times New Roman"/>
                <w:caps w:val="0"/>
                <w:smallCaps w:val="0"/>
                <w:color w:val="auto"/>
                <w:spacing w:val="0"/>
                <w:w w:val="100"/>
                <w:position w:val="0"/>
                <w:sz w:val="21"/>
                <w:szCs w:val="21"/>
                <w:highlight w:val="none"/>
                <w:lang w:eastAsia="zh-CN"/>
              </w:rPr>
              <w:t>卫一联含油污水深度处理站</w:t>
            </w:r>
            <w:r>
              <w:rPr>
                <w:rFonts w:ascii="Times New Roman" w:hAnsi="Times New Roman" w:eastAsia="宋体" w:cs="Times New Roman"/>
                <w:caps w:val="0"/>
                <w:smallCaps w:val="0"/>
                <w:color w:val="auto"/>
                <w:spacing w:val="0"/>
                <w:w w:val="100"/>
                <w:position w:val="0"/>
                <w:sz w:val="21"/>
                <w:szCs w:val="21"/>
                <w:highlight w:val="none"/>
              </w:rPr>
              <w:t>处理满足《大庆油田地面工程建设设计规定》（Q/SYDQ0639-2015）及《碎屑岩油藏注水水质指标技术要求及分析方法》（SY/T5329-2022）限值要求后回注油层，不外排。施工期生活污水</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进入附近集油阀组间</w:t>
            </w:r>
            <w:r>
              <w:rPr>
                <w:rFonts w:hint="eastAsia" w:ascii="Times New Roman" w:hAnsi="Times New Roman" w:cs="Times New Roman"/>
                <w:caps w:val="0"/>
                <w:smallCaps w:val="0"/>
                <w:color w:val="auto"/>
                <w:spacing w:val="0"/>
                <w:w w:val="100"/>
                <w:position w:val="0"/>
                <w:sz w:val="21"/>
                <w:szCs w:val="21"/>
                <w:highlight w:val="none"/>
                <w:lang w:val="en-US" w:eastAsia="zh-CN"/>
              </w:rPr>
              <w:t>防渗</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旱厕，定期由</w:t>
            </w:r>
            <w:r>
              <w:rPr>
                <w:rFonts w:hint="eastAsia" w:ascii="Times New Roman" w:hAnsi="Times New Roman" w:cs="Times New Roman"/>
                <w:caps w:val="0"/>
                <w:smallCaps w:val="0"/>
                <w:color w:val="auto"/>
                <w:spacing w:val="0"/>
                <w:w w:val="100"/>
                <w:position w:val="0"/>
                <w:sz w:val="21"/>
                <w:szCs w:val="21"/>
                <w:highlight w:val="none"/>
                <w:lang w:val="en-US" w:eastAsia="zh-CN"/>
              </w:rPr>
              <w:t>安达市同昌油田工程有限公司拉运至大庆市净源环保科技有限公司进行处理</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w:t>
            </w:r>
            <w:r>
              <w:rPr>
                <w:rFonts w:ascii="Times New Roman" w:hAnsi="Times New Roman" w:eastAsia="宋体" w:cs="Times New Roman"/>
                <w:caps w:val="0"/>
                <w:smallCaps w:val="0"/>
                <w:color w:val="auto"/>
                <w:spacing w:val="0"/>
                <w:w w:val="100"/>
                <w:position w:val="0"/>
                <w:sz w:val="21"/>
                <w:szCs w:val="21"/>
                <w:highlight w:val="none"/>
              </w:rPr>
              <w:t>施工期废水均不外排。</w:t>
            </w:r>
          </w:p>
          <w:p w14:paraId="17EF7080">
            <w:pPr>
              <w:adjustRightInd w:val="0"/>
              <w:snapToGrid w:val="0"/>
              <w:spacing w:line="360" w:lineRule="exact"/>
              <w:jc w:val="both"/>
              <w:rPr>
                <w:rFonts w:ascii="Times New Roman" w:hAnsi="Times New Roman" w:eastAsia="宋体" w:cs="Times New Roman"/>
                <w:caps w:val="0"/>
                <w:smallCaps w:val="0"/>
                <w:color w:val="auto"/>
                <w:spacing w:val="0"/>
                <w:w w:val="100"/>
                <w:position w:val="0"/>
                <w:sz w:val="21"/>
                <w:szCs w:val="21"/>
                <w:highlight w:val="none"/>
              </w:rPr>
            </w:pPr>
            <w:r>
              <w:rPr>
                <w:rFonts w:ascii="Times New Roman" w:hAnsi="Times New Roman" w:eastAsia="宋体" w:cs="Times New Roman"/>
                <w:caps w:val="0"/>
                <w:smallCaps w:val="0"/>
                <w:color w:val="auto"/>
                <w:spacing w:val="0"/>
                <w:w w:val="100"/>
                <w:position w:val="0"/>
                <w:sz w:val="21"/>
                <w:szCs w:val="21"/>
                <w:highlight w:val="none"/>
              </w:rPr>
              <w:t>施工期产生的施工废料属于一般固体废物，</w:t>
            </w:r>
            <w:r>
              <w:rPr>
                <w:rFonts w:ascii="Times New Roman" w:hAnsi="Times New Roman" w:cs="Times New Roman"/>
                <w:caps w:val="0"/>
                <w:smallCaps w:val="0"/>
                <w:color w:val="auto"/>
                <w:spacing w:val="0"/>
                <w:w w:val="100"/>
                <w:position w:val="0"/>
                <w:sz w:val="21"/>
                <w:szCs w:val="21"/>
                <w:highlight w:val="none"/>
              </w:rPr>
              <w:t>采用收集桶回收，最大限度回收利用后，剩余废料拉运至第</w:t>
            </w:r>
            <w:r>
              <w:rPr>
                <w:rFonts w:hint="eastAsia" w:ascii="Times New Roman" w:hAnsi="Times New Roman" w:cs="Times New Roman"/>
                <w:caps w:val="0"/>
                <w:smallCaps w:val="0"/>
                <w:color w:val="auto"/>
                <w:spacing w:val="0"/>
                <w:w w:val="100"/>
                <w:position w:val="0"/>
                <w:sz w:val="21"/>
                <w:szCs w:val="21"/>
                <w:highlight w:val="none"/>
                <w:lang w:val="en-US" w:eastAsia="zh-CN"/>
              </w:rPr>
              <w:t>八</w:t>
            </w:r>
            <w:r>
              <w:rPr>
                <w:rFonts w:ascii="Times New Roman" w:hAnsi="Times New Roman" w:cs="Times New Roman"/>
                <w:caps w:val="0"/>
                <w:smallCaps w:val="0"/>
                <w:color w:val="auto"/>
                <w:spacing w:val="0"/>
                <w:w w:val="100"/>
                <w:position w:val="0"/>
                <w:sz w:val="21"/>
                <w:szCs w:val="21"/>
                <w:highlight w:val="none"/>
              </w:rPr>
              <w:t>采油厂工业固废填埋场处理</w:t>
            </w:r>
            <w:r>
              <w:rPr>
                <w:rFonts w:hint="eastAsia" w:ascii="Times New Roman" w:hAnsi="Times New Roman" w:eastAsia="宋体" w:cs="Times New Roman"/>
                <w:caps w:val="0"/>
                <w:smallCaps w:val="0"/>
                <w:color w:val="auto"/>
                <w:spacing w:val="0"/>
                <w:w w:val="100"/>
                <w:position w:val="0"/>
                <w:sz w:val="21"/>
                <w:szCs w:val="21"/>
                <w:highlight w:val="none"/>
                <w:lang w:eastAsia="zh-CN"/>
              </w:rPr>
              <w:t>；</w:t>
            </w:r>
            <w:r>
              <w:rPr>
                <w:rFonts w:hint="eastAsia" w:ascii="Times New Roman" w:hAnsi="Times New Roman" w:eastAsia="宋体" w:cs="Times New Roman"/>
                <w:caps w:val="0"/>
                <w:smallCaps w:val="0"/>
                <w:color w:val="auto"/>
                <w:spacing w:val="0"/>
                <w:w w:val="100"/>
                <w:position w:val="0"/>
                <w:sz w:val="21"/>
                <w:szCs w:val="21"/>
                <w:highlight w:val="none"/>
              </w:rPr>
              <w:t>本项目施工期管道定向钻施工产生的穿越工程废弃泥浆经防渗泥浆池沉降后，上清液回收洒水降尘、固体部分用于井排路护坡</w:t>
            </w:r>
            <w:r>
              <w:rPr>
                <w:rFonts w:hint="eastAsia" w:ascii="Times New Roman" w:hAnsi="Times New Roman" w:eastAsia="宋体"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lang w:eastAsia="zh-CN"/>
              </w:rPr>
              <w:t>施工期生活垃圾统一收集后拉运至就近村屯生活垃圾回收点，</w:t>
            </w:r>
            <w:r>
              <w:rPr>
                <w:rFonts w:hint="eastAsia" w:ascii="Times New Roman" w:hAnsi="Times New Roman" w:cs="Times New Roman"/>
                <w:caps w:val="0"/>
                <w:smallCaps w:val="0"/>
                <w:color w:val="auto"/>
                <w:spacing w:val="0"/>
                <w:w w:val="100"/>
                <w:position w:val="0"/>
                <w:sz w:val="21"/>
                <w:szCs w:val="21"/>
                <w:highlight w:val="none"/>
                <w:lang w:val="en-US" w:eastAsia="zh-CN"/>
              </w:rPr>
              <w:t>定期由当地环卫部门清运至安达市生活垃圾填埋场处理</w:t>
            </w:r>
            <w:r>
              <w:rPr>
                <w:rFonts w:hint="eastAsia" w:ascii="Times New Roman" w:hAnsi="Times New Roman" w:eastAsia="宋体" w:cs="Times New Roman"/>
                <w:caps w:val="0"/>
                <w:smallCaps w:val="0"/>
                <w:color w:val="auto"/>
                <w:spacing w:val="0"/>
                <w:w w:val="100"/>
                <w:position w:val="0"/>
                <w:sz w:val="21"/>
                <w:szCs w:val="21"/>
                <w:highlight w:val="none"/>
                <w:lang w:eastAsia="zh-CN"/>
              </w:rPr>
              <w:t>。</w:t>
            </w:r>
          </w:p>
          <w:p w14:paraId="332EBBC5">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eastAsia="宋体" w:cs="Times New Roman"/>
                <w:caps w:val="0"/>
                <w:smallCaps w:val="0"/>
                <w:color w:val="auto"/>
                <w:spacing w:val="0"/>
                <w:w w:val="100"/>
                <w:position w:val="0"/>
                <w:sz w:val="21"/>
                <w:szCs w:val="21"/>
                <w:highlight w:val="none"/>
              </w:rPr>
              <w:t>本项目运行期采用密闭集输工艺流程输送</w:t>
            </w:r>
            <w:r>
              <w:rPr>
                <w:rFonts w:hint="eastAsia" w:ascii="Times New Roman" w:hAnsi="Times New Roman" w:cs="Times New Roman"/>
                <w:caps w:val="0"/>
                <w:smallCaps w:val="0"/>
                <w:color w:val="auto"/>
                <w:spacing w:val="0"/>
                <w:w w:val="100"/>
                <w:position w:val="0"/>
                <w:sz w:val="21"/>
                <w:szCs w:val="21"/>
                <w:highlight w:val="none"/>
                <w:lang w:val="en-US" w:eastAsia="zh-CN"/>
              </w:rPr>
              <w:t>净化油</w:t>
            </w:r>
            <w:r>
              <w:rPr>
                <w:rFonts w:ascii="Times New Roman" w:hAnsi="Times New Roman" w:eastAsia="宋体" w:cs="Times New Roman"/>
                <w:caps w:val="0"/>
                <w:smallCaps w:val="0"/>
                <w:color w:val="auto"/>
                <w:spacing w:val="0"/>
                <w:w w:val="100"/>
                <w:position w:val="0"/>
                <w:sz w:val="21"/>
                <w:szCs w:val="21"/>
                <w:highlight w:val="none"/>
              </w:rPr>
              <w:t>，无废水、固体废物等污染物产生及排放。</w:t>
            </w:r>
          </w:p>
        </w:tc>
      </w:tr>
      <w:tr w14:paraId="3DCE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263C6016">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2</w:t>
            </w:r>
          </w:p>
        </w:tc>
        <w:tc>
          <w:tcPr>
            <w:tcW w:w="3964" w:type="dxa"/>
            <w:vAlign w:val="center"/>
          </w:tcPr>
          <w:p w14:paraId="74FFE2A8">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油气田建设应总体规划，优化布局，整体开发，减少占地和油气损失，实现油气和废物的集中收集、处理处置。</w:t>
            </w:r>
          </w:p>
        </w:tc>
        <w:tc>
          <w:tcPr>
            <w:tcW w:w="4387" w:type="dxa"/>
            <w:vAlign w:val="center"/>
          </w:tcPr>
          <w:p w14:paraId="3B2A0695">
            <w:pPr>
              <w:adjustRightInd w:val="0"/>
              <w:snapToGrid w:val="0"/>
              <w:spacing w:line="360" w:lineRule="exact"/>
              <w:jc w:val="both"/>
              <w:rPr>
                <w:rFonts w:ascii="Times New Roman" w:hAnsi="Times New Roman" w:eastAsia="宋体" w:cs="Times New Roman"/>
                <w:caps w:val="0"/>
                <w:smallCaps w:val="0"/>
                <w:color w:val="auto"/>
                <w:spacing w:val="0"/>
                <w:w w:val="100"/>
                <w:position w:val="0"/>
                <w:sz w:val="21"/>
                <w:szCs w:val="21"/>
                <w:highlight w:val="none"/>
              </w:rPr>
            </w:pPr>
            <w:r>
              <w:rPr>
                <w:rFonts w:ascii="Times New Roman" w:hAnsi="Times New Roman" w:eastAsia="宋体" w:cs="Times New Roman"/>
                <w:caps w:val="0"/>
                <w:smallCaps w:val="0"/>
                <w:color w:val="auto"/>
                <w:spacing w:val="0"/>
                <w:w w:val="100"/>
                <w:position w:val="0"/>
                <w:sz w:val="21"/>
                <w:szCs w:val="21"/>
                <w:highlight w:val="none"/>
              </w:rPr>
              <w:t>符合。本项目为</w:t>
            </w:r>
            <w:r>
              <w:rPr>
                <w:rFonts w:ascii="Times New Roman" w:hAnsi="Times New Roman" w:cs="Times New Roman"/>
                <w:caps w:val="0"/>
                <w:smallCaps w:val="0"/>
                <w:color w:val="auto"/>
                <w:spacing w:val="0"/>
                <w:w w:val="100"/>
                <w:position w:val="0"/>
                <w:sz w:val="21"/>
                <w:szCs w:val="21"/>
                <w:highlight w:val="none"/>
              </w:rPr>
              <w:t>油田内部管线建设项目</w:t>
            </w:r>
            <w:r>
              <w:rPr>
                <w:rFonts w:ascii="Times New Roman" w:hAnsi="Times New Roman" w:eastAsia="宋体" w:cs="Times New Roman"/>
                <w:caps w:val="0"/>
                <w:smallCaps w:val="0"/>
                <w:color w:val="auto"/>
                <w:spacing w:val="0"/>
                <w:w w:val="100"/>
                <w:position w:val="0"/>
                <w:sz w:val="21"/>
                <w:szCs w:val="21"/>
                <w:highlight w:val="none"/>
              </w:rPr>
              <w:t>，主要在现有布局基础上进行管道更换，根据管径的大小做到尽量窄控，尽量减少临时占地。施工期废水、固体废物均得到妥善处置。</w:t>
            </w:r>
          </w:p>
          <w:p w14:paraId="3803E428">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eastAsia="宋体" w:cs="Times New Roman"/>
                <w:caps w:val="0"/>
                <w:smallCaps w:val="0"/>
                <w:color w:val="auto"/>
                <w:spacing w:val="0"/>
                <w:w w:val="100"/>
                <w:position w:val="0"/>
                <w:sz w:val="21"/>
                <w:szCs w:val="21"/>
                <w:highlight w:val="none"/>
              </w:rPr>
              <w:t>本项目运行期无废气、废水、固体废物等污染物产生及排放。</w:t>
            </w:r>
          </w:p>
        </w:tc>
      </w:tr>
      <w:tr w14:paraId="397B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283DD098">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3</w:t>
            </w:r>
          </w:p>
        </w:tc>
        <w:tc>
          <w:tcPr>
            <w:tcW w:w="3964" w:type="dxa"/>
            <w:vAlign w:val="center"/>
          </w:tcPr>
          <w:p w14:paraId="243881C4">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在油气集输过程中，应采用密闭流程，减少烃类气体排放。新、改、扩建油气田油气集输损耗率不高于0.5%</w:t>
            </w:r>
          </w:p>
        </w:tc>
        <w:tc>
          <w:tcPr>
            <w:tcW w:w="4387" w:type="dxa"/>
            <w:vAlign w:val="center"/>
          </w:tcPr>
          <w:p w14:paraId="760DDA9E">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符合。本项目为油田内部管线建设项目，本项目根据管径的大小做到尽量窄控，尽量减少临时占地。施工期废水、固体废物均得到妥善处置，本项目运行期采用密闭集输工艺</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ascii="Times New Roman" w:hAnsi="Times New Roman" w:cs="Times New Roman"/>
                <w:caps w:val="0"/>
                <w:smallCaps w:val="0"/>
                <w:color w:val="auto"/>
                <w:spacing w:val="0"/>
                <w:w w:val="100"/>
                <w:position w:val="0"/>
                <w:sz w:val="21"/>
                <w:szCs w:val="21"/>
                <w:highlight w:val="none"/>
              </w:rPr>
              <w:t>无废气、废水、固体废物等污染物产生及排放。</w:t>
            </w:r>
          </w:p>
        </w:tc>
      </w:tr>
      <w:tr w14:paraId="2CDD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511D8C93">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4</w:t>
            </w:r>
          </w:p>
        </w:tc>
        <w:tc>
          <w:tcPr>
            <w:tcW w:w="3964" w:type="dxa"/>
            <w:vAlign w:val="center"/>
          </w:tcPr>
          <w:p w14:paraId="0768F6EE">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应设立地下水水质监测井，加强对油气田地下水水质的监控，防止回注过程对地下水造成污染。</w:t>
            </w:r>
          </w:p>
        </w:tc>
        <w:tc>
          <w:tcPr>
            <w:tcW w:w="4387" w:type="dxa"/>
            <w:vAlign w:val="center"/>
          </w:tcPr>
          <w:p w14:paraId="34BD3B17">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r>
              <w:rPr>
                <w:rFonts w:ascii="Times New Roman" w:hAnsi="Times New Roman" w:cs="Times New Roman"/>
                <w:bCs/>
                <w:caps w:val="0"/>
                <w:smallCaps w:val="0"/>
                <w:color w:val="auto"/>
                <w:spacing w:val="0"/>
                <w:w w:val="100"/>
                <w:position w:val="0"/>
                <w:sz w:val="21"/>
                <w:szCs w:val="21"/>
                <w:highlight w:val="none"/>
              </w:rPr>
              <w:t>在本项目区域下游布设1口潜水跟踪监测井，定期对地下水进行跟踪监测。</w:t>
            </w:r>
          </w:p>
        </w:tc>
      </w:tr>
    </w:tbl>
    <w:p w14:paraId="0CB3596D">
      <w:pPr>
        <w:widowControl w:val="0"/>
        <w:spacing w:line="440" w:lineRule="exact"/>
        <w:jc w:val="both"/>
        <w:outlineLvl w:val="3"/>
        <w:rPr>
          <w:rFonts w:ascii="Times New Roman" w:hAnsi="Times New Roman" w:cs="Times New Roman"/>
          <w:b/>
          <w:caps w:val="0"/>
          <w:smallCaps w:val="0"/>
          <w:color w:val="auto"/>
          <w:spacing w:val="0"/>
          <w:w w:val="100"/>
          <w:position w:val="0"/>
          <w:highlight w:val="none"/>
          <w:lang w:val="zh-CN" w:bidi="zh-CN"/>
        </w:rPr>
      </w:pPr>
      <w:r>
        <w:rPr>
          <w:rFonts w:ascii="Times New Roman" w:hAnsi="Times New Roman" w:cs="Times New Roman"/>
          <w:b/>
          <w:caps w:val="0"/>
          <w:smallCaps w:val="0"/>
          <w:color w:val="auto"/>
          <w:spacing w:val="0"/>
          <w:w w:val="100"/>
          <w:position w:val="0"/>
          <w:highlight w:val="none"/>
          <w:lang w:val="zh-CN" w:bidi="zh-CN"/>
        </w:rPr>
        <w:t>1.</w:t>
      </w:r>
      <w:r>
        <w:rPr>
          <w:rFonts w:ascii="Times New Roman" w:hAnsi="Times New Roman" w:cs="Times New Roman"/>
          <w:b/>
          <w:caps w:val="0"/>
          <w:smallCaps w:val="0"/>
          <w:color w:val="auto"/>
          <w:spacing w:val="0"/>
          <w:w w:val="100"/>
          <w:position w:val="0"/>
          <w:highlight w:val="none"/>
          <w:lang w:bidi="zh-CN"/>
        </w:rPr>
        <w:t>4</w:t>
      </w:r>
      <w:r>
        <w:rPr>
          <w:rFonts w:ascii="Times New Roman" w:hAnsi="Times New Roman" w:cs="Times New Roman"/>
          <w:b/>
          <w:caps w:val="0"/>
          <w:smallCaps w:val="0"/>
          <w:color w:val="auto"/>
          <w:spacing w:val="0"/>
          <w:w w:val="100"/>
          <w:position w:val="0"/>
          <w:highlight w:val="none"/>
          <w:lang w:val="zh-CN" w:bidi="zh-CN"/>
        </w:rPr>
        <w:t>.3.</w:t>
      </w:r>
      <w:r>
        <w:rPr>
          <w:rFonts w:ascii="Times New Roman" w:hAnsi="Times New Roman" w:cs="Times New Roman"/>
          <w:b/>
          <w:caps w:val="0"/>
          <w:smallCaps w:val="0"/>
          <w:color w:val="auto"/>
          <w:spacing w:val="0"/>
          <w:w w:val="100"/>
          <w:position w:val="0"/>
          <w:highlight w:val="none"/>
          <w:lang w:bidi="zh-CN"/>
        </w:rPr>
        <w:t>3</w:t>
      </w:r>
      <w:r>
        <w:rPr>
          <w:rFonts w:ascii="Times New Roman" w:hAnsi="Times New Roman" w:cs="Times New Roman"/>
          <w:b/>
          <w:caps w:val="0"/>
          <w:smallCaps w:val="0"/>
          <w:color w:val="auto"/>
          <w:spacing w:val="0"/>
          <w:w w:val="100"/>
          <w:position w:val="0"/>
          <w:highlight w:val="none"/>
          <w:lang w:val="zh-CN" w:bidi="zh-CN"/>
        </w:rPr>
        <w:t>与</w:t>
      </w:r>
      <w:r>
        <w:rPr>
          <w:rFonts w:ascii="Times New Roman" w:hAnsi="Times New Roman" w:cs="Times New Roman"/>
          <w:b/>
          <w:caps w:val="0"/>
          <w:smallCaps w:val="0"/>
          <w:color w:val="auto"/>
          <w:spacing w:val="0"/>
          <w:w w:val="100"/>
          <w:position w:val="0"/>
          <w:highlight w:val="none"/>
          <w:lang w:bidi="zh-CN"/>
        </w:rPr>
        <w:t>《中华人民共和国黑土地保护法》的</w:t>
      </w:r>
      <w:r>
        <w:rPr>
          <w:rFonts w:ascii="Times New Roman" w:hAnsi="Times New Roman" w:cs="Times New Roman"/>
          <w:b/>
          <w:caps w:val="0"/>
          <w:smallCaps w:val="0"/>
          <w:color w:val="auto"/>
          <w:spacing w:val="0"/>
          <w:w w:val="100"/>
          <w:position w:val="0"/>
          <w:highlight w:val="none"/>
          <w:lang w:val="zh-CN" w:bidi="zh-CN"/>
        </w:rPr>
        <w:t>符合性分析</w:t>
      </w:r>
    </w:p>
    <w:p w14:paraId="72957FC3">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iCs/>
          <w:caps w:val="0"/>
          <w:smallCaps w:val="0"/>
          <w:color w:val="auto"/>
          <w:spacing w:val="0"/>
          <w:w w:val="100"/>
          <w:position w:val="0"/>
          <w:highlight w:val="none"/>
        </w:rPr>
        <w:t>本项目</w:t>
      </w:r>
      <w:r>
        <w:rPr>
          <w:rFonts w:ascii="Times New Roman" w:hAnsi="Times New Roman" w:cs="Times New Roman"/>
          <w:caps w:val="0"/>
          <w:smallCaps w:val="0"/>
          <w:color w:val="auto"/>
          <w:spacing w:val="0"/>
          <w:w w:val="100"/>
          <w:position w:val="0"/>
          <w:highlight w:val="none"/>
        </w:rPr>
        <w:t>与《中华人民共和国黑土地保护法》相关要求符合性分析详见表1.4-6。</w:t>
      </w:r>
    </w:p>
    <w:p w14:paraId="4C0AD73F">
      <w:pPr>
        <w:widowControl w:val="0"/>
        <w:spacing w:line="440" w:lineRule="exact"/>
        <w:ind w:firstLine="482" w:firstLineChars="200"/>
        <w:rPr>
          <w:rFonts w:ascii="Times New Roman" w:hAnsi="Times New Roman" w:cs="Times New Roman"/>
          <w:b/>
          <w:bCs/>
          <w:caps w:val="0"/>
          <w:smallCaps w:val="0"/>
          <w:color w:val="auto"/>
          <w:spacing w:val="0"/>
          <w:w w:val="100"/>
          <w:kern w:val="21"/>
          <w:position w:val="0"/>
          <w:highlight w:val="none"/>
        </w:rPr>
      </w:pPr>
      <w:r>
        <w:rPr>
          <w:rFonts w:ascii="Times New Roman" w:hAnsi="Times New Roman" w:cs="Times New Roman"/>
          <w:b/>
          <w:bCs/>
          <w:caps w:val="0"/>
          <w:smallCaps w:val="0"/>
          <w:color w:val="auto"/>
          <w:spacing w:val="0"/>
          <w:w w:val="100"/>
          <w:kern w:val="21"/>
          <w:position w:val="0"/>
          <w:highlight w:val="none"/>
        </w:rPr>
        <w:t>表1.4-6    与《中华人民共和国黑土地保护法》符合性分析</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39"/>
        <w:gridCol w:w="4690"/>
        <w:gridCol w:w="677"/>
      </w:tblGrid>
      <w:tr w14:paraId="2C5E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63" w:type="dxa"/>
            <w:vAlign w:val="center"/>
          </w:tcPr>
          <w:p w14:paraId="5BB7F3A9">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序号</w:t>
            </w:r>
          </w:p>
        </w:tc>
        <w:tc>
          <w:tcPr>
            <w:tcW w:w="3160" w:type="dxa"/>
            <w:vAlign w:val="center"/>
          </w:tcPr>
          <w:p w14:paraId="5453B24F">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相关要求</w:t>
            </w:r>
          </w:p>
        </w:tc>
        <w:tc>
          <w:tcPr>
            <w:tcW w:w="4576" w:type="dxa"/>
            <w:vAlign w:val="center"/>
          </w:tcPr>
          <w:p w14:paraId="67C73A85">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符合性分析</w:t>
            </w:r>
          </w:p>
        </w:tc>
        <w:tc>
          <w:tcPr>
            <w:tcW w:w="661" w:type="dxa"/>
            <w:vAlign w:val="center"/>
          </w:tcPr>
          <w:p w14:paraId="2D9C43EA">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结论</w:t>
            </w:r>
          </w:p>
        </w:tc>
      </w:tr>
      <w:tr w14:paraId="4663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 w:type="dxa"/>
            <w:vAlign w:val="center"/>
          </w:tcPr>
          <w:p w14:paraId="34DC07EF">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w:t>
            </w:r>
          </w:p>
        </w:tc>
        <w:tc>
          <w:tcPr>
            <w:tcW w:w="3160" w:type="dxa"/>
            <w:vAlign w:val="center"/>
          </w:tcPr>
          <w:p w14:paraId="2210D3D7">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lang w:bidi="zh-CN"/>
              </w:rPr>
              <w:t>第二十一条 建设项目不得占用黑土地；确需占用的，应当依法严格审批，并补充数量和质量相当的耕地。建设项目占用黑土地的，应当按照规定的标准对耕作层的土壤进行剥离。剥离的黑土应当就近用于新开垦耕地和劣质耕地改良、被污染耕地的治理、高标准农田建设、土地复垦等。建设项目主体应当制定剥离黑土的再利用方案，报自然资源主管部门备案。具体办法由四省区人民政府分别制定。</w:t>
            </w:r>
          </w:p>
        </w:tc>
        <w:tc>
          <w:tcPr>
            <w:tcW w:w="4576" w:type="dxa"/>
            <w:vAlign w:val="center"/>
          </w:tcPr>
          <w:p w14:paraId="4A6386A2">
            <w:pPr>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本项目建设无法避免占用黑土地，本项目占用黑土地，应按照相关法律法规报相关主管部门审批。第</w:t>
            </w:r>
            <w:r>
              <w:rPr>
                <w:rFonts w:hint="eastAsia" w:ascii="Times New Roman" w:hAnsi="Times New Roman" w:cs="Times New Roman"/>
                <w:caps w:val="0"/>
                <w:smallCaps w:val="0"/>
                <w:color w:val="auto"/>
                <w:spacing w:val="0"/>
                <w:w w:val="100"/>
                <w:position w:val="0"/>
                <w:sz w:val="21"/>
                <w:szCs w:val="21"/>
                <w:highlight w:val="none"/>
                <w:lang w:val="en-US" w:eastAsia="zh-CN"/>
              </w:rPr>
              <w:t>十一</w:t>
            </w:r>
            <w:r>
              <w:rPr>
                <w:rFonts w:ascii="Times New Roman" w:hAnsi="Times New Roman" w:cs="Times New Roman"/>
                <w:caps w:val="0"/>
                <w:smallCaps w:val="0"/>
                <w:color w:val="auto"/>
                <w:spacing w:val="0"/>
                <w:w w:val="100"/>
                <w:position w:val="0"/>
                <w:sz w:val="21"/>
                <w:szCs w:val="21"/>
                <w:highlight w:val="none"/>
              </w:rPr>
              <w:t>采油厂应按照《黑龙江省人民政府办公厅关于建设占用耕地耕作层土壤剥离利用工作的指导意见（试行）》（黑政办规〔2021〕18 号）等相关规定，制定剥离黑土的再利用方案，报相关主管部门备案，并根据方案内容进行表土剥离、储存、处置、验收，施工前将集输管线临时占地范围内表土进行剥离，剥离表层土（30cm 左右）单独堆放，采用苫布或防尘网等遮盖，表土剥离临时堆放区周围设置排水沟等措施防止水土流失，并定期洒水抑尘。施工结束后临时占地内表土全部回填，并对临时占用的</w:t>
            </w:r>
            <w:r>
              <w:rPr>
                <w:rFonts w:hint="eastAsia" w:ascii="Times New Roman" w:hAnsi="Times New Roman" w:cs="Times New Roman"/>
                <w:caps w:val="0"/>
                <w:smallCaps w:val="0"/>
                <w:color w:val="auto"/>
                <w:spacing w:val="0"/>
                <w:w w:val="100"/>
                <w:position w:val="0"/>
                <w:sz w:val="21"/>
                <w:szCs w:val="21"/>
                <w:highlight w:val="none"/>
              </w:rPr>
              <w:t>草地</w:t>
            </w:r>
            <w:r>
              <w:rPr>
                <w:rFonts w:ascii="Times New Roman" w:hAnsi="Times New Roman" w:cs="Times New Roman"/>
                <w:caps w:val="0"/>
                <w:smallCaps w:val="0"/>
                <w:color w:val="auto"/>
                <w:spacing w:val="0"/>
                <w:w w:val="100"/>
                <w:position w:val="0"/>
                <w:sz w:val="21"/>
                <w:szCs w:val="21"/>
                <w:highlight w:val="none"/>
              </w:rPr>
              <w:t>（黑土地）</w:t>
            </w:r>
            <w:r>
              <w:rPr>
                <w:rFonts w:hint="eastAsia" w:ascii="Times New Roman" w:hAnsi="Times New Roman" w:cs="Times New Roman"/>
                <w:caps w:val="0"/>
                <w:smallCaps w:val="0"/>
                <w:color w:val="auto"/>
                <w:spacing w:val="0"/>
                <w:w w:val="100"/>
                <w:position w:val="0"/>
                <w:sz w:val="21"/>
                <w:szCs w:val="21"/>
                <w:highlight w:val="none"/>
              </w:rPr>
              <w:t>进行</w:t>
            </w:r>
            <w:r>
              <w:rPr>
                <w:rFonts w:ascii="Times New Roman" w:hAnsi="Times New Roman" w:cs="Times New Roman"/>
                <w:caps w:val="0"/>
                <w:smallCaps w:val="0"/>
                <w:color w:val="auto"/>
                <w:spacing w:val="0"/>
                <w:w w:val="100"/>
                <w:position w:val="0"/>
                <w:sz w:val="21"/>
                <w:szCs w:val="21"/>
                <w:highlight w:val="none"/>
              </w:rPr>
              <w:t>植被恢复。</w:t>
            </w:r>
          </w:p>
        </w:tc>
        <w:tc>
          <w:tcPr>
            <w:tcW w:w="661" w:type="dxa"/>
            <w:vAlign w:val="center"/>
          </w:tcPr>
          <w:p w14:paraId="200E425E">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bl>
    <w:p w14:paraId="3847EBD6">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在采取以上措施后，本项目符合《中华人民共和国黑土地保护法》中要求。</w:t>
      </w:r>
    </w:p>
    <w:p w14:paraId="67148F38">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1.4.3.4与《黑龙江省黑土地保护利用条例》符合性分析</w:t>
      </w:r>
    </w:p>
    <w:p w14:paraId="46DAC61D">
      <w:pPr>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iCs/>
          <w:caps w:val="0"/>
          <w:smallCaps w:val="0"/>
          <w:color w:val="auto"/>
          <w:spacing w:val="0"/>
          <w:w w:val="100"/>
          <w:kern w:val="2"/>
          <w:position w:val="0"/>
          <w:highlight w:val="none"/>
        </w:rPr>
        <w:t>本项目与《黑龙江省黑土地保护利用条例》符合性分析见表1.4-7。</w:t>
      </w:r>
    </w:p>
    <w:p w14:paraId="56336BB4">
      <w:pPr>
        <w:spacing w:line="440" w:lineRule="exact"/>
        <w:jc w:val="center"/>
        <w:rPr>
          <w:rFonts w:ascii="Times New Roman" w:hAnsi="Times New Roman" w:cs="Times New Roman"/>
          <w:b/>
          <w:iCs/>
          <w:caps w:val="0"/>
          <w:smallCaps w:val="0"/>
          <w:color w:val="auto"/>
          <w:spacing w:val="0"/>
          <w:w w:val="100"/>
          <w:kern w:val="2"/>
          <w:position w:val="0"/>
          <w:highlight w:val="none"/>
        </w:rPr>
      </w:pPr>
      <w:r>
        <w:rPr>
          <w:rFonts w:ascii="Times New Roman" w:hAnsi="Times New Roman" w:cs="Times New Roman"/>
          <w:b/>
          <w:iCs/>
          <w:caps w:val="0"/>
          <w:smallCaps w:val="0"/>
          <w:color w:val="auto"/>
          <w:spacing w:val="0"/>
          <w:w w:val="100"/>
          <w:kern w:val="2"/>
          <w:position w:val="0"/>
          <w:highlight w:val="none"/>
        </w:rPr>
        <w:t>表1.4-7    本项目与《黑龙江省黑土地保护利用条例》相关要求符合性一览表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615"/>
        <w:gridCol w:w="6103"/>
        <w:gridCol w:w="859"/>
      </w:tblGrid>
      <w:tr w14:paraId="1816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20401120">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序号</w:t>
            </w:r>
          </w:p>
        </w:tc>
        <w:tc>
          <w:tcPr>
            <w:tcW w:w="870" w:type="pct"/>
            <w:vAlign w:val="center"/>
          </w:tcPr>
          <w:p w14:paraId="13545EF0">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文件要求</w:t>
            </w:r>
          </w:p>
        </w:tc>
        <w:tc>
          <w:tcPr>
            <w:tcW w:w="3288" w:type="pct"/>
            <w:vAlign w:val="center"/>
          </w:tcPr>
          <w:p w14:paraId="0DFBFB44">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符合性分析</w:t>
            </w:r>
          </w:p>
        </w:tc>
        <w:tc>
          <w:tcPr>
            <w:tcW w:w="463" w:type="pct"/>
            <w:vAlign w:val="center"/>
          </w:tcPr>
          <w:p w14:paraId="56C44F08">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符合性</w:t>
            </w:r>
          </w:p>
        </w:tc>
      </w:tr>
      <w:tr w14:paraId="4DE8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C16C1E7">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1</w:t>
            </w:r>
          </w:p>
        </w:tc>
        <w:tc>
          <w:tcPr>
            <w:tcW w:w="870" w:type="pct"/>
            <w:vAlign w:val="center"/>
          </w:tcPr>
          <w:p w14:paraId="7728AFD6">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黑土地保护利用实行土地用途管制制度。严格限制农用地转为建设用地，严格控制耕地转为非耕地，禁止违法占用耕地。</w:t>
            </w:r>
          </w:p>
        </w:tc>
        <w:tc>
          <w:tcPr>
            <w:tcW w:w="3288" w:type="pct"/>
            <w:vAlign w:val="center"/>
          </w:tcPr>
          <w:p w14:paraId="0C9C4A6A">
            <w:pPr>
              <w:spacing w:line="32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本项目为油田内部管线建设项目</w:t>
            </w:r>
            <w:r>
              <w:rPr>
                <w:rFonts w:ascii="Times New Roman" w:hAnsi="Times New Roman" w:cs="Times New Roman"/>
                <w:caps w:val="0"/>
                <w:smallCaps w:val="0"/>
                <w:color w:val="auto"/>
                <w:spacing w:val="0"/>
                <w:w w:val="100"/>
                <w:position w:val="0"/>
                <w:sz w:val="21"/>
                <w:szCs w:val="21"/>
                <w:highlight w:val="none"/>
              </w:rPr>
              <w:t>，临时占用</w:t>
            </w:r>
            <w:r>
              <w:rPr>
                <w:rFonts w:hint="eastAsia" w:ascii="Times New Roman" w:hAnsi="Times New Roman" w:cs="Times New Roman"/>
                <w:caps w:val="0"/>
                <w:smallCaps w:val="0"/>
                <w:color w:val="auto"/>
                <w:spacing w:val="0"/>
                <w:w w:val="100"/>
                <w:position w:val="0"/>
                <w:sz w:val="21"/>
                <w:szCs w:val="21"/>
                <w:highlight w:val="none"/>
                <w:lang w:val="en-US" w:eastAsia="zh-CN"/>
              </w:rPr>
              <w:t>耕地（基本农田）和</w:t>
            </w:r>
            <w:r>
              <w:rPr>
                <w:rFonts w:hint="eastAsia" w:ascii="Times New Roman" w:hAnsi="Times New Roman" w:cs="Times New Roman"/>
                <w:caps w:val="0"/>
                <w:smallCaps w:val="0"/>
                <w:color w:val="auto"/>
                <w:spacing w:val="0"/>
                <w:w w:val="100"/>
                <w:position w:val="0"/>
                <w:sz w:val="21"/>
                <w:szCs w:val="21"/>
                <w:highlight w:val="none"/>
              </w:rPr>
              <w:t>草地</w:t>
            </w:r>
            <w:r>
              <w:rPr>
                <w:rFonts w:ascii="Times New Roman" w:hAnsi="Times New Roman" w:cs="Times New Roman"/>
                <w:caps w:val="0"/>
                <w:smallCaps w:val="0"/>
                <w:color w:val="auto"/>
                <w:spacing w:val="0"/>
                <w:w w:val="100"/>
                <w:position w:val="0"/>
                <w:sz w:val="21"/>
                <w:szCs w:val="21"/>
                <w:highlight w:val="none"/>
              </w:rPr>
              <w:t>（</w:t>
            </w:r>
            <w:r>
              <w:rPr>
                <w:rFonts w:hint="eastAsia" w:ascii="Times New Roman" w:hAnsi="Times New Roman" w:cs="Times New Roman"/>
                <w:caps w:val="0"/>
                <w:smallCaps w:val="0"/>
                <w:color w:val="auto"/>
                <w:spacing w:val="0"/>
                <w:w w:val="100"/>
                <w:position w:val="0"/>
                <w:sz w:val="21"/>
                <w:szCs w:val="21"/>
                <w:highlight w:val="none"/>
                <w:lang w:val="en-US" w:eastAsia="zh-CN"/>
              </w:rPr>
              <w:t>非基本草原</w:t>
            </w:r>
            <w:r>
              <w:rPr>
                <w:rFonts w:ascii="Times New Roman" w:hAnsi="Times New Roman" w:cs="Times New Roman"/>
                <w:caps w:val="0"/>
                <w:smallCaps w:val="0"/>
                <w:color w:val="auto"/>
                <w:spacing w:val="0"/>
                <w:w w:val="100"/>
                <w:position w:val="0"/>
                <w:sz w:val="21"/>
                <w:szCs w:val="21"/>
                <w:highlight w:val="none"/>
              </w:rPr>
              <w:t>），无永久占地。本项目</w:t>
            </w:r>
            <w:r>
              <w:rPr>
                <w:rFonts w:hint="eastAsia" w:ascii="Times New Roman" w:hAnsi="Times New Roman" w:cs="Times New Roman"/>
                <w:caps w:val="0"/>
                <w:smallCaps w:val="0"/>
                <w:color w:val="auto"/>
                <w:spacing w:val="0"/>
                <w:w w:val="100"/>
                <w:position w:val="0"/>
                <w:sz w:val="21"/>
                <w:szCs w:val="21"/>
                <w:highlight w:val="none"/>
                <w:lang w:val="en-US" w:eastAsia="zh-CN"/>
              </w:rPr>
              <w:t>占用黑土地，</w:t>
            </w:r>
            <w:r>
              <w:rPr>
                <w:rFonts w:ascii="Times New Roman" w:hAnsi="Times New Roman" w:cs="Times New Roman"/>
                <w:caps w:val="0"/>
                <w:smallCaps w:val="0"/>
                <w:color w:val="auto"/>
                <w:spacing w:val="0"/>
                <w:w w:val="100"/>
                <w:position w:val="0"/>
                <w:sz w:val="21"/>
                <w:szCs w:val="21"/>
                <w:highlight w:val="none"/>
              </w:rPr>
              <w:t>在施工前应按照相关规定报请相关主管部门同意，并取得用地</w:t>
            </w:r>
            <w:r>
              <w:rPr>
                <w:rFonts w:ascii="Times New Roman" w:hAnsi="Times New Roman" w:cs="Times New Roman"/>
                <w:caps w:val="0"/>
                <w:smallCaps w:val="0"/>
                <w:color w:val="auto"/>
                <w:spacing w:val="0"/>
                <w:w w:val="100"/>
                <w:position w:val="0"/>
                <w:sz w:val="21"/>
                <w:szCs w:val="21"/>
                <w:highlight w:val="none"/>
              </w:rPr>
              <w:t>审批。</w:t>
            </w:r>
          </w:p>
          <w:p w14:paraId="3EFC5316">
            <w:pPr>
              <w:spacing w:line="32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本项目集输管线施工过程中严格控制管道施工作业宽度为 10m，尽量减少黑土地的占用；施工过程中施工材料合理堆放，规范运输车辆行驶路线，采用“一”字型作业法，禁止碾压和破坏占地外地表植被；施工结束后及时对临时占用的草地进行恢复。</w:t>
            </w:r>
          </w:p>
        </w:tc>
        <w:tc>
          <w:tcPr>
            <w:tcW w:w="463" w:type="pct"/>
            <w:vAlign w:val="center"/>
          </w:tcPr>
          <w:p w14:paraId="67EF8C41">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w:t>
            </w:r>
          </w:p>
        </w:tc>
      </w:tr>
      <w:tr w14:paraId="11AA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33A4543">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2</w:t>
            </w:r>
          </w:p>
        </w:tc>
        <w:tc>
          <w:tcPr>
            <w:tcW w:w="870" w:type="pct"/>
            <w:vAlign w:val="center"/>
          </w:tcPr>
          <w:p w14:paraId="13E773F8">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生产建设活动占用黑土地的，应当按照有关标准、规范和管理规定剥离表土。</w:t>
            </w:r>
          </w:p>
        </w:tc>
        <w:tc>
          <w:tcPr>
            <w:tcW w:w="3288" w:type="pct"/>
            <w:vAlign w:val="center"/>
          </w:tcPr>
          <w:p w14:paraId="4C599FEF">
            <w:pPr>
              <w:widowControl w:val="0"/>
              <w:adjustRightInd w:val="0"/>
              <w:snapToGrid w:val="0"/>
              <w:spacing w:line="320" w:lineRule="exact"/>
              <w:jc w:val="both"/>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严格按照相关规定，在施工前编制表层土壤剥离利用实施方案，统筹安排剥离、储存和再利用。本项目施工过程中尽量保护黑土地，不打乱土层，工程占地范围内分层开挖，先剥离表土层（约30cm），堆放于管道施工作业带中置土带外侧；管沟挖方土放置在置土带内侧（靠近管沟侧），置土带采取先设置编织袋压护，加强防护的方式防止水土流失。剥离表土在工程施工结束后及时用于回填，分层回填压实，保护有耕作能力种植价值的表层土壤，以便尽快恢复土地原貌。</w:t>
            </w:r>
          </w:p>
        </w:tc>
        <w:tc>
          <w:tcPr>
            <w:tcW w:w="463" w:type="pct"/>
            <w:vAlign w:val="center"/>
          </w:tcPr>
          <w:p w14:paraId="582A9159">
            <w:pPr>
              <w:widowControl w:val="0"/>
              <w:adjustRightInd w:val="0"/>
              <w:snapToGrid w:val="0"/>
              <w:spacing w:line="32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w:t>
            </w:r>
          </w:p>
        </w:tc>
      </w:tr>
    </w:tbl>
    <w:p w14:paraId="6037BF6F">
      <w:pPr>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iCs/>
          <w:caps w:val="0"/>
          <w:smallCaps w:val="0"/>
          <w:color w:val="auto"/>
          <w:spacing w:val="0"/>
          <w:w w:val="100"/>
          <w:kern w:val="2"/>
          <w:position w:val="0"/>
          <w:highlight w:val="none"/>
        </w:rPr>
        <w:t>根据以上分析，本项目符合</w:t>
      </w:r>
      <w:bookmarkStart w:id="105" w:name="OLE_LINK8"/>
      <w:r>
        <w:rPr>
          <w:rFonts w:ascii="Times New Roman" w:hAnsi="Times New Roman" w:cs="Times New Roman"/>
          <w:iCs/>
          <w:caps w:val="0"/>
          <w:smallCaps w:val="0"/>
          <w:color w:val="auto"/>
          <w:spacing w:val="0"/>
          <w:w w:val="100"/>
          <w:kern w:val="2"/>
          <w:position w:val="0"/>
          <w:highlight w:val="none"/>
        </w:rPr>
        <w:t>《黑龙江省黑土地保护利用条例》</w:t>
      </w:r>
      <w:bookmarkEnd w:id="105"/>
      <w:r>
        <w:rPr>
          <w:rFonts w:ascii="Times New Roman" w:hAnsi="Times New Roman" w:cs="Times New Roman"/>
          <w:iCs/>
          <w:caps w:val="0"/>
          <w:smallCaps w:val="0"/>
          <w:color w:val="auto"/>
          <w:spacing w:val="0"/>
          <w:w w:val="100"/>
          <w:kern w:val="2"/>
          <w:position w:val="0"/>
          <w:highlight w:val="none"/>
        </w:rPr>
        <w:t>（2023年12月24日修订通过，2024年3月1日起施行）中要求。</w:t>
      </w:r>
    </w:p>
    <w:p w14:paraId="41853BAE">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1.4.3.5</w:t>
      </w:r>
      <w:r>
        <w:rPr>
          <w:rFonts w:ascii="Times New Roman" w:hAnsi="Times New Roman" w:eastAsiaTheme="minorEastAsia"/>
          <w:b/>
          <w:caps w:val="0"/>
          <w:smallCaps w:val="0"/>
          <w:color w:val="auto"/>
          <w:spacing w:val="0"/>
          <w:w w:val="100"/>
          <w:position w:val="0"/>
          <w:highlight w:val="none"/>
          <w:lang w:bidi="zh-CN"/>
        </w:rPr>
        <w:t>与《黑龙江省黑土地保护工程实施方案（2021-2025 年）》符合性分析</w:t>
      </w:r>
    </w:p>
    <w:p w14:paraId="0458C024">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根据《黑龙江省黑土地保护工程实施方案（2021-2025 年）》实施内容：坚持政府引导、社会参与。发挥政府投入引领作用，通过市场化运作，带动社会资本投入，引导农村集体经济组织、农户、新型经营主体、企业积极参与。健全黑土地保护责任体系, 进一步明确省市县乡四级政府及相关部门黑土地保护职责，建立黑土地质量监测网络体系，形成黑土地保护建设长效机制。</w:t>
      </w:r>
    </w:p>
    <w:p w14:paraId="2BCC7CBD">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本项目施工前应剥离临时占地内 0.3m 的表土，采用分层开挖，分层堆放，剥离的表土暂存于施工作业带内置土区外侧，并采取苫布或防尘网遮盖，表土剥离临时堆放区周围设置排水沟等措施防止水土流失，并定期采取洒水抑尘措施，施工结束后及时用于回填，分层回填压实，保护有耕作能力种植价值的表层土壤，并对临时占地地表植被进行恢复。</w:t>
      </w:r>
    </w:p>
    <w:p w14:paraId="25724756">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在政府引导下，建设单位积极参与，并共布设2个土壤跟踪监测点，定期对土壤进行跟踪监测。</w:t>
      </w:r>
    </w:p>
    <w:p w14:paraId="4ACAF1DD">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在采取以上措施后，本项目符合《黑龙江省黑土地保护工程实施方案（2021-2025年）》中要求。</w:t>
      </w:r>
    </w:p>
    <w:p w14:paraId="0CC2A425">
      <w:pPr>
        <w:pStyle w:val="149"/>
        <w:autoSpaceDE/>
        <w:autoSpaceDN/>
        <w:spacing w:line="440" w:lineRule="exact"/>
        <w:ind w:firstLine="0" w:firstLineChars="0"/>
        <w:jc w:val="both"/>
        <w:outlineLvl w:val="3"/>
        <w:rPr>
          <w:rFonts w:ascii="Times New Roman" w:hAnsi="Times New Roman" w:eastAsiaTheme="minorEastAsia"/>
          <w:b/>
          <w:caps w:val="0"/>
          <w:smallCaps w:val="0"/>
          <w:color w:val="auto"/>
          <w:spacing w:val="0"/>
          <w:w w:val="100"/>
          <w:position w:val="0"/>
          <w:sz w:val="24"/>
          <w:szCs w:val="24"/>
          <w:highlight w:val="none"/>
          <w:lang w:val="en-US" w:bidi="ar-SA"/>
        </w:rPr>
      </w:pPr>
      <w:r>
        <w:rPr>
          <w:rFonts w:hint="eastAsia" w:ascii="Times New Roman" w:hAnsi="Times New Roman" w:eastAsiaTheme="minorEastAsia"/>
          <w:b/>
          <w:caps w:val="0"/>
          <w:smallCaps w:val="0"/>
          <w:color w:val="auto"/>
          <w:spacing w:val="0"/>
          <w:w w:val="100"/>
          <w:position w:val="0"/>
          <w:sz w:val="24"/>
          <w:szCs w:val="24"/>
          <w:highlight w:val="none"/>
          <w:lang w:val="en-US" w:bidi="ar-SA"/>
        </w:rPr>
        <w:t>1.4.3.4</w:t>
      </w:r>
      <w:r>
        <w:rPr>
          <w:rFonts w:ascii="Times New Roman" w:hAnsi="Times New Roman" w:eastAsiaTheme="minorEastAsia"/>
          <w:b/>
          <w:caps w:val="0"/>
          <w:smallCaps w:val="0"/>
          <w:color w:val="auto"/>
          <w:spacing w:val="0"/>
          <w:w w:val="100"/>
          <w:position w:val="0"/>
          <w:sz w:val="24"/>
          <w:szCs w:val="24"/>
          <w:highlight w:val="none"/>
          <w:lang w:val="en-US" w:bidi="ar-SA"/>
        </w:rPr>
        <w:t>与《基本农田保护条例》符合性分析</w:t>
      </w:r>
    </w:p>
    <w:p w14:paraId="221FE846">
      <w:pPr>
        <w:autoSpaceDE/>
        <w:autoSpaceDN/>
        <w:adjustRightInd w:val="0"/>
        <w:snapToGrid w:val="0"/>
        <w:spacing w:line="430" w:lineRule="exact"/>
        <w:ind w:firstLine="480" w:firstLineChars="200"/>
        <w:jc w:val="both"/>
        <w:rPr>
          <w:rFonts w:ascii="Times New Roman" w:hAnsi="Times New Roman" w:cs="Times New Roman"/>
          <w:iCs/>
          <w:caps w:val="0"/>
          <w:smallCaps w:val="0"/>
          <w:color w:val="auto"/>
          <w:spacing w:val="0"/>
          <w:w w:val="100"/>
          <w:position w:val="0"/>
          <w:sz w:val="24"/>
          <w:highlight w:val="none"/>
          <w:lang w:val="en-US" w:bidi="ar-SA"/>
        </w:rPr>
      </w:pPr>
      <w:r>
        <w:rPr>
          <w:rFonts w:hint="eastAsia" w:ascii="Times New Roman" w:hAnsi="Times New Roman" w:cs="Times New Roman"/>
          <w:iCs/>
          <w:caps w:val="0"/>
          <w:smallCaps w:val="0"/>
          <w:color w:val="auto"/>
          <w:spacing w:val="0"/>
          <w:w w:val="100"/>
          <w:position w:val="0"/>
          <w:sz w:val="24"/>
          <w:highlight w:val="none"/>
          <w:lang w:val="en-US" w:bidi="ar-SA"/>
        </w:rPr>
        <w:t>根据《基本农田保护条例》中第十五、十六条规定：“基本农田划定后，任何单位和个人不得改变或者占用。国家能源、交通、水利、军事设施等重点建设项目选址确实无法避开基本农田保护区，需要占用基本农田，涉及农用地转用或者征用土地的，必须经国务院批准。经国务院批准占用基本农田的，当地人民政府应当按照国务院的批准文件修改土地利用总体规划，并补充划入数量和质量相当的基本农田。占用单位应当按照占多少、垦多少的原则，负责开垦与所占用基本农田数量与质量相当的耕地；没有条件开垦或者开垦的耕地不符合要求的，应当按照省、自治区、直辖市的规定缴纳耕地开垦费，专款用于开垦新的耕地。占用基本农田的单位应当按照县级以上地方人民政府的要求，将所占用基本农田耕作层的土壤用于新开垦耕地、劣质地或者其他耕地的土壤改良。”</w:t>
      </w:r>
    </w:p>
    <w:p w14:paraId="3D1E8E30">
      <w:pPr>
        <w:autoSpaceDE/>
        <w:autoSpaceDN/>
        <w:adjustRightInd w:val="0"/>
        <w:snapToGrid w:val="0"/>
        <w:spacing w:line="430" w:lineRule="exact"/>
        <w:ind w:firstLine="480" w:firstLineChars="200"/>
        <w:jc w:val="both"/>
        <w:rPr>
          <w:rFonts w:ascii="Times New Roman" w:hAnsi="Times New Roman" w:cs="Times New Roman"/>
          <w:iCs/>
          <w:caps w:val="0"/>
          <w:smallCaps w:val="0"/>
          <w:color w:val="auto"/>
          <w:spacing w:val="0"/>
          <w:w w:val="100"/>
          <w:position w:val="0"/>
          <w:sz w:val="24"/>
          <w:highlight w:val="none"/>
          <w:lang w:val="en-US" w:bidi="ar-SA"/>
        </w:rPr>
      </w:pPr>
      <w:r>
        <w:rPr>
          <w:rFonts w:hint="eastAsia" w:ascii="Times New Roman" w:hAnsi="Times New Roman" w:cs="Times New Roman"/>
          <w:iCs/>
          <w:caps w:val="0"/>
          <w:smallCaps w:val="0"/>
          <w:color w:val="auto"/>
          <w:spacing w:val="0"/>
          <w:w w:val="100"/>
          <w:position w:val="0"/>
          <w:sz w:val="24"/>
          <w:highlight w:val="none"/>
          <w:lang w:val="en-US" w:bidi="ar-SA"/>
        </w:rPr>
        <w:t>本项目为</w:t>
      </w:r>
      <w:r>
        <w:rPr>
          <w:rFonts w:hint="eastAsia" w:ascii="Times New Roman" w:hAnsi="Times New Roman" w:cs="Times New Roman"/>
          <w:iCs/>
          <w:caps w:val="0"/>
          <w:smallCaps w:val="0"/>
          <w:color w:val="auto"/>
          <w:spacing w:val="0"/>
          <w:w w:val="100"/>
          <w:position w:val="0"/>
          <w:sz w:val="24"/>
          <w:highlight w:val="none"/>
          <w:lang w:val="en-US" w:eastAsia="zh-CN" w:bidi="ar-SA"/>
        </w:rPr>
        <w:t>油田内部管线</w:t>
      </w:r>
      <w:r>
        <w:rPr>
          <w:rFonts w:hint="eastAsia" w:ascii="Times New Roman" w:hAnsi="Times New Roman" w:cs="Times New Roman"/>
          <w:iCs/>
          <w:caps w:val="0"/>
          <w:smallCaps w:val="0"/>
          <w:color w:val="auto"/>
          <w:spacing w:val="0"/>
          <w:w w:val="100"/>
          <w:position w:val="0"/>
          <w:sz w:val="24"/>
          <w:highlight w:val="none"/>
          <w:lang w:val="en-US" w:bidi="ar-SA"/>
        </w:rPr>
        <w:t>建设项目，属于能源附属基础设施建设，项目选址无法避让永久基本农田。</w:t>
      </w:r>
      <w:r>
        <w:rPr>
          <w:rFonts w:ascii="Times New Roman" w:hAnsi="Times New Roman" w:cs="Times New Roman"/>
          <w:bCs/>
          <w:iCs/>
          <w:caps w:val="0"/>
          <w:smallCaps w:val="0"/>
          <w:color w:val="auto"/>
          <w:spacing w:val="0"/>
          <w:w w:val="100"/>
          <w:position w:val="0"/>
          <w:sz w:val="24"/>
          <w:highlight w:val="none"/>
          <w:lang w:val="en-US" w:bidi="ar-SA"/>
        </w:rPr>
        <w:t>因此工程临时占地应按照《中华人民共和国土地管理法》（2019年8月26日修正）、《基本农田保护条例》（2011年1月8日修订）要求逐级上报土地管理部门批准</w:t>
      </w:r>
      <w:r>
        <w:rPr>
          <w:rFonts w:hint="eastAsia" w:ascii="Times New Roman" w:hAnsi="Times New Roman" w:cs="Times New Roman"/>
          <w:bCs/>
          <w:iCs/>
          <w:caps w:val="0"/>
          <w:smallCaps w:val="0"/>
          <w:color w:val="auto"/>
          <w:spacing w:val="0"/>
          <w:w w:val="100"/>
          <w:position w:val="0"/>
          <w:sz w:val="24"/>
          <w:highlight w:val="none"/>
          <w:lang w:val="en-US" w:bidi="ar-SA"/>
        </w:rPr>
        <w:t>，且占补要求满足《基本农田保护条例》等法律法规要求的“占一补一，质量相等”方可建设。施工前，由建设单位编制表土剥离利用方案，对施工场地的表土进行剥离，管沟一侧设置表土剥离临时堆存带，用于堆放剥离的表土层（农田的耕作层），并对剥离的表土进行苫盖，在施工结束后，对临时占用永久基本农田回填表土层，对耕地进行复垦。</w:t>
      </w:r>
      <w:r>
        <w:rPr>
          <w:rFonts w:ascii="Times New Roman" w:hAnsi="Times New Roman" w:cs="Times New Roman"/>
          <w:bCs/>
          <w:iCs/>
          <w:caps w:val="0"/>
          <w:smallCaps w:val="0"/>
          <w:color w:val="auto"/>
          <w:spacing w:val="0"/>
          <w:w w:val="100"/>
          <w:position w:val="0"/>
          <w:sz w:val="24"/>
          <w:highlight w:val="none"/>
          <w:lang w:val="en-US" w:bidi="ar-SA"/>
        </w:rPr>
        <w:t>本项目的建设对当地土地利用格局影响在可接受范围内。因此本项目符合《基本农田保护条例》</w:t>
      </w:r>
      <w:r>
        <w:rPr>
          <w:rFonts w:hint="eastAsia" w:ascii="Times New Roman" w:hAnsi="Times New Roman" w:cs="Times New Roman"/>
          <w:iCs/>
          <w:caps w:val="0"/>
          <w:smallCaps w:val="0"/>
          <w:color w:val="auto"/>
          <w:spacing w:val="0"/>
          <w:w w:val="100"/>
          <w:position w:val="0"/>
          <w:sz w:val="24"/>
          <w:highlight w:val="none"/>
          <w:lang w:val="en-US" w:bidi="ar-SA"/>
        </w:rPr>
        <w:t>。</w:t>
      </w:r>
    </w:p>
    <w:p w14:paraId="58418939">
      <w:pPr>
        <w:autoSpaceDE/>
        <w:autoSpaceDN/>
        <w:spacing w:line="440" w:lineRule="exact"/>
        <w:jc w:val="both"/>
        <w:outlineLvl w:val="3"/>
        <w:rPr>
          <w:rFonts w:ascii="Times New Roman" w:hAnsi="Times New Roman" w:cs="Times New Roman"/>
          <w:b/>
          <w:caps w:val="0"/>
          <w:smallCaps w:val="0"/>
          <w:color w:val="auto"/>
          <w:spacing w:val="0"/>
          <w:w w:val="100"/>
          <w:position w:val="0"/>
          <w:sz w:val="24"/>
          <w:szCs w:val="24"/>
          <w:highlight w:val="none"/>
          <w:lang w:val="en-US" w:bidi="ar-SA"/>
        </w:rPr>
      </w:pPr>
      <w:r>
        <w:rPr>
          <w:rFonts w:ascii="Times New Roman" w:hAnsi="Times New Roman" w:cs="Times New Roman"/>
          <w:b/>
          <w:caps w:val="0"/>
          <w:smallCaps w:val="0"/>
          <w:color w:val="auto"/>
          <w:spacing w:val="0"/>
          <w:w w:val="100"/>
          <w:position w:val="0"/>
          <w:sz w:val="24"/>
          <w:szCs w:val="24"/>
          <w:highlight w:val="none"/>
          <w:lang w:val="en-US" w:bidi="ar-SA"/>
        </w:rPr>
        <w:t>1.4.3.</w:t>
      </w:r>
      <w:r>
        <w:rPr>
          <w:rFonts w:hint="eastAsia" w:ascii="Times New Roman" w:hAnsi="Times New Roman" w:cs="Times New Roman"/>
          <w:b/>
          <w:caps w:val="0"/>
          <w:smallCaps w:val="0"/>
          <w:color w:val="auto"/>
          <w:spacing w:val="0"/>
          <w:w w:val="100"/>
          <w:position w:val="0"/>
          <w:sz w:val="24"/>
          <w:szCs w:val="24"/>
          <w:highlight w:val="none"/>
          <w:lang w:val="en-US" w:bidi="ar-SA"/>
        </w:rPr>
        <w:t>5</w:t>
      </w:r>
      <w:r>
        <w:rPr>
          <w:rFonts w:ascii="Times New Roman" w:hAnsi="Times New Roman" w:cs="Times New Roman"/>
          <w:b/>
          <w:bCs/>
          <w:caps w:val="0"/>
          <w:smallCaps w:val="0"/>
          <w:color w:val="auto"/>
          <w:spacing w:val="0"/>
          <w:w w:val="100"/>
          <w:position w:val="0"/>
          <w:sz w:val="24"/>
          <w:szCs w:val="24"/>
          <w:highlight w:val="none"/>
          <w:lang w:val="en-US" w:bidi="ar-SA"/>
        </w:rPr>
        <w:t>与《黑龙江省耕地保护条例》符合性判定</w:t>
      </w:r>
    </w:p>
    <w:p w14:paraId="653A3BFA">
      <w:pPr>
        <w:widowControl/>
        <w:autoSpaceDE/>
        <w:autoSpaceDN/>
        <w:spacing w:line="440" w:lineRule="exact"/>
        <w:ind w:firstLine="480" w:firstLineChars="200"/>
        <w:jc w:val="both"/>
        <w:rPr>
          <w:rFonts w:ascii="Times New Roman" w:hAnsi="Times New Roman" w:cs="Times New Roman"/>
          <w:iCs/>
          <w:caps w:val="0"/>
          <w:smallCaps w:val="0"/>
          <w:color w:val="auto"/>
          <w:spacing w:val="0"/>
          <w:w w:val="100"/>
          <w:kern w:val="2"/>
          <w:position w:val="0"/>
          <w:sz w:val="24"/>
          <w:szCs w:val="24"/>
          <w:highlight w:val="none"/>
          <w:lang w:val="en-US" w:bidi="ar-SA"/>
        </w:rPr>
      </w:pPr>
      <w:r>
        <w:rPr>
          <w:rFonts w:ascii="Times New Roman" w:hAnsi="Times New Roman" w:cs="Times New Roman"/>
          <w:bCs/>
          <w:iCs/>
          <w:caps w:val="0"/>
          <w:smallCaps w:val="0"/>
          <w:color w:val="auto"/>
          <w:spacing w:val="0"/>
          <w:w w:val="100"/>
          <w:kern w:val="2"/>
          <w:position w:val="0"/>
          <w:sz w:val="24"/>
          <w:szCs w:val="24"/>
          <w:highlight w:val="none"/>
          <w:lang w:val="en-US" w:bidi="ar-SA"/>
        </w:rPr>
        <w:t>本项目与《黑龙江省耕地保护条例》（2021年10月29日修订，2022年1月1日起施行）符合性分析见表</w:t>
      </w:r>
      <w:r>
        <w:rPr>
          <w:rFonts w:ascii="Times New Roman" w:hAnsi="Times New Roman" w:cs="Times New Roman"/>
          <w:iCs/>
          <w:caps w:val="0"/>
          <w:smallCaps w:val="0"/>
          <w:color w:val="auto"/>
          <w:spacing w:val="0"/>
          <w:w w:val="100"/>
          <w:kern w:val="2"/>
          <w:position w:val="0"/>
          <w:sz w:val="24"/>
          <w:szCs w:val="24"/>
          <w:highlight w:val="none"/>
          <w:lang w:val="en-US" w:bidi="ar-SA"/>
        </w:rPr>
        <w:t>1.4-</w:t>
      </w:r>
      <w:r>
        <w:rPr>
          <w:rFonts w:hint="eastAsia" w:ascii="Times New Roman" w:hAnsi="Times New Roman" w:cs="Times New Roman"/>
          <w:iCs/>
          <w:caps w:val="0"/>
          <w:smallCaps w:val="0"/>
          <w:color w:val="auto"/>
          <w:spacing w:val="0"/>
          <w:w w:val="100"/>
          <w:kern w:val="2"/>
          <w:position w:val="0"/>
          <w:sz w:val="24"/>
          <w:szCs w:val="24"/>
          <w:highlight w:val="none"/>
          <w:lang w:val="en-US" w:bidi="ar-SA"/>
        </w:rPr>
        <w:t>9</w:t>
      </w:r>
      <w:r>
        <w:rPr>
          <w:rFonts w:ascii="Times New Roman" w:hAnsi="Times New Roman" w:cs="Times New Roman"/>
          <w:iCs/>
          <w:caps w:val="0"/>
          <w:smallCaps w:val="0"/>
          <w:color w:val="auto"/>
          <w:spacing w:val="0"/>
          <w:w w:val="100"/>
          <w:kern w:val="2"/>
          <w:position w:val="0"/>
          <w:sz w:val="24"/>
          <w:szCs w:val="24"/>
          <w:highlight w:val="none"/>
          <w:lang w:val="en-US" w:bidi="ar-SA"/>
        </w:rPr>
        <w:t>。</w:t>
      </w:r>
    </w:p>
    <w:p w14:paraId="061BD1B9">
      <w:pPr>
        <w:widowControl/>
        <w:autoSpaceDE/>
        <w:autoSpaceDN/>
        <w:spacing w:line="440" w:lineRule="exact"/>
        <w:jc w:val="center"/>
        <w:rPr>
          <w:rFonts w:ascii="Times New Roman" w:hAnsi="Times New Roman" w:cs="Times New Roman"/>
          <w:b/>
          <w:iCs/>
          <w:caps w:val="0"/>
          <w:smallCaps w:val="0"/>
          <w:color w:val="auto"/>
          <w:spacing w:val="0"/>
          <w:w w:val="100"/>
          <w:kern w:val="2"/>
          <w:position w:val="0"/>
          <w:sz w:val="24"/>
          <w:szCs w:val="24"/>
          <w:highlight w:val="none"/>
          <w:lang w:val="en-US" w:bidi="ar-SA"/>
        </w:rPr>
      </w:pPr>
      <w:r>
        <w:rPr>
          <w:rFonts w:ascii="Times New Roman" w:hAnsi="Times New Roman" w:cs="Times New Roman"/>
          <w:b/>
          <w:iCs/>
          <w:caps w:val="0"/>
          <w:smallCaps w:val="0"/>
          <w:color w:val="auto"/>
          <w:spacing w:val="0"/>
          <w:w w:val="100"/>
          <w:kern w:val="2"/>
          <w:position w:val="0"/>
          <w:sz w:val="24"/>
          <w:szCs w:val="24"/>
          <w:highlight w:val="none"/>
          <w:lang w:val="en-US" w:bidi="ar-SA"/>
        </w:rPr>
        <w:t>表1.4-</w:t>
      </w:r>
      <w:r>
        <w:rPr>
          <w:rFonts w:hint="eastAsia" w:ascii="Times New Roman" w:hAnsi="Times New Roman" w:cs="Times New Roman"/>
          <w:b/>
          <w:iCs/>
          <w:caps w:val="0"/>
          <w:smallCaps w:val="0"/>
          <w:color w:val="auto"/>
          <w:spacing w:val="0"/>
          <w:w w:val="100"/>
          <w:kern w:val="2"/>
          <w:position w:val="0"/>
          <w:sz w:val="24"/>
          <w:szCs w:val="24"/>
          <w:highlight w:val="none"/>
          <w:lang w:val="en-US" w:bidi="ar-SA"/>
        </w:rPr>
        <w:t>9</w:t>
      </w:r>
      <w:r>
        <w:rPr>
          <w:rFonts w:ascii="Times New Roman" w:hAnsi="Times New Roman" w:cs="Times New Roman"/>
          <w:b/>
          <w:iCs/>
          <w:caps w:val="0"/>
          <w:smallCaps w:val="0"/>
          <w:color w:val="auto"/>
          <w:spacing w:val="0"/>
          <w:w w:val="100"/>
          <w:kern w:val="2"/>
          <w:position w:val="0"/>
          <w:sz w:val="24"/>
          <w:szCs w:val="24"/>
          <w:highlight w:val="none"/>
          <w:lang w:val="en-US" w:bidi="ar-SA"/>
        </w:rPr>
        <w:t xml:space="preserve">    本项目与《黑龙江省</w:t>
      </w:r>
      <w:r>
        <w:rPr>
          <w:rFonts w:hint="eastAsia" w:ascii="Times New Roman" w:hAnsi="Times New Roman" w:cs="Times New Roman"/>
          <w:b/>
          <w:iCs/>
          <w:caps w:val="0"/>
          <w:smallCaps w:val="0"/>
          <w:color w:val="auto"/>
          <w:spacing w:val="0"/>
          <w:w w:val="100"/>
          <w:kern w:val="2"/>
          <w:position w:val="0"/>
          <w:sz w:val="24"/>
          <w:szCs w:val="24"/>
          <w:highlight w:val="none"/>
          <w:lang w:val="en-US" w:bidi="ar-SA"/>
        </w:rPr>
        <w:t>耕地</w:t>
      </w:r>
      <w:r>
        <w:rPr>
          <w:rFonts w:ascii="Times New Roman" w:hAnsi="Times New Roman" w:cs="Times New Roman"/>
          <w:b/>
          <w:iCs/>
          <w:caps w:val="0"/>
          <w:smallCaps w:val="0"/>
          <w:color w:val="auto"/>
          <w:spacing w:val="0"/>
          <w:w w:val="100"/>
          <w:kern w:val="2"/>
          <w:position w:val="0"/>
          <w:sz w:val="24"/>
          <w:szCs w:val="24"/>
          <w:highlight w:val="none"/>
          <w:lang w:val="en-US" w:bidi="ar-SA"/>
        </w:rPr>
        <w:t>保护条例》相关要求符合性一览表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649"/>
        <w:gridCol w:w="3989"/>
        <w:gridCol w:w="939"/>
      </w:tblGrid>
      <w:tr w14:paraId="187C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44948E5">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序号</w:t>
            </w:r>
          </w:p>
        </w:tc>
        <w:tc>
          <w:tcPr>
            <w:tcW w:w="1966" w:type="pct"/>
            <w:vAlign w:val="center"/>
          </w:tcPr>
          <w:p w14:paraId="3A7E7D37">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文件要求</w:t>
            </w:r>
          </w:p>
        </w:tc>
        <w:tc>
          <w:tcPr>
            <w:tcW w:w="2149" w:type="pct"/>
            <w:vAlign w:val="center"/>
          </w:tcPr>
          <w:p w14:paraId="219682EB">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符合性分析</w:t>
            </w:r>
          </w:p>
        </w:tc>
        <w:tc>
          <w:tcPr>
            <w:tcW w:w="506" w:type="pct"/>
            <w:vAlign w:val="center"/>
          </w:tcPr>
          <w:p w14:paraId="26294657">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符合性</w:t>
            </w:r>
          </w:p>
        </w:tc>
      </w:tr>
      <w:tr w14:paraId="3C06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4309560">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1</w:t>
            </w:r>
          </w:p>
        </w:tc>
        <w:tc>
          <w:tcPr>
            <w:tcW w:w="1966" w:type="pct"/>
            <w:vAlign w:val="center"/>
          </w:tcPr>
          <w:p w14:paraId="06DF867B">
            <w:pPr>
              <w:autoSpaceDE/>
              <w:autoSpaceDN/>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第二十一条</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w:t>
            </w:r>
            <w:r>
              <w:rPr>
                <w:rFonts w:ascii="Times New Roman" w:hAnsi="Times New Roman" w:cs="Times New Roman"/>
                <w:iCs/>
                <w:caps w:val="0"/>
                <w:smallCaps w:val="0"/>
                <w:color w:val="auto"/>
                <w:spacing w:val="0"/>
                <w:w w:val="100"/>
                <w:kern w:val="28"/>
                <w:position w:val="0"/>
                <w:sz w:val="21"/>
                <w:szCs w:val="21"/>
                <w:highlight w:val="none"/>
                <w:lang w:val="en-US" w:bidi="ar-SA"/>
              </w:rPr>
              <w:t>非农业建设可以利用非耕地的，不得占用耕地。经依法批准占用耕地的，用地单位应当负责开垦与所占用耕地数量、质量相当的耕地；没有条件开垦或者开垦的耕地不符合要求的，应当向县以上自然资源行政主管部门缴纳耕地开垦费</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w:t>
            </w:r>
            <w:r>
              <w:rPr>
                <w:rFonts w:ascii="Times New Roman" w:hAnsi="Times New Roman" w:cs="Times New Roman"/>
                <w:iCs/>
                <w:caps w:val="0"/>
                <w:smallCaps w:val="0"/>
                <w:color w:val="auto"/>
                <w:spacing w:val="0"/>
                <w:w w:val="100"/>
                <w:kern w:val="28"/>
                <w:position w:val="0"/>
                <w:sz w:val="21"/>
                <w:szCs w:val="21"/>
                <w:highlight w:val="none"/>
                <w:lang w:val="en-US" w:bidi="ar-SA"/>
              </w:rPr>
              <w:t>专款用于开垦新的耕地；耕地后备资源不足的，依法实行易地占补。</w:t>
            </w:r>
          </w:p>
        </w:tc>
        <w:tc>
          <w:tcPr>
            <w:tcW w:w="2149" w:type="pct"/>
            <w:vAlign w:val="center"/>
          </w:tcPr>
          <w:p w14:paraId="4836C0E0">
            <w:pPr>
              <w:autoSpaceDE/>
              <w:autoSpaceDN/>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en-US" w:bidi="ar-SA"/>
              </w:rPr>
            </w:pPr>
            <w:r>
              <w:rPr>
                <w:rFonts w:hint="eastAsia" w:ascii="Times New Roman" w:hAnsi="Times New Roman" w:cs="Times New Roman"/>
                <w:iCs/>
                <w:caps w:val="0"/>
                <w:smallCaps w:val="0"/>
                <w:color w:val="auto"/>
                <w:spacing w:val="0"/>
                <w:w w:val="100"/>
                <w:kern w:val="28"/>
                <w:position w:val="0"/>
                <w:sz w:val="21"/>
                <w:szCs w:val="21"/>
                <w:highlight w:val="none"/>
                <w:lang w:val="en-US" w:bidi="ar-SA"/>
              </w:rPr>
              <w:t>本项目为</w:t>
            </w:r>
            <w:r>
              <w:rPr>
                <w:rFonts w:hint="eastAsia" w:ascii="Times New Roman" w:hAnsi="Times New Roman" w:cs="Times New Roman"/>
                <w:iCs/>
                <w:caps w:val="0"/>
                <w:smallCaps w:val="0"/>
                <w:color w:val="auto"/>
                <w:spacing w:val="0"/>
                <w:w w:val="100"/>
                <w:kern w:val="28"/>
                <w:position w:val="0"/>
                <w:sz w:val="21"/>
                <w:szCs w:val="21"/>
                <w:highlight w:val="none"/>
                <w:lang w:val="en-US" w:eastAsia="zh-CN" w:bidi="ar-SA"/>
              </w:rPr>
              <w:t>油田内部管线</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建设项目，属于能源附属基础设施建设，项目选址无法避让永久基本农田。</w:t>
            </w:r>
            <w:r>
              <w:rPr>
                <w:rFonts w:ascii="Times New Roman" w:hAnsi="Times New Roman" w:cs="Times New Roman"/>
                <w:iCs/>
                <w:caps w:val="0"/>
                <w:smallCaps w:val="0"/>
                <w:color w:val="auto"/>
                <w:spacing w:val="0"/>
                <w:w w:val="100"/>
                <w:kern w:val="28"/>
                <w:position w:val="0"/>
                <w:sz w:val="21"/>
                <w:szCs w:val="21"/>
                <w:highlight w:val="none"/>
                <w:lang w:val="en-US" w:bidi="ar-SA"/>
              </w:rPr>
              <w:t>本项目在施工前需要征收土地，应报请相关主管部门同意，取得用地审批。</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对临时占用永久基本农田回填表土层，对耕地进行复垦。</w:t>
            </w:r>
          </w:p>
        </w:tc>
        <w:tc>
          <w:tcPr>
            <w:tcW w:w="506" w:type="pct"/>
            <w:vAlign w:val="center"/>
          </w:tcPr>
          <w:p w14:paraId="779220F2">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符合</w:t>
            </w:r>
          </w:p>
        </w:tc>
      </w:tr>
      <w:tr w14:paraId="0C4E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EDA6B1C">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2</w:t>
            </w:r>
          </w:p>
        </w:tc>
        <w:tc>
          <w:tcPr>
            <w:tcW w:w="1966" w:type="pct"/>
            <w:vAlign w:val="center"/>
          </w:tcPr>
          <w:p w14:paraId="4C4BFFC4">
            <w:pPr>
              <w:autoSpaceDE/>
              <w:autoSpaceDN/>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第三十六条：因事故或者其他突发事件，造成耕地环境污染的，当事人应当立即采取补救措施，并向当地县级农业农村或者生态环境行政主管部门报告。相关行政主管部门接到报告后，应当及时启动应急预案，并按照规定处理。</w:t>
            </w:r>
          </w:p>
        </w:tc>
        <w:tc>
          <w:tcPr>
            <w:tcW w:w="2149" w:type="pct"/>
            <w:vAlign w:val="center"/>
          </w:tcPr>
          <w:p w14:paraId="1A9FDFF1">
            <w:pPr>
              <w:autoSpaceDE/>
              <w:autoSpaceDN/>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第</w:t>
            </w:r>
            <w:r>
              <w:rPr>
                <w:rFonts w:hint="eastAsia" w:ascii="Times New Roman" w:hAnsi="Times New Roman" w:cs="Times New Roman"/>
                <w:iCs/>
                <w:caps w:val="0"/>
                <w:smallCaps w:val="0"/>
                <w:color w:val="auto"/>
                <w:spacing w:val="0"/>
                <w:w w:val="100"/>
                <w:kern w:val="28"/>
                <w:position w:val="0"/>
                <w:sz w:val="21"/>
                <w:szCs w:val="21"/>
                <w:highlight w:val="none"/>
                <w:lang w:val="en-US" w:eastAsia="zh-CN" w:bidi="ar-SA"/>
              </w:rPr>
              <w:t>十一采油厂</w:t>
            </w:r>
            <w:r>
              <w:rPr>
                <w:rFonts w:ascii="Times New Roman" w:hAnsi="Times New Roman" w:cs="Times New Roman"/>
                <w:iCs/>
                <w:caps w:val="0"/>
                <w:smallCaps w:val="0"/>
                <w:color w:val="auto"/>
                <w:spacing w:val="0"/>
                <w:w w:val="100"/>
                <w:kern w:val="28"/>
                <w:position w:val="0"/>
                <w:sz w:val="21"/>
                <w:szCs w:val="21"/>
                <w:highlight w:val="none"/>
                <w:lang w:val="en-US" w:bidi="ar-SA"/>
              </w:rPr>
              <w:t>按照预案要求编制完成了《大庆油田有限责任公司第</w:t>
            </w:r>
            <w:r>
              <w:rPr>
                <w:rFonts w:hint="eastAsia" w:ascii="Times New Roman" w:hAnsi="Times New Roman" w:cs="Times New Roman"/>
                <w:iCs/>
                <w:caps w:val="0"/>
                <w:smallCaps w:val="0"/>
                <w:color w:val="auto"/>
                <w:spacing w:val="0"/>
                <w:w w:val="100"/>
                <w:kern w:val="28"/>
                <w:position w:val="0"/>
                <w:sz w:val="21"/>
                <w:szCs w:val="21"/>
                <w:highlight w:val="none"/>
                <w:lang w:val="en-US" w:eastAsia="zh-CN" w:bidi="ar-SA"/>
              </w:rPr>
              <w:t>十一采油厂</w:t>
            </w:r>
            <w:r>
              <w:rPr>
                <w:rFonts w:ascii="Times New Roman" w:hAnsi="Times New Roman" w:cs="Times New Roman"/>
                <w:iCs/>
                <w:caps w:val="0"/>
                <w:smallCaps w:val="0"/>
                <w:color w:val="auto"/>
                <w:spacing w:val="0"/>
                <w:w w:val="100"/>
                <w:kern w:val="28"/>
                <w:position w:val="0"/>
                <w:sz w:val="21"/>
                <w:szCs w:val="21"/>
                <w:highlight w:val="none"/>
                <w:lang w:val="en-US" w:bidi="ar-SA"/>
              </w:rPr>
              <w:t>突发事件总体应急预案》《突发环境事件专项应急预案》等专项应急预案，主要包括应急组织机构及职责明确、监测与预警、应急处置与应急响应、恢复与重建、应急保障与培训、督查与奖惩等内容。</w:t>
            </w:r>
          </w:p>
        </w:tc>
        <w:tc>
          <w:tcPr>
            <w:tcW w:w="506" w:type="pct"/>
            <w:vAlign w:val="center"/>
          </w:tcPr>
          <w:p w14:paraId="025EDCF2">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符合</w:t>
            </w:r>
          </w:p>
        </w:tc>
      </w:tr>
      <w:tr w14:paraId="6063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4BC66A5C">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3</w:t>
            </w:r>
          </w:p>
        </w:tc>
        <w:tc>
          <w:tcPr>
            <w:tcW w:w="1966" w:type="pct"/>
            <w:vAlign w:val="center"/>
          </w:tcPr>
          <w:p w14:paraId="15EB36DD">
            <w:pPr>
              <w:autoSpaceDE/>
              <w:autoSpaceDN/>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第四十五条</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w:t>
            </w:r>
            <w:r>
              <w:rPr>
                <w:rFonts w:ascii="Times New Roman" w:hAnsi="Times New Roman" w:cs="Times New Roman"/>
                <w:iCs/>
                <w:caps w:val="0"/>
                <w:smallCaps w:val="0"/>
                <w:color w:val="auto"/>
                <w:spacing w:val="0"/>
                <w:w w:val="100"/>
                <w:kern w:val="28"/>
                <w:position w:val="0"/>
                <w:sz w:val="21"/>
                <w:szCs w:val="21"/>
                <w:highlight w:val="none"/>
                <w:lang w:val="en-US" w:bidi="ar-SA"/>
              </w:rPr>
              <w:t>耕地的耕作层土壤剥离按照国家和省有关规定执行。</w:t>
            </w:r>
          </w:p>
        </w:tc>
        <w:tc>
          <w:tcPr>
            <w:tcW w:w="2149" w:type="pct"/>
            <w:vAlign w:val="center"/>
          </w:tcPr>
          <w:p w14:paraId="7BA4729B">
            <w:pPr>
              <w:autoSpaceDE/>
              <w:autoSpaceDN/>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本项目根据《黑龙江省人民政府办公厅关于建设占用耕地耕作层土壤剥离利用工作的指导意见（试行）》（黑政办规〔2021〕18号）要求实施表土剥离制度，本项目在施工过程中针对永久占地及临时占地，应剥离占地内0.3m的表土，采用分层开挖，分层堆放，集中暂存于剥离表土临时堆放区，并采取苫布遮盖等措施防止水土流失。针对临时占地在将剥离的表土在施工结束后分层回填，并及时</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平整</w:t>
            </w:r>
            <w:r>
              <w:rPr>
                <w:rFonts w:ascii="Times New Roman" w:hAnsi="Times New Roman" w:cs="Times New Roman"/>
                <w:iCs/>
                <w:caps w:val="0"/>
                <w:smallCaps w:val="0"/>
                <w:color w:val="auto"/>
                <w:spacing w:val="0"/>
                <w:w w:val="100"/>
                <w:kern w:val="28"/>
                <w:position w:val="0"/>
                <w:sz w:val="21"/>
                <w:szCs w:val="21"/>
                <w:highlight w:val="none"/>
                <w:lang w:val="en-US" w:bidi="ar-SA"/>
              </w:rPr>
              <w:t>恢复。</w:t>
            </w:r>
          </w:p>
        </w:tc>
        <w:tc>
          <w:tcPr>
            <w:tcW w:w="506" w:type="pct"/>
            <w:vAlign w:val="center"/>
          </w:tcPr>
          <w:p w14:paraId="6ECD9898">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符合</w:t>
            </w:r>
          </w:p>
        </w:tc>
      </w:tr>
      <w:tr w14:paraId="60EB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6C0AA30">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hint="eastAsia" w:ascii="Times New Roman" w:hAnsi="Times New Roman" w:cs="Times New Roman"/>
                <w:iCs/>
                <w:caps w:val="0"/>
                <w:smallCaps w:val="0"/>
                <w:color w:val="auto"/>
                <w:spacing w:val="0"/>
                <w:w w:val="100"/>
                <w:kern w:val="28"/>
                <w:position w:val="0"/>
                <w:sz w:val="21"/>
                <w:szCs w:val="21"/>
                <w:highlight w:val="none"/>
                <w:lang w:val="en-US" w:bidi="ar-SA"/>
              </w:rPr>
              <w:t>4</w:t>
            </w:r>
          </w:p>
        </w:tc>
        <w:tc>
          <w:tcPr>
            <w:tcW w:w="1966" w:type="pct"/>
            <w:vAlign w:val="center"/>
          </w:tcPr>
          <w:p w14:paraId="584DD9CA">
            <w:pPr>
              <w:autoSpaceDE/>
              <w:autoSpaceDN/>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第四十六条：经批准占用耕地的非农业建设项目施工时，施工单位应当减少地表扰动范围，避免损坏周边耕地的耕作层。无法避免的，由建设单位及时进行整理、修复或者依法补偿。</w:t>
            </w:r>
          </w:p>
        </w:tc>
        <w:tc>
          <w:tcPr>
            <w:tcW w:w="2149" w:type="pct"/>
            <w:vAlign w:val="center"/>
          </w:tcPr>
          <w:p w14:paraId="3DA8F905">
            <w:pPr>
              <w:autoSpaceDE/>
              <w:autoSpaceDN/>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本项目在施工过程中严格控制施工作业面积，加强施工管理，尽量减少占地面积，并规范行车路线及施工人员行为，严禁随意践踏、碾压施工区范围外的植被，确保尽量少占优质黑土地。针对临时占地，应剥离占地内0.3m的表土，采用分层开挖，分层堆放，集中暂存于剥离表土临时堆放区，并采取苫布遮盖等措施防止水土流失，定期采取洒水抑尘措施。针对临时占地在将剥离的表土在施工结束后分层回填，及时</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平整</w:t>
            </w:r>
            <w:r>
              <w:rPr>
                <w:rFonts w:ascii="Times New Roman" w:hAnsi="Times New Roman" w:cs="Times New Roman"/>
                <w:iCs/>
                <w:caps w:val="0"/>
                <w:smallCaps w:val="0"/>
                <w:color w:val="auto"/>
                <w:spacing w:val="0"/>
                <w:w w:val="100"/>
                <w:kern w:val="28"/>
                <w:position w:val="0"/>
                <w:sz w:val="21"/>
                <w:szCs w:val="21"/>
                <w:highlight w:val="none"/>
                <w:lang w:val="en-US" w:bidi="ar-SA"/>
              </w:rPr>
              <w:t>恢复。</w:t>
            </w:r>
          </w:p>
        </w:tc>
        <w:tc>
          <w:tcPr>
            <w:tcW w:w="506" w:type="pct"/>
            <w:vAlign w:val="center"/>
          </w:tcPr>
          <w:p w14:paraId="1665F81B">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en-US" w:bidi="ar-SA"/>
              </w:rPr>
            </w:pPr>
            <w:r>
              <w:rPr>
                <w:rFonts w:ascii="Times New Roman" w:hAnsi="Times New Roman" w:cs="Times New Roman"/>
                <w:iCs/>
                <w:caps w:val="0"/>
                <w:smallCaps w:val="0"/>
                <w:color w:val="auto"/>
                <w:spacing w:val="0"/>
                <w:w w:val="100"/>
                <w:kern w:val="28"/>
                <w:position w:val="0"/>
                <w:sz w:val="21"/>
                <w:szCs w:val="21"/>
                <w:highlight w:val="none"/>
                <w:lang w:val="en-US" w:bidi="ar-SA"/>
              </w:rPr>
              <w:t>符合</w:t>
            </w:r>
          </w:p>
        </w:tc>
      </w:tr>
    </w:tbl>
    <w:p w14:paraId="535595B1">
      <w:pPr>
        <w:widowControl/>
        <w:autoSpaceDE/>
        <w:autoSpaceDN/>
        <w:spacing w:line="440" w:lineRule="exact"/>
        <w:ind w:firstLine="480" w:firstLineChars="200"/>
        <w:jc w:val="both"/>
        <w:rPr>
          <w:rFonts w:ascii="Times New Roman" w:hAnsi="Times New Roman" w:cs="Times New Roman"/>
          <w:iCs/>
          <w:caps w:val="0"/>
          <w:smallCaps w:val="0"/>
          <w:color w:val="auto"/>
          <w:spacing w:val="0"/>
          <w:w w:val="100"/>
          <w:kern w:val="2"/>
          <w:position w:val="0"/>
          <w:sz w:val="24"/>
          <w:szCs w:val="24"/>
          <w:highlight w:val="none"/>
          <w:lang w:val="en-US" w:bidi="ar-SA"/>
        </w:rPr>
      </w:pPr>
      <w:r>
        <w:rPr>
          <w:rFonts w:ascii="Times New Roman" w:hAnsi="Times New Roman" w:cs="Times New Roman"/>
          <w:iCs/>
          <w:caps w:val="0"/>
          <w:smallCaps w:val="0"/>
          <w:color w:val="auto"/>
          <w:spacing w:val="0"/>
          <w:w w:val="100"/>
          <w:kern w:val="2"/>
          <w:position w:val="0"/>
          <w:sz w:val="24"/>
          <w:szCs w:val="24"/>
          <w:highlight w:val="none"/>
          <w:lang w:val="en-US" w:bidi="ar-SA"/>
        </w:rPr>
        <w:t>根据以上分析，本项目符合《黑龙江省</w:t>
      </w:r>
      <w:r>
        <w:rPr>
          <w:rFonts w:hint="eastAsia" w:ascii="Times New Roman" w:hAnsi="Times New Roman" w:cs="Times New Roman"/>
          <w:iCs/>
          <w:caps w:val="0"/>
          <w:smallCaps w:val="0"/>
          <w:color w:val="auto"/>
          <w:spacing w:val="0"/>
          <w:w w:val="100"/>
          <w:kern w:val="2"/>
          <w:position w:val="0"/>
          <w:sz w:val="24"/>
          <w:szCs w:val="24"/>
          <w:highlight w:val="none"/>
          <w:lang w:val="en-US" w:bidi="ar-SA"/>
        </w:rPr>
        <w:t>耕地</w:t>
      </w:r>
      <w:r>
        <w:rPr>
          <w:rFonts w:ascii="Times New Roman" w:hAnsi="Times New Roman" w:cs="Times New Roman"/>
          <w:iCs/>
          <w:caps w:val="0"/>
          <w:smallCaps w:val="0"/>
          <w:color w:val="auto"/>
          <w:spacing w:val="0"/>
          <w:w w:val="100"/>
          <w:kern w:val="2"/>
          <w:position w:val="0"/>
          <w:sz w:val="24"/>
          <w:szCs w:val="24"/>
          <w:highlight w:val="none"/>
          <w:lang w:val="en-US" w:bidi="ar-SA"/>
        </w:rPr>
        <w:t>保护条例》中要求。</w:t>
      </w:r>
    </w:p>
    <w:p w14:paraId="155C77DA">
      <w:pPr>
        <w:autoSpaceDE/>
        <w:autoSpaceDN/>
        <w:spacing w:line="440" w:lineRule="exact"/>
        <w:jc w:val="both"/>
        <w:outlineLvl w:val="3"/>
        <w:rPr>
          <w:rFonts w:ascii="Times New Roman" w:hAnsi="Times New Roman" w:cs="Times New Roman"/>
          <w:b/>
          <w:bCs/>
          <w:caps w:val="0"/>
          <w:smallCaps w:val="0"/>
          <w:color w:val="auto"/>
          <w:spacing w:val="0"/>
          <w:w w:val="100"/>
          <w:position w:val="0"/>
          <w:sz w:val="24"/>
          <w:szCs w:val="24"/>
          <w:highlight w:val="none"/>
          <w:lang w:val="en-US" w:bidi="ar-SA"/>
        </w:rPr>
      </w:pPr>
      <w:r>
        <w:rPr>
          <w:rFonts w:ascii="Times New Roman" w:hAnsi="Times New Roman" w:cs="Times New Roman"/>
          <w:b/>
          <w:bCs/>
          <w:caps w:val="0"/>
          <w:smallCaps w:val="0"/>
          <w:color w:val="auto"/>
          <w:spacing w:val="0"/>
          <w:w w:val="100"/>
          <w:position w:val="0"/>
          <w:sz w:val="24"/>
          <w:szCs w:val="24"/>
          <w:highlight w:val="none"/>
          <w:lang w:val="en-US" w:bidi="ar-SA"/>
        </w:rPr>
        <w:t>1.4.3.</w:t>
      </w:r>
      <w:r>
        <w:rPr>
          <w:rFonts w:hint="eastAsia" w:ascii="Times New Roman" w:hAnsi="Times New Roman" w:cs="Times New Roman"/>
          <w:b/>
          <w:bCs/>
          <w:caps w:val="0"/>
          <w:smallCaps w:val="0"/>
          <w:color w:val="auto"/>
          <w:spacing w:val="0"/>
          <w:w w:val="100"/>
          <w:position w:val="0"/>
          <w:sz w:val="24"/>
          <w:szCs w:val="24"/>
          <w:highlight w:val="none"/>
          <w:lang w:val="en-US" w:bidi="ar-SA"/>
        </w:rPr>
        <w:t>6</w:t>
      </w:r>
      <w:r>
        <w:rPr>
          <w:rFonts w:ascii="Times New Roman" w:hAnsi="Times New Roman" w:cs="Times New Roman"/>
          <w:b/>
          <w:bCs/>
          <w:caps w:val="0"/>
          <w:smallCaps w:val="0"/>
          <w:color w:val="auto"/>
          <w:spacing w:val="0"/>
          <w:w w:val="100"/>
          <w:position w:val="0"/>
          <w:sz w:val="24"/>
          <w:szCs w:val="24"/>
          <w:highlight w:val="none"/>
          <w:lang w:val="en-US" w:bidi="ar-SA"/>
        </w:rPr>
        <w:t>与《关于强化管控落实最严格耕地保护制度的通知》（国土资发〔2014〕18号）符合性判定</w:t>
      </w:r>
    </w:p>
    <w:p w14:paraId="176EA3CA">
      <w:pPr>
        <w:widowControl/>
        <w:autoSpaceDE/>
        <w:autoSpaceDN/>
        <w:spacing w:line="440" w:lineRule="exact"/>
        <w:ind w:firstLine="480" w:firstLineChars="200"/>
        <w:jc w:val="both"/>
        <w:rPr>
          <w:rFonts w:ascii="Times New Roman" w:hAnsi="Times New Roman" w:cs="Times New Roman"/>
          <w:bCs/>
          <w:caps w:val="0"/>
          <w:smallCaps w:val="0"/>
          <w:color w:val="auto"/>
          <w:spacing w:val="0"/>
          <w:w w:val="100"/>
          <w:position w:val="0"/>
          <w:sz w:val="24"/>
          <w:szCs w:val="24"/>
          <w:highlight w:val="none"/>
          <w:lang w:val="en-US"/>
        </w:rPr>
      </w:pPr>
      <w:r>
        <w:rPr>
          <w:rFonts w:ascii="Times New Roman" w:hAnsi="Times New Roman" w:cs="Times New Roman"/>
          <w:bCs/>
          <w:caps w:val="0"/>
          <w:smallCaps w:val="0"/>
          <w:color w:val="auto"/>
          <w:spacing w:val="0"/>
          <w:w w:val="100"/>
          <w:position w:val="0"/>
          <w:sz w:val="24"/>
          <w:szCs w:val="24"/>
          <w:highlight w:val="none"/>
          <w:lang w:val="en-US"/>
        </w:rPr>
        <w:t>本项目与《关于强化管控落实最严格耕地保护制度的通知》（国土资发〔2014〕18号）符合性分析见表1.4-1</w:t>
      </w:r>
      <w:r>
        <w:rPr>
          <w:rFonts w:hint="eastAsia" w:ascii="Times New Roman" w:hAnsi="Times New Roman" w:cs="Times New Roman"/>
          <w:bCs/>
          <w:caps w:val="0"/>
          <w:smallCaps w:val="0"/>
          <w:color w:val="auto"/>
          <w:spacing w:val="0"/>
          <w:w w:val="100"/>
          <w:position w:val="0"/>
          <w:sz w:val="24"/>
          <w:szCs w:val="24"/>
          <w:highlight w:val="none"/>
          <w:lang w:val="en-US"/>
        </w:rPr>
        <w:t>0</w:t>
      </w:r>
      <w:r>
        <w:rPr>
          <w:rFonts w:ascii="Times New Roman" w:hAnsi="Times New Roman" w:cs="Times New Roman"/>
          <w:bCs/>
          <w:caps w:val="0"/>
          <w:smallCaps w:val="0"/>
          <w:color w:val="auto"/>
          <w:spacing w:val="0"/>
          <w:w w:val="100"/>
          <w:position w:val="0"/>
          <w:sz w:val="24"/>
          <w:szCs w:val="24"/>
          <w:highlight w:val="none"/>
          <w:lang w:val="en-US"/>
        </w:rPr>
        <w:t>。</w:t>
      </w:r>
    </w:p>
    <w:p w14:paraId="0A8E3BB3">
      <w:pPr>
        <w:widowControl/>
        <w:autoSpaceDE/>
        <w:autoSpaceDN/>
        <w:spacing w:line="440" w:lineRule="exact"/>
        <w:ind w:firstLine="482" w:firstLineChars="200"/>
        <w:jc w:val="both"/>
        <w:rPr>
          <w:rFonts w:ascii="Times New Roman" w:hAnsi="Times New Roman" w:cs="Times New Roman"/>
          <w:b/>
          <w:caps w:val="0"/>
          <w:smallCaps w:val="0"/>
          <w:color w:val="auto"/>
          <w:spacing w:val="0"/>
          <w:w w:val="100"/>
          <w:position w:val="0"/>
          <w:sz w:val="24"/>
          <w:szCs w:val="24"/>
          <w:highlight w:val="none"/>
          <w:lang w:val="en-US" w:bidi="ar-SA"/>
        </w:rPr>
      </w:pPr>
      <w:r>
        <w:rPr>
          <w:rFonts w:ascii="Times New Roman" w:hAnsi="Times New Roman" w:cs="Times New Roman"/>
          <w:b/>
          <w:caps w:val="0"/>
          <w:smallCaps w:val="0"/>
          <w:color w:val="auto"/>
          <w:spacing w:val="0"/>
          <w:w w:val="100"/>
          <w:position w:val="0"/>
          <w:sz w:val="24"/>
          <w:szCs w:val="24"/>
          <w:highlight w:val="none"/>
          <w:lang w:val="en-US"/>
        </w:rPr>
        <w:t>表1.4-1</w:t>
      </w:r>
      <w:r>
        <w:rPr>
          <w:rFonts w:hint="eastAsia" w:ascii="Times New Roman" w:hAnsi="Times New Roman" w:cs="Times New Roman"/>
          <w:b/>
          <w:caps w:val="0"/>
          <w:smallCaps w:val="0"/>
          <w:color w:val="auto"/>
          <w:spacing w:val="0"/>
          <w:w w:val="100"/>
          <w:position w:val="0"/>
          <w:sz w:val="24"/>
          <w:szCs w:val="24"/>
          <w:highlight w:val="none"/>
          <w:lang w:val="en-US"/>
        </w:rPr>
        <w:t>0</w:t>
      </w:r>
      <w:r>
        <w:rPr>
          <w:rFonts w:ascii="Times New Roman" w:hAnsi="Times New Roman" w:cs="Times New Roman"/>
          <w:b/>
          <w:caps w:val="0"/>
          <w:smallCaps w:val="0"/>
          <w:color w:val="auto"/>
          <w:spacing w:val="0"/>
          <w:w w:val="100"/>
          <w:position w:val="0"/>
          <w:sz w:val="24"/>
          <w:szCs w:val="24"/>
          <w:highlight w:val="none"/>
          <w:lang w:val="en-US"/>
        </w:rPr>
        <w:t xml:space="preserve"> 与</w:t>
      </w:r>
      <w:r>
        <w:rPr>
          <w:rFonts w:ascii="Times New Roman" w:hAnsi="Times New Roman" w:cs="Times New Roman"/>
          <w:b/>
          <w:caps w:val="0"/>
          <w:smallCaps w:val="0"/>
          <w:color w:val="auto"/>
          <w:spacing w:val="0"/>
          <w:w w:val="100"/>
          <w:position w:val="0"/>
          <w:sz w:val="24"/>
          <w:szCs w:val="24"/>
          <w:highlight w:val="none"/>
          <w:lang w:val="en-US" w:bidi="ar-SA"/>
        </w:rPr>
        <w:t>关于强化管控落实最严格耕地保护制度的通知</w:t>
      </w:r>
      <w:r>
        <w:rPr>
          <w:rFonts w:ascii="Times New Roman" w:hAnsi="Times New Roman" w:cs="Times New Roman"/>
          <w:b/>
          <w:caps w:val="0"/>
          <w:smallCaps w:val="0"/>
          <w:color w:val="auto"/>
          <w:spacing w:val="0"/>
          <w:w w:val="100"/>
          <w:position w:val="0"/>
          <w:sz w:val="24"/>
          <w:szCs w:val="24"/>
          <w:highlight w:val="none"/>
          <w:lang w:val="en-US"/>
        </w:rPr>
        <w:t>相关要求符合性判定</w:t>
      </w:r>
    </w:p>
    <w:tbl>
      <w:tblPr>
        <w:tblStyle w:val="8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60"/>
        <w:gridCol w:w="4374"/>
        <w:gridCol w:w="3360"/>
        <w:gridCol w:w="992"/>
      </w:tblGrid>
      <w:tr w14:paraId="20C91E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0D95082A">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序号</w:t>
            </w:r>
          </w:p>
        </w:tc>
        <w:tc>
          <w:tcPr>
            <w:tcW w:w="2355" w:type="pct"/>
            <w:vAlign w:val="center"/>
          </w:tcPr>
          <w:p w14:paraId="2966E756">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相关要求</w:t>
            </w:r>
          </w:p>
        </w:tc>
        <w:tc>
          <w:tcPr>
            <w:tcW w:w="1809" w:type="pct"/>
            <w:vAlign w:val="center"/>
          </w:tcPr>
          <w:p w14:paraId="6BC58AEF">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符合性分析</w:t>
            </w:r>
          </w:p>
        </w:tc>
        <w:tc>
          <w:tcPr>
            <w:tcW w:w="534" w:type="pct"/>
            <w:vAlign w:val="center"/>
          </w:tcPr>
          <w:p w14:paraId="146FD19D">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符合性</w:t>
            </w:r>
          </w:p>
        </w:tc>
      </w:tr>
      <w:tr w14:paraId="5119F1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5EB5ED01">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1</w:t>
            </w:r>
          </w:p>
        </w:tc>
        <w:tc>
          <w:tcPr>
            <w:tcW w:w="2355" w:type="pct"/>
            <w:vAlign w:val="center"/>
          </w:tcPr>
          <w:p w14:paraId="04522233">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进一步严格建设占用耕地审批。强化建设项目预审，严格项目选址把关。凡不符合土地利用总体规划、耕地占补平衡要求、征地补偿安置政策、用地标准、产业和供地政策的项目，不得通过用地预审。对线性工程占用耕地100公顷以上、块状工程70公顷以上的，省级国土资源部门必须组织实地踏勘论证，部组织抽查核实；确需占用的，按照确保粮食生产能力不下降的要求，提出补充耕地安排，补充数量质量相当的耕地，并作为通过预审的必备条件。</w:t>
            </w:r>
          </w:p>
        </w:tc>
        <w:tc>
          <w:tcPr>
            <w:tcW w:w="1809" w:type="pct"/>
            <w:vAlign w:val="center"/>
          </w:tcPr>
          <w:p w14:paraId="5DF6A20B">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hint="eastAsia" w:ascii="Times New Roman" w:hAnsi="Times New Roman" w:cs="Times New Roman"/>
                <w:caps w:val="0"/>
                <w:smallCaps w:val="0"/>
                <w:color w:val="auto"/>
                <w:spacing w:val="0"/>
                <w:w w:val="100"/>
                <w:position w:val="0"/>
                <w:sz w:val="21"/>
                <w:szCs w:val="21"/>
                <w:highlight w:val="none"/>
                <w:lang w:val="en-US" w:bidi="ar-SA"/>
              </w:rPr>
              <w:t>本项目临时占用基本农田</w:t>
            </w:r>
            <w:r>
              <w:rPr>
                <w:rFonts w:hint="eastAsia" w:ascii="Times New Roman" w:hAnsi="Times New Roman" w:cs="Times New Roman"/>
                <w:caps w:val="0"/>
                <w:smallCaps w:val="0"/>
                <w:color w:val="auto"/>
                <w:spacing w:val="0"/>
                <w:w w:val="100"/>
                <w:position w:val="0"/>
                <w:sz w:val="21"/>
                <w:szCs w:val="21"/>
                <w:highlight w:val="none"/>
                <w:lang w:val="en-US" w:eastAsia="zh-CN" w:bidi="ar-SA"/>
              </w:rPr>
              <w:t>21.88</w:t>
            </w:r>
            <w:r>
              <w:rPr>
                <w:rFonts w:ascii="Times New Roman" w:hAnsi="Times New Roman" w:cs="Times New Roman"/>
                <w:caps w:val="0"/>
                <w:smallCaps w:val="0"/>
                <w:color w:val="auto"/>
                <w:spacing w:val="0"/>
                <w:w w:val="100"/>
                <w:position w:val="0"/>
                <w:sz w:val="21"/>
                <w:szCs w:val="21"/>
                <w:highlight w:val="none"/>
                <w:lang w:val="en-US" w:bidi="ar-SA"/>
              </w:rPr>
              <w:t>hm</w:t>
            </w:r>
            <w:r>
              <w:rPr>
                <w:rFonts w:ascii="Times New Roman" w:hAnsi="Times New Roman" w:cs="Times New Roman"/>
                <w:caps w:val="0"/>
                <w:smallCaps w:val="0"/>
                <w:color w:val="auto"/>
                <w:spacing w:val="0"/>
                <w:w w:val="100"/>
                <w:position w:val="0"/>
                <w:sz w:val="21"/>
                <w:szCs w:val="21"/>
                <w:highlight w:val="none"/>
                <w:vertAlign w:val="superscript"/>
                <w:lang w:val="en-US" w:bidi="ar-SA"/>
              </w:rPr>
              <w:t>2</w:t>
            </w:r>
            <w:r>
              <w:rPr>
                <w:rFonts w:hint="eastAsia" w:ascii="Times New Roman" w:hAnsi="Times New Roman" w:cs="Times New Roman"/>
                <w:caps w:val="0"/>
                <w:smallCaps w:val="0"/>
                <w:color w:val="auto"/>
                <w:spacing w:val="0"/>
                <w:w w:val="100"/>
                <w:position w:val="0"/>
                <w:sz w:val="21"/>
                <w:szCs w:val="21"/>
                <w:highlight w:val="none"/>
                <w:lang w:val="en-US" w:bidi="ar-SA"/>
              </w:rPr>
              <w:t>，按</w:t>
            </w:r>
            <w:r>
              <w:rPr>
                <w:rFonts w:ascii="Times New Roman" w:hAnsi="Times New Roman" w:cs="Times New Roman"/>
                <w:caps w:val="0"/>
                <w:smallCaps w:val="0"/>
                <w:color w:val="auto"/>
                <w:spacing w:val="0"/>
                <w:w w:val="100"/>
                <w:position w:val="0"/>
                <w:sz w:val="21"/>
                <w:szCs w:val="21"/>
                <w:highlight w:val="none"/>
                <w:lang w:val="en-US" w:bidi="ar-SA"/>
              </w:rPr>
              <w:t>要</w:t>
            </w:r>
            <w:r>
              <w:rPr>
                <w:rFonts w:ascii="Times New Roman" w:hAnsi="Times New Roman" w:cs="Times New Roman"/>
                <w:caps w:val="0"/>
                <w:smallCaps w:val="0"/>
                <w:color w:val="auto"/>
                <w:spacing w:val="0"/>
                <w:w w:val="100"/>
                <w:position w:val="0"/>
                <w:sz w:val="21"/>
                <w:szCs w:val="21"/>
                <w:highlight w:val="none"/>
                <w:lang w:val="en-US" w:bidi="ar-SA"/>
              </w:rPr>
              <w:t>求办理征地手续，本项目针对临时占地在将剥离的表土在施工结束后分层回填，并及时恢复地表植被。</w:t>
            </w:r>
          </w:p>
        </w:tc>
        <w:tc>
          <w:tcPr>
            <w:tcW w:w="534" w:type="pct"/>
            <w:vAlign w:val="center"/>
          </w:tcPr>
          <w:p w14:paraId="59B35D95">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w:t>
            </w:r>
          </w:p>
        </w:tc>
      </w:tr>
      <w:tr w14:paraId="421FE9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6B63C26E">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2</w:t>
            </w:r>
          </w:p>
        </w:tc>
        <w:tc>
          <w:tcPr>
            <w:tcW w:w="2355" w:type="pct"/>
            <w:vAlign w:val="center"/>
          </w:tcPr>
          <w:p w14:paraId="6D26D6EA">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强化耕地数量和质量占补平衡。各地要严格执行以补定占、先补后占规定，引导建设不占或少占耕地。</w:t>
            </w:r>
          </w:p>
        </w:tc>
        <w:tc>
          <w:tcPr>
            <w:tcW w:w="1809" w:type="pct"/>
            <w:vMerge w:val="restart"/>
            <w:vAlign w:val="center"/>
          </w:tcPr>
          <w:p w14:paraId="060FD103">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本项目针对临时占地在将剥离的表土在施工结束后分层回填，并及时恢复地表植被。本工程建设过程中，对占用的耕地，按照“占多少，垦多少”的原则，按照规定缴纳耕地</w:t>
            </w:r>
            <w:r>
              <w:rPr>
                <w:rFonts w:hint="eastAsia" w:ascii="Times New Roman" w:hAnsi="Times New Roman" w:cs="Times New Roman"/>
                <w:caps w:val="0"/>
                <w:smallCaps w:val="0"/>
                <w:color w:val="auto"/>
                <w:spacing w:val="0"/>
                <w:w w:val="100"/>
                <w:position w:val="0"/>
                <w:sz w:val="21"/>
                <w:szCs w:val="21"/>
                <w:highlight w:val="none"/>
                <w:lang w:val="en-US" w:bidi="ar-SA"/>
              </w:rPr>
              <w:t>补偿费</w:t>
            </w:r>
            <w:r>
              <w:rPr>
                <w:rFonts w:ascii="Times New Roman" w:hAnsi="Times New Roman" w:cs="Times New Roman"/>
                <w:caps w:val="0"/>
                <w:smallCaps w:val="0"/>
                <w:color w:val="auto"/>
                <w:spacing w:val="0"/>
                <w:w w:val="100"/>
                <w:position w:val="0"/>
                <w:sz w:val="21"/>
                <w:szCs w:val="21"/>
                <w:highlight w:val="none"/>
                <w:lang w:val="en-US" w:bidi="ar-SA"/>
              </w:rPr>
              <w:t>，专款用于</w:t>
            </w:r>
            <w:r>
              <w:rPr>
                <w:rFonts w:hint="eastAsia" w:ascii="Times New Roman" w:hAnsi="Times New Roman" w:cs="Times New Roman"/>
                <w:caps w:val="0"/>
                <w:smallCaps w:val="0"/>
                <w:color w:val="auto"/>
                <w:spacing w:val="0"/>
                <w:w w:val="100"/>
                <w:position w:val="0"/>
                <w:sz w:val="21"/>
                <w:szCs w:val="21"/>
                <w:highlight w:val="none"/>
                <w:lang w:val="en-US" w:bidi="ar-SA"/>
              </w:rPr>
              <w:t>基本农田补划</w:t>
            </w:r>
            <w:r>
              <w:rPr>
                <w:rFonts w:ascii="Times New Roman" w:hAnsi="Times New Roman" w:cs="Times New Roman"/>
                <w:caps w:val="0"/>
                <w:smallCaps w:val="0"/>
                <w:color w:val="auto"/>
                <w:spacing w:val="0"/>
                <w:w w:val="100"/>
                <w:position w:val="0"/>
                <w:sz w:val="21"/>
                <w:szCs w:val="21"/>
                <w:highlight w:val="none"/>
                <w:lang w:val="en-US" w:bidi="ar-SA"/>
              </w:rPr>
              <w:t>。</w:t>
            </w:r>
          </w:p>
        </w:tc>
        <w:tc>
          <w:tcPr>
            <w:tcW w:w="534" w:type="pct"/>
            <w:vMerge w:val="restart"/>
            <w:vAlign w:val="center"/>
          </w:tcPr>
          <w:p w14:paraId="27D21943">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符合</w:t>
            </w:r>
          </w:p>
        </w:tc>
      </w:tr>
      <w:tr w14:paraId="7FBACD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5D4E6669">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3</w:t>
            </w:r>
          </w:p>
        </w:tc>
        <w:tc>
          <w:tcPr>
            <w:tcW w:w="2355" w:type="pct"/>
            <w:vAlign w:val="center"/>
          </w:tcPr>
          <w:p w14:paraId="23BBB4D8">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r>
              <w:rPr>
                <w:rFonts w:ascii="Times New Roman" w:hAnsi="Times New Roman" w:cs="Times New Roman"/>
                <w:caps w:val="0"/>
                <w:smallCaps w:val="0"/>
                <w:color w:val="auto"/>
                <w:spacing w:val="0"/>
                <w:w w:val="100"/>
                <w:position w:val="0"/>
                <w:sz w:val="21"/>
                <w:szCs w:val="21"/>
                <w:highlight w:val="none"/>
                <w:lang w:val="en-US" w:bidi="ar-SA"/>
              </w:rPr>
              <w:t>严格划定和永久保护基本农田。基本农田一经划定，实行严格管理、永久保护，任何单位和个人不得擅自占用或改变用途；建立和完善基本农田保护负面清单，符合法定条件和供地政策，确需占用和改变基本农田的，必须报国务院批准，并优先将同等面积的优质耕地补划为基本农田。</w:t>
            </w:r>
          </w:p>
        </w:tc>
        <w:tc>
          <w:tcPr>
            <w:tcW w:w="1809" w:type="pct"/>
            <w:vMerge w:val="continue"/>
            <w:vAlign w:val="center"/>
          </w:tcPr>
          <w:p w14:paraId="73158F1E">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p>
        </w:tc>
        <w:tc>
          <w:tcPr>
            <w:tcW w:w="534" w:type="pct"/>
            <w:vMerge w:val="continue"/>
            <w:vAlign w:val="center"/>
          </w:tcPr>
          <w:p w14:paraId="1D206B23">
            <w:pPr>
              <w:autoSpaceDE/>
              <w:autoSpaceDN/>
              <w:spacing w:line="360" w:lineRule="exact"/>
              <w:ind w:firstLine="29"/>
              <w:jc w:val="center"/>
              <w:rPr>
                <w:rFonts w:ascii="Times New Roman" w:hAnsi="Times New Roman" w:cs="Times New Roman"/>
                <w:caps w:val="0"/>
                <w:smallCaps w:val="0"/>
                <w:color w:val="auto"/>
                <w:spacing w:val="0"/>
                <w:w w:val="100"/>
                <w:position w:val="0"/>
                <w:sz w:val="21"/>
                <w:szCs w:val="21"/>
                <w:highlight w:val="none"/>
                <w:lang w:val="en-US" w:bidi="ar-SA"/>
              </w:rPr>
            </w:pPr>
          </w:p>
        </w:tc>
      </w:tr>
    </w:tbl>
    <w:p w14:paraId="3C629D33">
      <w:pPr>
        <w:autoSpaceDE/>
        <w:autoSpaceDN/>
        <w:adjustRightInd w:val="0"/>
        <w:snapToGrid w:val="0"/>
        <w:spacing w:line="430" w:lineRule="exact"/>
        <w:jc w:val="both"/>
        <w:rPr>
          <w:rFonts w:ascii="Times New Roman" w:hAnsi="Times New Roman" w:cs="Times New Roman"/>
          <w:iCs/>
          <w:caps w:val="0"/>
          <w:smallCaps w:val="0"/>
          <w:color w:val="auto"/>
          <w:spacing w:val="0"/>
          <w:w w:val="100"/>
          <w:position w:val="0"/>
          <w:sz w:val="24"/>
          <w:highlight w:val="none"/>
          <w:lang w:val="en-US" w:bidi="ar-SA"/>
        </w:rPr>
      </w:pPr>
      <w:r>
        <w:rPr>
          <w:rFonts w:hint="eastAsia" w:ascii="Times New Roman" w:hAnsi="Times New Roman"/>
          <w:bCs/>
          <w:caps w:val="0"/>
          <w:smallCaps w:val="0"/>
          <w:color w:val="auto"/>
          <w:spacing w:val="0"/>
          <w:w w:val="100"/>
          <w:position w:val="0"/>
          <w:sz w:val="24"/>
          <w:szCs w:val="24"/>
          <w:highlight w:val="none"/>
          <w:lang w:val="en-US"/>
        </w:rPr>
        <w:t>综上所述</w:t>
      </w:r>
      <w:r>
        <w:rPr>
          <w:rFonts w:ascii="Times New Roman" w:hAnsi="Times New Roman"/>
          <w:bCs/>
          <w:caps w:val="0"/>
          <w:smallCaps w:val="0"/>
          <w:color w:val="auto"/>
          <w:spacing w:val="0"/>
          <w:w w:val="100"/>
          <w:position w:val="0"/>
          <w:sz w:val="24"/>
          <w:szCs w:val="24"/>
          <w:highlight w:val="none"/>
          <w:lang w:val="en-US"/>
        </w:rPr>
        <w:t>，本项目符合《关于强化管控落实最严格耕地保护制度的通知》中要求。</w:t>
      </w:r>
    </w:p>
    <w:p w14:paraId="2E35772F">
      <w:pPr>
        <w:pStyle w:val="149"/>
        <w:autoSpaceDE/>
        <w:autoSpaceDN/>
        <w:spacing w:line="440" w:lineRule="exact"/>
        <w:ind w:firstLine="0" w:firstLineChars="0"/>
        <w:jc w:val="both"/>
        <w:outlineLvl w:val="3"/>
        <w:rPr>
          <w:rFonts w:ascii="Times New Roman" w:hAnsi="Times New Roman" w:eastAsiaTheme="minorEastAsia"/>
          <w:b/>
          <w:caps w:val="0"/>
          <w:smallCaps w:val="0"/>
          <w:color w:val="auto"/>
          <w:spacing w:val="0"/>
          <w:w w:val="100"/>
          <w:position w:val="0"/>
          <w:sz w:val="24"/>
          <w:szCs w:val="24"/>
          <w:highlight w:val="none"/>
          <w:lang w:val="en-US" w:bidi="ar-SA"/>
        </w:rPr>
      </w:pPr>
      <w:r>
        <w:rPr>
          <w:rFonts w:hint="eastAsia" w:ascii="Times New Roman" w:hAnsi="Times New Roman" w:eastAsiaTheme="minorEastAsia"/>
          <w:b/>
          <w:caps w:val="0"/>
          <w:smallCaps w:val="0"/>
          <w:color w:val="auto"/>
          <w:spacing w:val="0"/>
          <w:w w:val="100"/>
          <w:position w:val="0"/>
          <w:sz w:val="24"/>
          <w:szCs w:val="24"/>
          <w:highlight w:val="none"/>
          <w:lang w:val="en-US" w:bidi="ar-SA"/>
        </w:rPr>
        <w:t>1.4.3.7</w:t>
      </w:r>
      <w:r>
        <w:rPr>
          <w:rFonts w:ascii="Times New Roman" w:hAnsi="Times New Roman" w:eastAsiaTheme="minorEastAsia"/>
          <w:b/>
          <w:caps w:val="0"/>
          <w:smallCaps w:val="0"/>
          <w:color w:val="auto"/>
          <w:spacing w:val="0"/>
          <w:w w:val="100"/>
          <w:position w:val="0"/>
          <w:sz w:val="24"/>
          <w:szCs w:val="24"/>
          <w:highlight w:val="none"/>
          <w:lang w:val="en-US" w:bidi="ar-SA"/>
        </w:rPr>
        <w:t>与《</w:t>
      </w:r>
      <w:r>
        <w:rPr>
          <w:rFonts w:hint="eastAsia" w:ascii="Times New Roman" w:hAnsi="Times New Roman" w:eastAsiaTheme="minorEastAsia"/>
          <w:b/>
          <w:caps w:val="0"/>
          <w:smallCaps w:val="0"/>
          <w:color w:val="auto"/>
          <w:spacing w:val="0"/>
          <w:w w:val="100"/>
          <w:position w:val="0"/>
          <w:sz w:val="24"/>
          <w:szCs w:val="24"/>
          <w:highlight w:val="none"/>
          <w:lang w:val="en-US" w:bidi="ar-SA"/>
        </w:rPr>
        <w:t>自然资源部</w:t>
      </w:r>
      <w:r>
        <w:rPr>
          <w:rFonts w:ascii="Times New Roman" w:hAnsi="Times New Roman" w:eastAsiaTheme="minorEastAsia"/>
          <w:b/>
          <w:caps w:val="0"/>
          <w:smallCaps w:val="0"/>
          <w:color w:val="auto"/>
          <w:spacing w:val="0"/>
          <w:w w:val="100"/>
          <w:position w:val="0"/>
          <w:sz w:val="24"/>
          <w:szCs w:val="24"/>
          <w:highlight w:val="none"/>
          <w:lang w:val="en-US" w:bidi="ar-SA"/>
        </w:rPr>
        <w:t>农业农村部关于加强和改进</w:t>
      </w:r>
      <w:r>
        <w:rPr>
          <w:rFonts w:hint="eastAsia" w:ascii="Times New Roman" w:hAnsi="Times New Roman" w:eastAsiaTheme="minorEastAsia"/>
          <w:b/>
          <w:caps w:val="0"/>
          <w:smallCaps w:val="0"/>
          <w:color w:val="auto"/>
          <w:spacing w:val="0"/>
          <w:w w:val="100"/>
          <w:position w:val="0"/>
          <w:sz w:val="24"/>
          <w:szCs w:val="24"/>
          <w:highlight w:val="none"/>
          <w:lang w:val="en-US" w:bidi="ar-SA"/>
        </w:rPr>
        <w:t>永久基本农田保护工作的通知</w:t>
      </w:r>
      <w:r>
        <w:rPr>
          <w:rFonts w:ascii="Times New Roman" w:hAnsi="Times New Roman" w:eastAsiaTheme="minorEastAsia"/>
          <w:b/>
          <w:caps w:val="0"/>
          <w:smallCaps w:val="0"/>
          <w:color w:val="auto"/>
          <w:spacing w:val="0"/>
          <w:w w:val="100"/>
          <w:position w:val="0"/>
          <w:sz w:val="24"/>
          <w:szCs w:val="24"/>
          <w:highlight w:val="none"/>
          <w:lang w:val="en-US" w:bidi="ar-SA"/>
        </w:rPr>
        <w:t>》（</w:t>
      </w:r>
      <w:r>
        <w:rPr>
          <w:rFonts w:hint="eastAsia" w:ascii="Times New Roman" w:hAnsi="Times New Roman" w:eastAsiaTheme="minorEastAsia"/>
          <w:b/>
          <w:caps w:val="0"/>
          <w:smallCaps w:val="0"/>
          <w:color w:val="auto"/>
          <w:spacing w:val="0"/>
          <w:w w:val="100"/>
          <w:position w:val="0"/>
          <w:sz w:val="24"/>
          <w:szCs w:val="24"/>
          <w:highlight w:val="none"/>
          <w:lang w:val="en-US" w:bidi="ar-SA"/>
        </w:rPr>
        <w:t>自然资规〔2019〕1号</w:t>
      </w:r>
      <w:r>
        <w:rPr>
          <w:rFonts w:ascii="Times New Roman" w:hAnsi="Times New Roman" w:eastAsiaTheme="minorEastAsia"/>
          <w:b/>
          <w:caps w:val="0"/>
          <w:smallCaps w:val="0"/>
          <w:color w:val="auto"/>
          <w:spacing w:val="0"/>
          <w:w w:val="100"/>
          <w:position w:val="0"/>
          <w:sz w:val="24"/>
          <w:szCs w:val="24"/>
          <w:highlight w:val="none"/>
          <w:lang w:val="en-US" w:bidi="ar-SA"/>
        </w:rPr>
        <w:t>）符合性分析</w:t>
      </w:r>
    </w:p>
    <w:p w14:paraId="542A0EC1">
      <w:pPr>
        <w:autoSpaceDE/>
        <w:autoSpaceDN/>
        <w:adjustRightInd w:val="0"/>
        <w:snapToGrid w:val="0"/>
        <w:spacing w:line="430" w:lineRule="exact"/>
        <w:ind w:firstLine="480" w:firstLineChars="200"/>
        <w:jc w:val="both"/>
        <w:rPr>
          <w:rFonts w:ascii="Times New Roman" w:hAnsi="Times New Roman" w:cs="Times New Roman"/>
          <w:iCs/>
          <w:caps w:val="0"/>
          <w:smallCaps w:val="0"/>
          <w:color w:val="auto"/>
          <w:spacing w:val="0"/>
          <w:w w:val="100"/>
          <w:position w:val="0"/>
          <w:sz w:val="24"/>
          <w:highlight w:val="none"/>
          <w:lang w:val="en-US" w:bidi="ar-SA"/>
        </w:rPr>
      </w:pPr>
      <w:r>
        <w:rPr>
          <w:rFonts w:hint="eastAsia" w:ascii="Times New Roman" w:hAnsi="Times New Roman" w:cs="Times New Roman"/>
          <w:iCs/>
          <w:caps w:val="0"/>
          <w:smallCaps w:val="0"/>
          <w:color w:val="auto"/>
          <w:spacing w:val="0"/>
          <w:w w:val="100"/>
          <w:position w:val="0"/>
          <w:sz w:val="24"/>
          <w:highlight w:val="none"/>
          <w:lang w:val="en-US" w:bidi="ar-SA"/>
        </w:rPr>
        <w:t>根据</w:t>
      </w:r>
      <w:r>
        <w:rPr>
          <w:rFonts w:ascii="Times New Roman" w:hAnsi="Times New Roman" w:cs="Times New Roman"/>
          <w:iCs/>
          <w:caps w:val="0"/>
          <w:smallCaps w:val="0"/>
          <w:color w:val="auto"/>
          <w:spacing w:val="0"/>
          <w:w w:val="100"/>
          <w:position w:val="0"/>
          <w:sz w:val="24"/>
          <w:highlight w:val="none"/>
          <w:lang w:val="en-US" w:bidi="ar-SA"/>
        </w:rPr>
        <w:t>《</w:t>
      </w:r>
      <w:r>
        <w:rPr>
          <w:rFonts w:hint="eastAsia" w:ascii="Times New Roman" w:hAnsi="Times New Roman" w:cs="Times New Roman"/>
          <w:iCs/>
          <w:caps w:val="0"/>
          <w:smallCaps w:val="0"/>
          <w:color w:val="auto"/>
          <w:spacing w:val="0"/>
          <w:w w:val="100"/>
          <w:position w:val="0"/>
          <w:sz w:val="24"/>
          <w:highlight w:val="none"/>
          <w:lang w:val="en-US" w:bidi="ar-SA"/>
        </w:rPr>
        <w:t>自然资源部</w:t>
      </w:r>
      <w:r>
        <w:rPr>
          <w:rFonts w:ascii="Times New Roman" w:hAnsi="Times New Roman" w:cs="Times New Roman"/>
          <w:iCs/>
          <w:caps w:val="0"/>
          <w:smallCaps w:val="0"/>
          <w:color w:val="auto"/>
          <w:spacing w:val="0"/>
          <w:w w:val="100"/>
          <w:position w:val="0"/>
          <w:sz w:val="24"/>
          <w:highlight w:val="none"/>
          <w:lang w:val="en-US" w:bidi="ar-SA"/>
        </w:rPr>
        <w:t>农业农村部关于加强和改进</w:t>
      </w:r>
      <w:r>
        <w:rPr>
          <w:rFonts w:hint="eastAsia" w:ascii="Times New Roman" w:hAnsi="Times New Roman" w:cs="Times New Roman"/>
          <w:iCs/>
          <w:caps w:val="0"/>
          <w:smallCaps w:val="0"/>
          <w:color w:val="auto"/>
          <w:spacing w:val="0"/>
          <w:w w:val="100"/>
          <w:position w:val="0"/>
          <w:sz w:val="24"/>
          <w:highlight w:val="none"/>
          <w:lang w:val="en-US" w:bidi="ar-SA"/>
        </w:rPr>
        <w:t>永久基本农田保护工作的通知</w:t>
      </w:r>
      <w:r>
        <w:rPr>
          <w:rFonts w:ascii="Times New Roman" w:hAnsi="Times New Roman" w:cs="Times New Roman"/>
          <w:iCs/>
          <w:caps w:val="0"/>
          <w:smallCaps w:val="0"/>
          <w:color w:val="auto"/>
          <w:spacing w:val="0"/>
          <w:w w:val="100"/>
          <w:position w:val="0"/>
          <w:sz w:val="24"/>
          <w:highlight w:val="none"/>
          <w:lang w:val="en-US" w:bidi="ar-SA"/>
        </w:rPr>
        <w:t>》（</w:t>
      </w:r>
      <w:r>
        <w:rPr>
          <w:rFonts w:hint="eastAsia" w:ascii="Times New Roman" w:hAnsi="Times New Roman" w:cs="Times New Roman"/>
          <w:iCs/>
          <w:caps w:val="0"/>
          <w:smallCaps w:val="0"/>
          <w:color w:val="auto"/>
          <w:spacing w:val="0"/>
          <w:w w:val="100"/>
          <w:position w:val="0"/>
          <w:sz w:val="24"/>
          <w:highlight w:val="none"/>
          <w:lang w:val="en-US" w:bidi="ar-SA"/>
        </w:rPr>
        <w:t>自然资规〔2019〕1号</w:t>
      </w:r>
      <w:r>
        <w:rPr>
          <w:rFonts w:ascii="Times New Roman" w:hAnsi="Times New Roman" w:cs="Times New Roman"/>
          <w:iCs/>
          <w:caps w:val="0"/>
          <w:smallCaps w:val="0"/>
          <w:color w:val="auto"/>
          <w:spacing w:val="0"/>
          <w:w w:val="100"/>
          <w:position w:val="0"/>
          <w:sz w:val="24"/>
          <w:highlight w:val="none"/>
          <w:lang w:val="en-US" w:bidi="ar-SA"/>
        </w:rPr>
        <w:t>）</w:t>
      </w:r>
      <w:r>
        <w:rPr>
          <w:rFonts w:hint="eastAsia" w:ascii="Times New Roman" w:hAnsi="Times New Roman" w:cs="Times New Roman"/>
          <w:iCs/>
          <w:caps w:val="0"/>
          <w:smallCaps w:val="0"/>
          <w:color w:val="auto"/>
          <w:spacing w:val="0"/>
          <w:w w:val="100"/>
          <w:position w:val="0"/>
          <w:sz w:val="24"/>
          <w:highlight w:val="none"/>
          <w:lang w:val="en-US" w:bidi="ar-SA"/>
        </w:rPr>
        <w:t>中第</w:t>
      </w:r>
      <w:r>
        <w:rPr>
          <w:rFonts w:hint="eastAsia"/>
          <w:b/>
          <w:bCs/>
          <w:caps w:val="0"/>
          <w:smallCaps w:val="0"/>
          <w:color w:val="auto"/>
          <w:spacing w:val="0"/>
          <w:w w:val="100"/>
          <w:position w:val="0"/>
          <w:highlight w:val="none"/>
        </w:rPr>
        <w:t>三</w:t>
      </w:r>
      <w:r>
        <w:rPr>
          <w:rFonts w:hint="eastAsia" w:ascii="Times New Roman" w:hAnsi="Times New Roman" w:cs="Times New Roman"/>
          <w:iCs/>
          <w:caps w:val="0"/>
          <w:smallCaps w:val="0"/>
          <w:color w:val="auto"/>
          <w:spacing w:val="0"/>
          <w:w w:val="100"/>
          <w:position w:val="0"/>
          <w:sz w:val="24"/>
          <w:highlight w:val="none"/>
          <w:lang w:val="en-US" w:bidi="ar-SA"/>
        </w:rPr>
        <w:t>条规定：“</w:t>
      </w:r>
      <w:r>
        <w:rPr>
          <w:rFonts w:hint="eastAsia" w:ascii="Times New Roman" w:hAnsi="Times New Roman" w:cs="Times New Roman"/>
          <w:iCs/>
          <w:caps w:val="0"/>
          <w:smallCaps w:val="0"/>
          <w:color w:val="auto"/>
          <w:spacing w:val="0"/>
          <w:w w:val="100"/>
          <w:position w:val="0"/>
          <w:sz w:val="24"/>
          <w:highlight w:val="none"/>
          <w:lang w:val="en-US"/>
        </w:rPr>
        <w:t>临时用地一般不得占用永久基本农田，建设项目施工和地质勘查需要临时用地、选址确实难以避让永久基本农田的，在不修建永久性建（构）筑物、经复垦能恢复原种植条件的前提下，土地使用者按法定程序申请临时用地并编制土地复垦方案，经县级自然资源主管部门批准可临时占用，并在市级自然资源主管部门备案，一般不超过两年，同时，通过耕地耕作层土壤剥离再利用等工程技术措施，减少对耕作层的破坏。临时用地到期后土地使用者应及时复垦恢复原种植条件，县级自然资源主管部门会同农业农村等相关主管部门开展土地复垦验收，验收合格的，继续按照永久基本农田保护和管理；验收不合格的，责令土地使用者进行整改，经整改仍不合格的，按照《土地复垦条例》规定由县级自然资源主管部门使用缴纳的土地复垦费代为组织复垦，并由县级自然资源主管部门会同农业农村等相关主管部门开展土地复垦验收。县级自然资源主管部门要切实履行职责，对在临时用地上修建永久性建（构）筑物或其他造成无法恢复原种植条件的行为依法进行处理；市级自然资源主管部门负责临时用地使用情况的监督管理，通过日常检查、年度卫片执法检查等，及时发现并纠正临时用地中存在的问题</w:t>
      </w:r>
      <w:r>
        <w:rPr>
          <w:rFonts w:hint="eastAsia" w:ascii="Times New Roman" w:hAnsi="Times New Roman" w:cs="Times New Roman"/>
          <w:iCs/>
          <w:caps w:val="0"/>
          <w:smallCaps w:val="0"/>
          <w:color w:val="auto"/>
          <w:spacing w:val="0"/>
          <w:w w:val="100"/>
          <w:position w:val="0"/>
          <w:sz w:val="24"/>
          <w:highlight w:val="none"/>
          <w:lang w:val="en-US" w:bidi="ar-SA"/>
        </w:rPr>
        <w:t>。”。</w:t>
      </w:r>
    </w:p>
    <w:p w14:paraId="6C84E34B">
      <w:pPr>
        <w:autoSpaceDE/>
        <w:autoSpaceDN/>
        <w:adjustRightInd w:val="0"/>
        <w:snapToGrid w:val="0"/>
        <w:spacing w:line="430" w:lineRule="exact"/>
        <w:ind w:firstLine="480" w:firstLineChars="200"/>
        <w:jc w:val="both"/>
        <w:rPr>
          <w:rFonts w:ascii="Times New Roman" w:hAnsi="Times New Roman" w:cs="Times New Roman"/>
          <w:iCs/>
          <w:caps w:val="0"/>
          <w:smallCaps w:val="0"/>
          <w:color w:val="auto"/>
          <w:spacing w:val="0"/>
          <w:w w:val="100"/>
          <w:position w:val="0"/>
          <w:sz w:val="24"/>
          <w:highlight w:val="none"/>
          <w:lang w:val="en-US" w:bidi="ar-SA"/>
        </w:rPr>
      </w:pPr>
      <w:r>
        <w:rPr>
          <w:rFonts w:hint="eastAsia" w:ascii="Times New Roman" w:hAnsi="Times New Roman" w:cs="Times New Roman"/>
          <w:iCs/>
          <w:caps w:val="0"/>
          <w:smallCaps w:val="0"/>
          <w:color w:val="auto"/>
          <w:spacing w:val="0"/>
          <w:w w:val="100"/>
          <w:position w:val="0"/>
          <w:sz w:val="24"/>
          <w:highlight w:val="none"/>
          <w:lang w:val="en-US" w:bidi="ar-SA"/>
        </w:rPr>
        <w:t>本项目选址确实难以避让永久基本农</w:t>
      </w:r>
      <w:r>
        <w:rPr>
          <w:rFonts w:hint="eastAsia" w:ascii="Times New Roman" w:hAnsi="Times New Roman" w:cs="Times New Roman"/>
          <w:iCs/>
          <w:caps w:val="0"/>
          <w:smallCaps w:val="0"/>
          <w:color w:val="auto"/>
          <w:spacing w:val="0"/>
          <w:w w:val="100"/>
          <w:position w:val="0"/>
          <w:sz w:val="24"/>
          <w:highlight w:val="none"/>
          <w:lang w:val="en-US" w:bidi="ar-SA"/>
        </w:rPr>
        <w:t>田，临时占用基本农田</w:t>
      </w:r>
      <w:r>
        <w:rPr>
          <w:rFonts w:hint="eastAsia" w:ascii="Times New Roman" w:hAnsi="Times New Roman" w:cs="Times New Roman"/>
          <w:iCs/>
          <w:caps w:val="0"/>
          <w:smallCaps w:val="0"/>
          <w:color w:val="auto"/>
          <w:spacing w:val="0"/>
          <w:w w:val="100"/>
          <w:position w:val="0"/>
          <w:sz w:val="24"/>
          <w:highlight w:val="none"/>
          <w:lang w:val="en-US" w:eastAsia="zh-CN" w:bidi="ar-SA"/>
        </w:rPr>
        <w:t>21.88</w:t>
      </w:r>
      <w:r>
        <w:rPr>
          <w:rFonts w:ascii="Times New Roman" w:hAnsi="Times New Roman" w:cs="Times New Roman"/>
          <w:iCs/>
          <w:caps w:val="0"/>
          <w:smallCaps w:val="0"/>
          <w:color w:val="auto"/>
          <w:spacing w:val="0"/>
          <w:w w:val="100"/>
          <w:position w:val="0"/>
          <w:sz w:val="24"/>
          <w:highlight w:val="none"/>
          <w:lang w:val="en-US" w:bidi="ar-SA"/>
        </w:rPr>
        <w:t>hm</w:t>
      </w:r>
      <w:r>
        <w:rPr>
          <w:rFonts w:ascii="Times New Roman" w:hAnsi="Times New Roman" w:cs="Times New Roman"/>
          <w:iCs/>
          <w:caps w:val="0"/>
          <w:smallCaps w:val="0"/>
          <w:color w:val="auto"/>
          <w:spacing w:val="0"/>
          <w:w w:val="100"/>
          <w:position w:val="0"/>
          <w:sz w:val="24"/>
          <w:highlight w:val="none"/>
          <w:vertAlign w:val="superscript"/>
          <w:lang w:val="en-US" w:bidi="ar-SA"/>
        </w:rPr>
        <w:t>2</w:t>
      </w:r>
      <w:r>
        <w:rPr>
          <w:rFonts w:hint="eastAsia" w:ascii="Times New Roman" w:hAnsi="Times New Roman" w:cs="Times New Roman"/>
          <w:iCs/>
          <w:caps w:val="0"/>
          <w:smallCaps w:val="0"/>
          <w:color w:val="auto"/>
          <w:spacing w:val="0"/>
          <w:w w:val="100"/>
          <w:position w:val="0"/>
          <w:sz w:val="24"/>
          <w:highlight w:val="none"/>
          <w:lang w:val="en-US" w:bidi="ar-SA"/>
        </w:rPr>
        <w:t>，建设单位按法定程序申请临时用地并编制土地复垦方案，本项目施工期2个月，临时占地不超过两年。</w:t>
      </w:r>
      <w:r>
        <w:rPr>
          <w:rFonts w:ascii="Times New Roman" w:hAnsi="Times New Roman" w:cs="Times New Roman"/>
          <w:iCs/>
          <w:caps w:val="0"/>
          <w:smallCaps w:val="0"/>
          <w:color w:val="auto"/>
          <w:spacing w:val="0"/>
          <w:w w:val="100"/>
          <w:position w:val="0"/>
          <w:sz w:val="24"/>
          <w:highlight w:val="none"/>
          <w:lang w:val="en-US"/>
        </w:rPr>
        <w:t>本项目实施前编制建设项目占用耕地耕作层土壤剥离利用方案，统筹安排剥离、储存和再利用。表土剥离和利用严格执行《建设占用耕地耕作层</w:t>
      </w:r>
      <w:r>
        <w:rPr>
          <w:rFonts w:ascii="Times New Roman" w:hAnsi="Times New Roman" w:cs="Times New Roman"/>
          <w:iCs/>
          <w:caps w:val="0"/>
          <w:smallCaps w:val="0"/>
          <w:color w:val="auto"/>
          <w:spacing w:val="0"/>
          <w:w w:val="100"/>
          <w:position w:val="0"/>
          <w:sz w:val="24"/>
          <w:highlight w:val="none"/>
          <w:lang w:val="en-US"/>
        </w:rPr>
        <w:t>土壤剥离利用技术规范》（DB23/T2913-2021）。本项目在施工过程中应剥离占地内0.3m的表土，采用分层开挖，分层堆放，表土沿管沟单独堆存，并采取苫布遮盖，防止水土流失</w:t>
      </w:r>
      <w:r>
        <w:rPr>
          <w:rFonts w:hint="eastAsia" w:ascii="Times New Roman" w:hAnsi="Times New Roman" w:cs="Times New Roman"/>
          <w:iCs/>
          <w:caps w:val="0"/>
          <w:smallCaps w:val="0"/>
          <w:color w:val="auto"/>
          <w:spacing w:val="0"/>
          <w:w w:val="100"/>
          <w:position w:val="0"/>
          <w:sz w:val="24"/>
          <w:highlight w:val="none"/>
          <w:lang w:val="en-US"/>
        </w:rPr>
        <w:t>，</w:t>
      </w:r>
      <w:r>
        <w:rPr>
          <w:rFonts w:ascii="Times New Roman" w:hAnsi="Times New Roman" w:cs="Times New Roman"/>
          <w:iCs/>
          <w:caps w:val="0"/>
          <w:smallCaps w:val="0"/>
          <w:color w:val="auto"/>
          <w:spacing w:val="0"/>
          <w:w w:val="100"/>
          <w:position w:val="0"/>
          <w:sz w:val="24"/>
          <w:highlight w:val="none"/>
          <w:lang w:val="en-US"/>
        </w:rPr>
        <w:t>并定期洒水抑尘，施工结束后剥离表土分层回填，并及时对临时占用的耕地进行复垦</w:t>
      </w:r>
      <w:r>
        <w:rPr>
          <w:rFonts w:hint="eastAsia" w:ascii="Times New Roman" w:hAnsi="Times New Roman" w:cs="Times New Roman"/>
          <w:iCs/>
          <w:caps w:val="0"/>
          <w:smallCaps w:val="0"/>
          <w:color w:val="auto"/>
          <w:spacing w:val="0"/>
          <w:w w:val="100"/>
          <w:position w:val="0"/>
          <w:sz w:val="24"/>
          <w:highlight w:val="none"/>
          <w:lang w:val="en-US" w:bidi="ar-SA"/>
        </w:rPr>
        <w:t>。在采取以上措施后，本项目符合《自然资源部</w:t>
      </w:r>
      <w:r>
        <w:rPr>
          <w:rFonts w:ascii="Times New Roman" w:hAnsi="Times New Roman" w:cs="Times New Roman"/>
          <w:iCs/>
          <w:caps w:val="0"/>
          <w:smallCaps w:val="0"/>
          <w:color w:val="auto"/>
          <w:spacing w:val="0"/>
          <w:w w:val="100"/>
          <w:position w:val="0"/>
          <w:sz w:val="24"/>
          <w:highlight w:val="none"/>
          <w:lang w:val="en-US" w:bidi="ar-SA"/>
        </w:rPr>
        <w:t xml:space="preserve"> 农业农村部关于加强和改进永久基本农田保护工作的通知》（自然资规〔2019〕1号）中相关要求</w:t>
      </w:r>
      <w:r>
        <w:rPr>
          <w:rFonts w:hint="eastAsia" w:ascii="Times New Roman" w:hAnsi="Times New Roman" w:cs="Times New Roman"/>
          <w:iCs/>
          <w:caps w:val="0"/>
          <w:smallCaps w:val="0"/>
          <w:color w:val="auto"/>
          <w:spacing w:val="0"/>
          <w:w w:val="100"/>
          <w:position w:val="0"/>
          <w:sz w:val="24"/>
          <w:highlight w:val="none"/>
          <w:lang w:val="en-US" w:bidi="ar-SA"/>
        </w:rPr>
        <w:t>。</w:t>
      </w:r>
    </w:p>
    <w:p w14:paraId="39E4B82C">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1.4.3.6与自然资规〔2021〕2号符合性分析</w:t>
      </w:r>
    </w:p>
    <w:p w14:paraId="323BD53F">
      <w:pPr>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iCs/>
          <w:caps w:val="0"/>
          <w:smallCaps w:val="0"/>
          <w:color w:val="auto"/>
          <w:spacing w:val="0"/>
          <w:w w:val="100"/>
          <w:kern w:val="2"/>
          <w:position w:val="0"/>
          <w:highlight w:val="none"/>
        </w:rPr>
        <w:t>本项目与《自然资源部关于规范临时用地管理的通知》（自然资规〔2021〕2号）符合性分析见表1.4-8。</w:t>
      </w:r>
    </w:p>
    <w:p w14:paraId="3490053B">
      <w:pPr>
        <w:spacing w:line="440" w:lineRule="exact"/>
        <w:ind w:firstLine="482" w:firstLineChars="200"/>
        <w:rPr>
          <w:rFonts w:ascii="Times New Roman" w:hAnsi="Times New Roman" w:cs="Times New Roman"/>
          <w:b/>
          <w:iCs/>
          <w:caps w:val="0"/>
          <w:smallCaps w:val="0"/>
          <w:color w:val="auto"/>
          <w:spacing w:val="0"/>
          <w:w w:val="100"/>
          <w:kern w:val="2"/>
          <w:position w:val="0"/>
          <w:highlight w:val="none"/>
        </w:rPr>
      </w:pPr>
      <w:r>
        <w:rPr>
          <w:rFonts w:ascii="Times New Roman" w:hAnsi="Times New Roman" w:cs="Times New Roman"/>
          <w:b/>
          <w:iCs/>
          <w:caps w:val="0"/>
          <w:smallCaps w:val="0"/>
          <w:color w:val="auto"/>
          <w:spacing w:val="0"/>
          <w:w w:val="100"/>
          <w:kern w:val="2"/>
          <w:position w:val="0"/>
          <w:highlight w:val="none"/>
        </w:rPr>
        <w:t>表1.4-8    本项目与自然资规〔2021〕2号相关要求符合性一览表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4957"/>
        <w:gridCol w:w="2680"/>
        <w:gridCol w:w="940"/>
      </w:tblGrid>
      <w:tr w14:paraId="2F2A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E67F084">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序号</w:t>
            </w:r>
          </w:p>
        </w:tc>
        <w:tc>
          <w:tcPr>
            <w:tcW w:w="2671" w:type="pct"/>
            <w:vAlign w:val="center"/>
          </w:tcPr>
          <w:p w14:paraId="237D1813">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文件要求</w:t>
            </w:r>
          </w:p>
        </w:tc>
        <w:tc>
          <w:tcPr>
            <w:tcW w:w="1444" w:type="pct"/>
            <w:vAlign w:val="center"/>
          </w:tcPr>
          <w:p w14:paraId="4CF935EA">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符合性分析</w:t>
            </w:r>
          </w:p>
        </w:tc>
        <w:tc>
          <w:tcPr>
            <w:tcW w:w="506" w:type="pct"/>
            <w:vAlign w:val="center"/>
          </w:tcPr>
          <w:p w14:paraId="6EBC951D">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符合性</w:t>
            </w:r>
          </w:p>
        </w:tc>
      </w:tr>
      <w:tr w14:paraId="6D37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6EACC4C">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1</w:t>
            </w:r>
          </w:p>
        </w:tc>
        <w:tc>
          <w:tcPr>
            <w:tcW w:w="4957" w:type="dxa"/>
            <w:vAlign w:val="center"/>
          </w:tcPr>
          <w:p w14:paraId="6E4090E6">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lang w:val="en-US" w:bidi="ar-SA"/>
              </w:rPr>
              <w:t>建设项目施工、地质勘查使用临时用地时应坚持“用多少、批多少、占多少、恢复多少”，尽量不占或者少占耕地。使用后土地复垦难度较大的临时用地，要严格控制占用耕地。</w:t>
            </w:r>
          </w:p>
        </w:tc>
        <w:tc>
          <w:tcPr>
            <w:tcW w:w="2680" w:type="dxa"/>
            <w:vAlign w:val="center"/>
          </w:tcPr>
          <w:p w14:paraId="21E14F51">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lang w:val="en-US" w:bidi="ar-SA"/>
              </w:rPr>
              <w:t>本项目</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为</w:t>
            </w:r>
            <w:r>
              <w:rPr>
                <w:rFonts w:hint="eastAsia" w:ascii="Times New Roman" w:hAnsi="Times New Roman" w:cs="Times New Roman"/>
                <w:iCs/>
                <w:caps w:val="0"/>
                <w:smallCaps w:val="0"/>
                <w:color w:val="auto"/>
                <w:spacing w:val="0"/>
                <w:w w:val="100"/>
                <w:kern w:val="28"/>
                <w:position w:val="0"/>
                <w:sz w:val="21"/>
                <w:szCs w:val="21"/>
                <w:highlight w:val="none"/>
                <w:lang w:val="en-US" w:eastAsia="zh-CN" w:bidi="ar-SA"/>
              </w:rPr>
              <w:t>油田内部管线</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建设项目，施工期以临时占地为主</w:t>
            </w:r>
            <w:r>
              <w:rPr>
                <w:rFonts w:ascii="Times New Roman" w:hAnsi="Times New Roman" w:cs="Times New Roman"/>
                <w:iCs/>
                <w:caps w:val="0"/>
                <w:smallCaps w:val="0"/>
                <w:color w:val="auto"/>
                <w:spacing w:val="0"/>
                <w:w w:val="100"/>
                <w:kern w:val="28"/>
                <w:position w:val="0"/>
                <w:sz w:val="21"/>
                <w:szCs w:val="21"/>
                <w:highlight w:val="none"/>
                <w:lang w:val="en-US" w:bidi="ar-SA"/>
              </w:rPr>
              <w:t>，占用</w:t>
            </w:r>
            <w:r>
              <w:rPr>
                <w:rFonts w:hint="eastAsia" w:ascii="Times New Roman" w:hAnsi="Times New Roman" w:cs="Times New Roman"/>
                <w:iCs/>
                <w:caps w:val="0"/>
                <w:smallCaps w:val="0"/>
                <w:color w:val="auto"/>
                <w:spacing w:val="0"/>
                <w:w w:val="100"/>
                <w:kern w:val="28"/>
                <w:position w:val="0"/>
                <w:sz w:val="21"/>
                <w:szCs w:val="21"/>
                <w:highlight w:val="none"/>
                <w:lang w:val="en-US" w:eastAsia="zh-CN" w:bidi="ar-SA"/>
              </w:rPr>
              <w:t>耕地（基本农田）和</w:t>
            </w:r>
            <w:r>
              <w:rPr>
                <w:rFonts w:ascii="Times New Roman" w:hAnsi="Times New Roman" w:cs="Times New Roman"/>
                <w:iCs/>
                <w:caps w:val="0"/>
                <w:smallCaps w:val="0"/>
                <w:color w:val="auto"/>
                <w:spacing w:val="0"/>
                <w:w w:val="100"/>
                <w:kern w:val="28"/>
                <w:position w:val="0"/>
                <w:sz w:val="21"/>
                <w:szCs w:val="21"/>
                <w:highlight w:val="none"/>
                <w:lang w:val="en-US" w:bidi="ar-SA"/>
              </w:rPr>
              <w:t>草地（非基本草原）。本</w:t>
            </w:r>
            <w:r>
              <w:rPr>
                <w:rFonts w:ascii="Times New Roman" w:hAnsi="Times New Roman" w:cs="Times New Roman"/>
                <w:iCs/>
                <w:caps w:val="0"/>
                <w:smallCaps w:val="0"/>
                <w:color w:val="auto"/>
                <w:spacing w:val="0"/>
                <w:w w:val="100"/>
                <w:kern w:val="28"/>
                <w:position w:val="0"/>
                <w:sz w:val="21"/>
                <w:szCs w:val="21"/>
                <w:highlight w:val="none"/>
                <w:lang w:val="en-US" w:bidi="ar-SA"/>
              </w:rPr>
              <w:t>项目临时占地采取剥离占地内表土，采用分层开挖，分层堆放，暂存于管线两侧内的表土剥离临时堆放区，并采取苫布遮盖、洒水抑尘等措施防止水土流失。针对永久占地按“占一补一”的原则及相关规定缴纳土地补偿费，专款用于占地的恢复及补偿，针对临时占地在将剥离的表土在施工结束后分层回填，确保恢复等质等量面积的耕地。</w:t>
            </w:r>
          </w:p>
        </w:tc>
        <w:tc>
          <w:tcPr>
            <w:tcW w:w="506" w:type="pct"/>
            <w:vAlign w:val="center"/>
          </w:tcPr>
          <w:p w14:paraId="0E677E1F">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w:t>
            </w:r>
          </w:p>
        </w:tc>
      </w:tr>
      <w:tr w14:paraId="033D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D44926B">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2</w:t>
            </w:r>
          </w:p>
        </w:tc>
        <w:tc>
          <w:tcPr>
            <w:tcW w:w="4957" w:type="dxa"/>
            <w:vAlign w:val="center"/>
          </w:tcPr>
          <w:p w14:paraId="79C0EE4E">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lang w:val="en-US" w:bidi="ar-SA"/>
              </w:rPr>
              <w:t>临时用地使用期限一般不超过两年。建设周期较长的能源、交通、水利等基础设施建设项目施工使用的临时用地，期限不超过四年。</w:t>
            </w:r>
          </w:p>
        </w:tc>
        <w:tc>
          <w:tcPr>
            <w:tcW w:w="2680" w:type="dxa"/>
            <w:vAlign w:val="center"/>
          </w:tcPr>
          <w:p w14:paraId="5DE67FE7">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bCs/>
                <w:iCs/>
                <w:caps w:val="0"/>
                <w:smallCaps w:val="0"/>
                <w:color w:val="auto"/>
                <w:spacing w:val="0"/>
                <w:w w:val="100"/>
                <w:kern w:val="28"/>
                <w:position w:val="0"/>
                <w:sz w:val="21"/>
                <w:szCs w:val="21"/>
                <w:highlight w:val="none"/>
                <w:lang w:val="en-US" w:bidi="ar-SA"/>
              </w:rPr>
              <w:t>本项目为</w:t>
            </w:r>
            <w:r>
              <w:rPr>
                <w:rFonts w:hint="eastAsia" w:ascii="Times New Roman" w:hAnsi="Times New Roman" w:cs="Times New Roman"/>
                <w:iCs/>
                <w:caps w:val="0"/>
                <w:smallCaps w:val="0"/>
                <w:color w:val="auto"/>
                <w:spacing w:val="0"/>
                <w:w w:val="100"/>
                <w:kern w:val="28"/>
                <w:position w:val="0"/>
                <w:sz w:val="21"/>
                <w:szCs w:val="21"/>
                <w:highlight w:val="none"/>
                <w:lang w:val="en-US" w:eastAsia="zh-CN" w:bidi="ar-SA"/>
              </w:rPr>
              <w:t>油田内部管线</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建设项目</w:t>
            </w:r>
            <w:r>
              <w:rPr>
                <w:rFonts w:ascii="Times New Roman" w:hAnsi="Times New Roman" w:cs="Times New Roman"/>
                <w:bCs/>
                <w:iCs/>
                <w:caps w:val="0"/>
                <w:smallCaps w:val="0"/>
                <w:color w:val="auto"/>
                <w:spacing w:val="0"/>
                <w:w w:val="100"/>
                <w:kern w:val="28"/>
                <w:position w:val="0"/>
                <w:sz w:val="21"/>
                <w:szCs w:val="21"/>
                <w:highlight w:val="none"/>
                <w:lang w:val="en-US" w:bidi="ar-SA"/>
              </w:rPr>
              <w:t>，为能源基础设施建设项目，本项目计划施工期不超过1年。</w:t>
            </w:r>
          </w:p>
        </w:tc>
        <w:tc>
          <w:tcPr>
            <w:tcW w:w="506" w:type="pct"/>
            <w:vAlign w:val="center"/>
          </w:tcPr>
          <w:p w14:paraId="0E682FF2">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w:t>
            </w:r>
          </w:p>
        </w:tc>
      </w:tr>
      <w:tr w14:paraId="615E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2FE633A1">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3</w:t>
            </w:r>
          </w:p>
        </w:tc>
        <w:tc>
          <w:tcPr>
            <w:tcW w:w="4957" w:type="dxa"/>
            <w:vAlign w:val="center"/>
          </w:tcPr>
          <w:p w14:paraId="7EBDF630">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lang w:val="en-US" w:bidi="ar-SA"/>
              </w:rPr>
              <w:t>严格落实临时用地恢复责任，临时用地期满后应当拆除临时建（构）筑物，使用耕地的应当复垦为耕地，确保耕地面积不减少、质量不降低；使用耕地以外的其他农用地的应当恢复为农用地；使用未利用地的，对于符合条件的鼓励复垦为耕地。</w:t>
            </w:r>
          </w:p>
        </w:tc>
        <w:tc>
          <w:tcPr>
            <w:tcW w:w="2680" w:type="dxa"/>
            <w:vAlign w:val="center"/>
          </w:tcPr>
          <w:p w14:paraId="5B976C22">
            <w:pPr>
              <w:autoSpaceDE/>
              <w:autoSpaceDN/>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lang w:val="en-US" w:bidi="ar-SA"/>
              </w:rPr>
              <w:t>本项目</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临时占地范围内无</w:t>
            </w:r>
            <w:r>
              <w:rPr>
                <w:rFonts w:ascii="Times New Roman" w:hAnsi="Times New Roman" w:cs="Times New Roman"/>
                <w:iCs/>
                <w:caps w:val="0"/>
                <w:smallCaps w:val="0"/>
                <w:color w:val="auto"/>
                <w:spacing w:val="0"/>
                <w:w w:val="100"/>
                <w:kern w:val="28"/>
                <w:position w:val="0"/>
                <w:sz w:val="21"/>
                <w:szCs w:val="21"/>
                <w:highlight w:val="none"/>
                <w:lang w:val="en-US" w:bidi="ar-SA"/>
              </w:rPr>
              <w:t>临时建（构）筑物，</w:t>
            </w:r>
            <w:r>
              <w:rPr>
                <w:rFonts w:hint="eastAsia" w:ascii="Times New Roman" w:hAnsi="Times New Roman" w:cs="Times New Roman"/>
                <w:iCs/>
                <w:caps w:val="0"/>
                <w:smallCaps w:val="0"/>
                <w:color w:val="auto"/>
                <w:spacing w:val="0"/>
                <w:w w:val="100"/>
                <w:kern w:val="28"/>
                <w:position w:val="0"/>
                <w:sz w:val="21"/>
                <w:szCs w:val="21"/>
                <w:highlight w:val="none"/>
                <w:lang w:val="en-US" w:bidi="ar-SA"/>
              </w:rPr>
              <w:t>施工结束后</w:t>
            </w:r>
            <w:r>
              <w:rPr>
                <w:rFonts w:ascii="Times New Roman" w:hAnsi="Times New Roman" w:cs="Times New Roman"/>
                <w:iCs/>
                <w:caps w:val="0"/>
                <w:smallCaps w:val="0"/>
                <w:color w:val="auto"/>
                <w:spacing w:val="0"/>
                <w:w w:val="100"/>
                <w:kern w:val="28"/>
                <w:position w:val="0"/>
                <w:sz w:val="21"/>
                <w:szCs w:val="21"/>
                <w:highlight w:val="none"/>
                <w:lang w:val="en-US" w:bidi="ar-SA"/>
              </w:rPr>
              <w:t>等质等量恢复临时占地内的耕地。</w:t>
            </w:r>
          </w:p>
        </w:tc>
        <w:tc>
          <w:tcPr>
            <w:tcW w:w="506" w:type="pct"/>
            <w:vAlign w:val="center"/>
          </w:tcPr>
          <w:p w14:paraId="63006254">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w:t>
            </w:r>
          </w:p>
        </w:tc>
      </w:tr>
    </w:tbl>
    <w:p w14:paraId="4A24016E">
      <w:pPr>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iCs/>
          <w:caps w:val="0"/>
          <w:smallCaps w:val="0"/>
          <w:color w:val="auto"/>
          <w:spacing w:val="0"/>
          <w:w w:val="100"/>
          <w:kern w:val="2"/>
          <w:position w:val="0"/>
          <w:highlight w:val="none"/>
        </w:rPr>
        <w:t>根据以上分析，本项目符合《自然资源部关于规范临时用地管理的通知》（自然资规〔2021〕2号）中要求。</w:t>
      </w:r>
    </w:p>
    <w:p w14:paraId="187EBA11">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1.4.3.7与《中华人民共和国草原法》符合性分析</w:t>
      </w:r>
    </w:p>
    <w:p w14:paraId="47786B2A">
      <w:pPr>
        <w:widowControl w:val="0"/>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iCs/>
          <w:caps w:val="0"/>
          <w:smallCaps w:val="0"/>
          <w:color w:val="auto"/>
          <w:spacing w:val="0"/>
          <w:w w:val="100"/>
          <w:kern w:val="2"/>
          <w:position w:val="0"/>
          <w:highlight w:val="none"/>
        </w:rPr>
        <w:t>本项目与《中华人民共和国草原法》（中华人民共和国主席令第82号，2021年4月29日修正施行）符合性分析见表1.4-9。</w:t>
      </w:r>
    </w:p>
    <w:p w14:paraId="2CB8760B">
      <w:pPr>
        <w:widowControl w:val="0"/>
        <w:spacing w:line="440" w:lineRule="exact"/>
        <w:ind w:firstLine="482"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b/>
          <w:iCs/>
          <w:caps w:val="0"/>
          <w:smallCaps w:val="0"/>
          <w:color w:val="auto"/>
          <w:spacing w:val="0"/>
          <w:w w:val="100"/>
          <w:kern w:val="2"/>
          <w:position w:val="0"/>
          <w:highlight w:val="none"/>
        </w:rPr>
        <w:t>表1.4-9    本项目与《中华人民共和国草原法》相关要求符合性一览表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649"/>
        <w:gridCol w:w="3989"/>
        <w:gridCol w:w="939"/>
      </w:tblGrid>
      <w:tr w14:paraId="0B14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BB8D898">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序号</w:t>
            </w:r>
          </w:p>
        </w:tc>
        <w:tc>
          <w:tcPr>
            <w:tcW w:w="1966" w:type="pct"/>
            <w:vAlign w:val="center"/>
          </w:tcPr>
          <w:p w14:paraId="1072678A">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文件要求</w:t>
            </w:r>
          </w:p>
        </w:tc>
        <w:tc>
          <w:tcPr>
            <w:tcW w:w="2149" w:type="pct"/>
            <w:vAlign w:val="center"/>
          </w:tcPr>
          <w:p w14:paraId="11D01C6B">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符合性分析</w:t>
            </w:r>
          </w:p>
        </w:tc>
        <w:tc>
          <w:tcPr>
            <w:tcW w:w="506" w:type="pct"/>
            <w:vAlign w:val="center"/>
          </w:tcPr>
          <w:p w14:paraId="0A39E6E9">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符合性</w:t>
            </w:r>
          </w:p>
        </w:tc>
      </w:tr>
      <w:tr w14:paraId="3348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4193503">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1</w:t>
            </w:r>
          </w:p>
        </w:tc>
        <w:tc>
          <w:tcPr>
            <w:tcW w:w="1966" w:type="pct"/>
            <w:vAlign w:val="center"/>
          </w:tcPr>
          <w:p w14:paraId="27C6BF86">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进行矿藏开采和工程建设，应当不占或者少占草原；确需征收、征用或者使用草原的，必须经省级以上人民政府草原行政主管部门审核同意后，依照有关土地管理的法律、行政法规办理建设用地审批手续。</w:t>
            </w:r>
          </w:p>
        </w:tc>
        <w:tc>
          <w:tcPr>
            <w:tcW w:w="2149" w:type="pct"/>
            <w:vMerge w:val="restart"/>
            <w:vAlign w:val="center"/>
          </w:tcPr>
          <w:p w14:paraId="79A507D6">
            <w:pPr>
              <w:widowControl w:val="0"/>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本项目建设占用</w:t>
            </w:r>
            <w:r>
              <w:rPr>
                <w:rFonts w:hint="eastAsia" w:ascii="Times New Roman" w:hAnsi="Times New Roman" w:cs="Times New Roman"/>
                <w:iCs/>
                <w:caps w:val="0"/>
                <w:smallCaps w:val="0"/>
                <w:color w:val="auto"/>
                <w:spacing w:val="0"/>
                <w:w w:val="100"/>
                <w:kern w:val="28"/>
                <w:position w:val="0"/>
                <w:sz w:val="21"/>
                <w:szCs w:val="21"/>
                <w:highlight w:val="none"/>
                <w:lang w:val="en-US" w:eastAsia="zh-CN"/>
              </w:rPr>
              <w:t>耕地（基本农田）和</w:t>
            </w:r>
            <w:r>
              <w:rPr>
                <w:rFonts w:ascii="Times New Roman" w:hAnsi="Times New Roman" w:cs="Times New Roman"/>
                <w:iCs/>
                <w:caps w:val="0"/>
                <w:smallCaps w:val="0"/>
                <w:color w:val="auto"/>
                <w:spacing w:val="0"/>
                <w:w w:val="100"/>
                <w:kern w:val="28"/>
                <w:position w:val="0"/>
                <w:sz w:val="21"/>
                <w:szCs w:val="21"/>
                <w:highlight w:val="none"/>
              </w:rPr>
              <w:t>草地（非基本草原））。临时占地采取管沟及设备区在施工前剥离表土，剥离的表土放在置土带外侧，管沟挖方土放置在置土带内侧，置土带采取先设置编织袋压护，在采用单行十字形压护，底土层另外堆放，施工结束后及时清理施工现场，采用分层回填压实，按生、熟土顺序填放，保护耕作层，复原时先填心、底土，后平覆表土，回填后管沟上方留有自然沉降余量，管沟回填多余的土均匀分散在管道中心两侧，并使管沟与周围地表形成平滑过度，不得形成汇水环境，并及时恢复地表植被，确保恢复等质等量面积的草地。</w:t>
            </w:r>
          </w:p>
        </w:tc>
        <w:tc>
          <w:tcPr>
            <w:tcW w:w="506" w:type="pct"/>
            <w:vMerge w:val="restart"/>
            <w:vAlign w:val="center"/>
          </w:tcPr>
          <w:p w14:paraId="4049BFFB">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w:t>
            </w:r>
          </w:p>
        </w:tc>
      </w:tr>
      <w:tr w14:paraId="3DAE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56CC583">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2</w:t>
            </w:r>
          </w:p>
        </w:tc>
        <w:tc>
          <w:tcPr>
            <w:tcW w:w="1966" w:type="pct"/>
            <w:vAlign w:val="center"/>
          </w:tcPr>
          <w:p w14:paraId="7EF268B6">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因建设征收、征用集体所有的草原的，应当依照《中华人民共和国土地管理法》的规定给予补偿；因建设使用国家所有的草原的，应当依照国务院有关规定对草原承包经营者给予补偿。</w:t>
            </w:r>
          </w:p>
        </w:tc>
        <w:tc>
          <w:tcPr>
            <w:tcW w:w="2149" w:type="pct"/>
            <w:vMerge w:val="continue"/>
            <w:vAlign w:val="center"/>
          </w:tcPr>
          <w:p w14:paraId="028043F5">
            <w:pPr>
              <w:widowControl w:val="0"/>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rPr>
            </w:pPr>
          </w:p>
        </w:tc>
        <w:tc>
          <w:tcPr>
            <w:tcW w:w="506" w:type="pct"/>
            <w:vMerge w:val="continue"/>
            <w:vAlign w:val="center"/>
          </w:tcPr>
          <w:p w14:paraId="30C83426">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p>
        </w:tc>
      </w:tr>
      <w:tr w14:paraId="0CB5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9B74352">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3</w:t>
            </w:r>
          </w:p>
        </w:tc>
        <w:tc>
          <w:tcPr>
            <w:tcW w:w="1966" w:type="pct"/>
            <w:vAlign w:val="center"/>
          </w:tcPr>
          <w:p w14:paraId="680C04E1">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临时占用草原的期限不得超过二年，并不得在临时占用的草原上修建永久性建筑物、构筑物；占用期满，用地单位必须恢复草原植被并及时退还。</w:t>
            </w:r>
          </w:p>
        </w:tc>
        <w:tc>
          <w:tcPr>
            <w:tcW w:w="2149" w:type="pct"/>
            <w:vAlign w:val="center"/>
          </w:tcPr>
          <w:p w14:paraId="4351FFC5">
            <w:pPr>
              <w:widowControl w:val="0"/>
              <w:adjustRightInd w:val="0"/>
              <w:snapToGrid w:val="0"/>
              <w:spacing w:line="360" w:lineRule="exact"/>
              <w:jc w:val="both"/>
              <w:rPr>
                <w:rFonts w:ascii="Times New Roman" w:hAnsi="Times New Roman" w:cs="Times New Roman"/>
                <w:bCs/>
                <w:iCs/>
                <w:caps w:val="0"/>
                <w:smallCaps w:val="0"/>
                <w:color w:val="auto"/>
                <w:spacing w:val="0"/>
                <w:w w:val="100"/>
                <w:kern w:val="28"/>
                <w:position w:val="0"/>
                <w:sz w:val="21"/>
                <w:szCs w:val="21"/>
                <w:highlight w:val="none"/>
              </w:rPr>
            </w:pPr>
            <w:r>
              <w:rPr>
                <w:rFonts w:ascii="Times New Roman" w:hAnsi="Times New Roman" w:cs="Times New Roman"/>
                <w:bCs/>
                <w:iCs/>
                <w:caps w:val="0"/>
                <w:smallCaps w:val="0"/>
                <w:color w:val="auto"/>
                <w:spacing w:val="0"/>
                <w:w w:val="100"/>
                <w:kern w:val="28"/>
                <w:position w:val="0"/>
                <w:sz w:val="21"/>
                <w:szCs w:val="21"/>
                <w:highlight w:val="none"/>
              </w:rPr>
              <w:t>本项目计划施工期不超过1年。本项目施工结束后拆除临时用地内临时建（构）筑物，并等质等量恢复临时占地内的草地。</w:t>
            </w:r>
          </w:p>
        </w:tc>
        <w:tc>
          <w:tcPr>
            <w:tcW w:w="506" w:type="pct"/>
            <w:vAlign w:val="center"/>
          </w:tcPr>
          <w:p w14:paraId="2E4DB962">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w:t>
            </w:r>
          </w:p>
        </w:tc>
      </w:tr>
    </w:tbl>
    <w:p w14:paraId="364D0ED9">
      <w:pPr>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iCs/>
          <w:caps w:val="0"/>
          <w:smallCaps w:val="0"/>
          <w:color w:val="auto"/>
          <w:spacing w:val="0"/>
          <w:w w:val="100"/>
          <w:kern w:val="2"/>
          <w:position w:val="0"/>
          <w:highlight w:val="none"/>
        </w:rPr>
        <w:t>根据以上分析，本项目符合《中华人民共和国草原法》（中华人民共和国主席令第82号，2021年4月29日修正施行）中要求。</w:t>
      </w:r>
    </w:p>
    <w:p w14:paraId="19D2CF93">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1.4.3.9与《地下水管理条例》（中华人民共和国国务院令第748号）符合性分析</w:t>
      </w:r>
    </w:p>
    <w:p w14:paraId="539C3240">
      <w:pPr>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iCs/>
          <w:caps w:val="0"/>
          <w:smallCaps w:val="0"/>
          <w:color w:val="auto"/>
          <w:spacing w:val="0"/>
          <w:w w:val="100"/>
          <w:kern w:val="2"/>
          <w:position w:val="0"/>
          <w:highlight w:val="none"/>
        </w:rPr>
        <w:t>本项目与《地下水管理条例》（中华人民共和国国务院令第748号）符合性分析见表1.4-11。</w:t>
      </w:r>
    </w:p>
    <w:p w14:paraId="279CF38A">
      <w:pPr>
        <w:spacing w:line="440" w:lineRule="exact"/>
        <w:ind w:firstLine="482"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b/>
          <w:iCs/>
          <w:caps w:val="0"/>
          <w:smallCaps w:val="0"/>
          <w:color w:val="auto"/>
          <w:spacing w:val="0"/>
          <w:w w:val="100"/>
          <w:kern w:val="2"/>
          <w:position w:val="0"/>
          <w:highlight w:val="none"/>
        </w:rPr>
        <w:t>表1.4-11    本项目与《地下水管理条例》相关要求符合性一览表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504"/>
        <w:gridCol w:w="4133"/>
        <w:gridCol w:w="940"/>
      </w:tblGrid>
      <w:tr w14:paraId="540E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2903A01">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序号</w:t>
            </w:r>
          </w:p>
        </w:tc>
        <w:tc>
          <w:tcPr>
            <w:tcW w:w="1888" w:type="pct"/>
            <w:vAlign w:val="center"/>
          </w:tcPr>
          <w:p w14:paraId="0BB10E6A">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文件要求</w:t>
            </w:r>
          </w:p>
        </w:tc>
        <w:tc>
          <w:tcPr>
            <w:tcW w:w="2227" w:type="pct"/>
            <w:vAlign w:val="center"/>
          </w:tcPr>
          <w:p w14:paraId="4E72E001">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符合性分析</w:t>
            </w:r>
          </w:p>
        </w:tc>
        <w:tc>
          <w:tcPr>
            <w:tcW w:w="506" w:type="pct"/>
            <w:vAlign w:val="center"/>
          </w:tcPr>
          <w:p w14:paraId="2CA34F01">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符合性</w:t>
            </w:r>
          </w:p>
        </w:tc>
      </w:tr>
      <w:tr w14:paraId="437E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9" w:type="pct"/>
            <w:vAlign w:val="center"/>
          </w:tcPr>
          <w:p w14:paraId="0E6800A7">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1</w:t>
            </w:r>
          </w:p>
        </w:tc>
        <w:tc>
          <w:tcPr>
            <w:tcW w:w="1888" w:type="pct"/>
            <w:vAlign w:val="center"/>
          </w:tcPr>
          <w:p w14:paraId="2672C645">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兴建地下工程设施或者进行地下勘探、采矿等活动，依法编制的环境影响评价文件中，应当包括地下水污染防治的内容，并采取防护性措施；</w:t>
            </w:r>
          </w:p>
        </w:tc>
        <w:tc>
          <w:tcPr>
            <w:tcW w:w="2227" w:type="pct"/>
            <w:vMerge w:val="restart"/>
            <w:vAlign w:val="center"/>
          </w:tcPr>
          <w:p w14:paraId="280A1FBB">
            <w:pPr>
              <w:widowControl w:val="0"/>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本项目已针对项目特点提出针对性地下水污染防治措施，主要包括采取分区防渗措施，根据可能对地下水造成污染的污染源分布制定重点防渗区；</w:t>
            </w:r>
            <w:r>
              <w:rPr>
                <w:rFonts w:ascii="Times New Roman" w:hAnsi="Times New Roman" w:cs="Times New Roman"/>
                <w:iCs/>
                <w:caps w:val="0"/>
                <w:smallCaps w:val="0"/>
                <w:color w:val="auto"/>
                <w:spacing w:val="0"/>
                <w:w w:val="100"/>
                <w:kern w:val="28"/>
                <w:position w:val="0"/>
                <w:sz w:val="21"/>
                <w:szCs w:val="21"/>
                <w:highlight w:val="none"/>
              </w:rPr>
              <w:t>根据区域潜水流向，本项目在区域下游设1个潜水跟踪监测点，定期对地下水进行跟踪监测。</w:t>
            </w:r>
          </w:p>
        </w:tc>
        <w:tc>
          <w:tcPr>
            <w:tcW w:w="506" w:type="pct"/>
            <w:vMerge w:val="restart"/>
            <w:vAlign w:val="center"/>
          </w:tcPr>
          <w:p w14:paraId="16CE7913">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符合</w:t>
            </w:r>
          </w:p>
        </w:tc>
      </w:tr>
      <w:tr w14:paraId="1422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60FAAC0">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2</w:t>
            </w:r>
          </w:p>
        </w:tc>
        <w:tc>
          <w:tcPr>
            <w:tcW w:w="1888" w:type="pct"/>
            <w:vAlign w:val="center"/>
          </w:tcPr>
          <w:p w14:paraId="6A70E47A">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r>
              <w:rPr>
                <w:rFonts w:ascii="Times New Roman" w:hAnsi="Times New Roman" w:cs="Times New Roman"/>
                <w:iCs/>
                <w:caps w:val="0"/>
                <w:smallCaps w:val="0"/>
                <w:color w:val="auto"/>
                <w:spacing w:val="0"/>
                <w:w w:val="100"/>
                <w:kern w:val="28"/>
                <w:position w:val="0"/>
                <w:sz w:val="21"/>
                <w:szCs w:val="21"/>
                <w:highlight w:val="none"/>
              </w:rPr>
              <w:t>化学品生产企业以及工业集聚区、矿山开采区、尾矿库、危险废物处置场、垃圾填埋场等的运营、管理单位，应当采取防渗漏等措施，并建设地下水水质监测井进行监测；</w:t>
            </w:r>
          </w:p>
        </w:tc>
        <w:tc>
          <w:tcPr>
            <w:tcW w:w="2227" w:type="pct"/>
            <w:vMerge w:val="continue"/>
            <w:vAlign w:val="center"/>
          </w:tcPr>
          <w:p w14:paraId="274A6B0B">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p>
        </w:tc>
        <w:tc>
          <w:tcPr>
            <w:tcW w:w="506" w:type="pct"/>
            <w:vMerge w:val="continue"/>
            <w:vAlign w:val="center"/>
          </w:tcPr>
          <w:p w14:paraId="7545EC2F">
            <w:pPr>
              <w:widowControl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rPr>
            </w:pPr>
          </w:p>
        </w:tc>
      </w:tr>
    </w:tbl>
    <w:p w14:paraId="6921C7CF">
      <w:pPr>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rPr>
      </w:pPr>
      <w:r>
        <w:rPr>
          <w:rFonts w:ascii="Times New Roman" w:hAnsi="Times New Roman" w:cs="Times New Roman"/>
          <w:iCs/>
          <w:caps w:val="0"/>
          <w:smallCaps w:val="0"/>
          <w:color w:val="auto"/>
          <w:spacing w:val="0"/>
          <w:w w:val="100"/>
          <w:kern w:val="2"/>
          <w:position w:val="0"/>
          <w:highlight w:val="none"/>
        </w:rPr>
        <w:t>根据以上分析，本项目符合《地下水管理条例》（中华人民共和国国务院令第748号）中要求。</w:t>
      </w:r>
    </w:p>
    <w:p w14:paraId="1A323A08">
      <w:pPr>
        <w:widowControl w:val="0"/>
        <w:autoSpaceDE w:val="0"/>
        <w:autoSpaceDN w:val="0"/>
        <w:spacing w:line="440" w:lineRule="exact"/>
        <w:jc w:val="both"/>
        <w:outlineLvl w:val="3"/>
        <w:rPr>
          <w:rFonts w:ascii="Times New Roman" w:hAnsi="Times New Roman" w:cs="Times New Roman"/>
          <w:b/>
          <w:caps w:val="0"/>
          <w:smallCaps w:val="0"/>
          <w:color w:val="auto"/>
          <w:spacing w:val="0"/>
          <w:w w:val="100"/>
          <w:position w:val="0"/>
          <w:highlight w:val="none"/>
          <w:lang w:val="zh-CN" w:bidi="zh-CN"/>
        </w:rPr>
      </w:pPr>
      <w:r>
        <w:rPr>
          <w:rFonts w:ascii="Times New Roman" w:hAnsi="Times New Roman" w:cs="Times New Roman"/>
          <w:b/>
          <w:caps w:val="0"/>
          <w:smallCaps w:val="0"/>
          <w:color w:val="auto"/>
          <w:spacing w:val="0"/>
          <w:w w:val="100"/>
          <w:position w:val="0"/>
          <w:highlight w:val="none"/>
          <w:lang w:val="zh-CN" w:bidi="zh-CN"/>
        </w:rPr>
        <w:t>1.4.</w:t>
      </w:r>
      <w:r>
        <w:rPr>
          <w:rFonts w:ascii="Times New Roman" w:hAnsi="Times New Roman" w:cs="Times New Roman"/>
          <w:b/>
          <w:caps w:val="0"/>
          <w:smallCaps w:val="0"/>
          <w:color w:val="auto"/>
          <w:spacing w:val="0"/>
          <w:w w:val="100"/>
          <w:position w:val="0"/>
          <w:highlight w:val="none"/>
          <w:lang w:bidi="zh-CN"/>
        </w:rPr>
        <w:t>3</w:t>
      </w:r>
      <w:r>
        <w:rPr>
          <w:rFonts w:ascii="Times New Roman" w:hAnsi="Times New Roman" w:cs="Times New Roman"/>
          <w:b/>
          <w:caps w:val="0"/>
          <w:smallCaps w:val="0"/>
          <w:color w:val="auto"/>
          <w:spacing w:val="0"/>
          <w:w w:val="100"/>
          <w:position w:val="0"/>
          <w:highlight w:val="none"/>
          <w:lang w:val="zh-CN" w:bidi="zh-CN"/>
        </w:rPr>
        <w:t>.</w:t>
      </w:r>
      <w:r>
        <w:rPr>
          <w:rFonts w:ascii="Times New Roman" w:hAnsi="Times New Roman" w:cs="Times New Roman"/>
          <w:b/>
          <w:caps w:val="0"/>
          <w:smallCaps w:val="0"/>
          <w:color w:val="auto"/>
          <w:spacing w:val="0"/>
          <w:w w:val="100"/>
          <w:position w:val="0"/>
          <w:highlight w:val="none"/>
          <w:lang w:bidi="zh-CN"/>
        </w:rPr>
        <w:t>10</w:t>
      </w:r>
      <w:r>
        <w:rPr>
          <w:rFonts w:ascii="Times New Roman" w:hAnsi="Times New Roman" w:cs="Times New Roman"/>
          <w:b/>
          <w:caps w:val="0"/>
          <w:smallCaps w:val="0"/>
          <w:color w:val="auto"/>
          <w:spacing w:val="0"/>
          <w:w w:val="100"/>
          <w:position w:val="0"/>
          <w:highlight w:val="none"/>
          <w:lang w:val="zh-CN" w:bidi="zh-CN"/>
        </w:rPr>
        <w:t>与黑政办规〔2021〕18号符合性分析</w:t>
      </w:r>
    </w:p>
    <w:p w14:paraId="573E36D4">
      <w:pPr>
        <w:widowControl w:val="0"/>
        <w:autoSpaceDE w:val="0"/>
        <w:autoSpaceDN w:val="0"/>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lang w:val="zh-CN" w:bidi="zh-CN"/>
        </w:rPr>
      </w:pPr>
      <w:r>
        <w:rPr>
          <w:rFonts w:ascii="Times New Roman" w:hAnsi="Times New Roman" w:cs="Times New Roman"/>
          <w:iCs/>
          <w:caps w:val="0"/>
          <w:smallCaps w:val="0"/>
          <w:color w:val="auto"/>
          <w:spacing w:val="0"/>
          <w:w w:val="100"/>
          <w:kern w:val="2"/>
          <w:position w:val="0"/>
          <w:highlight w:val="none"/>
          <w:lang w:val="zh-CN" w:bidi="zh-CN"/>
        </w:rPr>
        <w:t>本项目与《黑龙江省人民政府办公厅关于建设占用耕地耕作层土壤剥离利用工作的指导意见（试行）》（黑政办规〔2021〕18号）符合性分析见表1.4-</w:t>
      </w:r>
      <w:r>
        <w:rPr>
          <w:rFonts w:ascii="Times New Roman" w:hAnsi="Times New Roman" w:cs="Times New Roman"/>
          <w:iCs/>
          <w:caps w:val="0"/>
          <w:smallCaps w:val="0"/>
          <w:color w:val="auto"/>
          <w:spacing w:val="0"/>
          <w:w w:val="100"/>
          <w:kern w:val="2"/>
          <w:position w:val="0"/>
          <w:highlight w:val="none"/>
          <w:lang w:bidi="zh-CN"/>
        </w:rPr>
        <w:t>12</w:t>
      </w:r>
      <w:r>
        <w:rPr>
          <w:rFonts w:ascii="Times New Roman" w:hAnsi="Times New Roman" w:cs="Times New Roman"/>
          <w:iCs/>
          <w:caps w:val="0"/>
          <w:smallCaps w:val="0"/>
          <w:color w:val="auto"/>
          <w:spacing w:val="0"/>
          <w:w w:val="100"/>
          <w:kern w:val="2"/>
          <w:position w:val="0"/>
          <w:highlight w:val="none"/>
          <w:lang w:val="zh-CN" w:bidi="zh-CN"/>
        </w:rPr>
        <w:t>。</w:t>
      </w:r>
    </w:p>
    <w:p w14:paraId="3C55C9EB">
      <w:pPr>
        <w:widowControl w:val="0"/>
        <w:autoSpaceDE w:val="0"/>
        <w:autoSpaceDN w:val="0"/>
        <w:spacing w:line="440" w:lineRule="exact"/>
        <w:ind w:firstLine="482" w:firstLineChars="200"/>
        <w:jc w:val="both"/>
        <w:rPr>
          <w:rFonts w:ascii="Times New Roman" w:hAnsi="Times New Roman" w:cs="Times New Roman"/>
          <w:iCs/>
          <w:caps w:val="0"/>
          <w:smallCaps w:val="0"/>
          <w:color w:val="auto"/>
          <w:spacing w:val="0"/>
          <w:w w:val="100"/>
          <w:kern w:val="2"/>
          <w:position w:val="0"/>
          <w:highlight w:val="none"/>
          <w:lang w:val="zh-CN" w:bidi="zh-CN"/>
        </w:rPr>
      </w:pPr>
      <w:r>
        <w:rPr>
          <w:rFonts w:ascii="Times New Roman" w:hAnsi="Times New Roman" w:cs="Times New Roman"/>
          <w:b/>
          <w:iCs/>
          <w:caps w:val="0"/>
          <w:smallCaps w:val="0"/>
          <w:color w:val="auto"/>
          <w:spacing w:val="0"/>
          <w:w w:val="100"/>
          <w:kern w:val="2"/>
          <w:position w:val="0"/>
          <w:highlight w:val="none"/>
          <w:lang w:val="zh-CN" w:bidi="zh-CN"/>
        </w:rPr>
        <w:t>表1.4-</w:t>
      </w:r>
      <w:r>
        <w:rPr>
          <w:rFonts w:ascii="Times New Roman" w:hAnsi="Times New Roman" w:cs="Times New Roman"/>
          <w:b/>
          <w:iCs/>
          <w:caps w:val="0"/>
          <w:smallCaps w:val="0"/>
          <w:color w:val="auto"/>
          <w:spacing w:val="0"/>
          <w:w w:val="100"/>
          <w:kern w:val="2"/>
          <w:position w:val="0"/>
          <w:highlight w:val="none"/>
          <w:lang w:bidi="zh-CN"/>
        </w:rPr>
        <w:t>12</w:t>
      </w:r>
      <w:r>
        <w:rPr>
          <w:rFonts w:ascii="Times New Roman" w:hAnsi="Times New Roman" w:cs="Times New Roman"/>
          <w:b/>
          <w:iCs/>
          <w:caps w:val="0"/>
          <w:smallCaps w:val="0"/>
          <w:color w:val="auto"/>
          <w:spacing w:val="0"/>
          <w:w w:val="100"/>
          <w:kern w:val="2"/>
          <w:position w:val="0"/>
          <w:highlight w:val="none"/>
          <w:lang w:val="zh-CN" w:bidi="zh-CN"/>
        </w:rPr>
        <w:t xml:space="preserve">    本项目与</w:t>
      </w:r>
      <w:r>
        <w:rPr>
          <w:rFonts w:ascii="Times New Roman" w:hAnsi="Times New Roman" w:cs="Times New Roman"/>
          <w:b/>
          <w:caps w:val="0"/>
          <w:smallCaps w:val="0"/>
          <w:color w:val="auto"/>
          <w:spacing w:val="0"/>
          <w:w w:val="100"/>
          <w:position w:val="0"/>
          <w:highlight w:val="none"/>
          <w:lang w:val="zh-CN" w:bidi="zh-CN"/>
        </w:rPr>
        <w:t>黑政办规〔2021〕18号</w:t>
      </w:r>
      <w:r>
        <w:rPr>
          <w:rFonts w:ascii="Times New Roman" w:hAnsi="Times New Roman" w:cs="Times New Roman"/>
          <w:b/>
          <w:iCs/>
          <w:caps w:val="0"/>
          <w:smallCaps w:val="0"/>
          <w:color w:val="auto"/>
          <w:spacing w:val="0"/>
          <w:w w:val="100"/>
          <w:kern w:val="2"/>
          <w:position w:val="0"/>
          <w:highlight w:val="none"/>
          <w:lang w:val="zh-CN" w:bidi="zh-CN"/>
        </w:rPr>
        <w:t>相关要求符合性一览表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4086"/>
        <w:gridCol w:w="3557"/>
        <w:gridCol w:w="940"/>
      </w:tblGrid>
      <w:tr w14:paraId="7BB3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AFC9517">
            <w:pPr>
              <w:widowControl w:val="0"/>
              <w:autoSpaceDE w:val="0"/>
              <w:autoSpaceDN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zh-CN" w:bidi="zh-CN"/>
              </w:rPr>
            </w:pPr>
            <w:r>
              <w:rPr>
                <w:rFonts w:ascii="Times New Roman" w:hAnsi="Times New Roman" w:cs="Times New Roman"/>
                <w:iCs/>
                <w:caps w:val="0"/>
                <w:smallCaps w:val="0"/>
                <w:color w:val="auto"/>
                <w:spacing w:val="0"/>
                <w:w w:val="100"/>
                <w:kern w:val="28"/>
                <w:position w:val="0"/>
                <w:sz w:val="21"/>
                <w:szCs w:val="21"/>
                <w:highlight w:val="none"/>
                <w:lang w:val="zh-CN" w:bidi="zh-CN"/>
              </w:rPr>
              <w:t>序号</w:t>
            </w:r>
          </w:p>
        </w:tc>
        <w:tc>
          <w:tcPr>
            <w:tcW w:w="2200" w:type="pct"/>
            <w:vAlign w:val="center"/>
          </w:tcPr>
          <w:p w14:paraId="7312ABEE">
            <w:pPr>
              <w:widowControl w:val="0"/>
              <w:autoSpaceDE w:val="0"/>
              <w:autoSpaceDN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zh-CN" w:bidi="zh-CN"/>
              </w:rPr>
            </w:pPr>
            <w:r>
              <w:rPr>
                <w:rFonts w:ascii="Times New Roman" w:hAnsi="Times New Roman" w:cs="Times New Roman"/>
                <w:iCs/>
                <w:caps w:val="0"/>
                <w:smallCaps w:val="0"/>
                <w:color w:val="auto"/>
                <w:spacing w:val="0"/>
                <w:w w:val="100"/>
                <w:kern w:val="28"/>
                <w:position w:val="0"/>
                <w:sz w:val="21"/>
                <w:szCs w:val="21"/>
                <w:highlight w:val="none"/>
                <w:lang w:val="zh-CN" w:bidi="zh-CN"/>
              </w:rPr>
              <w:t>文件要求</w:t>
            </w:r>
          </w:p>
        </w:tc>
        <w:tc>
          <w:tcPr>
            <w:tcW w:w="1915" w:type="pct"/>
            <w:vAlign w:val="center"/>
          </w:tcPr>
          <w:p w14:paraId="42781F01">
            <w:pPr>
              <w:widowControl w:val="0"/>
              <w:autoSpaceDE w:val="0"/>
              <w:autoSpaceDN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zh-CN" w:bidi="zh-CN"/>
              </w:rPr>
            </w:pPr>
            <w:r>
              <w:rPr>
                <w:rFonts w:ascii="Times New Roman" w:hAnsi="Times New Roman" w:cs="Times New Roman"/>
                <w:iCs/>
                <w:caps w:val="0"/>
                <w:smallCaps w:val="0"/>
                <w:color w:val="auto"/>
                <w:spacing w:val="0"/>
                <w:w w:val="100"/>
                <w:kern w:val="28"/>
                <w:position w:val="0"/>
                <w:sz w:val="21"/>
                <w:szCs w:val="21"/>
                <w:highlight w:val="none"/>
                <w:lang w:val="zh-CN" w:bidi="zh-CN"/>
              </w:rPr>
              <w:t>符合性分析</w:t>
            </w:r>
          </w:p>
        </w:tc>
        <w:tc>
          <w:tcPr>
            <w:tcW w:w="506" w:type="pct"/>
            <w:vAlign w:val="center"/>
          </w:tcPr>
          <w:p w14:paraId="578AE64F">
            <w:pPr>
              <w:widowControl w:val="0"/>
              <w:autoSpaceDE w:val="0"/>
              <w:autoSpaceDN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zh-CN" w:bidi="zh-CN"/>
              </w:rPr>
            </w:pPr>
            <w:r>
              <w:rPr>
                <w:rFonts w:ascii="Times New Roman" w:hAnsi="Times New Roman" w:cs="Times New Roman"/>
                <w:iCs/>
                <w:caps w:val="0"/>
                <w:smallCaps w:val="0"/>
                <w:color w:val="auto"/>
                <w:spacing w:val="0"/>
                <w:w w:val="100"/>
                <w:kern w:val="28"/>
                <w:position w:val="0"/>
                <w:sz w:val="21"/>
                <w:szCs w:val="21"/>
                <w:highlight w:val="none"/>
                <w:lang w:val="zh-CN" w:bidi="zh-CN"/>
              </w:rPr>
              <w:t>符合性</w:t>
            </w:r>
          </w:p>
        </w:tc>
      </w:tr>
      <w:tr w14:paraId="0F57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8B300C4">
            <w:pPr>
              <w:widowControl w:val="0"/>
              <w:autoSpaceDE w:val="0"/>
              <w:autoSpaceDN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zh-CN" w:bidi="zh-CN"/>
              </w:rPr>
            </w:pPr>
            <w:r>
              <w:rPr>
                <w:rFonts w:ascii="Times New Roman" w:hAnsi="Times New Roman" w:cs="Times New Roman"/>
                <w:iCs/>
                <w:caps w:val="0"/>
                <w:smallCaps w:val="0"/>
                <w:color w:val="auto"/>
                <w:spacing w:val="0"/>
                <w:w w:val="100"/>
                <w:kern w:val="28"/>
                <w:position w:val="0"/>
                <w:sz w:val="21"/>
                <w:szCs w:val="21"/>
                <w:highlight w:val="none"/>
                <w:lang w:val="zh-CN" w:bidi="zh-CN"/>
              </w:rPr>
              <w:t>1</w:t>
            </w:r>
          </w:p>
        </w:tc>
        <w:tc>
          <w:tcPr>
            <w:tcW w:w="2200" w:type="pct"/>
            <w:vAlign w:val="center"/>
          </w:tcPr>
          <w:p w14:paraId="154EC58F">
            <w:pPr>
              <w:widowControl w:val="0"/>
              <w:autoSpaceDE w:val="0"/>
              <w:autoSpaceDN w:val="0"/>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zh-CN" w:bidi="zh-CN"/>
              </w:rPr>
            </w:pPr>
            <w:r>
              <w:rPr>
                <w:rFonts w:ascii="Times New Roman" w:hAnsi="Times New Roman" w:cs="Times New Roman"/>
                <w:iCs/>
                <w:caps w:val="0"/>
                <w:smallCaps w:val="0"/>
                <w:color w:val="auto"/>
                <w:spacing w:val="0"/>
                <w:w w:val="100"/>
                <w:kern w:val="28"/>
                <w:position w:val="0"/>
                <w:sz w:val="21"/>
                <w:szCs w:val="21"/>
                <w:highlight w:val="none"/>
                <w:lang w:val="zh-CN" w:bidi="zh-CN"/>
              </w:rPr>
              <w:t>成片开发和城镇批次用地占用耕地的，应在供地前实施耕作层土壤剥离；单独选址项目及其他需要剥离的项目，应在开工建设前按照剥离利用方案要求实施耕作层土壤剥离，并将剥离土壤存储在指定地点或直接输送到再利用场所。耕作层土壤剥离及运输过程中，应采取水土保持和扬尘防治措施，防止土壤和环境污染。土壤存储点的选取应遵循就近存储、易于存放、专人管理的原则，尽量利用废弃土地、闲置建设用地和未利用地，避让永久基本农田和生态保护红线、水源地等敏感区域。土壤存储要采取必要的工程防护和保育措施，防止出现水土流失、土壤质量退化和安全隐患。</w:t>
            </w:r>
          </w:p>
        </w:tc>
        <w:tc>
          <w:tcPr>
            <w:tcW w:w="1915" w:type="pct"/>
            <w:vAlign w:val="center"/>
          </w:tcPr>
          <w:p w14:paraId="00C0D9DC">
            <w:pPr>
              <w:widowControl w:val="0"/>
              <w:autoSpaceDE w:val="0"/>
              <w:autoSpaceDN w:val="0"/>
              <w:adjustRightInd w:val="0"/>
              <w:snapToGrid w:val="0"/>
              <w:spacing w:line="360" w:lineRule="exact"/>
              <w:jc w:val="both"/>
              <w:rPr>
                <w:rFonts w:ascii="Times New Roman" w:hAnsi="Times New Roman" w:cs="Times New Roman"/>
                <w:iCs/>
                <w:caps w:val="0"/>
                <w:smallCaps w:val="0"/>
                <w:color w:val="auto"/>
                <w:spacing w:val="0"/>
                <w:w w:val="100"/>
                <w:kern w:val="28"/>
                <w:position w:val="0"/>
                <w:sz w:val="21"/>
                <w:szCs w:val="21"/>
                <w:highlight w:val="none"/>
                <w:lang w:val="zh-CN" w:bidi="zh-CN"/>
              </w:rPr>
            </w:pPr>
            <w:r>
              <w:rPr>
                <w:rFonts w:ascii="Times New Roman" w:hAnsi="Times New Roman" w:cs="Times New Roman"/>
                <w:iCs/>
                <w:caps w:val="0"/>
                <w:smallCaps w:val="0"/>
                <w:color w:val="auto"/>
                <w:spacing w:val="0"/>
                <w:w w:val="100"/>
                <w:kern w:val="28"/>
                <w:position w:val="0"/>
                <w:sz w:val="21"/>
                <w:szCs w:val="21"/>
                <w:highlight w:val="none"/>
                <w:lang w:val="zh-CN" w:bidi="zh-CN"/>
              </w:rPr>
              <w:t>本项目建设占用</w:t>
            </w:r>
            <w:r>
              <w:rPr>
                <w:rFonts w:hint="eastAsia" w:ascii="Times New Roman" w:hAnsi="Times New Roman" w:cs="Times New Roman"/>
                <w:iCs/>
                <w:caps w:val="0"/>
                <w:smallCaps w:val="0"/>
                <w:color w:val="auto"/>
                <w:spacing w:val="0"/>
                <w:w w:val="100"/>
                <w:kern w:val="28"/>
                <w:position w:val="0"/>
                <w:sz w:val="21"/>
                <w:szCs w:val="21"/>
                <w:highlight w:val="none"/>
                <w:lang w:val="zh-CN" w:eastAsia="zh-CN" w:bidi="zh-CN"/>
              </w:rPr>
              <w:t>耕地（基本农田）和</w:t>
            </w:r>
            <w:r>
              <w:rPr>
                <w:rFonts w:ascii="Times New Roman" w:hAnsi="Times New Roman" w:cs="Times New Roman"/>
                <w:iCs/>
                <w:caps w:val="0"/>
                <w:smallCaps w:val="0"/>
                <w:color w:val="auto"/>
                <w:spacing w:val="0"/>
                <w:w w:val="100"/>
                <w:kern w:val="28"/>
                <w:position w:val="0"/>
                <w:sz w:val="21"/>
                <w:szCs w:val="21"/>
                <w:highlight w:val="none"/>
                <w:lang w:val="zh-CN" w:bidi="zh-CN"/>
              </w:rPr>
              <w:t>草地（非基本草原）。</w:t>
            </w:r>
            <w:r>
              <w:rPr>
                <w:rFonts w:ascii="Times New Roman" w:hAnsi="Times New Roman" w:cs="Times New Roman"/>
                <w:iCs/>
                <w:caps w:val="0"/>
                <w:smallCaps w:val="0"/>
                <w:color w:val="auto"/>
                <w:spacing w:val="0"/>
                <w:w w:val="100"/>
                <w:kern w:val="28"/>
                <w:position w:val="0"/>
                <w:sz w:val="21"/>
                <w:szCs w:val="21"/>
                <w:highlight w:val="none"/>
                <w:lang w:val="zh-CN" w:bidi="zh-CN"/>
              </w:rPr>
              <w:t>施工前</w:t>
            </w:r>
            <w:r>
              <w:rPr>
                <w:rFonts w:hint="eastAsia" w:ascii="Times New Roman" w:hAnsi="Times New Roman" w:cs="Times New Roman"/>
                <w:iCs/>
                <w:caps w:val="0"/>
                <w:smallCaps w:val="0"/>
                <w:color w:val="auto"/>
                <w:spacing w:val="0"/>
                <w:w w:val="100"/>
                <w:kern w:val="28"/>
                <w:position w:val="0"/>
                <w:sz w:val="21"/>
                <w:szCs w:val="21"/>
                <w:highlight w:val="none"/>
                <w:lang w:val="zh-CN" w:bidi="zh-CN"/>
              </w:rPr>
              <w:t>由</w:t>
            </w:r>
            <w:r>
              <w:rPr>
                <w:rFonts w:hint="eastAsia" w:ascii="Times New Roman" w:hAnsi="Times New Roman" w:cs="Times New Roman"/>
                <w:iCs/>
                <w:caps w:val="0"/>
                <w:smallCaps w:val="0"/>
                <w:color w:val="auto"/>
                <w:spacing w:val="0"/>
                <w:w w:val="100"/>
                <w:kern w:val="28"/>
                <w:position w:val="0"/>
                <w:sz w:val="21"/>
                <w:szCs w:val="21"/>
                <w:highlight w:val="none"/>
                <w:lang w:val="en-US" w:bidi="zh-CN"/>
              </w:rPr>
              <w:t>第十一采油厂</w:t>
            </w:r>
            <w:r>
              <w:rPr>
                <w:rFonts w:ascii="Times New Roman" w:hAnsi="Times New Roman" w:cs="Times New Roman"/>
                <w:iCs/>
                <w:caps w:val="0"/>
                <w:smallCaps w:val="0"/>
                <w:color w:val="auto"/>
                <w:spacing w:val="0"/>
                <w:w w:val="100"/>
                <w:kern w:val="28"/>
                <w:position w:val="0"/>
                <w:sz w:val="21"/>
                <w:szCs w:val="21"/>
                <w:highlight w:val="none"/>
                <w:lang w:val="zh-CN" w:bidi="zh-CN"/>
              </w:rPr>
              <w:t>编制表土剥离方案，在施工过程中针对临时占地，应剥离占地内0.3m的表土，采用分层开挖，分层堆放，集中暂存于临时占地内的表土剥离临时堆放区，并采取苫布遮盖等措施防止水土流失，定期采取洒水抑尘措施。针对永久占地将剥离的表土按照“占一补一，质量相等”的要求进行补偿并易地补充耕地，针对临时占地在将剥离的表土在施工结束后分层回填，并及时恢复地表植被。</w:t>
            </w:r>
          </w:p>
        </w:tc>
        <w:tc>
          <w:tcPr>
            <w:tcW w:w="506" w:type="pct"/>
            <w:vAlign w:val="center"/>
          </w:tcPr>
          <w:p w14:paraId="1F20E3F2">
            <w:pPr>
              <w:widowControl w:val="0"/>
              <w:autoSpaceDE w:val="0"/>
              <w:autoSpaceDN w:val="0"/>
              <w:adjustRightInd w:val="0"/>
              <w:snapToGrid w:val="0"/>
              <w:spacing w:line="360" w:lineRule="exact"/>
              <w:jc w:val="center"/>
              <w:rPr>
                <w:rFonts w:ascii="Times New Roman" w:hAnsi="Times New Roman" w:cs="Times New Roman"/>
                <w:iCs/>
                <w:caps w:val="0"/>
                <w:smallCaps w:val="0"/>
                <w:color w:val="auto"/>
                <w:spacing w:val="0"/>
                <w:w w:val="100"/>
                <w:kern w:val="28"/>
                <w:position w:val="0"/>
                <w:sz w:val="21"/>
                <w:szCs w:val="21"/>
                <w:highlight w:val="none"/>
                <w:lang w:val="zh-CN" w:bidi="zh-CN"/>
              </w:rPr>
            </w:pPr>
            <w:r>
              <w:rPr>
                <w:rFonts w:ascii="Times New Roman" w:hAnsi="Times New Roman" w:cs="Times New Roman"/>
                <w:iCs/>
                <w:caps w:val="0"/>
                <w:smallCaps w:val="0"/>
                <w:color w:val="auto"/>
                <w:spacing w:val="0"/>
                <w:w w:val="100"/>
                <w:kern w:val="28"/>
                <w:position w:val="0"/>
                <w:sz w:val="21"/>
                <w:szCs w:val="21"/>
                <w:highlight w:val="none"/>
                <w:lang w:val="zh-CN" w:bidi="zh-CN"/>
              </w:rPr>
              <w:t>符合</w:t>
            </w:r>
          </w:p>
        </w:tc>
      </w:tr>
    </w:tbl>
    <w:p w14:paraId="13BCFC27">
      <w:pPr>
        <w:widowControl w:val="0"/>
        <w:autoSpaceDE w:val="0"/>
        <w:autoSpaceDN w:val="0"/>
        <w:spacing w:line="440" w:lineRule="exact"/>
        <w:ind w:firstLine="480" w:firstLineChars="200"/>
        <w:jc w:val="both"/>
        <w:rPr>
          <w:rFonts w:ascii="Times New Roman" w:hAnsi="Times New Roman" w:cs="Times New Roman"/>
          <w:iCs/>
          <w:caps w:val="0"/>
          <w:smallCaps w:val="0"/>
          <w:color w:val="auto"/>
          <w:spacing w:val="0"/>
          <w:w w:val="100"/>
          <w:kern w:val="2"/>
          <w:position w:val="0"/>
          <w:highlight w:val="none"/>
          <w:lang w:val="zh-CN" w:bidi="zh-CN"/>
        </w:rPr>
      </w:pPr>
      <w:r>
        <w:rPr>
          <w:rFonts w:ascii="Times New Roman" w:hAnsi="Times New Roman" w:cs="Times New Roman"/>
          <w:iCs/>
          <w:caps w:val="0"/>
          <w:smallCaps w:val="0"/>
          <w:color w:val="auto"/>
          <w:spacing w:val="0"/>
          <w:w w:val="100"/>
          <w:kern w:val="2"/>
          <w:position w:val="0"/>
          <w:highlight w:val="none"/>
          <w:lang w:val="zh-CN" w:bidi="zh-CN"/>
        </w:rPr>
        <w:t>根据以上分析，本项目符合《黑龙江省人民政府办公厅关于建设占用耕地耕作层土壤剥离利用工作的指导意见（试行）》（黑政办规〔2021〕18号）中要求。</w:t>
      </w:r>
    </w:p>
    <w:p w14:paraId="14551CAB">
      <w:pPr>
        <w:widowControl w:val="0"/>
        <w:spacing w:line="440" w:lineRule="exact"/>
        <w:jc w:val="both"/>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1.4.3.11与《大庆市空气质量持续改善行动计划实施方案》符合性判定</w:t>
      </w:r>
    </w:p>
    <w:p w14:paraId="5E883856">
      <w:pPr>
        <w:spacing w:line="440" w:lineRule="exact"/>
        <w:ind w:firstLine="480" w:firstLineChars="200"/>
        <w:jc w:val="both"/>
        <w:rPr>
          <w:rFonts w:ascii="Times New Roman" w:hAnsi="Times New Roman" w:cs="Times New Roman"/>
          <w:caps w:val="0"/>
          <w:smallCaps w:val="0"/>
          <w:color w:val="auto"/>
          <w:spacing w:val="0"/>
          <w:w w:val="100"/>
          <w:position w:val="0"/>
          <w:highlight w:val="none"/>
          <w:lang w:bidi="zh-CN"/>
        </w:rPr>
      </w:pPr>
      <w:r>
        <w:rPr>
          <w:rFonts w:ascii="Times New Roman" w:hAnsi="Times New Roman" w:cs="Times New Roman"/>
          <w:caps w:val="0"/>
          <w:smallCaps w:val="0"/>
          <w:color w:val="auto"/>
          <w:spacing w:val="0"/>
          <w:w w:val="100"/>
          <w:position w:val="0"/>
          <w:highlight w:val="none"/>
          <w:lang w:bidi="zh-CN"/>
        </w:rPr>
        <w:t>本项目与《大庆市空气质量持续改善行动计划实施方案》（庆政发〔2024〕10号）符合性分析见表1.4-13。</w:t>
      </w:r>
    </w:p>
    <w:p w14:paraId="14BD31F4">
      <w:pPr>
        <w:spacing w:line="440" w:lineRule="exact"/>
        <w:ind w:firstLine="482" w:firstLineChars="200"/>
        <w:jc w:val="both"/>
        <w:rPr>
          <w:rFonts w:ascii="Times New Roman" w:hAnsi="Times New Roman" w:cs="Times New Roman"/>
          <w:caps w:val="0"/>
          <w:smallCaps w:val="0"/>
          <w:color w:val="auto"/>
          <w:spacing w:val="0"/>
          <w:w w:val="100"/>
          <w:position w:val="0"/>
          <w:highlight w:val="none"/>
          <w:lang w:bidi="zh-CN"/>
        </w:rPr>
      </w:pPr>
      <w:r>
        <w:rPr>
          <w:rFonts w:ascii="Times New Roman" w:hAnsi="Times New Roman" w:cs="Times New Roman"/>
          <w:b/>
          <w:caps w:val="0"/>
          <w:smallCaps w:val="0"/>
          <w:color w:val="auto"/>
          <w:spacing w:val="0"/>
          <w:w w:val="100"/>
          <w:position w:val="0"/>
          <w:highlight w:val="none"/>
          <w:lang w:bidi="zh-CN"/>
        </w:rPr>
        <w:t>表1.4-13 与《大庆市空气质量持续改善行动计划实施方案》相关要求符合性判定</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3941"/>
        <w:gridCol w:w="3794"/>
        <w:gridCol w:w="992"/>
      </w:tblGrid>
      <w:tr w14:paraId="2D11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5EDA20D4">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序号</w:t>
            </w:r>
          </w:p>
        </w:tc>
        <w:tc>
          <w:tcPr>
            <w:tcW w:w="2122" w:type="pct"/>
            <w:vAlign w:val="center"/>
          </w:tcPr>
          <w:p w14:paraId="71D4B02D">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相关要求</w:t>
            </w:r>
          </w:p>
        </w:tc>
        <w:tc>
          <w:tcPr>
            <w:tcW w:w="2043" w:type="pct"/>
            <w:vAlign w:val="center"/>
          </w:tcPr>
          <w:p w14:paraId="5A2D18BD">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符合性分析</w:t>
            </w:r>
          </w:p>
        </w:tc>
        <w:tc>
          <w:tcPr>
            <w:tcW w:w="534" w:type="pct"/>
            <w:vAlign w:val="center"/>
          </w:tcPr>
          <w:p w14:paraId="337B0CE8">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符合性</w:t>
            </w:r>
          </w:p>
        </w:tc>
      </w:tr>
      <w:tr w14:paraId="46B8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5229E96A">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w:t>
            </w:r>
          </w:p>
        </w:tc>
        <w:tc>
          <w:tcPr>
            <w:tcW w:w="2122" w:type="pct"/>
            <w:vAlign w:val="center"/>
          </w:tcPr>
          <w:p w14:paraId="136A3A0C">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严格环境准入要求。新改扩建高耗能、高排放、低水平项目，要严格遵照产业规划和政策、生态环境分区管控、规划环评、项目环评、节能审查，以及产能置换、总量控制、区域污染物削减、碳达峰等相关要求执行，原则上采用清洁运输方式。</w:t>
            </w:r>
          </w:p>
        </w:tc>
        <w:tc>
          <w:tcPr>
            <w:tcW w:w="2043" w:type="pct"/>
            <w:vAlign w:val="center"/>
          </w:tcPr>
          <w:p w14:paraId="111FE893">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本项目为油田内部管道建设项目，不属于高耗能、高排放、低水平项目。</w:t>
            </w:r>
          </w:p>
        </w:tc>
        <w:tc>
          <w:tcPr>
            <w:tcW w:w="534" w:type="pct"/>
            <w:vAlign w:val="center"/>
          </w:tcPr>
          <w:p w14:paraId="1B3F05B2">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330D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246E37DF">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2</w:t>
            </w:r>
          </w:p>
        </w:tc>
        <w:tc>
          <w:tcPr>
            <w:tcW w:w="2122" w:type="pct"/>
            <w:vAlign w:val="center"/>
          </w:tcPr>
          <w:p w14:paraId="74216647">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加快淘汰重点行业落后产能。严格执行《产业结构调整指导目录》要求，加快退出淘汰类产能、工艺、装备，提高限制类产能、工艺、装备淘汰改造引导力度。</w:t>
            </w:r>
          </w:p>
        </w:tc>
        <w:tc>
          <w:tcPr>
            <w:tcW w:w="2043" w:type="pct"/>
            <w:vAlign w:val="center"/>
          </w:tcPr>
          <w:p w14:paraId="2B15B369">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本项目为</w:t>
            </w:r>
            <w:r>
              <w:rPr>
                <w:rFonts w:hint="eastAsia" w:ascii="Times New Roman" w:hAnsi="Times New Roman" w:cs="Times New Roman"/>
                <w:caps w:val="0"/>
                <w:smallCaps w:val="0"/>
                <w:color w:val="auto"/>
                <w:spacing w:val="0"/>
                <w:w w:val="100"/>
                <w:position w:val="0"/>
                <w:sz w:val="21"/>
                <w:szCs w:val="21"/>
                <w:highlight w:val="none"/>
              </w:rPr>
              <w:t>输油管道及</w:t>
            </w:r>
            <w:r>
              <w:rPr>
                <w:rFonts w:hint="eastAsia" w:ascii="Times New Roman" w:hAnsi="Times New Roman" w:cs="Times New Roman"/>
                <w:caps w:val="0"/>
                <w:smallCaps w:val="0"/>
                <w:color w:val="auto"/>
                <w:spacing w:val="0"/>
                <w:w w:val="100"/>
                <w:position w:val="0"/>
                <w:sz w:val="21"/>
                <w:szCs w:val="21"/>
                <w:highlight w:val="none"/>
                <w:lang w:val="en-US" w:eastAsia="zh-CN"/>
              </w:rPr>
              <w:t>掺水</w:t>
            </w:r>
            <w:r>
              <w:rPr>
                <w:rFonts w:hint="eastAsia" w:ascii="Times New Roman" w:hAnsi="Times New Roman" w:cs="Times New Roman"/>
                <w:caps w:val="0"/>
                <w:smallCaps w:val="0"/>
                <w:color w:val="auto"/>
                <w:spacing w:val="0"/>
                <w:w w:val="100"/>
                <w:position w:val="0"/>
                <w:sz w:val="21"/>
                <w:szCs w:val="21"/>
                <w:highlight w:val="none"/>
              </w:rPr>
              <w:t>管道</w:t>
            </w:r>
            <w:r>
              <w:rPr>
                <w:rFonts w:ascii="Times New Roman" w:hAnsi="Times New Roman" w:cs="Times New Roman"/>
                <w:caps w:val="0"/>
                <w:smallCaps w:val="0"/>
                <w:color w:val="auto"/>
                <w:spacing w:val="0"/>
                <w:w w:val="100"/>
                <w:position w:val="0"/>
                <w:sz w:val="21"/>
                <w:szCs w:val="21"/>
                <w:highlight w:val="none"/>
              </w:rPr>
              <w:t>建设项目，属于常规石油开采项目的一部分，根据《产业结构调整指导目录（2024 年本）》，本项目属于鼓励类“七、石油天然气”中“1.石油天然气开采：常规石油、天然气勘探与开采”。</w:t>
            </w:r>
          </w:p>
        </w:tc>
        <w:tc>
          <w:tcPr>
            <w:tcW w:w="534" w:type="pct"/>
            <w:vAlign w:val="center"/>
          </w:tcPr>
          <w:p w14:paraId="368DC8E3">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654D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0B5A7570">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3</w:t>
            </w:r>
          </w:p>
        </w:tc>
        <w:tc>
          <w:tcPr>
            <w:tcW w:w="2122" w:type="pct"/>
            <w:vAlign w:val="center"/>
          </w:tcPr>
          <w:p w14:paraId="73809F73">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大力发展新能源和清洁能源。持续增加天然气生产供应，进一步优化天然气使用方式，新增天然气优先保障居民生活和清洁取暖需求，在落实气源的前提下加大工业用煤替代力度。到2025年，非化石能源消费比重力争超过15%。</w:t>
            </w:r>
          </w:p>
        </w:tc>
        <w:tc>
          <w:tcPr>
            <w:tcW w:w="2043" w:type="pct"/>
            <w:vAlign w:val="center"/>
          </w:tcPr>
          <w:p w14:paraId="2F60ABD1">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本项目为油田内部管道建设项目，运行期不消耗能源。</w:t>
            </w:r>
          </w:p>
        </w:tc>
        <w:tc>
          <w:tcPr>
            <w:tcW w:w="534" w:type="pct"/>
            <w:vAlign w:val="center"/>
          </w:tcPr>
          <w:p w14:paraId="7E4BFBC0">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045A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05668CF6">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4</w:t>
            </w:r>
          </w:p>
        </w:tc>
        <w:tc>
          <w:tcPr>
            <w:tcW w:w="2122" w:type="pct"/>
            <w:vAlign w:val="center"/>
          </w:tcPr>
          <w:p w14:paraId="368AFD19">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深化扬尘污染综合治理。全面推行绿色施工，严格执行“六个百分之百”，严格落实《行动计划》“将防治扬尘污染费用纳入工程造价”的规定。</w:t>
            </w:r>
          </w:p>
        </w:tc>
        <w:tc>
          <w:tcPr>
            <w:tcW w:w="2043" w:type="pct"/>
            <w:vAlign w:val="center"/>
          </w:tcPr>
          <w:p w14:paraId="614B118A">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本工程施工期通过采取施工场地定时洒水、运输车辆加盖苫布、土方采取防尘网遮盖挡等措施，降低施工扬尘对周围环境的影响。运行期不会产生扬尘。</w:t>
            </w:r>
          </w:p>
        </w:tc>
        <w:tc>
          <w:tcPr>
            <w:tcW w:w="534" w:type="pct"/>
            <w:vAlign w:val="center"/>
          </w:tcPr>
          <w:p w14:paraId="5650308A">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r w14:paraId="4DC3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51FFBD61">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5</w:t>
            </w:r>
          </w:p>
        </w:tc>
        <w:tc>
          <w:tcPr>
            <w:tcW w:w="2122" w:type="pct"/>
            <w:vAlign w:val="center"/>
          </w:tcPr>
          <w:p w14:paraId="19C4C319">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强化VOCs综合治理。鼓励使用低泄漏的储罐呼吸阀、紧急泄压阀，定期开展储罐部件密封性检测。对装载汽油、煤油等高挥发性化工产品的汽车罐车，推广使用自封式快速接头。严格落实《实施方案》“污水处理场所高浓度废气要单独收集处理；含VOCs有机废水储罐、装置区集水井(池)废气要密闭收集处理”的规定。规范开展泄漏检测与修复(LDAR)。企业开停工、检维修期间，及时收集处理退料、清洗、吹扫等作业产生的VOCs废气。防止将火炬燃烧装置作为日常大气污染处理设施。</w:t>
            </w:r>
          </w:p>
        </w:tc>
        <w:tc>
          <w:tcPr>
            <w:tcW w:w="2043" w:type="pct"/>
            <w:vAlign w:val="center"/>
          </w:tcPr>
          <w:p w14:paraId="33AB9860">
            <w:pPr>
              <w:adjustRightInd w:val="0"/>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本项目为油田内部管道建设项目，运行期采用密闭工艺流程，采取密闭性良好的阀门，同时加强对设备和管道的检查与维护，最大程度上控制烃类气体的无组织挥发</w:t>
            </w:r>
          </w:p>
        </w:tc>
        <w:tc>
          <w:tcPr>
            <w:tcW w:w="534" w:type="pct"/>
            <w:vAlign w:val="center"/>
          </w:tcPr>
          <w:p w14:paraId="000B2C49">
            <w:pPr>
              <w:adjustRightInd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w:t>
            </w:r>
          </w:p>
        </w:tc>
      </w:tr>
    </w:tbl>
    <w:p w14:paraId="35A8868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根据以上分析，本项目符合《大庆市空气质量持续改善行动计划实施方案》（庆政发〔2024〕10号）中要求。</w:t>
      </w:r>
    </w:p>
    <w:p w14:paraId="0FAE44D1">
      <w:pPr>
        <w:pStyle w:val="6"/>
        <w:widowControl w:val="0"/>
        <w:spacing w:before="60" w:after="60" w:line="440" w:lineRule="exact"/>
        <w:jc w:val="both"/>
        <w:rPr>
          <w:rFonts w:eastAsia="宋体"/>
          <w:b/>
          <w:caps w:val="0"/>
          <w:smallCaps w:val="0"/>
          <w:color w:val="auto"/>
          <w:spacing w:val="0"/>
          <w:w w:val="100"/>
          <w:kern w:val="2"/>
          <w:position w:val="0"/>
          <w:sz w:val="24"/>
          <w:szCs w:val="24"/>
          <w:highlight w:val="none"/>
        </w:rPr>
      </w:pPr>
      <w:bookmarkStart w:id="106" w:name="_Toc186444231"/>
      <w:r>
        <w:rPr>
          <w:rFonts w:eastAsia="宋体"/>
          <w:b/>
          <w:caps w:val="0"/>
          <w:smallCaps w:val="0"/>
          <w:color w:val="auto"/>
          <w:spacing w:val="0"/>
          <w:w w:val="100"/>
          <w:kern w:val="2"/>
          <w:position w:val="0"/>
          <w:sz w:val="24"/>
          <w:szCs w:val="24"/>
          <w:highlight w:val="none"/>
        </w:rPr>
        <w:t>1.4.4</w:t>
      </w:r>
      <w:r>
        <w:rPr>
          <w:rFonts w:hint="eastAsia" w:eastAsia="宋体"/>
          <w:b/>
          <w:caps w:val="0"/>
          <w:smallCaps w:val="0"/>
          <w:color w:val="auto"/>
          <w:spacing w:val="0"/>
          <w:w w:val="100"/>
          <w:kern w:val="2"/>
          <w:position w:val="0"/>
          <w:sz w:val="24"/>
          <w:szCs w:val="24"/>
          <w:highlight w:val="none"/>
        </w:rPr>
        <w:t>生态环境分区管控要求</w:t>
      </w:r>
      <w:r>
        <w:rPr>
          <w:rFonts w:eastAsia="宋体"/>
          <w:b/>
          <w:caps w:val="0"/>
          <w:smallCaps w:val="0"/>
          <w:color w:val="auto"/>
          <w:spacing w:val="0"/>
          <w:w w:val="100"/>
          <w:kern w:val="2"/>
          <w:position w:val="0"/>
          <w:sz w:val="24"/>
          <w:szCs w:val="24"/>
          <w:highlight w:val="none"/>
        </w:rPr>
        <w:t>符合性分析</w:t>
      </w:r>
      <w:bookmarkEnd w:id="106"/>
    </w:p>
    <w:p w14:paraId="62F5EA36">
      <w:pPr>
        <w:pStyle w:val="149"/>
        <w:widowControl w:val="0"/>
        <w:spacing w:line="440" w:lineRule="exact"/>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1.4.4.1生态保护红线</w:t>
      </w:r>
    </w:p>
    <w:p w14:paraId="5957547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olor w:val="auto"/>
          <w:kern w:val="2"/>
          <w:highlight w:val="none"/>
        </w:rPr>
        <w:t>根据《自然资源部办公厅关于辽宁等省启用“三区三线”划定成果作为报批建设项目用地用海依据的函》，</w:t>
      </w:r>
      <w:r>
        <w:rPr>
          <w:rFonts w:hint="eastAsia" w:ascii="Times New Roman" w:hAnsi="Times New Roman" w:cs="Times New Roman"/>
          <w:color w:val="auto"/>
          <w:kern w:val="2"/>
          <w:highlight w:val="none"/>
        </w:rPr>
        <w:t>本项目位于黑龙江省安达市昌德镇境内，属于“三区三线”划定启用的区域，其中的“三区”分别为城镇空间、农业空间、生态空间三种类型的国土空间；“三线”分别为城镇开发边界、永久基本农田、生态保护红线三条控制线。按照《绥化市国土空间总体规划（</w:t>
      </w:r>
      <w:r>
        <w:rPr>
          <w:rFonts w:ascii="Times New Roman" w:hAnsi="Times New Roman" w:cs="Times New Roman"/>
          <w:color w:val="auto"/>
          <w:kern w:val="2"/>
          <w:highlight w:val="none"/>
        </w:rPr>
        <w:t>2021-2035 年）</w:t>
      </w:r>
      <w:r>
        <w:rPr>
          <w:rFonts w:hint="eastAsia" w:ascii="Times New Roman" w:hAnsi="Times New Roman" w:cs="Times New Roman"/>
          <w:color w:val="auto"/>
          <w:kern w:val="2"/>
          <w:highlight w:val="none"/>
        </w:rPr>
        <w:t>》、黑龙江省生态环境分区管控数据应用平台和自然资源部永久基本农田查询平台</w:t>
      </w:r>
      <w:r>
        <w:rPr>
          <w:rFonts w:ascii="Times New Roman" w:hAnsi="Times New Roman" w:cs="Times New Roman"/>
          <w:color w:val="auto"/>
          <w:kern w:val="2"/>
          <w:highlight w:val="none"/>
        </w:rPr>
        <w:t>，本项目占用永久基本农田，不在生态保护红线、城镇开发边界内，且本项目不涉及国家、省、市级自然保护区、自然文化遗产、风景名胜区、文物古迹、饮用水水源保护区、重要湿地等区域。根据</w:t>
      </w:r>
      <w:r>
        <w:rPr>
          <w:rFonts w:hint="eastAsia" w:ascii="Times New Roman" w:hAnsi="Times New Roman" w:cs="Times New Roman"/>
          <w:color w:val="auto"/>
          <w:kern w:val="2"/>
          <w:highlight w:val="none"/>
        </w:rPr>
        <w:t>《黑龙江省生态环境分区管控动态更新成果（</w:t>
      </w:r>
      <w:r>
        <w:rPr>
          <w:rFonts w:ascii="Times New Roman" w:hAnsi="Times New Roman" w:cs="Times New Roman"/>
          <w:color w:val="auto"/>
          <w:kern w:val="2"/>
          <w:highlight w:val="none"/>
        </w:rPr>
        <w:t>2023年版）</w:t>
      </w:r>
      <w:r>
        <w:rPr>
          <w:rFonts w:hint="eastAsia" w:ascii="Times New Roman" w:hAnsi="Times New Roman" w:cs="Times New Roman"/>
          <w:color w:val="auto"/>
          <w:kern w:val="2"/>
          <w:highlight w:val="none"/>
        </w:rPr>
        <w:t>》</w:t>
      </w:r>
      <w:r>
        <w:rPr>
          <w:rFonts w:ascii="Times New Roman" w:hAnsi="Times New Roman" w:cs="Times New Roman"/>
          <w:color w:val="auto"/>
          <w:kern w:val="2"/>
          <w:highlight w:val="none"/>
        </w:rPr>
        <w:t>及《</w:t>
      </w:r>
      <w:r>
        <w:rPr>
          <w:rFonts w:hint="eastAsia" w:ascii="Times New Roman" w:hAnsi="Times New Roman" w:cs="Times New Roman"/>
          <w:color w:val="auto"/>
          <w:kern w:val="2"/>
          <w:highlight w:val="none"/>
        </w:rPr>
        <w:t>绥化</w:t>
      </w:r>
      <w:r>
        <w:rPr>
          <w:rFonts w:ascii="Times New Roman" w:hAnsi="Times New Roman" w:cs="Times New Roman"/>
          <w:color w:val="auto"/>
          <w:kern w:val="2"/>
          <w:highlight w:val="none"/>
        </w:rPr>
        <w:t>市生态环境准入清单</w:t>
      </w:r>
      <w:r>
        <w:rPr>
          <w:rFonts w:hint="eastAsia" w:ascii="Times New Roman" w:hAnsi="Times New Roman" w:cs="Times New Roman"/>
          <w:color w:val="auto"/>
          <w:kern w:val="2"/>
          <w:highlight w:val="none"/>
        </w:rPr>
        <w:t>（</w:t>
      </w:r>
      <w:r>
        <w:rPr>
          <w:rFonts w:ascii="Times New Roman" w:hAnsi="Times New Roman" w:cs="Times New Roman"/>
          <w:color w:val="auto"/>
          <w:kern w:val="2"/>
          <w:highlight w:val="none"/>
        </w:rPr>
        <w:t>2023年版）》，本项目位于重点管控</w:t>
      </w:r>
      <w:r>
        <w:rPr>
          <w:rFonts w:ascii="Times New Roman" w:hAnsi="Times New Roman" w:cs="Times New Roman"/>
          <w:color w:val="auto"/>
          <w:kern w:val="2"/>
          <w:highlight w:val="none"/>
        </w:rPr>
        <w:t>单元</w:t>
      </w:r>
      <w:r>
        <w:rPr>
          <w:rFonts w:ascii="Times New Roman" w:hAnsi="Times New Roman" w:cs="Times New Roman"/>
          <w:caps w:val="0"/>
          <w:smallCaps w:val="0"/>
          <w:color w:val="auto"/>
          <w:spacing w:val="0"/>
          <w:w w:val="100"/>
          <w:kern w:val="2"/>
          <w:position w:val="0"/>
          <w:highlight w:val="none"/>
        </w:rPr>
        <w:t>，本项目与分区管控要求符合性分析见表1.4-14。</w:t>
      </w:r>
    </w:p>
    <w:p w14:paraId="1A5CF095">
      <w:pPr>
        <w:widowControl w:val="0"/>
        <w:snapToGrid w:val="0"/>
        <w:spacing w:line="440" w:lineRule="exact"/>
        <w:ind w:firstLine="482" w:firstLineChars="200"/>
        <w:jc w:val="both"/>
        <w:rPr>
          <w:rFonts w:ascii="Times New Roman" w:hAnsi="Times New Roman" w:cs="Times New Roman"/>
          <w:b/>
          <w:bCs/>
          <w:color w:val="auto"/>
          <w:kern w:val="2"/>
          <w:szCs w:val="20"/>
          <w:highlight w:val="none"/>
        </w:rPr>
      </w:pPr>
      <w:r>
        <w:rPr>
          <w:rFonts w:ascii="Times New Roman" w:hAnsi="Times New Roman" w:cs="Times New Roman"/>
          <w:b/>
          <w:bCs/>
          <w:caps w:val="0"/>
          <w:smallCaps w:val="0"/>
          <w:color w:val="auto"/>
          <w:spacing w:val="0"/>
          <w:w w:val="100"/>
          <w:position w:val="0"/>
          <w:szCs w:val="20"/>
          <w:highlight w:val="none"/>
        </w:rPr>
        <w:t>表1.4-14    本项目与分区管控要求符合性分</w:t>
      </w:r>
      <w:r>
        <w:rPr>
          <w:rFonts w:ascii="Times New Roman" w:hAnsi="Times New Roman" w:cs="Times New Roman"/>
          <w:b/>
          <w:bCs/>
          <w:color w:val="auto"/>
          <w:szCs w:val="20"/>
          <w:highlight w:val="none"/>
        </w:rPr>
        <w:t>析</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37"/>
        <w:gridCol w:w="2315"/>
        <w:gridCol w:w="4774"/>
        <w:gridCol w:w="714"/>
      </w:tblGrid>
      <w:tr w14:paraId="44923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8" w:type="pct"/>
            <w:tcMar>
              <w:top w:w="0" w:type="dxa"/>
              <w:left w:w="85" w:type="dxa"/>
              <w:bottom w:w="0" w:type="dxa"/>
              <w:right w:w="85" w:type="dxa"/>
            </w:tcMar>
            <w:vAlign w:val="center"/>
          </w:tcPr>
          <w:p w14:paraId="7A86349B">
            <w:pPr>
              <w:spacing w:line="320" w:lineRule="exact"/>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环境管控单元</w:t>
            </w:r>
          </w:p>
        </w:tc>
        <w:tc>
          <w:tcPr>
            <w:tcW w:w="1252" w:type="pct"/>
            <w:tcMar>
              <w:top w:w="0" w:type="dxa"/>
              <w:left w:w="85" w:type="dxa"/>
              <w:bottom w:w="0" w:type="dxa"/>
              <w:right w:w="85" w:type="dxa"/>
            </w:tcMar>
            <w:vAlign w:val="center"/>
          </w:tcPr>
          <w:p w14:paraId="099D0C28">
            <w:pPr>
              <w:spacing w:line="320" w:lineRule="exact"/>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分区管控要求</w:t>
            </w:r>
          </w:p>
        </w:tc>
        <w:tc>
          <w:tcPr>
            <w:tcW w:w="2582" w:type="pct"/>
            <w:tcMar>
              <w:top w:w="0" w:type="dxa"/>
              <w:left w:w="85" w:type="dxa"/>
              <w:bottom w:w="0" w:type="dxa"/>
              <w:right w:w="85" w:type="dxa"/>
            </w:tcMar>
            <w:vAlign w:val="center"/>
          </w:tcPr>
          <w:p w14:paraId="68E81918">
            <w:pPr>
              <w:spacing w:line="320" w:lineRule="exact"/>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拟建项目情况</w:t>
            </w:r>
          </w:p>
        </w:tc>
        <w:tc>
          <w:tcPr>
            <w:tcW w:w="386" w:type="pct"/>
            <w:tcMar>
              <w:top w:w="0" w:type="dxa"/>
              <w:left w:w="85" w:type="dxa"/>
              <w:bottom w:w="0" w:type="dxa"/>
              <w:right w:w="85" w:type="dxa"/>
            </w:tcMar>
            <w:vAlign w:val="center"/>
          </w:tcPr>
          <w:p w14:paraId="2B17A143">
            <w:pPr>
              <w:spacing w:line="320" w:lineRule="exact"/>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符合性</w:t>
            </w:r>
          </w:p>
        </w:tc>
      </w:tr>
      <w:tr w14:paraId="34B67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8" w:type="pct"/>
            <w:tcMar>
              <w:top w:w="0" w:type="dxa"/>
              <w:left w:w="85" w:type="dxa"/>
              <w:bottom w:w="0" w:type="dxa"/>
              <w:right w:w="85" w:type="dxa"/>
            </w:tcMar>
            <w:vAlign w:val="center"/>
          </w:tcPr>
          <w:p w14:paraId="66341DC2">
            <w:pPr>
              <w:spacing w:line="320" w:lineRule="exact"/>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重点管控单元</w:t>
            </w:r>
          </w:p>
        </w:tc>
        <w:tc>
          <w:tcPr>
            <w:tcW w:w="1252" w:type="pct"/>
            <w:tcMar>
              <w:top w:w="0" w:type="dxa"/>
              <w:left w:w="85" w:type="dxa"/>
              <w:bottom w:w="0" w:type="dxa"/>
              <w:right w:w="85" w:type="dxa"/>
            </w:tcMar>
            <w:vAlign w:val="center"/>
          </w:tcPr>
          <w:p w14:paraId="78669203">
            <w:pPr>
              <w:spacing w:line="320" w:lineRule="exact"/>
              <w:jc w:val="center"/>
              <w:rPr>
                <w:rFonts w:ascii="Times New Roman" w:hAnsi="Times New Roman" w:cs="Times New Roman"/>
                <w:color w:val="auto"/>
                <w:sz w:val="21"/>
                <w:szCs w:val="21"/>
                <w:highlight w:val="none"/>
              </w:rPr>
            </w:pPr>
            <w:r>
              <w:rPr>
                <w:rFonts w:hint="eastAsia" w:ascii="Times New Roman" w:hAnsi="Times New Roman" w:cs="Times New Roman" w:eastAsiaTheme="minorEastAsia"/>
                <w:color w:val="auto"/>
                <w:sz w:val="21"/>
                <w:szCs w:val="21"/>
                <w:highlight w:val="none"/>
                <w:lang w:bidi="zh-CN"/>
              </w:rPr>
              <w:t>突出污染物排放控制和环境风险防控，按照差别化的生态环境准入要求，优化空间和产业布局，不断提升资源利用效率，</w:t>
            </w:r>
            <w:r>
              <w:rPr>
                <w:rFonts w:ascii="Times New Roman" w:hAnsi="Times New Roman" w:cs="Times New Roman" w:eastAsiaTheme="minorEastAsia"/>
                <w:color w:val="auto"/>
                <w:sz w:val="21"/>
                <w:szCs w:val="21"/>
                <w:highlight w:val="none"/>
                <w:lang w:bidi="zh-CN"/>
              </w:rPr>
              <w:t>强化环境质量改善目标约束，解决局部生态环境质量不达标、生态环境风险高的要求。</w:t>
            </w:r>
          </w:p>
        </w:tc>
        <w:tc>
          <w:tcPr>
            <w:tcW w:w="2582" w:type="pct"/>
            <w:tcMar>
              <w:top w:w="0" w:type="dxa"/>
              <w:left w:w="85" w:type="dxa"/>
              <w:bottom w:w="0" w:type="dxa"/>
              <w:right w:w="85" w:type="dxa"/>
            </w:tcMar>
            <w:vAlign w:val="center"/>
          </w:tcPr>
          <w:p w14:paraId="11FC6492">
            <w:pPr>
              <w:spacing w:line="320" w:lineRule="exact"/>
              <w:jc w:val="both"/>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color w:val="auto"/>
                <w:sz w:val="21"/>
                <w:szCs w:val="21"/>
                <w:highlight w:val="none"/>
              </w:rPr>
              <w:t>本项目施工期施工场地采取及时洒水、临时土方等加盖苫布等遮盖物来控制扬尘排放。施工期</w:t>
            </w:r>
            <w:r>
              <w:rPr>
                <w:rFonts w:hint="eastAsia" w:ascii="Times New Roman" w:hAnsi="Times New Roman" w:cs="Times New Roman" w:eastAsiaTheme="minorEastAsia"/>
                <w:bCs/>
                <w:color w:val="auto"/>
                <w:sz w:val="21"/>
                <w:szCs w:val="21"/>
                <w:highlight w:val="none"/>
              </w:rPr>
              <w:t>新建管线试压废水及废弃管线清洗废水</w:t>
            </w:r>
            <w:r>
              <w:rPr>
                <w:rFonts w:ascii="Times New Roman" w:hAnsi="Times New Roman" w:cs="Times New Roman" w:eastAsiaTheme="minorEastAsia"/>
                <w:bCs/>
                <w:color w:val="auto"/>
                <w:sz w:val="21"/>
                <w:szCs w:val="21"/>
                <w:highlight w:val="none"/>
              </w:rPr>
              <w:t>由罐车拉运至</w:t>
            </w:r>
            <w:r>
              <w:rPr>
                <w:rFonts w:ascii="Times New Roman" w:hAnsi="Times New Roman" w:cs="Times New Roman" w:eastAsiaTheme="minorEastAsia"/>
                <w:bCs/>
                <w:color w:val="auto"/>
                <w:kern w:val="2"/>
                <w:sz w:val="21"/>
                <w:highlight w:val="none"/>
                <w:lang w:bidi="zh-CN"/>
              </w:rPr>
              <w:t>卫一联含油污水深度处理站</w:t>
            </w:r>
            <w:r>
              <w:rPr>
                <w:rFonts w:ascii="Times New Roman" w:hAnsi="Times New Roman" w:cs="Times New Roman" w:eastAsiaTheme="minorEastAsia"/>
                <w:bCs/>
                <w:color w:val="auto"/>
                <w:sz w:val="21"/>
                <w:szCs w:val="21"/>
                <w:highlight w:val="none"/>
              </w:rPr>
              <w:t>处理满足《大庆油田地面工程建设设计规定》（Q/SYDQ0639-2015）及《碎屑岩油藏注水水质指标技术要求及分析方法》（SY/T5329-2022）限值要求后回注油层，不外排；施工期施工人员产生的生活污水排入附近计量间或场站已建防渗旱厕，定期由</w:t>
            </w:r>
            <w:r>
              <w:rPr>
                <w:rFonts w:hint="eastAsia" w:ascii="Times New Roman" w:hAnsi="Times New Roman" w:cs="Times New Roman" w:eastAsiaTheme="minorEastAsia"/>
                <w:bCs/>
                <w:color w:val="auto"/>
                <w:sz w:val="21"/>
                <w:szCs w:val="21"/>
                <w:highlight w:val="none"/>
                <w:lang w:eastAsia="zh-CN"/>
              </w:rPr>
              <w:t>安达市同昌油田工程有限公司拉运至大庆市净源环保科技有限公司进行处理</w:t>
            </w:r>
            <w:r>
              <w:rPr>
                <w:rFonts w:ascii="Times New Roman" w:hAnsi="Times New Roman" w:cs="Times New Roman" w:eastAsiaTheme="minorEastAsia"/>
                <w:color w:val="auto"/>
                <w:sz w:val="21"/>
                <w:szCs w:val="21"/>
                <w:highlight w:val="none"/>
              </w:rPr>
              <w:t>。</w:t>
            </w:r>
            <w:r>
              <w:rPr>
                <w:rFonts w:ascii="Times New Roman" w:hAnsi="Times New Roman" w:cs="Times New Roman" w:eastAsiaTheme="minorEastAsia"/>
                <w:bCs/>
                <w:color w:val="auto"/>
                <w:sz w:val="21"/>
                <w:szCs w:val="21"/>
                <w:highlight w:val="none"/>
              </w:rPr>
              <w:t>施工场地噪声采取合理安排施工时间，避免大量高噪声设备同时施工，选用低噪声设备，注意设备维护和保养等措施降低噪声对周边环境的影响。施工过程中产生的施工废料属于一般工业固体废物，采用收集桶回收，拉运至第八采油厂工业固废填埋场处理。定向钻施工产生的废弃泥浆排入施工场地的钢制泥浆槽中，定期拉运至大庆洁宇环保科技有限公司处理。施工人员生活垃圾统一收集后拉运至安达市生活垃圾填埋场处理。原有管线的两端切断，并采用混凝土对占压管线两端进行封堵后直埋于地下，不再挖出。本项目在施工结束后对临时占地进行补偿并恢复。</w:t>
            </w:r>
          </w:p>
          <w:p w14:paraId="1AAAE2AC">
            <w:pPr>
              <w:spacing w:line="320" w:lineRule="exact"/>
              <w:ind w:firstLine="420" w:firstLineChars="200"/>
              <w:jc w:val="both"/>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项目运营期</w:t>
            </w:r>
            <w:r>
              <w:rPr>
                <w:rFonts w:hint="eastAsia" w:ascii="Times New Roman" w:hAnsi="Times New Roman" w:cs="Times New Roman" w:eastAsiaTheme="minorEastAsia"/>
                <w:color w:val="auto"/>
                <w:sz w:val="21"/>
                <w:szCs w:val="21"/>
                <w:highlight w:val="none"/>
                <w:lang w:val="en-US" w:eastAsia="zh-CN"/>
              </w:rPr>
              <w:t>集输</w:t>
            </w:r>
            <w:r>
              <w:rPr>
                <w:rFonts w:hint="eastAsia" w:ascii="Times New Roman" w:hAnsi="Times New Roman" w:cs="Times New Roman" w:eastAsiaTheme="minorEastAsia"/>
                <w:color w:val="auto"/>
                <w:sz w:val="21"/>
                <w:szCs w:val="21"/>
                <w:highlight w:val="none"/>
              </w:rPr>
              <w:t>管道</w:t>
            </w:r>
            <w:r>
              <w:rPr>
                <w:rFonts w:ascii="Times New Roman" w:hAnsi="Times New Roman" w:cs="Times New Roman" w:eastAsiaTheme="minorEastAsia"/>
                <w:color w:val="auto"/>
                <w:sz w:val="21"/>
                <w:szCs w:val="21"/>
                <w:highlight w:val="none"/>
              </w:rPr>
              <w:t>采用密闭工艺输送，不产生废气、废水、固体废物。在环境风险防控方面采取加强施工管理、制定岗位操作规程并定期培训学习、实行岗位责任制、制定可行的突发环境事件环境应急预案等措施。采取以上措施可有效解决局部生态环境质量不达标、生态环境风险高的问题。</w:t>
            </w:r>
          </w:p>
          <w:p w14:paraId="28C6ABB7">
            <w:pPr>
              <w:spacing w:line="320" w:lineRule="exact"/>
              <w:ind w:firstLine="420" w:firstLineChars="200"/>
              <w:jc w:val="both"/>
              <w:rPr>
                <w:rFonts w:ascii="Times New Roman" w:hAnsi="Times New Roman" w:cs="Times New Roman"/>
                <w:color w:val="auto"/>
                <w:sz w:val="21"/>
                <w:szCs w:val="21"/>
                <w:highlight w:val="none"/>
              </w:rPr>
            </w:pPr>
            <w:r>
              <w:rPr>
                <w:rFonts w:ascii="Times New Roman" w:hAnsi="Times New Roman" w:cs="Times New Roman" w:eastAsiaTheme="minorEastAsia"/>
                <w:iCs/>
                <w:color w:val="auto"/>
                <w:sz w:val="21"/>
                <w:szCs w:val="21"/>
                <w:highlight w:val="none"/>
              </w:rPr>
              <w:t>由以上分析，本项目满足重点管控单元分区管控要求。</w:t>
            </w:r>
          </w:p>
        </w:tc>
        <w:tc>
          <w:tcPr>
            <w:tcW w:w="386" w:type="pct"/>
            <w:tcMar>
              <w:top w:w="0" w:type="dxa"/>
              <w:left w:w="85" w:type="dxa"/>
              <w:bottom w:w="0" w:type="dxa"/>
              <w:right w:w="85" w:type="dxa"/>
            </w:tcMar>
            <w:vAlign w:val="center"/>
          </w:tcPr>
          <w:p w14:paraId="68B64D0A">
            <w:pPr>
              <w:spacing w:line="320" w:lineRule="exact"/>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符合</w:t>
            </w:r>
          </w:p>
        </w:tc>
      </w:tr>
    </w:tbl>
    <w:p w14:paraId="56E79FAE">
      <w:pPr>
        <w:pStyle w:val="149"/>
        <w:widowControl w:val="0"/>
        <w:spacing w:line="440" w:lineRule="exact"/>
        <w:ind w:firstLine="0" w:firstLineChars="0"/>
        <w:jc w:val="both"/>
        <w:outlineLvl w:val="3"/>
        <w:rPr>
          <w:rFonts w:ascii="Times New Roman" w:hAnsi="Times New Roman"/>
          <w:b/>
          <w:color w:val="auto"/>
          <w:highlight w:val="none"/>
        </w:rPr>
      </w:pPr>
      <w:r>
        <w:rPr>
          <w:rFonts w:ascii="Times New Roman" w:hAnsi="Times New Roman"/>
          <w:b/>
          <w:color w:val="auto"/>
          <w:highlight w:val="none"/>
        </w:rPr>
        <w:t>1.4.4.2环境质量底线</w:t>
      </w:r>
    </w:p>
    <w:p w14:paraId="0EE5C482">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eastAsiaTheme="minorEastAsia"/>
          <w:color w:val="auto"/>
          <w:kern w:val="2"/>
          <w:highlight w:val="none"/>
        </w:rPr>
        <w:t>根据黑龙江省绥化生态环境监测中心2025年</w:t>
      </w:r>
      <w:r>
        <w:rPr>
          <w:rFonts w:hint="eastAsia" w:ascii="Times New Roman" w:hAnsi="Times New Roman" w:cs="Times New Roman" w:eastAsiaTheme="minorEastAsia"/>
          <w:color w:val="auto"/>
          <w:kern w:val="2"/>
          <w:highlight w:val="none"/>
        </w:rPr>
        <w:t>2</w:t>
      </w:r>
      <w:r>
        <w:rPr>
          <w:rFonts w:ascii="Times New Roman" w:hAnsi="Times New Roman" w:cs="Times New Roman" w:eastAsiaTheme="minorEastAsia"/>
          <w:color w:val="auto"/>
          <w:kern w:val="2"/>
          <w:highlight w:val="none"/>
        </w:rPr>
        <w:t>月公布的《</w:t>
      </w:r>
      <w:r>
        <w:rPr>
          <w:rFonts w:hint="eastAsia" w:ascii="Times New Roman" w:hAnsi="Times New Roman" w:cs="Times New Roman" w:eastAsiaTheme="minorEastAsia"/>
          <w:color w:val="auto"/>
          <w:kern w:val="2"/>
          <w:highlight w:val="none"/>
        </w:rPr>
        <w:t>绥化市</w:t>
      </w:r>
      <w:r>
        <w:rPr>
          <w:rFonts w:ascii="Times New Roman" w:hAnsi="Times New Roman" w:cs="Times New Roman" w:eastAsiaTheme="minorEastAsia"/>
          <w:color w:val="auto"/>
          <w:kern w:val="2"/>
          <w:highlight w:val="none"/>
        </w:rPr>
        <w:t>环境</w:t>
      </w:r>
      <w:r>
        <w:rPr>
          <w:rFonts w:hint="eastAsia" w:ascii="Times New Roman" w:hAnsi="Times New Roman" w:cs="Times New Roman" w:eastAsiaTheme="minorEastAsia"/>
          <w:color w:val="auto"/>
          <w:kern w:val="2"/>
          <w:highlight w:val="none"/>
        </w:rPr>
        <w:t>质量</w:t>
      </w:r>
      <w:r>
        <w:rPr>
          <w:rFonts w:ascii="Times New Roman" w:hAnsi="Times New Roman" w:cs="Times New Roman" w:eastAsiaTheme="minorEastAsia"/>
          <w:color w:val="auto"/>
          <w:kern w:val="2"/>
          <w:highlight w:val="none"/>
        </w:rPr>
        <w:t>年报（</w:t>
      </w:r>
      <w:r>
        <w:rPr>
          <w:rFonts w:hint="eastAsia" w:ascii="Times New Roman" w:hAnsi="Times New Roman" w:cs="Times New Roman" w:eastAsiaTheme="minorEastAsia"/>
          <w:color w:val="auto"/>
          <w:kern w:val="2"/>
          <w:highlight w:val="none"/>
        </w:rPr>
        <w:t>2</w:t>
      </w:r>
      <w:r>
        <w:rPr>
          <w:rFonts w:ascii="Times New Roman" w:hAnsi="Times New Roman" w:cs="Times New Roman" w:eastAsiaTheme="minorEastAsia"/>
          <w:color w:val="auto"/>
          <w:kern w:val="2"/>
          <w:highlight w:val="none"/>
        </w:rPr>
        <w:t>024年度）》，</w:t>
      </w:r>
      <w:r>
        <w:rPr>
          <w:rFonts w:hint="eastAsia" w:ascii="Times New Roman" w:hAnsi="Times New Roman" w:cs="Times New Roman" w:eastAsiaTheme="minorEastAsia"/>
          <w:color w:val="auto"/>
          <w:kern w:val="2"/>
          <w:highlight w:val="none"/>
        </w:rPr>
        <w:t>2</w:t>
      </w:r>
      <w:r>
        <w:rPr>
          <w:rFonts w:ascii="Times New Roman" w:hAnsi="Times New Roman" w:cs="Times New Roman" w:eastAsiaTheme="minorEastAsia"/>
          <w:color w:val="auto"/>
          <w:kern w:val="2"/>
          <w:highlight w:val="none"/>
        </w:rPr>
        <w:t>024年绥化市空气质量劣于《环境空气质量标准》（GB3095-20</w:t>
      </w:r>
      <w:r>
        <w:rPr>
          <w:rFonts w:hint="eastAsia" w:ascii="Times New Roman" w:hAnsi="Times New Roman" w:cs="Times New Roman" w:eastAsiaTheme="minorEastAsia"/>
          <w:color w:val="auto"/>
          <w:kern w:val="2"/>
          <w:highlight w:val="none"/>
        </w:rPr>
        <w:t>26</w:t>
      </w:r>
      <w:r>
        <w:rPr>
          <w:rFonts w:ascii="Times New Roman" w:hAnsi="Times New Roman" w:cs="Times New Roman" w:eastAsiaTheme="minorEastAsia"/>
          <w:color w:val="auto"/>
          <w:kern w:val="2"/>
          <w:highlight w:val="none"/>
        </w:rPr>
        <w:t>）中</w:t>
      </w:r>
      <w:r>
        <w:rPr>
          <w:rFonts w:hint="eastAsia" w:ascii="Times New Roman" w:hAnsi="Times New Roman" w:cs="Times New Roman" w:eastAsiaTheme="minorEastAsia"/>
          <w:color w:val="auto"/>
          <w:kern w:val="2"/>
          <w:highlight w:val="none"/>
        </w:rPr>
        <w:t>过渡阶段</w:t>
      </w:r>
      <w:r>
        <w:rPr>
          <w:rFonts w:ascii="Times New Roman" w:hAnsi="Times New Roman" w:cs="Times New Roman" w:eastAsiaTheme="minorEastAsia"/>
          <w:color w:val="auto"/>
          <w:kern w:val="2"/>
          <w:highlight w:val="none"/>
        </w:rPr>
        <w:t>的二级标准要求，项目区域属于</w:t>
      </w:r>
      <w:r>
        <w:rPr>
          <w:rFonts w:hint="eastAsia" w:ascii="Times New Roman" w:hAnsi="Times New Roman" w:cs="Times New Roman" w:eastAsiaTheme="minorEastAsia"/>
          <w:color w:val="auto"/>
          <w:kern w:val="2"/>
          <w:highlight w:val="none"/>
        </w:rPr>
        <w:t>不</w:t>
      </w:r>
      <w:r>
        <w:rPr>
          <w:rFonts w:ascii="Times New Roman" w:hAnsi="Times New Roman" w:cs="Times New Roman" w:eastAsiaTheme="minorEastAsia"/>
          <w:color w:val="auto"/>
          <w:kern w:val="2"/>
          <w:highlight w:val="none"/>
        </w:rPr>
        <w:t>达标区。本项目不排放废水，项目建设不会对地表水产生影响</w:t>
      </w:r>
      <w:r>
        <w:rPr>
          <w:rFonts w:hint="eastAsia" w:ascii="Times New Roman" w:hAnsi="Times New Roman" w:cs="Times New Roman" w:eastAsiaTheme="minorEastAsia"/>
          <w:color w:val="auto"/>
          <w:kern w:val="2"/>
          <w:highlight w:val="none"/>
        </w:rPr>
        <w:t>。</w:t>
      </w:r>
      <w:r>
        <w:rPr>
          <w:rFonts w:ascii="Times New Roman" w:hAnsi="Times New Roman" w:cs="Times New Roman" w:eastAsiaTheme="minorEastAsia"/>
          <w:color w:val="auto"/>
          <w:kern w:val="2"/>
          <w:highlight w:val="none"/>
        </w:rPr>
        <w:t>区域地下水质量除锰外可以满足《地下水质量标准》（GB/T14848-2017）III类标准，特征因子石油类可以满足《地表水环境质量标准》（GB3838-2002）表1中的</w:t>
      </w:r>
      <w:r>
        <w:rPr>
          <w:rFonts w:hint="eastAsia" w:ascii="Times New Roman" w:hAnsi="Times New Roman" w:cs="Times New Roman" w:eastAsiaTheme="minorEastAsia"/>
          <w:color w:val="auto"/>
          <w:kern w:val="2"/>
          <w:highlight w:val="none"/>
        </w:rPr>
        <w:t>II</w:t>
      </w:r>
      <w:r>
        <w:rPr>
          <w:rFonts w:ascii="Times New Roman" w:hAnsi="Times New Roman" w:cs="Times New Roman" w:eastAsiaTheme="minorEastAsia"/>
          <w:color w:val="auto"/>
          <w:kern w:val="2"/>
          <w:highlight w:val="none"/>
        </w:rPr>
        <w:t>类标准限值要求</w:t>
      </w:r>
      <w:r>
        <w:rPr>
          <w:rFonts w:ascii="Times New Roman" w:hAnsi="Times New Roman" w:cs="Times New Roman"/>
          <w:color w:val="auto"/>
          <w:kern w:val="2"/>
          <w:highlight w:val="none"/>
        </w:rPr>
        <w:t>；本项目现有井场土壤满足《土壤环境质量 建设用地土壤污染风险管控标准（试行）》（GB36600-2018）中第二类用地筛选值标准，评价范围内居住区土壤满足《土壤环境质量 建设用地土壤污染风险管控标准（试行）》（GB36600-2018）中第一类用地筛选值标准，管线临时占地范围内及评价范围内农用地土壤满足《土壤环境质量 农用地土壤污染风险管控标准（试行）》（GB15618-2018）表1农用地土壤风险筛选值。因此本项目建设符合环境质量底线要求。</w:t>
      </w:r>
    </w:p>
    <w:p w14:paraId="1FB07117">
      <w:pPr>
        <w:pStyle w:val="149"/>
        <w:widowControl w:val="0"/>
        <w:spacing w:line="440" w:lineRule="exact"/>
        <w:ind w:firstLine="0" w:firstLineChars="0"/>
        <w:jc w:val="both"/>
        <w:outlineLvl w:val="3"/>
        <w:rPr>
          <w:rFonts w:ascii="Times New Roman" w:hAnsi="Times New Roman"/>
          <w:b/>
          <w:color w:val="auto"/>
          <w:highlight w:val="none"/>
        </w:rPr>
      </w:pPr>
      <w:r>
        <w:rPr>
          <w:rFonts w:ascii="Times New Roman" w:hAnsi="Times New Roman"/>
          <w:b/>
          <w:color w:val="auto"/>
          <w:highlight w:val="none"/>
        </w:rPr>
        <w:t>1.4.4.3资源利用上线</w:t>
      </w:r>
    </w:p>
    <w:p w14:paraId="4EEF4C3B">
      <w:pPr>
        <w:widowControl w:val="0"/>
        <w:spacing w:line="440" w:lineRule="exact"/>
        <w:ind w:firstLine="480" w:firstLineChars="200"/>
        <w:jc w:val="both"/>
        <w:rPr>
          <w:rFonts w:ascii="Times New Roman" w:hAnsi="Times New Roman" w:cs="Times New Roman" w:eastAsiaTheme="minorEastAsia"/>
          <w:color w:val="auto"/>
          <w:kern w:val="2"/>
          <w:highlight w:val="none"/>
        </w:rPr>
      </w:pPr>
      <w:r>
        <w:rPr>
          <w:rFonts w:ascii="Times New Roman" w:hAnsi="Times New Roman" w:cs="Times New Roman" w:eastAsiaTheme="minorEastAsia"/>
          <w:color w:val="auto"/>
          <w:kern w:val="2"/>
          <w:highlight w:val="none"/>
        </w:rPr>
        <w:t>本项目属于油田内部管线建设项目，项目</w:t>
      </w:r>
      <w:r>
        <w:rPr>
          <w:rFonts w:ascii="Times New Roman" w:hAnsi="Times New Roman" w:cs="Times New Roman" w:eastAsiaTheme="minorEastAsia"/>
          <w:bCs/>
          <w:color w:val="auto"/>
          <w:kern w:val="2"/>
          <w:highlight w:val="none"/>
        </w:rPr>
        <w:t>临时占地面积为</w:t>
      </w:r>
      <w:r>
        <w:rPr>
          <w:rFonts w:hint="eastAsia" w:ascii="Times New Roman" w:hAnsi="Times New Roman" w:cs="Times New Roman" w:eastAsiaTheme="minorEastAsia"/>
          <w:bCs/>
          <w:color w:val="auto"/>
          <w:kern w:val="2"/>
          <w:highlight w:val="none"/>
          <w:lang w:val="en-US" w:eastAsia="zh-CN"/>
        </w:rPr>
        <w:t>21.88</w:t>
      </w:r>
      <w:r>
        <w:rPr>
          <w:rFonts w:ascii="Times New Roman" w:hAnsi="Times New Roman" w:cs="Times New Roman" w:eastAsiaTheme="minorEastAsia"/>
          <w:bCs/>
          <w:color w:val="auto"/>
          <w:kern w:val="2"/>
          <w:highlight w:val="none"/>
        </w:rPr>
        <w:t>hm</w:t>
      </w:r>
      <w:r>
        <w:rPr>
          <w:rFonts w:ascii="Times New Roman" w:hAnsi="Times New Roman" w:cs="Times New Roman" w:eastAsiaTheme="minorEastAsia"/>
          <w:bCs/>
          <w:color w:val="auto"/>
          <w:kern w:val="2"/>
          <w:highlight w:val="none"/>
          <w:vertAlign w:val="superscript"/>
        </w:rPr>
        <w:t>2</w:t>
      </w:r>
      <w:r>
        <w:rPr>
          <w:rFonts w:ascii="Times New Roman" w:hAnsi="Times New Roman" w:cs="Times New Roman" w:eastAsiaTheme="minorEastAsia"/>
          <w:bCs/>
          <w:color w:val="auto"/>
          <w:kern w:val="2"/>
          <w:highlight w:val="none"/>
        </w:rPr>
        <w:t>，</w:t>
      </w:r>
      <w:r>
        <w:rPr>
          <w:rFonts w:ascii="Times New Roman" w:hAnsi="Times New Roman" w:cs="Times New Roman" w:eastAsiaTheme="minorEastAsia"/>
          <w:color w:val="auto"/>
          <w:kern w:val="2"/>
          <w:highlight w:val="none"/>
        </w:rPr>
        <w:t>占地类型为耕地（基本农田）及草地（非基本草原），临时占地均为施工结束后进行生态恢复，土地资源消耗符合大庆市土地资源利用上线要求；本项目不开采地下水，施工期新鲜水消耗量为</w:t>
      </w:r>
      <w:r>
        <w:rPr>
          <w:rFonts w:hint="eastAsia" w:ascii="Times New Roman" w:hAnsi="Times New Roman" w:cs="Times New Roman" w:eastAsiaTheme="minorEastAsia"/>
          <w:color w:val="auto"/>
          <w:kern w:val="2"/>
          <w:highlight w:val="none"/>
          <w:lang w:val="en-US" w:eastAsia="zh-CN"/>
        </w:rPr>
        <w:t>526.5</w:t>
      </w:r>
      <w:r>
        <w:rPr>
          <w:rFonts w:ascii="Times New Roman" w:hAnsi="Times New Roman" w:cs="Times New Roman" w:eastAsiaTheme="minorEastAsia"/>
          <w:color w:val="auto"/>
          <w:kern w:val="2"/>
          <w:highlight w:val="none"/>
        </w:rPr>
        <w:t>m</w:t>
      </w:r>
      <w:r>
        <w:rPr>
          <w:rFonts w:ascii="Times New Roman" w:hAnsi="Times New Roman" w:cs="Times New Roman" w:eastAsiaTheme="minorEastAsia"/>
          <w:color w:val="auto"/>
          <w:kern w:val="2"/>
          <w:highlight w:val="none"/>
          <w:vertAlign w:val="superscript"/>
        </w:rPr>
        <w:t>3</w:t>
      </w:r>
      <w:r>
        <w:rPr>
          <w:rFonts w:ascii="Times New Roman" w:hAnsi="Times New Roman" w:cs="Times New Roman" w:eastAsiaTheme="minorEastAsia"/>
          <w:color w:val="auto"/>
          <w:kern w:val="2"/>
          <w:highlight w:val="none"/>
        </w:rPr>
        <w:t>，消耗的水主要用于生活及生产需要，用量不大；运营期不新增新鲜水消耗，区域的水资源消耗不大；本项目施工期设备能源主要依托油田的电网供电，能源消耗符合能源利用上线要求。因此本项目符合资源利用上</w:t>
      </w:r>
      <w:r>
        <w:rPr>
          <w:rFonts w:hint="eastAsia" w:ascii="Times New Roman" w:hAnsi="Times New Roman" w:cs="Times New Roman" w:eastAsiaTheme="minorEastAsia"/>
          <w:color w:val="auto"/>
          <w:kern w:val="2"/>
          <w:highlight w:val="none"/>
        </w:rPr>
        <w:t>线</w:t>
      </w:r>
      <w:r>
        <w:rPr>
          <w:rFonts w:ascii="Times New Roman" w:hAnsi="Times New Roman" w:cs="Times New Roman" w:eastAsiaTheme="minorEastAsia"/>
          <w:color w:val="auto"/>
          <w:kern w:val="2"/>
          <w:highlight w:val="none"/>
        </w:rPr>
        <w:t>要求。</w:t>
      </w:r>
    </w:p>
    <w:p w14:paraId="4D4C5B35">
      <w:pPr>
        <w:pStyle w:val="149"/>
        <w:widowControl w:val="0"/>
        <w:spacing w:line="440" w:lineRule="exact"/>
        <w:ind w:firstLine="0" w:firstLineChars="0"/>
        <w:jc w:val="both"/>
        <w:outlineLvl w:val="3"/>
        <w:rPr>
          <w:rFonts w:ascii="Times New Roman" w:hAnsi="Times New Roman"/>
          <w:b/>
          <w:color w:val="auto"/>
          <w:highlight w:val="none"/>
        </w:rPr>
      </w:pPr>
      <w:r>
        <w:rPr>
          <w:rFonts w:ascii="Times New Roman" w:hAnsi="Times New Roman"/>
          <w:b/>
          <w:color w:val="auto"/>
          <w:highlight w:val="none"/>
        </w:rPr>
        <w:t xml:space="preserve">1.4.4.4生态环境准入清单 </w:t>
      </w:r>
    </w:p>
    <w:p w14:paraId="0553F00D">
      <w:pPr>
        <w:widowControl w:val="0"/>
        <w:spacing w:line="440" w:lineRule="exact"/>
        <w:ind w:firstLine="480" w:firstLineChars="200"/>
        <w:jc w:val="both"/>
        <w:rPr>
          <w:rFonts w:ascii="Times New Roman" w:hAnsi="Times New Roman" w:cs="Times New Roman" w:eastAsiaTheme="minorEastAsia"/>
          <w:color w:val="auto"/>
          <w:kern w:val="2"/>
          <w:highlight w:val="none"/>
        </w:rPr>
      </w:pPr>
      <w:r>
        <w:rPr>
          <w:rFonts w:ascii="Times New Roman" w:hAnsi="Times New Roman" w:cs="Times New Roman" w:eastAsiaTheme="minorEastAsia"/>
          <w:color w:val="auto"/>
          <w:kern w:val="2"/>
          <w:highlight w:val="none"/>
        </w:rPr>
        <w:t>对照黑龙江省生态环境分区管控数据应用平台，本项目</w:t>
      </w:r>
      <w:r>
        <w:rPr>
          <w:rFonts w:hint="eastAsia" w:ascii="Times New Roman" w:hAnsi="Times New Roman" w:cs="Times New Roman" w:eastAsiaTheme="minorEastAsia"/>
          <w:bCs/>
          <w:color w:val="auto"/>
          <w:kern w:val="2"/>
          <w:highlight w:val="none"/>
        </w:rPr>
        <w:t>占用安达市</w:t>
      </w:r>
      <w:r>
        <w:rPr>
          <w:rFonts w:hint="eastAsia" w:ascii="Times New Roman" w:hAnsi="Times New Roman" w:cs="Times New Roman" w:eastAsiaTheme="minorEastAsia"/>
          <w:bCs/>
          <w:color w:val="auto"/>
          <w:kern w:val="2"/>
          <w:highlight w:val="none"/>
          <w:lang w:val="en-US" w:eastAsia="zh-CN"/>
        </w:rPr>
        <w:t>城镇空间</w:t>
      </w:r>
      <w:r>
        <w:rPr>
          <w:rFonts w:ascii="Times New Roman" w:hAnsi="Times New Roman" w:cs="Times New Roman" w:eastAsiaTheme="minorEastAsia"/>
          <w:bCs/>
          <w:color w:val="auto"/>
          <w:kern w:val="2"/>
          <w:highlight w:val="none"/>
        </w:rPr>
        <w:t>（管控单</w:t>
      </w:r>
      <w:r>
        <w:rPr>
          <w:rFonts w:hint="eastAsia" w:ascii="Times New Roman" w:hAnsi="Times New Roman" w:cs="Times New Roman" w:eastAsiaTheme="minorEastAsia"/>
          <w:bCs/>
          <w:color w:val="auto"/>
          <w:kern w:val="2"/>
          <w:highlight w:val="none"/>
          <w:lang w:eastAsia="zh-CN"/>
        </w:rPr>
        <w:t>（</w:t>
      </w:r>
      <w:r>
        <w:rPr>
          <w:rFonts w:ascii="Times New Roman" w:hAnsi="Times New Roman" w:cs="Times New Roman" w:eastAsiaTheme="minorEastAsia"/>
          <w:bCs/>
          <w:color w:val="auto"/>
          <w:kern w:val="2"/>
          <w:highlight w:val="none"/>
        </w:rPr>
        <w:t>元分类：</w:t>
      </w:r>
      <w:r>
        <w:rPr>
          <w:rFonts w:hint="eastAsia" w:ascii="Times New Roman" w:hAnsi="Times New Roman" w:cs="Times New Roman" w:eastAsiaTheme="minorEastAsia"/>
          <w:bCs/>
          <w:color w:val="auto"/>
          <w:kern w:val="2"/>
          <w:highlight w:val="none"/>
          <w:lang w:val="en-US" w:eastAsia="zh-CN"/>
        </w:rPr>
        <w:t>重点</w:t>
      </w:r>
      <w:r>
        <w:rPr>
          <w:rFonts w:ascii="Times New Roman" w:hAnsi="Times New Roman" w:cs="Times New Roman" w:eastAsiaTheme="minorEastAsia"/>
          <w:bCs/>
          <w:color w:val="auto"/>
          <w:kern w:val="2"/>
          <w:highlight w:val="none"/>
        </w:rPr>
        <w:t>保护单元，管控单元编码：</w:t>
      </w:r>
      <w:r>
        <w:rPr>
          <w:rFonts w:hint="eastAsia" w:ascii="Times New Roman" w:hAnsi="Times New Roman" w:cs="Times New Roman" w:eastAsiaTheme="minorEastAsia"/>
          <w:bCs/>
          <w:color w:val="auto"/>
          <w:kern w:val="2"/>
          <w:highlight w:val="none"/>
        </w:rPr>
        <w:t>Z</w:t>
      </w:r>
      <w:r>
        <w:rPr>
          <w:rFonts w:ascii="Times New Roman" w:hAnsi="Times New Roman" w:cs="Times New Roman" w:eastAsiaTheme="minorEastAsia"/>
          <w:bCs/>
          <w:color w:val="auto"/>
          <w:kern w:val="2"/>
          <w:highlight w:val="none"/>
        </w:rPr>
        <w:t>H23128110002）、安达市</w:t>
      </w:r>
      <w:r>
        <w:rPr>
          <w:rFonts w:hint="eastAsia" w:ascii="Times New Roman" w:hAnsi="Times New Roman" w:cs="Times New Roman" w:eastAsiaTheme="minorEastAsia"/>
          <w:bCs/>
          <w:color w:val="auto"/>
          <w:kern w:val="2"/>
          <w:highlight w:val="none"/>
        </w:rPr>
        <w:t>水环境</w:t>
      </w:r>
      <w:r>
        <w:rPr>
          <w:rFonts w:ascii="Times New Roman" w:hAnsi="Times New Roman" w:cs="Times New Roman" w:eastAsiaTheme="minorEastAsia"/>
          <w:bCs/>
          <w:color w:val="auto"/>
          <w:kern w:val="2"/>
          <w:highlight w:val="none"/>
        </w:rPr>
        <w:t>城镇生活污染重点管控区（管控单元分类：重点管控单元，管控单元编码：</w:t>
      </w:r>
      <w:r>
        <w:rPr>
          <w:rFonts w:hint="eastAsia" w:ascii="Times New Roman" w:hAnsi="Times New Roman" w:cs="Times New Roman" w:eastAsiaTheme="minorEastAsia"/>
          <w:bCs/>
          <w:color w:val="auto"/>
          <w:kern w:val="2"/>
          <w:highlight w:val="none"/>
        </w:rPr>
        <w:t>Z</w:t>
      </w:r>
      <w:r>
        <w:rPr>
          <w:rFonts w:ascii="Times New Roman" w:hAnsi="Times New Roman" w:cs="Times New Roman" w:eastAsiaTheme="minorEastAsia"/>
          <w:bCs/>
          <w:color w:val="auto"/>
          <w:kern w:val="2"/>
          <w:highlight w:val="none"/>
        </w:rPr>
        <w:t>H2312812000</w:t>
      </w:r>
      <w:r>
        <w:rPr>
          <w:rFonts w:hint="eastAsia" w:ascii="Times New Roman" w:hAnsi="Times New Roman" w:cs="Times New Roman" w:eastAsiaTheme="minorEastAsia"/>
          <w:bCs/>
          <w:color w:val="auto"/>
          <w:kern w:val="2"/>
          <w:highlight w:val="none"/>
          <w:lang w:val="en-US" w:eastAsia="zh-CN"/>
        </w:rPr>
        <w:t>3</w:t>
      </w:r>
      <w:r>
        <w:rPr>
          <w:rFonts w:ascii="Times New Roman" w:hAnsi="Times New Roman" w:cs="Times New Roman" w:eastAsiaTheme="minorEastAsia"/>
          <w:bCs/>
          <w:color w:val="auto"/>
          <w:kern w:val="2"/>
          <w:highlight w:val="none"/>
        </w:rPr>
        <w:t>）</w:t>
      </w:r>
      <w:r>
        <w:rPr>
          <w:rFonts w:ascii="Times New Roman" w:hAnsi="Times New Roman" w:cs="Times New Roman" w:eastAsiaTheme="minorEastAsia"/>
          <w:color w:val="auto"/>
          <w:kern w:val="2"/>
          <w:highlight w:val="none"/>
        </w:rPr>
        <w:t>。本项目与生态环境分区管控</w:t>
      </w:r>
      <w:r>
        <w:rPr>
          <w:rFonts w:hint="eastAsia" w:ascii="Times New Roman" w:hAnsi="Times New Roman" w:cs="Times New Roman" w:eastAsiaTheme="minorEastAsia"/>
          <w:color w:val="auto"/>
          <w:kern w:val="2"/>
          <w:highlight w:val="none"/>
        </w:rPr>
        <w:t>单元</w:t>
      </w:r>
      <w:r>
        <w:rPr>
          <w:rFonts w:ascii="Times New Roman" w:hAnsi="Times New Roman" w:cs="Times New Roman" w:eastAsiaTheme="minorEastAsia"/>
          <w:color w:val="auto"/>
          <w:kern w:val="2"/>
          <w:highlight w:val="none"/>
        </w:rPr>
        <w:t>位置关系见图1.4-3和图</w:t>
      </w:r>
      <w:r>
        <w:rPr>
          <w:rFonts w:hint="eastAsia" w:ascii="Times New Roman" w:hAnsi="Times New Roman" w:cs="Times New Roman" w:eastAsiaTheme="minorEastAsia"/>
          <w:color w:val="auto"/>
          <w:kern w:val="2"/>
          <w:highlight w:val="none"/>
        </w:rPr>
        <w:t>1</w:t>
      </w:r>
      <w:r>
        <w:rPr>
          <w:rFonts w:ascii="Times New Roman" w:hAnsi="Times New Roman" w:cs="Times New Roman" w:eastAsiaTheme="minorEastAsia"/>
          <w:color w:val="auto"/>
          <w:kern w:val="2"/>
          <w:highlight w:val="none"/>
        </w:rPr>
        <w:t>.4-4，</w:t>
      </w:r>
      <w:r>
        <w:rPr>
          <w:rFonts w:hint="eastAsia" w:ascii="Times New Roman" w:hAnsi="Times New Roman" w:cs="Times New Roman" w:eastAsiaTheme="minorEastAsia"/>
          <w:color w:val="auto"/>
          <w:kern w:val="2"/>
          <w:highlight w:val="none"/>
        </w:rPr>
        <w:t>根据《绥化市生态环境准入清单（</w:t>
      </w:r>
      <w:r>
        <w:rPr>
          <w:rFonts w:ascii="Times New Roman" w:hAnsi="Times New Roman" w:cs="Times New Roman" w:eastAsiaTheme="minorEastAsia"/>
          <w:color w:val="auto"/>
          <w:kern w:val="2"/>
          <w:highlight w:val="none"/>
        </w:rPr>
        <w:t>2023年版）》中</w:t>
      </w:r>
      <w:r>
        <w:rPr>
          <w:rFonts w:hint="eastAsia" w:ascii="Times New Roman" w:hAnsi="Times New Roman" w:cs="Times New Roman" w:eastAsiaTheme="minorEastAsia"/>
          <w:color w:val="auto"/>
          <w:kern w:val="2"/>
          <w:highlight w:val="none"/>
        </w:rPr>
        <w:t>管控</w:t>
      </w:r>
      <w:r>
        <w:rPr>
          <w:rFonts w:ascii="Times New Roman" w:hAnsi="Times New Roman" w:cs="Times New Roman" w:eastAsiaTheme="minorEastAsia"/>
          <w:color w:val="auto"/>
          <w:kern w:val="2"/>
          <w:highlight w:val="none"/>
        </w:rPr>
        <w:t>要求，本项目与生态环境准入清单管控</w:t>
      </w:r>
      <w:r>
        <w:rPr>
          <w:rFonts w:hint="eastAsia" w:ascii="Times New Roman" w:hAnsi="Times New Roman" w:cs="Times New Roman" w:eastAsiaTheme="minorEastAsia"/>
          <w:color w:val="auto"/>
          <w:kern w:val="2"/>
          <w:highlight w:val="none"/>
        </w:rPr>
        <w:t>要求</w:t>
      </w:r>
      <w:r>
        <w:rPr>
          <w:rFonts w:ascii="Times New Roman" w:hAnsi="Times New Roman" w:cs="Times New Roman" w:eastAsiaTheme="minorEastAsia"/>
          <w:color w:val="auto"/>
          <w:kern w:val="2"/>
          <w:highlight w:val="none"/>
        </w:rPr>
        <w:t>符合性分析见表1.4-</w:t>
      </w:r>
      <w:r>
        <w:rPr>
          <w:rFonts w:hint="eastAsia" w:ascii="Times New Roman" w:hAnsi="Times New Roman" w:cs="Times New Roman" w:eastAsiaTheme="minorEastAsia"/>
          <w:color w:val="auto"/>
          <w:kern w:val="2"/>
          <w:highlight w:val="none"/>
        </w:rPr>
        <w:t>24和表1.4-25</w:t>
      </w:r>
      <w:r>
        <w:rPr>
          <w:rFonts w:ascii="Times New Roman" w:hAnsi="Times New Roman" w:cs="Times New Roman" w:eastAsiaTheme="minorEastAsia"/>
          <w:color w:val="auto"/>
          <w:kern w:val="2"/>
          <w:highlight w:val="none"/>
        </w:rPr>
        <w:t>。</w:t>
      </w:r>
    </w:p>
    <w:p w14:paraId="002CD681">
      <w:pPr>
        <w:pStyle w:val="102"/>
        <w:rPr>
          <w:color w:val="auto"/>
          <w:highlight w:val="none"/>
        </w:rPr>
      </w:pPr>
      <w:r>
        <w:rPr>
          <w:color w:val="auto"/>
          <w:highlight w:val="none"/>
        </w:rPr>
        <w:drawing>
          <wp:inline distT="0" distB="0" distL="114300" distR="114300">
            <wp:extent cx="5758180" cy="2901950"/>
            <wp:effectExtent l="0" t="0" r="13970" b="1270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18"/>
                    <a:stretch>
                      <a:fillRect/>
                    </a:stretch>
                  </pic:blipFill>
                  <pic:spPr>
                    <a:xfrm>
                      <a:off x="0" y="0"/>
                      <a:ext cx="5758180" cy="2901950"/>
                    </a:xfrm>
                    <a:prstGeom prst="rect">
                      <a:avLst/>
                    </a:prstGeom>
                    <a:noFill/>
                    <a:ln>
                      <a:noFill/>
                    </a:ln>
                  </pic:spPr>
                </pic:pic>
              </a:graphicData>
            </a:graphic>
          </wp:inline>
        </w:drawing>
      </w:r>
    </w:p>
    <w:p w14:paraId="532DB3AE">
      <w:pPr>
        <w:widowControl w:val="0"/>
        <w:jc w:val="center"/>
        <w:rPr>
          <w:rFonts w:hint="eastAsia" w:ascii="Times New Roman" w:hAnsi="Times New Roman" w:eastAsia="宋体" w:cs="Times New Roman"/>
          <w:b/>
          <w:color w:val="auto"/>
          <w:kern w:val="2"/>
          <w:szCs w:val="28"/>
          <w:highlight w:val="none"/>
        </w:rPr>
      </w:pPr>
      <w:r>
        <w:rPr>
          <w:rFonts w:ascii="Times New Roman" w:hAnsi="Times New Roman" w:eastAsia="宋体" w:cs="Times New Roman"/>
          <w:b/>
          <w:color w:val="auto"/>
          <w:kern w:val="2"/>
          <w:szCs w:val="28"/>
          <w:highlight w:val="none"/>
        </w:rPr>
        <w:t>图1.4-</w:t>
      </w:r>
      <w:r>
        <w:rPr>
          <w:rFonts w:hint="eastAsia" w:ascii="Times New Roman" w:hAnsi="Times New Roman" w:eastAsia="宋体" w:cs="Times New Roman"/>
          <w:b/>
          <w:color w:val="auto"/>
          <w:kern w:val="2"/>
          <w:szCs w:val="28"/>
          <w:highlight w:val="none"/>
        </w:rPr>
        <w:t>3</w:t>
      </w:r>
      <w:r>
        <w:rPr>
          <w:rFonts w:ascii="Times New Roman" w:hAnsi="Times New Roman" w:eastAsia="宋体" w:cs="Times New Roman"/>
          <w:b/>
          <w:color w:val="auto"/>
          <w:kern w:val="2"/>
          <w:szCs w:val="28"/>
          <w:highlight w:val="none"/>
        </w:rPr>
        <w:t xml:space="preserve">  本工程与</w:t>
      </w:r>
      <w:r>
        <w:rPr>
          <w:rFonts w:hint="eastAsia" w:ascii="Times New Roman" w:hAnsi="Times New Roman" w:eastAsia="宋体" w:cs="Times New Roman"/>
          <w:b/>
          <w:color w:val="auto"/>
          <w:kern w:val="2"/>
          <w:szCs w:val="28"/>
          <w:highlight w:val="none"/>
        </w:rPr>
        <w:t>优先保护</w:t>
      </w:r>
      <w:r>
        <w:rPr>
          <w:rFonts w:ascii="Times New Roman" w:hAnsi="Times New Roman" w:eastAsia="宋体" w:cs="Times New Roman"/>
          <w:b/>
          <w:color w:val="auto"/>
          <w:kern w:val="2"/>
          <w:szCs w:val="28"/>
          <w:highlight w:val="none"/>
        </w:rPr>
        <w:t>单元位置关系图</w:t>
      </w:r>
    </w:p>
    <w:p w14:paraId="1B53097C">
      <w:pPr>
        <w:pStyle w:val="102"/>
        <w:rPr>
          <w:color w:val="auto"/>
          <w:highlight w:val="none"/>
        </w:rPr>
      </w:pPr>
      <w:r>
        <w:rPr>
          <w:color w:val="auto"/>
          <w:highlight w:val="none"/>
        </w:rPr>
        <w:drawing>
          <wp:inline distT="0" distB="0" distL="114300" distR="114300">
            <wp:extent cx="5751830" cy="2871470"/>
            <wp:effectExtent l="0" t="0" r="1270" b="508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9"/>
                    <a:stretch>
                      <a:fillRect/>
                    </a:stretch>
                  </pic:blipFill>
                  <pic:spPr>
                    <a:xfrm>
                      <a:off x="0" y="0"/>
                      <a:ext cx="5751830" cy="2871470"/>
                    </a:xfrm>
                    <a:prstGeom prst="rect">
                      <a:avLst/>
                    </a:prstGeom>
                    <a:noFill/>
                    <a:ln>
                      <a:noFill/>
                    </a:ln>
                  </pic:spPr>
                </pic:pic>
              </a:graphicData>
            </a:graphic>
          </wp:inline>
        </w:drawing>
      </w:r>
    </w:p>
    <w:p w14:paraId="5B9F91CB">
      <w:pPr>
        <w:widowControl w:val="0"/>
        <w:jc w:val="center"/>
        <w:rPr>
          <w:rFonts w:ascii="Times New Roman" w:hAnsi="Times New Roman" w:cs="Times New Roman"/>
          <w:color w:val="auto"/>
          <w:kern w:val="2"/>
          <w:szCs w:val="28"/>
          <w:highlight w:val="none"/>
        </w:rPr>
      </w:pPr>
      <w:r>
        <w:rPr>
          <w:rFonts w:ascii="Times New Roman" w:hAnsi="Times New Roman" w:cs="Times New Roman"/>
          <w:b/>
          <w:color w:val="auto"/>
          <w:kern w:val="2"/>
          <w:szCs w:val="28"/>
          <w:highlight w:val="none"/>
        </w:rPr>
        <w:t>图1.4-</w:t>
      </w:r>
      <w:r>
        <w:rPr>
          <w:rFonts w:hint="eastAsia" w:ascii="Times New Roman" w:hAnsi="Times New Roman" w:cs="Times New Roman"/>
          <w:b/>
          <w:color w:val="auto"/>
          <w:kern w:val="2"/>
          <w:szCs w:val="28"/>
          <w:highlight w:val="none"/>
        </w:rPr>
        <w:t>4</w:t>
      </w:r>
      <w:r>
        <w:rPr>
          <w:rFonts w:ascii="Times New Roman" w:hAnsi="Times New Roman" w:cs="Times New Roman"/>
          <w:b/>
          <w:color w:val="auto"/>
          <w:kern w:val="2"/>
          <w:szCs w:val="28"/>
          <w:highlight w:val="none"/>
        </w:rPr>
        <w:t xml:space="preserve">  本工程与重点管控单元位置关系图</w:t>
      </w:r>
    </w:p>
    <w:p w14:paraId="13A8F7FC">
      <w:pPr>
        <w:widowControl w:val="0"/>
        <w:spacing w:line="440" w:lineRule="exact"/>
        <w:ind w:firstLine="482" w:firstLineChars="200"/>
        <w:jc w:val="both"/>
        <w:rPr>
          <w:rFonts w:ascii="Times New Roman" w:hAnsi="Times New Roman" w:cs="Times New Roman"/>
          <w:b/>
          <w:color w:val="auto"/>
          <w:szCs w:val="20"/>
          <w:highlight w:val="none"/>
        </w:rPr>
        <w:sectPr>
          <w:footerReference r:id="rId4" w:type="default"/>
          <w:type w:val="nextColumn"/>
          <w:pgSz w:w="11906" w:h="16838"/>
          <w:pgMar w:top="1418" w:right="1418" w:bottom="1418" w:left="1418" w:header="851" w:footer="850" w:gutter="0"/>
          <w:pgNumType w:start="1"/>
          <w:cols w:space="720" w:num="1"/>
          <w:docGrid w:linePitch="326" w:charSpace="0"/>
        </w:sectPr>
      </w:pPr>
    </w:p>
    <w:p w14:paraId="37D11DF7">
      <w:pPr>
        <w:widowControl w:val="0"/>
        <w:spacing w:line="440" w:lineRule="exact"/>
        <w:ind w:firstLine="482" w:firstLineChars="200"/>
        <w:jc w:val="both"/>
        <w:rPr>
          <w:rFonts w:ascii="Times New Roman" w:hAnsi="Times New Roman" w:cs="Times New Roman"/>
          <w:b/>
          <w:bCs/>
          <w:color w:val="auto"/>
          <w:kern w:val="2"/>
          <w:szCs w:val="28"/>
          <w:highlight w:val="none"/>
        </w:rPr>
      </w:pPr>
      <w:r>
        <w:rPr>
          <w:rFonts w:hint="eastAsia" w:ascii="Times New Roman" w:hAnsi="Times New Roman" w:cs="Times New Roman"/>
          <w:b/>
          <w:bCs/>
          <w:color w:val="auto"/>
          <w:kern w:val="2"/>
          <w:szCs w:val="28"/>
          <w:highlight w:val="none"/>
        </w:rPr>
        <w:t>表</w:t>
      </w:r>
      <w:r>
        <w:rPr>
          <w:rFonts w:ascii="Times New Roman" w:hAnsi="Times New Roman" w:cs="Times New Roman"/>
          <w:b/>
          <w:bCs/>
          <w:color w:val="auto"/>
          <w:kern w:val="2"/>
          <w:szCs w:val="28"/>
          <w:highlight w:val="none"/>
        </w:rPr>
        <w:t>1.4-</w:t>
      </w:r>
      <w:r>
        <w:rPr>
          <w:rFonts w:hint="eastAsia" w:ascii="Times New Roman" w:hAnsi="Times New Roman" w:cs="Times New Roman"/>
          <w:b/>
          <w:bCs/>
          <w:color w:val="auto"/>
          <w:kern w:val="2"/>
          <w:szCs w:val="28"/>
          <w:highlight w:val="none"/>
        </w:rPr>
        <w:t>24</w:t>
      </w:r>
      <w:r>
        <w:rPr>
          <w:rFonts w:ascii="Times New Roman" w:hAnsi="Times New Roman" w:cs="Times New Roman"/>
          <w:b/>
          <w:bCs/>
          <w:color w:val="auto"/>
          <w:kern w:val="2"/>
          <w:szCs w:val="28"/>
          <w:highlight w:val="none"/>
        </w:rPr>
        <w:t xml:space="preserve">        </w:t>
      </w:r>
      <w:r>
        <w:rPr>
          <w:rFonts w:ascii="Times New Roman" w:hAnsi="Times New Roman" w:cs="Times New Roman"/>
          <w:b/>
          <w:color w:val="auto"/>
          <w:szCs w:val="20"/>
          <w:highlight w:val="none"/>
        </w:rPr>
        <w:t>本项目与</w:t>
      </w:r>
      <w:r>
        <w:rPr>
          <w:rFonts w:hint="eastAsia" w:ascii="Times New Roman" w:hAnsi="Times New Roman" w:cs="Times New Roman"/>
          <w:b/>
          <w:bCs/>
          <w:color w:val="auto"/>
          <w:kern w:val="2"/>
          <w:szCs w:val="28"/>
          <w:highlight w:val="none"/>
        </w:rPr>
        <w:t>绥化市</w:t>
      </w:r>
      <w:r>
        <w:rPr>
          <w:rFonts w:ascii="Times New Roman" w:hAnsi="Times New Roman" w:cs="Times New Roman"/>
          <w:b/>
          <w:color w:val="auto"/>
          <w:szCs w:val="20"/>
          <w:highlight w:val="none"/>
        </w:rPr>
        <w:t>生态环境</w:t>
      </w:r>
      <w:r>
        <w:rPr>
          <w:rFonts w:ascii="Times New Roman" w:hAnsi="Times New Roman" w:cs="Times New Roman"/>
          <w:b/>
          <w:bCs/>
          <w:color w:val="auto"/>
          <w:kern w:val="2"/>
          <w:szCs w:val="28"/>
          <w:highlight w:val="none"/>
        </w:rPr>
        <w:t>总体准入要求符合性分析</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8"/>
        <w:gridCol w:w="992"/>
        <w:gridCol w:w="4817"/>
        <w:gridCol w:w="6508"/>
        <w:gridCol w:w="692"/>
      </w:tblGrid>
      <w:tr w14:paraId="3546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998" w:type="dxa"/>
            <w:vAlign w:val="center"/>
          </w:tcPr>
          <w:p w14:paraId="0D741058">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适用范围</w:t>
            </w:r>
          </w:p>
        </w:tc>
        <w:tc>
          <w:tcPr>
            <w:tcW w:w="992" w:type="dxa"/>
            <w:vAlign w:val="center"/>
          </w:tcPr>
          <w:p w14:paraId="11F05D6A">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管控纬度</w:t>
            </w:r>
          </w:p>
        </w:tc>
        <w:tc>
          <w:tcPr>
            <w:tcW w:w="4819" w:type="dxa"/>
            <w:vAlign w:val="center"/>
          </w:tcPr>
          <w:p w14:paraId="270D8782">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管控要求</w:t>
            </w:r>
          </w:p>
        </w:tc>
        <w:tc>
          <w:tcPr>
            <w:tcW w:w="6510" w:type="dxa"/>
            <w:vAlign w:val="center"/>
          </w:tcPr>
          <w:p w14:paraId="14B92595">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本项目</w:t>
            </w:r>
          </w:p>
        </w:tc>
        <w:tc>
          <w:tcPr>
            <w:tcW w:w="692" w:type="dxa"/>
            <w:vAlign w:val="center"/>
          </w:tcPr>
          <w:p w14:paraId="2C2769FB">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符合性</w:t>
            </w:r>
          </w:p>
        </w:tc>
      </w:tr>
      <w:tr w14:paraId="4A01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1" w:hRule="atLeast"/>
        </w:trPr>
        <w:tc>
          <w:tcPr>
            <w:tcW w:w="998" w:type="dxa"/>
            <w:vMerge w:val="restart"/>
            <w:vAlign w:val="center"/>
          </w:tcPr>
          <w:p w14:paraId="5E7FB4B0">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lang w:bidi="zh-CN"/>
              </w:rPr>
              <w:t>总体要求</w:t>
            </w:r>
          </w:p>
        </w:tc>
        <w:tc>
          <w:tcPr>
            <w:tcW w:w="992" w:type="dxa"/>
            <w:vAlign w:val="center"/>
          </w:tcPr>
          <w:p w14:paraId="61E94466">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空间布局约束</w:t>
            </w:r>
          </w:p>
        </w:tc>
        <w:tc>
          <w:tcPr>
            <w:tcW w:w="4819" w:type="dxa"/>
            <w:vAlign w:val="center"/>
          </w:tcPr>
          <w:p w14:paraId="4266AB23">
            <w:pPr>
              <w:widowControl w:val="0"/>
              <w:adjustRightInd w:val="0"/>
              <w:spacing w:line="330" w:lineRule="exact"/>
              <w:jc w:val="both"/>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1.原则上按限制开发区域的要求进行管理。严格限制与生态功能不一致的开发建设活动。符合区域准入条件的新增建设项目，涉及占用生态空间中的林地、草原等，按有关法律法规规定办理；涉及占用生态空间中其他未作明确规定的用地，应当加强论证和管理。符合条件的农业开发项目，须依法由市县级及以上地方人民政府统筹安排。除符合国家生态退耕条件的耕地，并纳入国家生态退耕总体安排，或因国家重大生态工程建设需要外，不得随意转用。</w:t>
            </w:r>
          </w:p>
        </w:tc>
        <w:tc>
          <w:tcPr>
            <w:tcW w:w="6510" w:type="dxa"/>
            <w:vAlign w:val="center"/>
          </w:tcPr>
          <w:p w14:paraId="6D0E1E2B">
            <w:pPr>
              <w:widowControl w:val="0"/>
              <w:spacing w:line="320" w:lineRule="exact"/>
              <w:jc w:val="both"/>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1、本项目为</w:t>
            </w:r>
            <w:r>
              <w:rPr>
                <w:rFonts w:hint="eastAsia" w:ascii="Times New Roman" w:hAnsi="Times New Roman" w:cs="Times New Roman"/>
                <w:color w:val="auto"/>
                <w:sz w:val="21"/>
                <w:szCs w:val="21"/>
                <w:highlight w:val="none"/>
              </w:rPr>
              <w:t>油田</w:t>
            </w:r>
            <w:r>
              <w:rPr>
                <w:rFonts w:hint="eastAsia" w:ascii="Times New Roman" w:hAnsi="Times New Roman" w:cs="Times New Roman"/>
                <w:color w:val="auto"/>
                <w:sz w:val="21"/>
                <w:szCs w:val="21"/>
                <w:highlight w:val="none"/>
                <w:lang w:val="en-US" w:eastAsia="zh-CN"/>
              </w:rPr>
              <w:t>集输</w:t>
            </w:r>
            <w:r>
              <w:rPr>
                <w:rFonts w:hint="eastAsia" w:ascii="Times New Roman" w:hAnsi="Times New Roman" w:cs="Times New Roman"/>
                <w:color w:val="auto"/>
                <w:sz w:val="21"/>
                <w:szCs w:val="21"/>
                <w:highlight w:val="none"/>
              </w:rPr>
              <w:t>管道</w:t>
            </w:r>
            <w:r>
              <w:rPr>
                <w:rFonts w:ascii="Times New Roman" w:hAnsi="Times New Roman" w:cs="Times New Roman"/>
                <w:color w:val="auto"/>
                <w:sz w:val="21"/>
                <w:szCs w:val="21"/>
                <w:highlight w:val="none"/>
              </w:rPr>
              <w:t>项目，属于国家能源</w:t>
            </w:r>
            <w:r>
              <w:rPr>
                <w:rFonts w:hint="eastAsia" w:ascii="Times New Roman" w:hAnsi="Times New Roman" w:cs="Times New Roman"/>
                <w:color w:val="auto"/>
                <w:sz w:val="21"/>
                <w:szCs w:val="21"/>
                <w:highlight w:val="none"/>
              </w:rPr>
              <w:t>附属基础设施</w:t>
            </w:r>
            <w:r>
              <w:rPr>
                <w:rFonts w:ascii="Times New Roman" w:hAnsi="Times New Roman" w:cs="Times New Roman"/>
                <w:color w:val="auto"/>
                <w:sz w:val="21"/>
                <w:szCs w:val="21"/>
                <w:highlight w:val="none"/>
              </w:rPr>
              <w:t>项目，</w:t>
            </w:r>
            <w:r>
              <w:rPr>
                <w:rFonts w:hint="eastAsia" w:ascii="Times New Roman" w:hAnsi="Times New Roman" w:cs="Times New Roman"/>
                <w:color w:val="auto"/>
                <w:sz w:val="21"/>
                <w:szCs w:val="21"/>
                <w:highlight w:val="none"/>
              </w:rPr>
              <w:t>占用耕地和草地</w:t>
            </w:r>
            <w:r>
              <w:rPr>
                <w:rFonts w:ascii="Times New Roman" w:hAnsi="Times New Roman" w:cs="Times New Roman"/>
                <w:color w:val="auto"/>
                <w:sz w:val="21"/>
                <w:szCs w:val="21"/>
                <w:highlight w:val="none"/>
              </w:rPr>
              <w:t>，项目选址无法避让耕地(黑土地)。项目临时占地</w:t>
            </w:r>
            <w:r>
              <w:rPr>
                <w:rFonts w:hint="eastAsia" w:ascii="Times New Roman" w:hAnsi="Times New Roman" w:cs="Times New Roman"/>
                <w:color w:val="auto"/>
                <w:sz w:val="21"/>
                <w:szCs w:val="21"/>
                <w:highlight w:val="none"/>
                <w:lang w:val="en-US" w:eastAsia="zh-CN"/>
              </w:rPr>
              <w:t>21.88</w:t>
            </w:r>
            <w:r>
              <w:rPr>
                <w:rFonts w:ascii="Times New Roman" w:hAnsi="Times New Roman" w:cs="Times New Roman"/>
                <w:color w:val="auto"/>
                <w:sz w:val="21"/>
                <w:szCs w:val="21"/>
                <w:highlight w:val="none"/>
              </w:rPr>
              <w:t>hm</w:t>
            </w:r>
            <w:r>
              <w:rPr>
                <w:rFonts w:ascii="Times New Roman" w:hAnsi="Times New Roman" w:cs="Times New Roman"/>
                <w:color w:val="auto"/>
                <w:sz w:val="21"/>
                <w:szCs w:val="21"/>
                <w:highlight w:val="none"/>
                <w:vertAlign w:val="superscript"/>
              </w:rPr>
              <w:t>2</w:t>
            </w:r>
            <w:r>
              <w:rPr>
                <w:rFonts w:ascii="Times New Roman" w:hAnsi="Times New Roman" w:cs="Times New Roman"/>
                <w:color w:val="auto"/>
                <w:sz w:val="21"/>
                <w:szCs w:val="21"/>
                <w:highlight w:val="none"/>
              </w:rPr>
              <w:t>。项目在施工前需要征收土地，应报请相关主管部门同意，取得用地审批。本工程尽可能减少占地。本工程建设过程中，对</w:t>
            </w:r>
            <w:r>
              <w:rPr>
                <w:rFonts w:hint="eastAsia" w:ascii="Times New Roman" w:hAnsi="Times New Roman" w:cs="Times New Roman"/>
                <w:color w:val="auto"/>
                <w:sz w:val="21"/>
                <w:szCs w:val="21"/>
                <w:highlight w:val="none"/>
              </w:rPr>
              <w:t>临时</w:t>
            </w:r>
            <w:r>
              <w:rPr>
                <w:rFonts w:ascii="Times New Roman" w:hAnsi="Times New Roman" w:cs="Times New Roman"/>
                <w:color w:val="auto"/>
                <w:sz w:val="21"/>
                <w:szCs w:val="21"/>
                <w:highlight w:val="none"/>
              </w:rPr>
              <w:t>占用的耕地，由建设单位</w:t>
            </w:r>
            <w:r>
              <w:rPr>
                <w:rFonts w:hint="eastAsia" w:ascii="Times New Roman" w:hAnsi="Times New Roman" w:cs="Times New Roman"/>
                <w:color w:val="auto"/>
                <w:sz w:val="21"/>
                <w:szCs w:val="21"/>
                <w:highlight w:val="none"/>
              </w:rPr>
              <w:t>按规定</w:t>
            </w:r>
            <w:r>
              <w:rPr>
                <w:rFonts w:ascii="Times New Roman" w:hAnsi="Times New Roman" w:cs="Times New Roman"/>
                <w:color w:val="auto"/>
                <w:sz w:val="21"/>
                <w:szCs w:val="21"/>
                <w:highlight w:val="none"/>
              </w:rPr>
              <w:t>缴纳耕地</w:t>
            </w:r>
            <w:r>
              <w:rPr>
                <w:rFonts w:hint="eastAsia" w:ascii="Times New Roman" w:hAnsi="Times New Roman" w:cs="Times New Roman"/>
                <w:color w:val="auto"/>
                <w:sz w:val="21"/>
                <w:szCs w:val="21"/>
                <w:highlight w:val="none"/>
              </w:rPr>
              <w:t>补偿</w:t>
            </w:r>
            <w:r>
              <w:rPr>
                <w:rFonts w:ascii="Times New Roman" w:hAnsi="Times New Roman" w:cs="Times New Roman"/>
                <w:color w:val="auto"/>
                <w:sz w:val="21"/>
                <w:szCs w:val="21"/>
                <w:highlight w:val="none"/>
              </w:rPr>
              <w:t>费，</w:t>
            </w:r>
            <w:r>
              <w:rPr>
                <w:rFonts w:hint="eastAsia" w:ascii="Times New Roman" w:hAnsi="Times New Roman" w:cs="Times New Roman"/>
                <w:color w:val="auto"/>
                <w:sz w:val="21"/>
                <w:szCs w:val="21"/>
                <w:highlight w:val="none"/>
              </w:rPr>
              <w:t>及时对临时占地进行平整恢复</w:t>
            </w:r>
            <w:r>
              <w:rPr>
                <w:rFonts w:ascii="Times New Roman" w:hAnsi="Times New Roman" w:cs="Times New Roman"/>
                <w:color w:val="auto"/>
                <w:sz w:val="21"/>
                <w:szCs w:val="21"/>
                <w:highlight w:val="none"/>
              </w:rPr>
              <w:t>。</w:t>
            </w:r>
          </w:p>
          <w:p w14:paraId="51A88991">
            <w:pPr>
              <w:widowControl w:val="0"/>
              <w:adjustRightInd w:val="0"/>
              <w:spacing w:line="330" w:lineRule="exact"/>
              <w:jc w:val="both"/>
              <w:textAlignment w:val="baseline"/>
              <w:rPr>
                <w:rFonts w:ascii="Times New Roman" w:hAnsi="Times New Roman" w:cs="Times New Roman"/>
                <w:bCs/>
                <w:color w:val="auto"/>
                <w:sz w:val="21"/>
                <w:szCs w:val="21"/>
                <w:highlight w:val="none"/>
              </w:rPr>
            </w:pPr>
            <w:r>
              <w:rPr>
                <w:rFonts w:ascii="Times New Roman" w:hAnsi="Times New Roman" w:cs="Times New Roman"/>
                <w:color w:val="auto"/>
                <w:sz w:val="21"/>
                <w:szCs w:val="21"/>
                <w:highlight w:val="none"/>
              </w:rPr>
              <w:t>2、本项目为</w:t>
            </w:r>
            <w:r>
              <w:rPr>
                <w:rFonts w:hint="eastAsia" w:ascii="Times New Roman" w:hAnsi="Times New Roman" w:cs="Times New Roman"/>
                <w:color w:val="auto"/>
                <w:sz w:val="21"/>
                <w:szCs w:val="21"/>
                <w:highlight w:val="none"/>
              </w:rPr>
              <w:t>油田</w:t>
            </w:r>
            <w:r>
              <w:rPr>
                <w:rFonts w:hint="eastAsia" w:ascii="Times New Roman" w:hAnsi="Times New Roman" w:cs="Times New Roman"/>
                <w:color w:val="auto"/>
                <w:sz w:val="21"/>
                <w:szCs w:val="21"/>
                <w:highlight w:val="none"/>
                <w:lang w:val="en-US" w:eastAsia="zh-CN"/>
              </w:rPr>
              <w:t>集输</w:t>
            </w:r>
            <w:r>
              <w:rPr>
                <w:rFonts w:hint="eastAsia" w:ascii="Times New Roman" w:hAnsi="Times New Roman" w:cs="Times New Roman"/>
                <w:color w:val="auto"/>
                <w:sz w:val="21"/>
                <w:szCs w:val="21"/>
                <w:highlight w:val="none"/>
              </w:rPr>
              <w:t>管道</w:t>
            </w:r>
            <w:r>
              <w:rPr>
                <w:rFonts w:ascii="Times New Roman" w:hAnsi="Times New Roman" w:cs="Times New Roman"/>
                <w:color w:val="auto"/>
                <w:sz w:val="21"/>
                <w:szCs w:val="21"/>
                <w:highlight w:val="none"/>
              </w:rPr>
              <w:t>项目，不属于有色、石油加工、化工、焦化、电镀、制革等行业企业。不属于高污染、高能耗行业。</w:t>
            </w:r>
          </w:p>
        </w:tc>
        <w:tc>
          <w:tcPr>
            <w:tcW w:w="692" w:type="dxa"/>
            <w:vAlign w:val="center"/>
          </w:tcPr>
          <w:p w14:paraId="7C519FC0">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符合</w:t>
            </w:r>
          </w:p>
        </w:tc>
      </w:tr>
      <w:tr w14:paraId="13B5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trPr>
        <w:tc>
          <w:tcPr>
            <w:tcW w:w="998" w:type="dxa"/>
            <w:vMerge w:val="continue"/>
            <w:vAlign w:val="center"/>
          </w:tcPr>
          <w:p w14:paraId="68A60D71">
            <w:pPr>
              <w:widowControl w:val="0"/>
              <w:adjustRightInd w:val="0"/>
              <w:spacing w:line="360" w:lineRule="exact"/>
              <w:jc w:val="center"/>
              <w:textAlignment w:val="baseline"/>
              <w:rPr>
                <w:rFonts w:ascii="Times New Roman" w:hAnsi="Times New Roman" w:cs="Times New Roman"/>
                <w:bCs/>
                <w:color w:val="auto"/>
                <w:sz w:val="21"/>
                <w:szCs w:val="21"/>
                <w:highlight w:val="none"/>
              </w:rPr>
            </w:pPr>
          </w:p>
        </w:tc>
        <w:tc>
          <w:tcPr>
            <w:tcW w:w="992" w:type="dxa"/>
            <w:vAlign w:val="center"/>
          </w:tcPr>
          <w:p w14:paraId="1593270D">
            <w:pPr>
              <w:widowControl w:val="0"/>
              <w:adjustRightInd w:val="0"/>
              <w:spacing w:before="120" w:beforeLines="50" w:after="48" w:afterLines="20" w:line="360" w:lineRule="exact"/>
              <w:jc w:val="both"/>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lang w:bidi="zh-CN"/>
              </w:rPr>
              <w:t>污染物排放管控</w:t>
            </w:r>
          </w:p>
        </w:tc>
        <w:tc>
          <w:tcPr>
            <w:tcW w:w="4819" w:type="dxa"/>
            <w:vAlign w:val="center"/>
          </w:tcPr>
          <w:p w14:paraId="06025D0C">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1.2025年和2035年全市大气污染物氮氧化物和VOCs重点工程削减量不低于省政府确定的削减量。</w:t>
            </w:r>
          </w:p>
          <w:p w14:paraId="3B5388A7">
            <w:pPr>
              <w:widowControl w:val="0"/>
              <w:autoSpaceDE w:val="0"/>
              <w:autoSpaceDN w:val="0"/>
              <w:spacing w:line="320" w:lineRule="exact"/>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2.2025年和2035年全市水污染物化学需氧量和氨氮削减量不低于省政府确定的削减量。到2025年，化学需氧量、氨氮重点工程减排量分别达到10984.9吨、1200吨。</w:t>
            </w:r>
          </w:p>
        </w:tc>
        <w:tc>
          <w:tcPr>
            <w:tcW w:w="6510" w:type="dxa"/>
            <w:vAlign w:val="center"/>
          </w:tcPr>
          <w:p w14:paraId="1E2F0FB2">
            <w:pPr>
              <w:widowControl w:val="0"/>
              <w:adjustRightInd w:val="0"/>
              <w:spacing w:before="120" w:beforeLines="50" w:after="48" w:afterLines="20" w:line="320" w:lineRule="exact"/>
              <w:jc w:val="both"/>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lang w:bidi="zh-CN"/>
              </w:rPr>
              <w:t>符合。本项目施工过程中产生的废气主要为施工扬尘、焊接烟尘。施工扬尘采取运输道路及施工场地定时洒水抑尘，运输车辆采取苫布遮盖措施，土方开挖采取遮盖、围挡、洒水等防尘措施；项目管道焊接主要方式为电焊，由于项目产生的焊接烟尘量较小，且项目位于室外，空气扩散条件较好，对大气环境影响较小。</w:t>
            </w:r>
            <w:r>
              <w:rPr>
                <w:rFonts w:ascii="Times New Roman" w:hAnsi="Times New Roman" w:cs="Times New Roman"/>
                <w:bCs/>
                <w:color w:val="auto"/>
                <w:sz w:val="21"/>
                <w:szCs w:val="21"/>
                <w:highlight w:val="none"/>
              </w:rPr>
              <w:t>运营期</w:t>
            </w:r>
            <w:r>
              <w:rPr>
                <w:rFonts w:hint="eastAsia" w:ascii="Times New Roman" w:hAnsi="Times New Roman" w:cs="Times New Roman"/>
                <w:bCs/>
                <w:color w:val="auto"/>
                <w:sz w:val="21"/>
                <w:szCs w:val="21"/>
                <w:highlight w:val="none"/>
              </w:rPr>
              <w:t>管道密闭输送，</w:t>
            </w:r>
            <w:r>
              <w:rPr>
                <w:rFonts w:ascii="Times New Roman" w:hAnsi="Times New Roman" w:cs="Times New Roman"/>
                <w:bCs/>
                <w:color w:val="auto"/>
                <w:sz w:val="21"/>
                <w:szCs w:val="21"/>
                <w:highlight w:val="none"/>
              </w:rPr>
              <w:t>定期对和管道进行维修保养，保证</w:t>
            </w:r>
            <w:r>
              <w:rPr>
                <w:rFonts w:hint="eastAsia" w:ascii="Times New Roman" w:hAnsi="Times New Roman" w:cs="Times New Roman"/>
                <w:bCs/>
                <w:color w:val="auto"/>
                <w:sz w:val="21"/>
                <w:szCs w:val="21"/>
                <w:highlight w:val="none"/>
              </w:rPr>
              <w:t>输送管道</w:t>
            </w:r>
            <w:r>
              <w:rPr>
                <w:rFonts w:ascii="Times New Roman" w:hAnsi="Times New Roman" w:cs="Times New Roman"/>
                <w:bCs/>
                <w:color w:val="auto"/>
                <w:sz w:val="21"/>
                <w:szCs w:val="21"/>
                <w:highlight w:val="none"/>
              </w:rPr>
              <w:t>的平稳运行，控制烃类气体的无组织挥发。</w:t>
            </w:r>
          </w:p>
          <w:p w14:paraId="569FD0F1">
            <w:pPr>
              <w:widowControl w:val="0"/>
              <w:adjustRightInd w:val="0"/>
              <w:spacing w:line="320" w:lineRule="exact"/>
              <w:jc w:val="both"/>
              <w:textAlignment w:val="baseline"/>
              <w:rPr>
                <w:rFonts w:ascii="Times New Roman" w:hAnsi="Times New Roman" w:cs="Times New Roman"/>
                <w:bCs/>
                <w:color w:val="auto"/>
                <w:sz w:val="21"/>
                <w:szCs w:val="21"/>
                <w:highlight w:val="none"/>
              </w:rPr>
            </w:pPr>
            <w:r>
              <w:rPr>
                <w:rFonts w:ascii="Times New Roman" w:hAnsi="Times New Roman" w:cs="Times New Roman" w:eastAsiaTheme="minorEastAsia"/>
                <w:color w:val="auto"/>
                <w:sz w:val="21"/>
                <w:szCs w:val="21"/>
                <w:highlight w:val="none"/>
              </w:rPr>
              <w:t>施工期</w:t>
            </w:r>
            <w:r>
              <w:rPr>
                <w:rFonts w:hint="eastAsia" w:ascii="Times New Roman" w:hAnsi="Times New Roman" w:cs="Times New Roman" w:eastAsiaTheme="minorEastAsia"/>
                <w:bCs/>
                <w:color w:val="auto"/>
                <w:sz w:val="21"/>
                <w:szCs w:val="21"/>
                <w:highlight w:val="none"/>
              </w:rPr>
              <w:t>新建管线试压废水及废弃管线清洗废水</w:t>
            </w:r>
            <w:r>
              <w:rPr>
                <w:rFonts w:ascii="Times New Roman" w:hAnsi="Times New Roman" w:cs="Times New Roman" w:eastAsiaTheme="minorEastAsia"/>
                <w:bCs/>
                <w:color w:val="auto"/>
                <w:sz w:val="21"/>
                <w:szCs w:val="21"/>
                <w:highlight w:val="none"/>
              </w:rPr>
              <w:t>由罐车拉运至</w:t>
            </w:r>
            <w:r>
              <w:rPr>
                <w:rFonts w:ascii="Times New Roman" w:hAnsi="Times New Roman" w:cs="Times New Roman" w:eastAsiaTheme="minorEastAsia"/>
                <w:bCs/>
                <w:color w:val="auto"/>
                <w:kern w:val="2"/>
                <w:sz w:val="21"/>
                <w:highlight w:val="none"/>
                <w:lang w:bidi="zh-CN"/>
              </w:rPr>
              <w:t>卫一联含油污水深度处理站</w:t>
            </w:r>
            <w:r>
              <w:rPr>
                <w:rFonts w:ascii="Times New Roman" w:hAnsi="Times New Roman" w:cs="Times New Roman" w:eastAsiaTheme="minorEastAsia"/>
                <w:bCs/>
                <w:color w:val="auto"/>
                <w:sz w:val="21"/>
                <w:szCs w:val="21"/>
                <w:highlight w:val="none"/>
              </w:rPr>
              <w:t>处理</w:t>
            </w:r>
            <w:r>
              <w:rPr>
                <w:rFonts w:hint="eastAsia" w:ascii="Times New Roman" w:hAnsi="Times New Roman" w:cs="Times New Roman" w:eastAsiaTheme="minorEastAsia"/>
                <w:bCs/>
                <w:color w:val="auto"/>
                <w:sz w:val="21"/>
                <w:szCs w:val="21"/>
                <w:highlight w:val="none"/>
              </w:rPr>
              <w:t>达标</w:t>
            </w:r>
            <w:r>
              <w:rPr>
                <w:rFonts w:ascii="Times New Roman" w:hAnsi="Times New Roman" w:cs="Times New Roman" w:eastAsiaTheme="minorEastAsia"/>
                <w:bCs/>
                <w:color w:val="auto"/>
                <w:sz w:val="21"/>
                <w:szCs w:val="21"/>
                <w:highlight w:val="none"/>
              </w:rPr>
              <w:t>后回注油层，不外排；施工人员产生的生活污水排入附近计量间或场站已建防渗旱厕，定期由</w:t>
            </w:r>
            <w:r>
              <w:rPr>
                <w:rFonts w:hint="eastAsia" w:ascii="Times New Roman" w:hAnsi="Times New Roman" w:cs="Times New Roman" w:eastAsiaTheme="minorEastAsia"/>
                <w:bCs/>
                <w:color w:val="auto"/>
                <w:sz w:val="21"/>
                <w:szCs w:val="21"/>
                <w:highlight w:val="none"/>
                <w:lang w:eastAsia="zh-CN"/>
              </w:rPr>
              <w:t>安达市同昌油田工程有限公司拉运至大庆市净源环保科技有限公司进行处理</w:t>
            </w:r>
            <w:r>
              <w:rPr>
                <w:rFonts w:ascii="Times New Roman" w:hAnsi="Times New Roman" w:cs="Times New Roman" w:eastAsiaTheme="minorEastAsia"/>
                <w:color w:val="auto"/>
                <w:sz w:val="21"/>
                <w:szCs w:val="21"/>
                <w:highlight w:val="none"/>
              </w:rPr>
              <w:t>。</w:t>
            </w:r>
            <w:r>
              <w:rPr>
                <w:rFonts w:ascii="Times New Roman" w:hAnsi="Times New Roman" w:cs="Times New Roman"/>
                <w:bCs/>
                <w:color w:val="auto"/>
                <w:sz w:val="21"/>
                <w:szCs w:val="21"/>
                <w:highlight w:val="none"/>
                <w:lang w:bidi="zh-CN"/>
              </w:rPr>
              <w:t>运营期</w:t>
            </w:r>
            <w:r>
              <w:rPr>
                <w:rFonts w:hint="eastAsia" w:ascii="Times New Roman" w:hAnsi="Times New Roman" w:cs="Times New Roman"/>
                <w:bCs/>
                <w:color w:val="auto"/>
                <w:sz w:val="21"/>
                <w:szCs w:val="21"/>
                <w:highlight w:val="none"/>
                <w:lang w:bidi="zh-CN"/>
              </w:rPr>
              <w:t>无生产</w:t>
            </w:r>
            <w:r>
              <w:rPr>
                <w:rFonts w:ascii="Times New Roman" w:hAnsi="Times New Roman" w:cs="Times New Roman"/>
                <w:bCs/>
                <w:color w:val="auto"/>
                <w:sz w:val="21"/>
                <w:szCs w:val="21"/>
                <w:highlight w:val="none"/>
                <w:lang w:bidi="zh-CN"/>
              </w:rPr>
              <w:t>废水</w:t>
            </w:r>
            <w:r>
              <w:rPr>
                <w:rFonts w:hint="eastAsia" w:ascii="Times New Roman" w:hAnsi="Times New Roman" w:cs="Times New Roman"/>
                <w:bCs/>
                <w:color w:val="auto"/>
                <w:sz w:val="21"/>
                <w:szCs w:val="21"/>
                <w:highlight w:val="none"/>
                <w:lang w:bidi="zh-CN"/>
              </w:rPr>
              <w:t>。</w:t>
            </w:r>
          </w:p>
        </w:tc>
        <w:tc>
          <w:tcPr>
            <w:tcW w:w="692" w:type="dxa"/>
            <w:vAlign w:val="center"/>
          </w:tcPr>
          <w:p w14:paraId="2380E7EA">
            <w:pPr>
              <w:widowControl w:val="0"/>
              <w:adjustRightInd w:val="0"/>
              <w:spacing w:before="120" w:beforeLines="50" w:after="48" w:afterLines="20" w:line="360" w:lineRule="exact"/>
              <w:jc w:val="both"/>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符合</w:t>
            </w:r>
          </w:p>
        </w:tc>
      </w:tr>
      <w:tr w14:paraId="76EE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 w:hRule="atLeast"/>
        </w:trPr>
        <w:tc>
          <w:tcPr>
            <w:tcW w:w="998" w:type="dxa"/>
            <w:vMerge w:val="continue"/>
            <w:vAlign w:val="center"/>
          </w:tcPr>
          <w:p w14:paraId="28AA2458">
            <w:pPr>
              <w:widowControl w:val="0"/>
              <w:adjustRightInd w:val="0"/>
              <w:spacing w:line="360" w:lineRule="exact"/>
              <w:jc w:val="center"/>
              <w:textAlignment w:val="baseline"/>
              <w:rPr>
                <w:rFonts w:ascii="Times New Roman" w:hAnsi="Times New Roman" w:cs="Times New Roman"/>
                <w:bCs/>
                <w:color w:val="auto"/>
                <w:sz w:val="21"/>
                <w:szCs w:val="21"/>
                <w:highlight w:val="none"/>
              </w:rPr>
            </w:pPr>
          </w:p>
        </w:tc>
        <w:tc>
          <w:tcPr>
            <w:tcW w:w="992" w:type="dxa"/>
            <w:vAlign w:val="center"/>
          </w:tcPr>
          <w:p w14:paraId="11900C4E">
            <w:pPr>
              <w:widowControl w:val="0"/>
              <w:autoSpaceDE w:val="0"/>
              <w:autoSpaceDN w:val="0"/>
              <w:jc w:val="center"/>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环境风险防控</w:t>
            </w:r>
          </w:p>
        </w:tc>
        <w:tc>
          <w:tcPr>
            <w:tcW w:w="4819" w:type="dxa"/>
            <w:vAlign w:val="center"/>
          </w:tcPr>
          <w:p w14:paraId="323F67DD">
            <w:pPr>
              <w:widowControl w:val="0"/>
              <w:autoSpaceDE w:val="0"/>
              <w:autoSpaceDN w:val="0"/>
              <w:spacing w:line="320" w:lineRule="exact"/>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各级人民政府及其有关部门和企业事业单位，应当依照《中华人民共和国突发事件应对法》的规定，做好突发环境事件的风险控制、应急准备、应急处置和事后恢复等工作。</w:t>
            </w:r>
          </w:p>
        </w:tc>
        <w:tc>
          <w:tcPr>
            <w:tcW w:w="6510" w:type="dxa"/>
            <w:vAlign w:val="center"/>
          </w:tcPr>
          <w:p w14:paraId="06BD1B14">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caps w:val="0"/>
                <w:smallCaps w:val="0"/>
                <w:color w:val="auto"/>
                <w:spacing w:val="0"/>
                <w:w w:val="100"/>
                <w:position w:val="0"/>
                <w:sz w:val="21"/>
                <w:szCs w:val="21"/>
                <w:highlight w:val="none"/>
              </w:rPr>
              <w:t>第</w:t>
            </w:r>
            <w:r>
              <w:rPr>
                <w:rFonts w:hint="eastAsia" w:ascii="Times New Roman" w:hAnsi="Times New Roman" w:cs="Times New Roman"/>
                <w:caps w:val="0"/>
                <w:smallCaps w:val="0"/>
                <w:color w:val="auto"/>
                <w:spacing w:val="0"/>
                <w:w w:val="100"/>
                <w:position w:val="0"/>
                <w:sz w:val="21"/>
                <w:szCs w:val="21"/>
                <w:highlight w:val="none"/>
                <w:lang w:val="en-US" w:eastAsia="zh-CN"/>
              </w:rPr>
              <w:t>十一采油厂</w:t>
            </w:r>
            <w:r>
              <w:rPr>
                <w:rFonts w:ascii="Times New Roman" w:hAnsi="Times New Roman" w:cs="Times New Roman"/>
                <w:caps w:val="0"/>
                <w:smallCaps w:val="0"/>
                <w:color w:val="auto"/>
                <w:spacing w:val="0"/>
                <w:w w:val="100"/>
                <w:position w:val="0"/>
                <w:sz w:val="21"/>
                <w:szCs w:val="21"/>
                <w:highlight w:val="none"/>
              </w:rPr>
              <w:t>按照预案要求编制完成了《大庆油田有限责任公司第</w:t>
            </w:r>
            <w:r>
              <w:rPr>
                <w:rFonts w:hint="eastAsia" w:ascii="Times New Roman" w:hAnsi="Times New Roman" w:cs="Times New Roman"/>
                <w:caps w:val="0"/>
                <w:smallCaps w:val="0"/>
                <w:color w:val="auto"/>
                <w:spacing w:val="0"/>
                <w:w w:val="100"/>
                <w:position w:val="0"/>
                <w:sz w:val="21"/>
                <w:szCs w:val="21"/>
                <w:highlight w:val="none"/>
                <w:lang w:val="en-US" w:eastAsia="zh-CN"/>
              </w:rPr>
              <w:t>十一采油厂</w:t>
            </w:r>
            <w:r>
              <w:rPr>
                <w:rFonts w:ascii="Times New Roman" w:hAnsi="Times New Roman" w:cs="Times New Roman"/>
                <w:caps w:val="0"/>
                <w:smallCaps w:val="0"/>
                <w:color w:val="auto"/>
                <w:spacing w:val="0"/>
                <w:w w:val="100"/>
                <w:position w:val="0"/>
                <w:sz w:val="21"/>
                <w:szCs w:val="21"/>
                <w:highlight w:val="none"/>
              </w:rPr>
              <w:t>突发事件总体应急预案》《突发环境事件专项应急预案》等专项应急预案，</w:t>
            </w:r>
            <w:r>
              <w:rPr>
                <w:rFonts w:ascii="Times New Roman" w:hAnsi="Times New Roman" w:cs="Times New Roman" w:eastAsiaTheme="minorEastAsia"/>
                <w:caps w:val="0"/>
                <w:smallCaps w:val="0"/>
                <w:color w:val="auto"/>
                <w:spacing w:val="0"/>
                <w:w w:val="100"/>
                <w:kern w:val="2"/>
                <w:position w:val="0"/>
                <w:sz w:val="21"/>
                <w:highlight w:val="none"/>
              </w:rPr>
              <w:t>主要包括应急组织机构及职责明确、监测与预警、应急处置与应急响应、恢复与重建、应急保障与培训、督查与奖惩等内容。</w:t>
            </w:r>
            <w:r>
              <w:rPr>
                <w:rFonts w:ascii="Times New Roman" w:hAnsi="Times New Roman" w:eastAsia="宋体" w:cs="Times New Roman"/>
                <w:caps w:val="0"/>
                <w:smallCaps w:val="0"/>
                <w:color w:val="auto"/>
                <w:spacing w:val="0"/>
                <w:w w:val="100"/>
                <w:position w:val="0"/>
                <w:sz w:val="21"/>
                <w:szCs w:val="21"/>
                <w:highlight w:val="none"/>
              </w:rPr>
              <w:t>并于</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2025</w:t>
            </w:r>
            <w:r>
              <w:rPr>
                <w:rFonts w:ascii="Times New Roman" w:hAnsi="Times New Roman" w:eastAsia="宋体" w:cs="Times New Roman"/>
                <w:caps w:val="0"/>
                <w:smallCaps w:val="0"/>
                <w:color w:val="auto"/>
                <w:spacing w:val="0"/>
                <w:w w:val="100"/>
                <w:position w:val="0"/>
                <w:sz w:val="21"/>
                <w:szCs w:val="21"/>
                <w:highlight w:val="none"/>
              </w:rPr>
              <w:t>年</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3</w:t>
            </w:r>
            <w:r>
              <w:rPr>
                <w:rFonts w:ascii="Times New Roman" w:hAnsi="Times New Roman" w:eastAsia="宋体" w:cs="Times New Roman"/>
                <w:caps w:val="0"/>
                <w:smallCaps w:val="0"/>
                <w:color w:val="auto"/>
                <w:spacing w:val="0"/>
                <w:w w:val="100"/>
                <w:position w:val="0"/>
                <w:sz w:val="21"/>
                <w:szCs w:val="21"/>
                <w:highlight w:val="none"/>
              </w:rPr>
              <w:t>月</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25</w:t>
            </w:r>
            <w:r>
              <w:rPr>
                <w:rFonts w:ascii="Times New Roman" w:hAnsi="Times New Roman" w:eastAsia="宋体" w:cs="Times New Roman"/>
                <w:caps w:val="0"/>
                <w:smallCaps w:val="0"/>
                <w:color w:val="auto"/>
                <w:spacing w:val="0"/>
                <w:w w:val="100"/>
                <w:position w:val="0"/>
                <w:sz w:val="21"/>
                <w:szCs w:val="21"/>
                <w:highlight w:val="none"/>
              </w:rPr>
              <w:t>日在</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绥化市安达市</w:t>
            </w:r>
            <w:r>
              <w:rPr>
                <w:rFonts w:ascii="Times New Roman" w:hAnsi="Times New Roman" w:eastAsia="宋体" w:cs="Times New Roman"/>
                <w:caps w:val="0"/>
                <w:smallCaps w:val="0"/>
                <w:color w:val="auto"/>
                <w:spacing w:val="0"/>
                <w:w w:val="100"/>
                <w:position w:val="0"/>
                <w:sz w:val="21"/>
                <w:szCs w:val="21"/>
                <w:highlight w:val="none"/>
              </w:rPr>
              <w:t xml:space="preserve">生态环境局进行了备案，备案编号为 </w:t>
            </w:r>
            <w:r>
              <w:rPr>
                <w:rFonts w:hint="eastAsia" w:ascii="Times New Roman" w:hAnsi="Times New Roman" w:eastAsia="宋体" w:cs="Times New Roman"/>
                <w:caps w:val="0"/>
                <w:smallCaps w:val="0"/>
                <w:color w:val="auto"/>
                <w:spacing w:val="0"/>
                <w:w w:val="100"/>
                <w:position w:val="0"/>
                <w:sz w:val="21"/>
                <w:szCs w:val="21"/>
                <w:highlight w:val="none"/>
              </w:rPr>
              <w:t>231281-2025-014-L</w:t>
            </w:r>
            <w:r>
              <w:rPr>
                <w:rFonts w:ascii="Times New Roman" w:hAnsi="Times New Roman" w:cs="Times New Roman" w:eastAsiaTheme="minorEastAsia"/>
                <w:caps w:val="0"/>
                <w:smallCaps w:val="0"/>
                <w:color w:val="auto"/>
                <w:spacing w:val="0"/>
                <w:w w:val="100"/>
                <w:kern w:val="2"/>
                <w:position w:val="0"/>
                <w:sz w:val="21"/>
                <w:highlight w:val="none"/>
              </w:rPr>
              <w:t>。</w:t>
            </w:r>
          </w:p>
        </w:tc>
        <w:tc>
          <w:tcPr>
            <w:tcW w:w="692" w:type="dxa"/>
            <w:vAlign w:val="center"/>
          </w:tcPr>
          <w:p w14:paraId="05AC61F5">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符合</w:t>
            </w:r>
          </w:p>
        </w:tc>
      </w:tr>
      <w:tr w14:paraId="2F44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 w:hRule="atLeast"/>
        </w:trPr>
        <w:tc>
          <w:tcPr>
            <w:tcW w:w="998" w:type="dxa"/>
            <w:vMerge w:val="continue"/>
            <w:vAlign w:val="center"/>
          </w:tcPr>
          <w:p w14:paraId="7E14B755">
            <w:pPr>
              <w:widowControl w:val="0"/>
              <w:adjustRightInd w:val="0"/>
              <w:spacing w:line="360" w:lineRule="exact"/>
              <w:jc w:val="center"/>
              <w:textAlignment w:val="baseline"/>
              <w:rPr>
                <w:rFonts w:ascii="Times New Roman" w:hAnsi="Times New Roman" w:cs="Times New Roman"/>
                <w:bCs/>
                <w:color w:val="auto"/>
                <w:sz w:val="21"/>
                <w:szCs w:val="21"/>
                <w:highlight w:val="none"/>
              </w:rPr>
            </w:pPr>
          </w:p>
        </w:tc>
        <w:tc>
          <w:tcPr>
            <w:tcW w:w="992" w:type="dxa"/>
            <w:vAlign w:val="center"/>
          </w:tcPr>
          <w:p w14:paraId="4574295A">
            <w:pPr>
              <w:widowControl w:val="0"/>
              <w:autoSpaceDE w:val="0"/>
              <w:autoSpaceDN w:val="0"/>
              <w:jc w:val="center"/>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资源利用效率要求</w:t>
            </w:r>
          </w:p>
        </w:tc>
        <w:tc>
          <w:tcPr>
            <w:tcW w:w="4819" w:type="dxa"/>
            <w:vAlign w:val="center"/>
          </w:tcPr>
          <w:p w14:paraId="06F4BC74">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1.水资源：</w:t>
            </w:r>
          </w:p>
          <w:p w14:paraId="5B070172">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全市2025年用水总量不得超过36.55亿立方米，2030年用水总量控制指标不高于省政府确定的指标。</w:t>
            </w:r>
          </w:p>
          <w:p w14:paraId="5025DEF8">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2.土地资源：</w:t>
            </w:r>
          </w:p>
          <w:p w14:paraId="4F208EE4">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全市2025和2035年耕地保有量不低于规划指标。</w:t>
            </w:r>
          </w:p>
          <w:p w14:paraId="776669EC">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3.能源：</w:t>
            </w:r>
          </w:p>
          <w:p w14:paraId="6C9933A2">
            <w:pPr>
              <w:widowControl w:val="0"/>
              <w:adjustRightInd w:val="0"/>
              <w:jc w:val="both"/>
              <w:textAlignment w:val="baseline"/>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2025年和2035年，全市煤炭消费上线不高于省政府确定的指标。</w:t>
            </w:r>
          </w:p>
        </w:tc>
        <w:tc>
          <w:tcPr>
            <w:tcW w:w="6510" w:type="dxa"/>
            <w:vAlign w:val="center"/>
          </w:tcPr>
          <w:p w14:paraId="2342EB1B">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lang w:bidi="zh-CN"/>
              </w:rPr>
              <w:t>项目</w:t>
            </w:r>
            <w:r>
              <w:rPr>
                <w:rFonts w:hint="eastAsia" w:ascii="Times New Roman" w:hAnsi="Times New Roman" w:cs="Times New Roman"/>
                <w:bCs/>
                <w:color w:val="auto"/>
                <w:sz w:val="21"/>
                <w:szCs w:val="21"/>
                <w:highlight w:val="none"/>
                <w:lang w:bidi="zh-CN"/>
              </w:rPr>
              <w:t>施工期管道工程以临时占地为主</w:t>
            </w:r>
            <w:r>
              <w:rPr>
                <w:rFonts w:ascii="Times New Roman" w:hAnsi="Times New Roman" w:cs="Times New Roman"/>
                <w:bCs/>
                <w:color w:val="auto"/>
                <w:sz w:val="21"/>
                <w:szCs w:val="21"/>
                <w:highlight w:val="none"/>
                <w:lang w:bidi="zh-CN"/>
              </w:rPr>
              <w:t>，临时占地</w:t>
            </w:r>
            <w:r>
              <w:rPr>
                <w:rFonts w:hint="eastAsia" w:ascii="Times New Roman" w:hAnsi="Times New Roman" w:cs="Times New Roman"/>
                <w:bCs/>
                <w:color w:val="auto"/>
                <w:sz w:val="21"/>
                <w:szCs w:val="21"/>
                <w:highlight w:val="none"/>
                <w:lang w:bidi="zh-CN"/>
              </w:rPr>
              <w:t>在</w:t>
            </w:r>
            <w:r>
              <w:rPr>
                <w:rFonts w:ascii="Times New Roman" w:hAnsi="Times New Roman" w:cs="Times New Roman"/>
                <w:bCs/>
                <w:color w:val="auto"/>
                <w:sz w:val="21"/>
                <w:szCs w:val="21"/>
                <w:highlight w:val="none"/>
                <w:lang w:bidi="zh-CN"/>
              </w:rPr>
              <w:t>施工结束后进行生态恢复；本项目施工期消耗的水主要用于生产生活需要，管线试压废水不外排，运营期</w:t>
            </w:r>
            <w:r>
              <w:rPr>
                <w:rFonts w:hint="eastAsia" w:ascii="Times New Roman" w:hAnsi="Times New Roman" w:cs="Times New Roman"/>
                <w:bCs/>
                <w:color w:val="auto"/>
                <w:sz w:val="21"/>
                <w:szCs w:val="21"/>
                <w:highlight w:val="none"/>
                <w:lang w:bidi="zh-CN"/>
              </w:rPr>
              <w:t>不消耗水，</w:t>
            </w:r>
            <w:r>
              <w:rPr>
                <w:rFonts w:ascii="Times New Roman" w:hAnsi="Times New Roman" w:cs="Times New Roman"/>
                <w:bCs/>
                <w:color w:val="auto"/>
                <w:sz w:val="21"/>
                <w:szCs w:val="21"/>
                <w:highlight w:val="none"/>
                <w:lang w:bidi="zh-CN"/>
              </w:rPr>
              <w:t>不消费煤炭，能源消耗符合</w:t>
            </w:r>
            <w:r>
              <w:rPr>
                <w:rFonts w:hint="eastAsia" w:ascii="Times New Roman" w:hAnsi="Times New Roman" w:cs="Times New Roman"/>
                <w:bCs/>
                <w:color w:val="auto"/>
                <w:sz w:val="21"/>
                <w:szCs w:val="21"/>
                <w:highlight w:val="none"/>
                <w:lang w:bidi="zh-CN"/>
              </w:rPr>
              <w:t>绥化市</w:t>
            </w:r>
            <w:r>
              <w:rPr>
                <w:rFonts w:ascii="Times New Roman" w:hAnsi="Times New Roman" w:cs="Times New Roman"/>
                <w:bCs/>
                <w:color w:val="auto"/>
                <w:sz w:val="21"/>
                <w:szCs w:val="21"/>
                <w:highlight w:val="none"/>
                <w:lang w:bidi="zh-CN"/>
              </w:rPr>
              <w:t>能源利用上线及分区管控要求。</w:t>
            </w:r>
          </w:p>
        </w:tc>
        <w:tc>
          <w:tcPr>
            <w:tcW w:w="692" w:type="dxa"/>
            <w:vAlign w:val="center"/>
          </w:tcPr>
          <w:p w14:paraId="03747532">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符合</w:t>
            </w:r>
          </w:p>
        </w:tc>
      </w:tr>
      <w:tr w14:paraId="10B8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 w:hRule="atLeast"/>
        </w:trPr>
        <w:tc>
          <w:tcPr>
            <w:tcW w:w="998" w:type="dxa"/>
            <w:vMerge w:val="continue"/>
            <w:vAlign w:val="center"/>
          </w:tcPr>
          <w:p w14:paraId="114D6ACC">
            <w:pPr>
              <w:widowControl w:val="0"/>
              <w:adjustRightInd w:val="0"/>
              <w:spacing w:line="360" w:lineRule="exact"/>
              <w:jc w:val="center"/>
              <w:textAlignment w:val="baseline"/>
              <w:rPr>
                <w:rFonts w:ascii="Times New Roman" w:hAnsi="Times New Roman" w:cs="Times New Roman"/>
                <w:bCs/>
                <w:color w:val="auto"/>
                <w:sz w:val="21"/>
                <w:szCs w:val="21"/>
                <w:highlight w:val="none"/>
              </w:rPr>
            </w:pPr>
          </w:p>
        </w:tc>
        <w:tc>
          <w:tcPr>
            <w:tcW w:w="992" w:type="dxa"/>
            <w:vAlign w:val="center"/>
          </w:tcPr>
          <w:p w14:paraId="57EFC4F3">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高污染燃料禁燃区资源利用效率要求</w:t>
            </w:r>
          </w:p>
        </w:tc>
        <w:tc>
          <w:tcPr>
            <w:tcW w:w="4819" w:type="dxa"/>
            <w:vAlign w:val="center"/>
          </w:tcPr>
          <w:p w14:paraId="5F2BBE9C">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1.禁燃区禁止燃用燃料组合类别确定为国环规大气〔2017〕2号中I类类别。</w:t>
            </w:r>
          </w:p>
          <w:p w14:paraId="20697D63">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2.禁燃区内禁止燃用石油焦、油页岩、原油、重油、渣油、煤焦油等燃料；单台出力小于20蒸吨/小时的锅炉禁止燃用煤炭及其制品（包括原煤、散煤、煤矸石、煤泥、煤粉、水煤浆、型煤、焦炭、兰炭等）。</w:t>
            </w:r>
          </w:p>
          <w:p w14:paraId="6D35A3F4">
            <w:pPr>
              <w:widowControl w:val="0"/>
              <w:adjustRightInd w:val="0"/>
              <w:jc w:val="both"/>
              <w:textAlignment w:val="baseline"/>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3.禁燃区内不得新建、扩建国环规大气〔2017〕2号Ⅱ类类别规定中禁止燃用高污染燃料的燃用设施，不得销售国环规大气〔2017〕2号Ⅱ类类别中规定的高污染燃料。</w:t>
            </w:r>
          </w:p>
        </w:tc>
        <w:tc>
          <w:tcPr>
            <w:tcW w:w="6510" w:type="dxa"/>
            <w:vAlign w:val="center"/>
          </w:tcPr>
          <w:p w14:paraId="6F684D54">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lang w:bidi="zh-CN"/>
              </w:rPr>
              <w:t>本项目</w:t>
            </w:r>
            <w:r>
              <w:rPr>
                <w:rFonts w:hint="eastAsia" w:ascii="Times New Roman" w:hAnsi="Times New Roman" w:cs="Times New Roman"/>
                <w:bCs/>
                <w:color w:val="auto"/>
                <w:sz w:val="21"/>
                <w:szCs w:val="21"/>
                <w:highlight w:val="none"/>
                <w:lang w:bidi="zh-CN"/>
              </w:rPr>
              <w:t>为油田</w:t>
            </w:r>
            <w:r>
              <w:rPr>
                <w:rFonts w:hint="eastAsia" w:ascii="Times New Roman" w:hAnsi="Times New Roman" w:cs="Times New Roman"/>
                <w:bCs/>
                <w:color w:val="auto"/>
                <w:sz w:val="21"/>
                <w:szCs w:val="21"/>
                <w:highlight w:val="none"/>
                <w:lang w:val="en-US" w:bidi="zh-CN"/>
              </w:rPr>
              <w:t>集输</w:t>
            </w:r>
            <w:r>
              <w:rPr>
                <w:rFonts w:hint="eastAsia" w:ascii="Times New Roman" w:hAnsi="Times New Roman" w:cs="Times New Roman"/>
                <w:bCs/>
                <w:color w:val="auto"/>
                <w:sz w:val="21"/>
                <w:szCs w:val="21"/>
                <w:highlight w:val="none"/>
                <w:lang w:bidi="zh-CN"/>
              </w:rPr>
              <w:t>管道工程，运营期不涉及加热、供热等设施</w:t>
            </w:r>
            <w:r>
              <w:rPr>
                <w:rFonts w:ascii="Times New Roman" w:hAnsi="Times New Roman" w:cs="Times New Roman"/>
                <w:bCs/>
                <w:color w:val="auto"/>
                <w:sz w:val="21"/>
                <w:szCs w:val="21"/>
                <w:highlight w:val="none"/>
                <w:lang w:bidi="zh-CN"/>
              </w:rPr>
              <w:t>，不使用高污染燃料。</w:t>
            </w:r>
          </w:p>
        </w:tc>
        <w:tc>
          <w:tcPr>
            <w:tcW w:w="692" w:type="dxa"/>
            <w:vAlign w:val="center"/>
          </w:tcPr>
          <w:p w14:paraId="011EA28C">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符合</w:t>
            </w:r>
          </w:p>
        </w:tc>
      </w:tr>
    </w:tbl>
    <w:p w14:paraId="1CEA245E">
      <w:pPr>
        <w:widowControl w:val="0"/>
        <w:spacing w:line="440" w:lineRule="exact"/>
        <w:ind w:firstLine="482" w:firstLineChars="200"/>
        <w:jc w:val="both"/>
        <w:rPr>
          <w:rFonts w:ascii="Times New Roman" w:hAnsi="Times New Roman" w:cs="Times New Roman"/>
          <w:b/>
          <w:bCs/>
          <w:color w:val="auto"/>
          <w:kern w:val="2"/>
          <w:szCs w:val="28"/>
          <w:highlight w:val="none"/>
        </w:rPr>
      </w:pPr>
      <w:r>
        <w:rPr>
          <w:rFonts w:hint="eastAsia" w:ascii="Times New Roman" w:hAnsi="Times New Roman" w:cs="Times New Roman"/>
          <w:b/>
          <w:bCs/>
          <w:color w:val="auto"/>
          <w:kern w:val="2"/>
          <w:szCs w:val="28"/>
          <w:highlight w:val="none"/>
        </w:rPr>
        <w:t>表</w:t>
      </w:r>
      <w:r>
        <w:rPr>
          <w:rFonts w:ascii="Times New Roman" w:hAnsi="Times New Roman" w:cs="Times New Roman"/>
          <w:b/>
          <w:bCs/>
          <w:color w:val="auto"/>
          <w:kern w:val="2"/>
          <w:szCs w:val="28"/>
          <w:highlight w:val="none"/>
        </w:rPr>
        <w:t>1.4-</w:t>
      </w:r>
      <w:r>
        <w:rPr>
          <w:rFonts w:hint="eastAsia" w:ascii="Times New Roman" w:hAnsi="Times New Roman" w:cs="Times New Roman"/>
          <w:b/>
          <w:bCs/>
          <w:color w:val="auto"/>
          <w:kern w:val="2"/>
          <w:szCs w:val="28"/>
          <w:highlight w:val="none"/>
        </w:rPr>
        <w:t>25</w:t>
      </w:r>
      <w:r>
        <w:rPr>
          <w:rFonts w:ascii="Times New Roman" w:hAnsi="Times New Roman" w:cs="Times New Roman"/>
          <w:b/>
          <w:bCs/>
          <w:color w:val="auto"/>
          <w:kern w:val="2"/>
          <w:szCs w:val="28"/>
          <w:highlight w:val="none"/>
        </w:rPr>
        <w:t xml:space="preserve">        </w:t>
      </w:r>
      <w:r>
        <w:rPr>
          <w:rFonts w:hint="eastAsia" w:ascii="Times New Roman" w:hAnsi="Times New Roman" w:cs="Times New Roman"/>
          <w:b/>
          <w:bCs/>
          <w:color w:val="auto"/>
          <w:kern w:val="2"/>
          <w:szCs w:val="28"/>
          <w:highlight w:val="none"/>
        </w:rPr>
        <w:t>本项目与安达市</w:t>
      </w:r>
      <w:r>
        <w:rPr>
          <w:rFonts w:ascii="Times New Roman" w:hAnsi="Times New Roman" w:cs="Times New Roman"/>
          <w:b/>
          <w:bCs/>
          <w:color w:val="auto"/>
          <w:kern w:val="2"/>
          <w:szCs w:val="28"/>
          <w:highlight w:val="none"/>
        </w:rPr>
        <w:t>生态环境准入清单符合性分析</w:t>
      </w:r>
    </w:p>
    <w:tbl>
      <w:tblPr>
        <w:tblStyle w:val="81"/>
        <w:tblW w:w="14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5"/>
        <w:gridCol w:w="1127"/>
        <w:gridCol w:w="835"/>
        <w:gridCol w:w="1276"/>
        <w:gridCol w:w="6521"/>
        <w:gridCol w:w="2835"/>
      </w:tblGrid>
      <w:tr w14:paraId="3B22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Align w:val="center"/>
          </w:tcPr>
          <w:p w14:paraId="2567CA1D">
            <w:pPr>
              <w:widowControl w:val="0"/>
              <w:adjustRightInd w:val="0"/>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环境管控单元编码</w:t>
            </w:r>
          </w:p>
        </w:tc>
        <w:tc>
          <w:tcPr>
            <w:tcW w:w="1127" w:type="dxa"/>
            <w:vAlign w:val="center"/>
          </w:tcPr>
          <w:p w14:paraId="69B3ECE0">
            <w:pPr>
              <w:widowControl w:val="0"/>
              <w:adjustRightInd w:val="0"/>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环境管控单元名称</w:t>
            </w:r>
          </w:p>
        </w:tc>
        <w:tc>
          <w:tcPr>
            <w:tcW w:w="835" w:type="dxa"/>
            <w:vAlign w:val="center"/>
          </w:tcPr>
          <w:p w14:paraId="4B0B2808">
            <w:pPr>
              <w:widowControl w:val="0"/>
              <w:adjustRightInd w:val="0"/>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管控单元分类</w:t>
            </w:r>
          </w:p>
        </w:tc>
        <w:tc>
          <w:tcPr>
            <w:tcW w:w="7797" w:type="dxa"/>
            <w:gridSpan w:val="2"/>
            <w:vAlign w:val="center"/>
          </w:tcPr>
          <w:p w14:paraId="5EC7BE57">
            <w:pPr>
              <w:widowControl w:val="0"/>
              <w:adjustRightInd w:val="0"/>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管控要求</w:t>
            </w:r>
          </w:p>
        </w:tc>
        <w:tc>
          <w:tcPr>
            <w:tcW w:w="2835" w:type="dxa"/>
            <w:vAlign w:val="center"/>
          </w:tcPr>
          <w:p w14:paraId="007F8D99">
            <w:pPr>
              <w:widowControl w:val="0"/>
              <w:adjustRightInd w:val="0"/>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本项目</w:t>
            </w:r>
            <w:r>
              <w:rPr>
                <w:rFonts w:hint="eastAsia" w:ascii="Times New Roman" w:hAnsi="Times New Roman" w:cs="Times New Roman"/>
                <w:bCs/>
                <w:color w:val="auto"/>
                <w:sz w:val="21"/>
                <w:szCs w:val="21"/>
                <w:highlight w:val="none"/>
              </w:rPr>
              <w:t>符合性分析</w:t>
            </w:r>
          </w:p>
        </w:tc>
      </w:tr>
      <w:tr w14:paraId="6FF1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restart"/>
            <w:vAlign w:val="center"/>
          </w:tcPr>
          <w:p w14:paraId="62D65154">
            <w:pPr>
              <w:widowControl w:val="0"/>
              <w:autoSpaceDE w:val="0"/>
              <w:autoSpaceDN w:val="0"/>
              <w:jc w:val="center"/>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ZH23128120004</w:t>
            </w:r>
          </w:p>
        </w:tc>
        <w:tc>
          <w:tcPr>
            <w:tcW w:w="1127" w:type="dxa"/>
            <w:vMerge w:val="restart"/>
            <w:vAlign w:val="center"/>
          </w:tcPr>
          <w:p w14:paraId="28687969">
            <w:pPr>
              <w:widowControl w:val="0"/>
              <w:autoSpaceDE w:val="0"/>
              <w:autoSpaceDN w:val="0"/>
              <w:jc w:val="center"/>
              <w:rPr>
                <w:rFonts w:ascii="Times New Roman" w:hAnsi="Times New Roman" w:cs="Times New Roman"/>
                <w:color w:val="auto"/>
                <w:sz w:val="21"/>
                <w:szCs w:val="21"/>
                <w:highlight w:val="none"/>
                <w:lang w:val="zh-CN" w:bidi="zh-CN"/>
              </w:rPr>
            </w:pPr>
            <w:r>
              <w:rPr>
                <w:rFonts w:ascii="Times New Roman" w:hAnsi="Times New Roman" w:cs="Times New Roman"/>
                <w:bCs/>
                <w:color w:val="auto"/>
                <w:sz w:val="21"/>
                <w:szCs w:val="21"/>
                <w:highlight w:val="none"/>
                <w:lang w:val="zh-CN" w:bidi="zh-CN"/>
              </w:rPr>
              <w:t>安达市</w:t>
            </w:r>
            <w:r>
              <w:rPr>
                <w:rFonts w:hint="eastAsia" w:ascii="Times New Roman" w:hAnsi="Times New Roman" w:cs="Times New Roman"/>
                <w:bCs/>
                <w:color w:val="auto"/>
                <w:sz w:val="21"/>
                <w:szCs w:val="21"/>
                <w:highlight w:val="none"/>
                <w:lang w:val="zh-CN" w:bidi="zh-CN"/>
              </w:rPr>
              <w:t>水环境</w:t>
            </w:r>
            <w:r>
              <w:rPr>
                <w:rFonts w:ascii="Times New Roman" w:hAnsi="Times New Roman" w:cs="Times New Roman"/>
                <w:bCs/>
                <w:color w:val="auto"/>
                <w:sz w:val="21"/>
                <w:szCs w:val="21"/>
                <w:highlight w:val="none"/>
                <w:lang w:val="zh-CN" w:bidi="zh-CN"/>
              </w:rPr>
              <w:t>城镇生活污染重点管控区</w:t>
            </w:r>
          </w:p>
        </w:tc>
        <w:tc>
          <w:tcPr>
            <w:tcW w:w="835" w:type="dxa"/>
            <w:vMerge w:val="restart"/>
            <w:vAlign w:val="center"/>
          </w:tcPr>
          <w:p w14:paraId="72BD7DF2">
            <w:pPr>
              <w:widowControl w:val="0"/>
              <w:adjustRightInd w:val="0"/>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重点管控单元</w:t>
            </w:r>
          </w:p>
        </w:tc>
        <w:tc>
          <w:tcPr>
            <w:tcW w:w="1276" w:type="dxa"/>
            <w:vMerge w:val="restart"/>
            <w:vAlign w:val="center"/>
          </w:tcPr>
          <w:p w14:paraId="21C2FED8">
            <w:pPr>
              <w:widowControl w:val="0"/>
              <w:adjustRightInd w:val="0"/>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空间布局约束</w:t>
            </w:r>
          </w:p>
        </w:tc>
        <w:tc>
          <w:tcPr>
            <w:tcW w:w="6521" w:type="dxa"/>
            <w:vAlign w:val="center"/>
          </w:tcPr>
          <w:p w14:paraId="2D789F66">
            <w:pPr>
              <w:widowControl w:val="0"/>
              <w:adjustRightInd w:val="0"/>
              <w:spacing w:line="320" w:lineRule="exact"/>
              <w:jc w:val="both"/>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1</w:t>
            </w:r>
            <w:r>
              <w:rPr>
                <w:rFonts w:ascii="Times New Roman" w:hAnsi="Times New Roman" w:cs="Times New Roman"/>
                <w:bCs/>
                <w:color w:val="auto"/>
                <w:sz w:val="21"/>
                <w:szCs w:val="21"/>
                <w:highlight w:val="none"/>
                <w:lang w:bidi="zh-CN"/>
              </w:rPr>
              <w:t>执行除干旱地区外，新建城区应全面实行雨污分流，鼓励对初期雨水进行收集、处理和资源化利用</w:t>
            </w:r>
            <w:r>
              <w:rPr>
                <w:rFonts w:ascii="Times New Roman" w:hAnsi="Times New Roman" w:cs="Times New Roman"/>
                <w:bCs/>
                <w:color w:val="auto"/>
                <w:sz w:val="21"/>
                <w:szCs w:val="21"/>
                <w:highlight w:val="none"/>
              </w:rPr>
              <w:t>。</w:t>
            </w:r>
          </w:p>
        </w:tc>
        <w:tc>
          <w:tcPr>
            <w:tcW w:w="2835" w:type="dxa"/>
            <w:vMerge w:val="restart"/>
            <w:vAlign w:val="center"/>
          </w:tcPr>
          <w:p w14:paraId="47FC7CF3">
            <w:pPr>
              <w:widowControl w:val="0"/>
              <w:adjustRightInd w:val="0"/>
              <w:spacing w:line="320" w:lineRule="exact"/>
              <w:jc w:val="both"/>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lang w:bidi="zh-CN"/>
              </w:rPr>
              <w:t>本项目</w:t>
            </w:r>
            <w:r>
              <w:rPr>
                <w:rFonts w:hint="eastAsia" w:ascii="Times New Roman" w:hAnsi="Times New Roman" w:cs="Times New Roman"/>
                <w:bCs/>
                <w:color w:val="auto"/>
                <w:sz w:val="21"/>
                <w:szCs w:val="21"/>
                <w:highlight w:val="none"/>
                <w:lang w:bidi="zh-CN"/>
              </w:rPr>
              <w:t>为油田</w:t>
            </w:r>
            <w:r>
              <w:rPr>
                <w:rFonts w:hint="eastAsia" w:ascii="Times New Roman" w:hAnsi="Times New Roman" w:cs="Times New Roman"/>
                <w:bCs/>
                <w:color w:val="auto"/>
                <w:sz w:val="21"/>
                <w:szCs w:val="21"/>
                <w:highlight w:val="none"/>
                <w:lang w:val="en-US" w:bidi="zh-CN"/>
              </w:rPr>
              <w:t>集输</w:t>
            </w:r>
            <w:r>
              <w:rPr>
                <w:rFonts w:hint="eastAsia" w:ascii="Times New Roman" w:hAnsi="Times New Roman" w:cs="Times New Roman"/>
                <w:bCs/>
                <w:color w:val="auto"/>
                <w:sz w:val="21"/>
                <w:szCs w:val="21"/>
                <w:highlight w:val="none"/>
                <w:lang w:bidi="zh-CN"/>
              </w:rPr>
              <w:t>管道工程，</w:t>
            </w:r>
            <w:r>
              <w:rPr>
                <w:rFonts w:ascii="Times New Roman" w:hAnsi="Times New Roman" w:cs="Times New Roman"/>
                <w:bCs/>
                <w:color w:val="auto"/>
                <w:sz w:val="21"/>
                <w:szCs w:val="21"/>
                <w:highlight w:val="none"/>
                <w:lang w:bidi="zh-CN"/>
              </w:rPr>
              <w:t>位于安达市昌德镇境内，</w:t>
            </w:r>
            <w:r>
              <w:rPr>
                <w:rFonts w:hint="eastAsia" w:ascii="Times New Roman" w:hAnsi="Times New Roman" w:cs="Times New Roman"/>
                <w:bCs/>
                <w:color w:val="auto"/>
                <w:sz w:val="21"/>
                <w:szCs w:val="21"/>
                <w:highlight w:val="none"/>
                <w:lang w:bidi="zh-CN"/>
              </w:rPr>
              <w:t>属于</w:t>
            </w:r>
            <w:r>
              <w:rPr>
                <w:rFonts w:ascii="Times New Roman" w:hAnsi="Times New Roman" w:cs="Times New Roman"/>
                <w:bCs/>
                <w:color w:val="auto"/>
                <w:sz w:val="21"/>
                <w:szCs w:val="21"/>
                <w:highlight w:val="none"/>
                <w:lang w:bidi="zh-CN"/>
              </w:rPr>
              <w:t>农村地区，不属于高污染、高能耗行业。本项目施工期运行期产生的污染物均可得到有效治理，可控制污染物排放；</w:t>
            </w:r>
            <w:bookmarkStart w:id="107" w:name="OLE_LINK73"/>
            <w:r>
              <w:rPr>
                <w:rFonts w:hint="eastAsia" w:ascii="Times New Roman" w:hAnsi="Times New Roman" w:cs="Times New Roman"/>
                <w:bCs/>
                <w:iCs/>
                <w:color w:val="auto"/>
                <w:kern w:val="28"/>
                <w:sz w:val="21"/>
                <w:szCs w:val="21"/>
                <w:highlight w:val="none"/>
              </w:rPr>
              <w:t>本项目</w:t>
            </w:r>
            <w:r>
              <w:rPr>
                <w:rFonts w:hint="eastAsia" w:ascii="Times New Roman" w:hAnsi="Times New Roman" w:cs="Times New Roman" w:eastAsiaTheme="minorEastAsia"/>
                <w:bCs/>
                <w:color w:val="auto"/>
                <w:sz w:val="21"/>
                <w:szCs w:val="21"/>
                <w:highlight w:val="none"/>
              </w:rPr>
              <w:t>管线试压废水及废弃管线清洗废水</w:t>
            </w:r>
            <w:r>
              <w:rPr>
                <w:rFonts w:ascii="Times New Roman" w:hAnsi="Times New Roman" w:cs="Times New Roman" w:eastAsiaTheme="minorEastAsia"/>
                <w:bCs/>
                <w:color w:val="auto"/>
                <w:sz w:val="21"/>
                <w:szCs w:val="21"/>
                <w:highlight w:val="none"/>
              </w:rPr>
              <w:t>由罐车拉运至</w:t>
            </w:r>
            <w:r>
              <w:rPr>
                <w:rFonts w:ascii="Times New Roman" w:hAnsi="Times New Roman" w:cs="Times New Roman" w:eastAsiaTheme="minorEastAsia"/>
                <w:bCs/>
                <w:color w:val="auto"/>
                <w:kern w:val="2"/>
                <w:sz w:val="21"/>
                <w:highlight w:val="none"/>
                <w:lang w:bidi="zh-CN"/>
              </w:rPr>
              <w:t>卫一联含油污水深度处理站</w:t>
            </w:r>
            <w:r>
              <w:rPr>
                <w:rFonts w:ascii="Times New Roman" w:hAnsi="Times New Roman" w:cs="Times New Roman" w:eastAsiaTheme="minorEastAsia"/>
                <w:bCs/>
                <w:color w:val="auto"/>
                <w:sz w:val="21"/>
                <w:szCs w:val="21"/>
                <w:highlight w:val="none"/>
              </w:rPr>
              <w:t>处理</w:t>
            </w:r>
            <w:r>
              <w:rPr>
                <w:rFonts w:hint="eastAsia" w:ascii="Times New Roman" w:hAnsi="Times New Roman" w:cs="Times New Roman" w:eastAsiaTheme="minorEastAsia"/>
                <w:bCs/>
                <w:color w:val="auto"/>
                <w:sz w:val="21"/>
                <w:szCs w:val="21"/>
                <w:highlight w:val="none"/>
              </w:rPr>
              <w:t>达标</w:t>
            </w:r>
            <w:r>
              <w:rPr>
                <w:rFonts w:ascii="Times New Roman" w:hAnsi="Times New Roman" w:cs="Times New Roman" w:eastAsiaTheme="minorEastAsia"/>
                <w:bCs/>
                <w:color w:val="auto"/>
                <w:sz w:val="21"/>
                <w:szCs w:val="21"/>
                <w:highlight w:val="none"/>
              </w:rPr>
              <w:t>后回注油层，不外排；施工人员产生的生活污水排入附近计量间或场站已建防渗旱厕，定期由</w:t>
            </w:r>
            <w:bookmarkEnd w:id="107"/>
            <w:r>
              <w:rPr>
                <w:rFonts w:hint="eastAsia" w:ascii="Times New Roman" w:hAnsi="Times New Roman" w:cs="Times New Roman" w:eastAsiaTheme="minorEastAsia"/>
                <w:bCs/>
                <w:color w:val="auto"/>
                <w:sz w:val="21"/>
                <w:szCs w:val="21"/>
                <w:highlight w:val="none"/>
                <w:lang w:eastAsia="zh-CN"/>
              </w:rPr>
              <w:t>安达市同昌油田工程有限公司拉运至大庆市净源环保科技有限公司进行处理</w:t>
            </w:r>
            <w:r>
              <w:rPr>
                <w:rFonts w:ascii="Times New Roman" w:hAnsi="Times New Roman" w:cs="Times New Roman" w:eastAsiaTheme="minorEastAsia"/>
                <w:color w:val="auto"/>
                <w:sz w:val="21"/>
                <w:szCs w:val="21"/>
                <w:highlight w:val="none"/>
              </w:rPr>
              <w:t>。</w:t>
            </w:r>
            <w:r>
              <w:rPr>
                <w:rFonts w:ascii="Times New Roman" w:hAnsi="Times New Roman" w:cs="Times New Roman"/>
                <w:bCs/>
                <w:color w:val="auto"/>
                <w:sz w:val="21"/>
                <w:szCs w:val="21"/>
                <w:highlight w:val="none"/>
                <w:lang w:bidi="zh-CN"/>
              </w:rPr>
              <w:t>运营期</w:t>
            </w:r>
            <w:r>
              <w:rPr>
                <w:rFonts w:hint="eastAsia" w:ascii="Times New Roman" w:hAnsi="Times New Roman" w:cs="Times New Roman"/>
                <w:bCs/>
                <w:color w:val="auto"/>
                <w:sz w:val="21"/>
                <w:szCs w:val="21"/>
                <w:highlight w:val="none"/>
                <w:lang w:bidi="zh-CN"/>
              </w:rPr>
              <w:t>无生产</w:t>
            </w:r>
            <w:r>
              <w:rPr>
                <w:rFonts w:ascii="Times New Roman" w:hAnsi="Times New Roman" w:cs="Times New Roman"/>
                <w:bCs/>
                <w:color w:val="auto"/>
                <w:sz w:val="21"/>
                <w:szCs w:val="21"/>
                <w:highlight w:val="none"/>
                <w:lang w:bidi="zh-CN"/>
              </w:rPr>
              <w:t>废水</w:t>
            </w:r>
            <w:r>
              <w:rPr>
                <w:rFonts w:hint="eastAsia" w:ascii="Times New Roman" w:hAnsi="Times New Roman" w:cs="Times New Roman"/>
                <w:bCs/>
                <w:color w:val="auto"/>
                <w:sz w:val="21"/>
                <w:szCs w:val="21"/>
                <w:highlight w:val="none"/>
                <w:lang w:bidi="zh-CN"/>
              </w:rPr>
              <w:t>。</w:t>
            </w:r>
          </w:p>
        </w:tc>
      </w:tr>
      <w:tr w14:paraId="33B0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7DAA7F87">
            <w:pPr>
              <w:widowControl w:val="0"/>
              <w:adjustRightInd w:val="0"/>
              <w:jc w:val="center"/>
              <w:textAlignment w:val="baseline"/>
              <w:rPr>
                <w:rFonts w:ascii="Times New Roman" w:hAnsi="Times New Roman" w:cs="Times New Roman"/>
                <w:bCs/>
                <w:color w:val="auto"/>
                <w:sz w:val="21"/>
                <w:szCs w:val="21"/>
                <w:highlight w:val="none"/>
              </w:rPr>
            </w:pPr>
          </w:p>
        </w:tc>
        <w:tc>
          <w:tcPr>
            <w:tcW w:w="1127" w:type="dxa"/>
            <w:vMerge w:val="continue"/>
            <w:vAlign w:val="center"/>
          </w:tcPr>
          <w:p w14:paraId="5E233B8F">
            <w:pPr>
              <w:widowControl w:val="0"/>
              <w:adjustRightInd w:val="0"/>
              <w:jc w:val="center"/>
              <w:textAlignment w:val="baseline"/>
              <w:rPr>
                <w:rFonts w:ascii="Times New Roman" w:hAnsi="Times New Roman" w:cs="Times New Roman"/>
                <w:bCs/>
                <w:color w:val="auto"/>
                <w:sz w:val="21"/>
                <w:szCs w:val="21"/>
                <w:highlight w:val="none"/>
              </w:rPr>
            </w:pPr>
          </w:p>
        </w:tc>
        <w:tc>
          <w:tcPr>
            <w:tcW w:w="835" w:type="dxa"/>
            <w:vMerge w:val="continue"/>
            <w:vAlign w:val="center"/>
          </w:tcPr>
          <w:p w14:paraId="611873BD">
            <w:pPr>
              <w:widowControl w:val="0"/>
              <w:adjustRightInd w:val="0"/>
              <w:jc w:val="center"/>
              <w:textAlignment w:val="baseline"/>
              <w:rPr>
                <w:rFonts w:ascii="Times New Roman" w:hAnsi="Times New Roman" w:cs="Times New Roman"/>
                <w:bCs/>
                <w:color w:val="auto"/>
                <w:sz w:val="21"/>
                <w:szCs w:val="21"/>
                <w:highlight w:val="none"/>
              </w:rPr>
            </w:pPr>
          </w:p>
        </w:tc>
        <w:tc>
          <w:tcPr>
            <w:tcW w:w="1276" w:type="dxa"/>
            <w:vMerge w:val="continue"/>
            <w:vAlign w:val="center"/>
          </w:tcPr>
          <w:p w14:paraId="272897C1">
            <w:pPr>
              <w:widowControl w:val="0"/>
              <w:adjustRightInd w:val="0"/>
              <w:jc w:val="center"/>
              <w:textAlignment w:val="baseline"/>
              <w:rPr>
                <w:rFonts w:ascii="Times New Roman" w:hAnsi="Times New Roman" w:cs="Times New Roman"/>
                <w:bCs/>
                <w:color w:val="auto"/>
                <w:sz w:val="21"/>
                <w:szCs w:val="21"/>
                <w:highlight w:val="none"/>
              </w:rPr>
            </w:pPr>
          </w:p>
        </w:tc>
        <w:tc>
          <w:tcPr>
            <w:tcW w:w="6521" w:type="dxa"/>
            <w:vAlign w:val="center"/>
          </w:tcPr>
          <w:p w14:paraId="56B6A0FC">
            <w:pPr>
              <w:widowControl w:val="0"/>
              <w:adjustRightInd w:val="0"/>
              <w:spacing w:line="320" w:lineRule="exact"/>
              <w:jc w:val="both"/>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2.</w:t>
            </w:r>
            <w:r>
              <w:rPr>
                <w:rFonts w:ascii="Times New Roman" w:hAnsi="Times New Roman" w:cs="Times New Roman"/>
                <w:color w:val="auto"/>
                <w:sz w:val="21"/>
                <w:szCs w:val="21"/>
                <w:highlight w:val="none"/>
              </w:rPr>
              <w:t xml:space="preserve"> </w:t>
            </w:r>
            <w:r>
              <w:rPr>
                <w:rFonts w:ascii="Times New Roman" w:hAnsi="Times New Roman" w:cs="Times New Roman"/>
                <w:bCs/>
                <w:color w:val="auto"/>
                <w:sz w:val="21"/>
                <w:szCs w:val="21"/>
                <w:highlight w:val="none"/>
                <w:lang w:bidi="zh-CN"/>
              </w:rPr>
              <w:t>大气环境布局敏感重点管控区同时执行（1）严控“两高”行业产能。严格执行钢铁、水泥、平板玻璃等行业产能置换实施办法。（2）利用水泥窑协同处置城市生活垃圾、危险废弃物、电石渣等固废伴生水泥项目，必须依托现有新型干法水泥熟料生产线进行不扩产能改造</w:t>
            </w:r>
            <w:r>
              <w:rPr>
                <w:rFonts w:ascii="Times New Roman" w:hAnsi="Times New Roman" w:cs="Times New Roman"/>
                <w:bCs/>
                <w:color w:val="auto"/>
                <w:sz w:val="21"/>
                <w:szCs w:val="21"/>
                <w:highlight w:val="none"/>
              </w:rPr>
              <w:t>。</w:t>
            </w:r>
          </w:p>
        </w:tc>
        <w:tc>
          <w:tcPr>
            <w:tcW w:w="2835" w:type="dxa"/>
            <w:vMerge w:val="continue"/>
            <w:vAlign w:val="center"/>
          </w:tcPr>
          <w:p w14:paraId="7461B39B">
            <w:pPr>
              <w:widowControl w:val="0"/>
              <w:adjustRightInd w:val="0"/>
              <w:spacing w:line="320" w:lineRule="exact"/>
              <w:jc w:val="center"/>
              <w:textAlignment w:val="baseline"/>
              <w:rPr>
                <w:rFonts w:ascii="Times New Roman" w:hAnsi="Times New Roman" w:cs="Times New Roman"/>
                <w:bCs/>
                <w:color w:val="auto"/>
                <w:sz w:val="21"/>
                <w:szCs w:val="21"/>
                <w:highlight w:val="none"/>
              </w:rPr>
            </w:pPr>
          </w:p>
        </w:tc>
      </w:tr>
      <w:tr w14:paraId="7249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34EB4CB7">
            <w:pPr>
              <w:widowControl w:val="0"/>
              <w:adjustRightInd w:val="0"/>
              <w:jc w:val="center"/>
              <w:textAlignment w:val="baseline"/>
              <w:rPr>
                <w:rFonts w:ascii="Times New Roman" w:hAnsi="Times New Roman" w:cs="Times New Roman"/>
                <w:bCs/>
                <w:color w:val="auto"/>
                <w:sz w:val="21"/>
                <w:szCs w:val="21"/>
                <w:highlight w:val="none"/>
              </w:rPr>
            </w:pPr>
          </w:p>
        </w:tc>
        <w:tc>
          <w:tcPr>
            <w:tcW w:w="1127" w:type="dxa"/>
            <w:vMerge w:val="continue"/>
            <w:vAlign w:val="center"/>
          </w:tcPr>
          <w:p w14:paraId="47DAB6F1">
            <w:pPr>
              <w:widowControl w:val="0"/>
              <w:adjustRightInd w:val="0"/>
              <w:jc w:val="center"/>
              <w:textAlignment w:val="baseline"/>
              <w:rPr>
                <w:rFonts w:ascii="Times New Roman" w:hAnsi="Times New Roman" w:cs="Times New Roman"/>
                <w:bCs/>
                <w:color w:val="auto"/>
                <w:sz w:val="21"/>
                <w:szCs w:val="21"/>
                <w:highlight w:val="none"/>
              </w:rPr>
            </w:pPr>
          </w:p>
        </w:tc>
        <w:tc>
          <w:tcPr>
            <w:tcW w:w="835" w:type="dxa"/>
            <w:vMerge w:val="continue"/>
            <w:vAlign w:val="center"/>
          </w:tcPr>
          <w:p w14:paraId="5089BA1C">
            <w:pPr>
              <w:widowControl w:val="0"/>
              <w:adjustRightInd w:val="0"/>
              <w:jc w:val="center"/>
              <w:textAlignment w:val="baseline"/>
              <w:rPr>
                <w:rFonts w:ascii="Times New Roman" w:hAnsi="Times New Roman" w:cs="Times New Roman"/>
                <w:bCs/>
                <w:color w:val="auto"/>
                <w:sz w:val="21"/>
                <w:szCs w:val="21"/>
                <w:highlight w:val="none"/>
              </w:rPr>
            </w:pPr>
          </w:p>
        </w:tc>
        <w:tc>
          <w:tcPr>
            <w:tcW w:w="1276" w:type="dxa"/>
            <w:vMerge w:val="restart"/>
            <w:vAlign w:val="center"/>
          </w:tcPr>
          <w:p w14:paraId="62BBAF9F">
            <w:pPr>
              <w:widowControl w:val="0"/>
              <w:adjustRightInd w:val="0"/>
              <w:spacing w:before="120" w:beforeLines="50" w:after="48" w:afterLines="20"/>
              <w:jc w:val="both"/>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污染物排放管控</w:t>
            </w:r>
          </w:p>
        </w:tc>
        <w:tc>
          <w:tcPr>
            <w:tcW w:w="6521" w:type="dxa"/>
            <w:vAlign w:val="center"/>
          </w:tcPr>
          <w:p w14:paraId="68C625D5">
            <w:pPr>
              <w:widowControl w:val="0"/>
              <w:spacing w:line="320" w:lineRule="exact"/>
              <w:jc w:val="both"/>
              <w:rPr>
                <w:rFonts w:hint="eastAsia" w:ascii="Times New Roman"/>
                <w:b/>
                <w:bCs/>
                <w:color w:val="auto"/>
                <w:sz w:val="21"/>
                <w:szCs w:val="21"/>
                <w:highlight w:val="none"/>
                <w:lang w:val="zh-CN" w:bidi="zh-CN"/>
              </w:rPr>
            </w:pPr>
            <w:r>
              <w:rPr>
                <w:rFonts w:hint="eastAsia" w:ascii="Times New Roman" w:hAnsi="Times New Roman" w:cs="Times New Roman"/>
                <w:color w:val="auto"/>
                <w:sz w:val="21"/>
                <w:highlight w:val="none"/>
              </w:rPr>
              <w:t>1</w:t>
            </w:r>
            <w:r>
              <w:rPr>
                <w:rFonts w:ascii="Times New Roman" w:hAnsi="Times New Roman" w:cs="Times New Roman"/>
                <w:color w:val="auto"/>
                <w:sz w:val="21"/>
                <w:highlight w:val="none"/>
              </w:rPr>
              <w:t>.</w:t>
            </w:r>
            <w:r>
              <w:rPr>
                <w:rFonts w:ascii="Times New Roman" w:hAnsi="Times New Roman" w:cs="Times New Roman"/>
                <w:color w:val="auto"/>
                <w:sz w:val="21"/>
                <w:szCs w:val="21"/>
                <w:highlight w:val="none"/>
              </w:rPr>
              <w:t>(1）新区污水管网规划建设应当与城市开发同步推进，除干旱地区外均实行雨污分流。（2）强化城中村、老旧城区和城乡结合部污水截流、收集。（3）推进合流制排水系统雨污分流改造，难以改造的，应采取截流、调蓄和治理等措施；推进现有污水处理设施配套管网建设；进一步提高城市、县城生活污水收集处理效能。</w:t>
            </w:r>
            <w:r>
              <w:rPr>
                <w:rFonts w:ascii="Times New Roman"/>
                <w:color w:val="auto"/>
                <w:sz w:val="21"/>
                <w:szCs w:val="21"/>
                <w:highlight w:val="none"/>
                <w:lang w:val="zh-CN" w:bidi="zh-CN"/>
              </w:rPr>
              <w:t>（4）县级以上人民政府应当合理确定城镇排水与污水处理设施建设标准，统筹安排管网、泵站、污水处理厂以及污泥处理处置、再生水利用、雨水调蓄和排放等排水与污水处理设施建设和改造，提高城镇污水收集率和处理率</w:t>
            </w:r>
          </w:p>
        </w:tc>
        <w:tc>
          <w:tcPr>
            <w:tcW w:w="2835" w:type="dxa"/>
            <w:vMerge w:val="continue"/>
            <w:vAlign w:val="center"/>
          </w:tcPr>
          <w:p w14:paraId="781A4F77">
            <w:pPr>
              <w:widowControl w:val="0"/>
              <w:adjustRightInd w:val="0"/>
              <w:spacing w:line="320" w:lineRule="exact"/>
              <w:jc w:val="center"/>
              <w:textAlignment w:val="baseline"/>
              <w:rPr>
                <w:rFonts w:ascii="Times New Roman" w:hAnsi="Times New Roman" w:cs="Times New Roman"/>
                <w:bCs/>
                <w:color w:val="auto"/>
                <w:sz w:val="21"/>
                <w:szCs w:val="21"/>
                <w:highlight w:val="none"/>
              </w:rPr>
            </w:pPr>
          </w:p>
        </w:tc>
      </w:tr>
      <w:tr w14:paraId="2267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4F80B1D0">
            <w:pPr>
              <w:widowControl w:val="0"/>
              <w:adjustRightInd w:val="0"/>
              <w:jc w:val="center"/>
              <w:textAlignment w:val="baseline"/>
              <w:rPr>
                <w:rFonts w:ascii="Times New Roman" w:hAnsi="Times New Roman" w:cs="Times New Roman"/>
                <w:bCs/>
                <w:color w:val="auto"/>
                <w:sz w:val="21"/>
                <w:szCs w:val="21"/>
                <w:highlight w:val="none"/>
              </w:rPr>
            </w:pPr>
          </w:p>
        </w:tc>
        <w:tc>
          <w:tcPr>
            <w:tcW w:w="1127" w:type="dxa"/>
            <w:vMerge w:val="continue"/>
            <w:vAlign w:val="center"/>
          </w:tcPr>
          <w:p w14:paraId="74C3B1CB">
            <w:pPr>
              <w:widowControl w:val="0"/>
              <w:adjustRightInd w:val="0"/>
              <w:jc w:val="center"/>
              <w:textAlignment w:val="baseline"/>
              <w:rPr>
                <w:rFonts w:ascii="Times New Roman" w:hAnsi="Times New Roman" w:cs="Times New Roman"/>
                <w:bCs/>
                <w:color w:val="auto"/>
                <w:sz w:val="21"/>
                <w:szCs w:val="21"/>
                <w:highlight w:val="none"/>
              </w:rPr>
            </w:pPr>
          </w:p>
        </w:tc>
        <w:tc>
          <w:tcPr>
            <w:tcW w:w="835" w:type="dxa"/>
            <w:vMerge w:val="continue"/>
            <w:vAlign w:val="center"/>
          </w:tcPr>
          <w:p w14:paraId="4B3AE8BD">
            <w:pPr>
              <w:widowControl w:val="0"/>
              <w:adjustRightInd w:val="0"/>
              <w:jc w:val="center"/>
              <w:textAlignment w:val="baseline"/>
              <w:rPr>
                <w:rFonts w:ascii="Times New Roman" w:hAnsi="Times New Roman" w:cs="Times New Roman"/>
                <w:bCs/>
                <w:color w:val="auto"/>
                <w:sz w:val="21"/>
                <w:szCs w:val="21"/>
                <w:highlight w:val="none"/>
              </w:rPr>
            </w:pPr>
          </w:p>
        </w:tc>
        <w:tc>
          <w:tcPr>
            <w:tcW w:w="1276" w:type="dxa"/>
            <w:vMerge w:val="continue"/>
            <w:vAlign w:val="center"/>
          </w:tcPr>
          <w:p w14:paraId="7910A619">
            <w:pPr>
              <w:widowControl w:val="0"/>
              <w:adjustRightInd w:val="0"/>
              <w:jc w:val="center"/>
              <w:textAlignment w:val="baseline"/>
              <w:rPr>
                <w:rFonts w:ascii="Times New Roman" w:hAnsi="Times New Roman" w:cs="Times New Roman"/>
                <w:bCs/>
                <w:color w:val="auto"/>
                <w:sz w:val="21"/>
                <w:szCs w:val="21"/>
                <w:highlight w:val="none"/>
              </w:rPr>
            </w:pPr>
          </w:p>
        </w:tc>
        <w:tc>
          <w:tcPr>
            <w:tcW w:w="6521" w:type="dxa"/>
            <w:vAlign w:val="center"/>
          </w:tcPr>
          <w:p w14:paraId="39B03FA1">
            <w:pPr>
              <w:widowControl w:val="0"/>
              <w:tabs>
                <w:tab w:val="left" w:pos="265"/>
              </w:tabs>
              <w:autoSpaceDE w:val="0"/>
              <w:autoSpaceDN w:val="0"/>
              <w:spacing w:line="320" w:lineRule="exact"/>
              <w:ind w:right="96"/>
              <w:jc w:val="both"/>
              <w:rPr>
                <w:rFonts w:hint="eastAsia" w:ascii="Times New Roman"/>
                <w:b/>
                <w:bCs/>
                <w:color w:val="auto"/>
                <w:sz w:val="21"/>
                <w:szCs w:val="21"/>
                <w:highlight w:val="none"/>
                <w:lang w:val="zh-CN" w:bidi="zh-CN"/>
              </w:rPr>
            </w:pPr>
            <w:r>
              <w:rPr>
                <w:rFonts w:hint="eastAsia" w:ascii="Times New Roman"/>
                <w:color w:val="auto"/>
                <w:sz w:val="21"/>
                <w:szCs w:val="21"/>
                <w:highlight w:val="none"/>
                <w:lang w:val="zh-CN" w:bidi="zh-CN"/>
              </w:rPr>
              <w:t>2.</w:t>
            </w:r>
            <w:r>
              <w:rPr>
                <w:rFonts w:ascii="Times New Roman" w:hAnsi="Times New Roman" w:cs="Times New Roman"/>
                <w:color w:val="auto"/>
                <w:sz w:val="21"/>
                <w:szCs w:val="21"/>
                <w:highlight w:val="none"/>
              </w:rPr>
              <w:t xml:space="preserve"> 大气环境布局敏感重点管控区同时</w:t>
            </w:r>
            <w:r>
              <w:rPr>
                <w:rFonts w:ascii="Times New Roman" w:hAnsi="Times New Roman" w:cs="Times New Roman"/>
                <w:color w:val="auto"/>
                <w:sz w:val="21"/>
                <w:highlight w:val="none"/>
              </w:rPr>
              <w:t>执行（</w:t>
            </w:r>
            <w:r>
              <w:rPr>
                <w:rFonts w:ascii="Times New Roman" w:hAnsi="Times New Roman" w:cs="Times New Roman"/>
                <w:color w:val="auto"/>
                <w:sz w:val="21"/>
                <w:szCs w:val="21"/>
                <w:highlight w:val="none"/>
              </w:rPr>
              <w:t>1）对以煤、石焦油、渣油、重油等为燃料的锅炉和工业炉窑，加快使用清洁低碳能源以及工厂余热、电力热力等进行替代。</w:t>
            </w:r>
            <w:r>
              <w:rPr>
                <w:rFonts w:ascii="Times New Roman"/>
                <w:color w:val="auto"/>
                <w:sz w:val="21"/>
                <w:szCs w:val="21"/>
                <w:highlight w:val="none"/>
                <w:lang w:val="zh-CN" w:bidi="zh-CN"/>
              </w:rPr>
              <w:t>（</w:t>
            </w:r>
            <w:r>
              <w:rPr>
                <w:rFonts w:hint="eastAsia" w:ascii="Times New Roman"/>
                <w:color w:val="auto"/>
                <w:sz w:val="21"/>
                <w:szCs w:val="21"/>
                <w:highlight w:val="none"/>
                <w:lang w:val="zh-CN" w:bidi="zh-CN"/>
              </w:rPr>
              <w:t>3</w:t>
            </w:r>
            <w:r>
              <w:rPr>
                <w:rFonts w:ascii="Times New Roman"/>
                <w:color w:val="auto"/>
                <w:sz w:val="21"/>
                <w:szCs w:val="21"/>
                <w:highlight w:val="none"/>
                <w:lang w:val="zh-CN" w:bidi="zh-CN"/>
              </w:rPr>
              <w:t>）到2025年，在用65蒸吨/小时以上的燃煤锅炉（含电力）实现超低排放，钢铁企业基本实现超低排放</w:t>
            </w:r>
          </w:p>
        </w:tc>
        <w:tc>
          <w:tcPr>
            <w:tcW w:w="2835" w:type="dxa"/>
            <w:vAlign w:val="center"/>
          </w:tcPr>
          <w:p w14:paraId="7973F1FF">
            <w:pPr>
              <w:widowControl w:val="0"/>
              <w:adjustRightInd w:val="0"/>
              <w:spacing w:line="32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不涉及</w:t>
            </w:r>
          </w:p>
        </w:tc>
      </w:tr>
      <w:tr w14:paraId="411B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445" w:type="dxa"/>
            <w:vMerge w:val="continue"/>
            <w:vAlign w:val="center"/>
          </w:tcPr>
          <w:p w14:paraId="4E6E53B6">
            <w:pPr>
              <w:widowControl w:val="0"/>
              <w:adjustRightInd w:val="0"/>
              <w:jc w:val="center"/>
              <w:textAlignment w:val="baseline"/>
              <w:rPr>
                <w:rFonts w:ascii="Times New Roman" w:hAnsi="Times New Roman" w:cs="Times New Roman"/>
                <w:bCs/>
                <w:color w:val="auto"/>
                <w:sz w:val="21"/>
                <w:szCs w:val="21"/>
                <w:highlight w:val="none"/>
              </w:rPr>
            </w:pPr>
          </w:p>
        </w:tc>
        <w:tc>
          <w:tcPr>
            <w:tcW w:w="1127" w:type="dxa"/>
            <w:vMerge w:val="continue"/>
            <w:vAlign w:val="center"/>
          </w:tcPr>
          <w:p w14:paraId="399A7B7A">
            <w:pPr>
              <w:widowControl w:val="0"/>
              <w:adjustRightInd w:val="0"/>
              <w:jc w:val="center"/>
              <w:textAlignment w:val="baseline"/>
              <w:rPr>
                <w:rFonts w:ascii="Times New Roman" w:hAnsi="Times New Roman" w:cs="Times New Roman"/>
                <w:bCs/>
                <w:color w:val="auto"/>
                <w:sz w:val="21"/>
                <w:szCs w:val="21"/>
                <w:highlight w:val="none"/>
              </w:rPr>
            </w:pPr>
          </w:p>
        </w:tc>
        <w:tc>
          <w:tcPr>
            <w:tcW w:w="835" w:type="dxa"/>
            <w:vMerge w:val="continue"/>
            <w:vAlign w:val="center"/>
          </w:tcPr>
          <w:p w14:paraId="05FBB458">
            <w:pPr>
              <w:widowControl w:val="0"/>
              <w:adjustRightInd w:val="0"/>
              <w:jc w:val="center"/>
              <w:textAlignment w:val="baseline"/>
              <w:rPr>
                <w:rFonts w:ascii="Times New Roman" w:hAnsi="Times New Roman" w:cs="Times New Roman"/>
                <w:bCs/>
                <w:color w:val="auto"/>
                <w:sz w:val="21"/>
                <w:szCs w:val="21"/>
                <w:highlight w:val="none"/>
              </w:rPr>
            </w:pPr>
          </w:p>
        </w:tc>
        <w:tc>
          <w:tcPr>
            <w:tcW w:w="1276" w:type="dxa"/>
            <w:vMerge w:val="restart"/>
            <w:vAlign w:val="center"/>
          </w:tcPr>
          <w:p w14:paraId="46CDD431">
            <w:pPr>
              <w:widowControl w:val="0"/>
              <w:adjustRightInd w:val="0"/>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lang w:bidi="zh-CN"/>
              </w:rPr>
              <w:t>环境风险防控</w:t>
            </w:r>
          </w:p>
        </w:tc>
        <w:tc>
          <w:tcPr>
            <w:tcW w:w="6521" w:type="dxa"/>
            <w:vAlign w:val="center"/>
          </w:tcPr>
          <w:p w14:paraId="75B26CA5">
            <w:pPr>
              <w:widowControl w:val="0"/>
              <w:adjustRightInd w:val="0"/>
              <w:spacing w:line="320" w:lineRule="exact"/>
              <w:jc w:val="both"/>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1.</w:t>
            </w:r>
            <w:r>
              <w:rPr>
                <w:rFonts w:ascii="Times New Roman" w:hAnsi="Times New Roman" w:cs="Times New Roman"/>
                <w:color w:val="auto"/>
                <w:sz w:val="21"/>
                <w:szCs w:val="21"/>
                <w:highlight w:val="none"/>
              </w:rPr>
              <w:t xml:space="preserve"> </w:t>
            </w:r>
            <w:r>
              <w:rPr>
                <w:rFonts w:ascii="Times New Roman" w:hAnsi="Times New Roman" w:cs="Times New Roman"/>
                <w:bCs/>
                <w:color w:val="auto"/>
                <w:sz w:val="21"/>
                <w:szCs w:val="21"/>
                <w:highlight w:val="none"/>
                <w:lang w:bidi="zh-CN"/>
              </w:rPr>
              <w:t>大气环境布局敏感重点管控区同时执行禁止在居民区、学校、医疗和养老机构等周边新建有色金属冶炼、焦化等行业企业</w:t>
            </w:r>
            <w:r>
              <w:rPr>
                <w:rFonts w:ascii="Times New Roman" w:hAnsi="Times New Roman" w:cs="Times New Roman"/>
                <w:bCs/>
                <w:color w:val="auto"/>
                <w:sz w:val="21"/>
                <w:szCs w:val="21"/>
                <w:highlight w:val="none"/>
              </w:rPr>
              <w:t>。</w:t>
            </w:r>
          </w:p>
        </w:tc>
        <w:tc>
          <w:tcPr>
            <w:tcW w:w="2835" w:type="dxa"/>
            <w:vAlign w:val="center"/>
          </w:tcPr>
          <w:p w14:paraId="0796A692">
            <w:pPr>
              <w:widowControl w:val="0"/>
              <w:adjustRightInd w:val="0"/>
              <w:spacing w:line="32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不涉及</w:t>
            </w:r>
          </w:p>
        </w:tc>
      </w:tr>
      <w:tr w14:paraId="53DC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445" w:type="dxa"/>
            <w:vMerge w:val="continue"/>
            <w:vAlign w:val="center"/>
          </w:tcPr>
          <w:p w14:paraId="7325C3A0">
            <w:pPr>
              <w:widowControl w:val="0"/>
              <w:adjustRightInd w:val="0"/>
              <w:jc w:val="center"/>
              <w:textAlignment w:val="baseline"/>
              <w:rPr>
                <w:rFonts w:ascii="Times New Roman" w:hAnsi="Times New Roman" w:cs="Times New Roman"/>
                <w:bCs/>
                <w:color w:val="auto"/>
                <w:sz w:val="21"/>
                <w:szCs w:val="21"/>
                <w:highlight w:val="none"/>
              </w:rPr>
            </w:pPr>
          </w:p>
        </w:tc>
        <w:tc>
          <w:tcPr>
            <w:tcW w:w="1127" w:type="dxa"/>
            <w:vMerge w:val="continue"/>
            <w:vAlign w:val="center"/>
          </w:tcPr>
          <w:p w14:paraId="45784250">
            <w:pPr>
              <w:widowControl w:val="0"/>
              <w:adjustRightInd w:val="0"/>
              <w:jc w:val="center"/>
              <w:textAlignment w:val="baseline"/>
              <w:rPr>
                <w:rFonts w:ascii="Times New Roman" w:hAnsi="Times New Roman" w:cs="Times New Roman"/>
                <w:bCs/>
                <w:color w:val="auto"/>
                <w:sz w:val="21"/>
                <w:szCs w:val="21"/>
                <w:highlight w:val="none"/>
              </w:rPr>
            </w:pPr>
          </w:p>
        </w:tc>
        <w:tc>
          <w:tcPr>
            <w:tcW w:w="835" w:type="dxa"/>
            <w:vMerge w:val="continue"/>
            <w:vAlign w:val="center"/>
          </w:tcPr>
          <w:p w14:paraId="01856E10">
            <w:pPr>
              <w:widowControl w:val="0"/>
              <w:adjustRightInd w:val="0"/>
              <w:jc w:val="center"/>
              <w:textAlignment w:val="baseline"/>
              <w:rPr>
                <w:rFonts w:ascii="Times New Roman" w:hAnsi="Times New Roman" w:cs="Times New Roman"/>
                <w:bCs/>
                <w:color w:val="auto"/>
                <w:sz w:val="21"/>
                <w:szCs w:val="21"/>
                <w:highlight w:val="none"/>
              </w:rPr>
            </w:pPr>
          </w:p>
        </w:tc>
        <w:tc>
          <w:tcPr>
            <w:tcW w:w="1276" w:type="dxa"/>
            <w:vMerge w:val="continue"/>
            <w:vAlign w:val="center"/>
          </w:tcPr>
          <w:p w14:paraId="48096FCE">
            <w:pPr>
              <w:widowControl w:val="0"/>
              <w:adjustRightInd w:val="0"/>
              <w:jc w:val="center"/>
              <w:textAlignment w:val="baseline"/>
              <w:rPr>
                <w:rFonts w:ascii="Times New Roman" w:hAnsi="Times New Roman" w:cs="Times New Roman"/>
                <w:bCs/>
                <w:color w:val="auto"/>
                <w:sz w:val="21"/>
                <w:szCs w:val="21"/>
                <w:highlight w:val="none"/>
              </w:rPr>
            </w:pPr>
          </w:p>
        </w:tc>
        <w:tc>
          <w:tcPr>
            <w:tcW w:w="6521" w:type="dxa"/>
            <w:vAlign w:val="center"/>
          </w:tcPr>
          <w:p w14:paraId="28BCD997">
            <w:pPr>
              <w:widowControl w:val="0"/>
              <w:adjustRightInd w:val="0"/>
              <w:spacing w:line="320" w:lineRule="exact"/>
              <w:jc w:val="both"/>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2.</w:t>
            </w:r>
            <w:r>
              <w:rPr>
                <w:rFonts w:ascii="Times New Roman" w:hAnsi="Times New Roman" w:cs="Times New Roman"/>
                <w:color w:val="auto"/>
                <w:sz w:val="21"/>
                <w:szCs w:val="21"/>
                <w:highlight w:val="none"/>
              </w:rPr>
              <w:t xml:space="preserve"> </w:t>
            </w:r>
            <w:r>
              <w:rPr>
                <w:rFonts w:ascii="Times New Roman" w:hAnsi="Times New Roman" w:cs="Times New Roman"/>
                <w:bCs/>
                <w:color w:val="auto"/>
                <w:sz w:val="21"/>
                <w:szCs w:val="21"/>
                <w:highlight w:val="none"/>
                <w:lang w:bidi="zh-CN"/>
              </w:rPr>
              <w:t>高污染燃料禁燃区同时执行（1）在禁燃区内，禁止销售、燃用高污染燃料；禁止新建、扩建燃用高污染燃料的设施，已建成的，应当在城市人民政府规定的期限内改用天然气、页岩气、液化石油气、电或者其他清洁能源。（2）城市建设应当统筹规划，在燃煤供热地区，推进热电联产和集中供热。在集中供热管网覆盖地区，禁止新建、扩建分散燃煤供热锅炉；已建成的不能达标排放的燃煤供热锅炉，应当在城市人民政府规定的期限内拆除</w:t>
            </w:r>
            <w:r>
              <w:rPr>
                <w:rFonts w:hint="eastAsia" w:ascii="Times New Roman" w:hAnsi="Times New Roman" w:cs="Times New Roman"/>
                <w:bCs/>
                <w:color w:val="auto"/>
                <w:sz w:val="21"/>
                <w:szCs w:val="21"/>
                <w:highlight w:val="none"/>
              </w:rPr>
              <w:t>。</w:t>
            </w:r>
          </w:p>
        </w:tc>
        <w:tc>
          <w:tcPr>
            <w:tcW w:w="2835" w:type="dxa"/>
            <w:vAlign w:val="center"/>
          </w:tcPr>
          <w:p w14:paraId="65037C59">
            <w:pPr>
              <w:widowControl w:val="0"/>
              <w:adjustRightInd w:val="0"/>
              <w:spacing w:line="32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lang w:bidi="zh-CN"/>
              </w:rPr>
              <w:t>本项目</w:t>
            </w:r>
            <w:r>
              <w:rPr>
                <w:rFonts w:hint="eastAsia" w:ascii="Times New Roman" w:hAnsi="Times New Roman" w:cs="Times New Roman"/>
                <w:bCs/>
                <w:color w:val="auto"/>
                <w:sz w:val="21"/>
                <w:szCs w:val="21"/>
                <w:highlight w:val="none"/>
                <w:lang w:bidi="zh-CN"/>
              </w:rPr>
              <w:t>为油田</w:t>
            </w:r>
            <w:r>
              <w:rPr>
                <w:rFonts w:hint="eastAsia" w:ascii="Times New Roman" w:hAnsi="Times New Roman" w:cs="Times New Roman"/>
                <w:bCs/>
                <w:color w:val="auto"/>
                <w:sz w:val="21"/>
                <w:szCs w:val="21"/>
                <w:highlight w:val="none"/>
                <w:lang w:val="en-US" w:bidi="zh-CN"/>
              </w:rPr>
              <w:t>集输</w:t>
            </w:r>
            <w:r>
              <w:rPr>
                <w:rFonts w:hint="eastAsia" w:ascii="Times New Roman" w:hAnsi="Times New Roman" w:cs="Times New Roman"/>
                <w:bCs/>
                <w:color w:val="auto"/>
                <w:sz w:val="21"/>
                <w:szCs w:val="21"/>
                <w:highlight w:val="none"/>
                <w:lang w:bidi="zh-CN"/>
              </w:rPr>
              <w:t>管道工程，运营期不涉及加热、供热等设施</w:t>
            </w:r>
            <w:r>
              <w:rPr>
                <w:rFonts w:ascii="Times New Roman" w:hAnsi="Times New Roman" w:cs="Times New Roman"/>
                <w:bCs/>
                <w:color w:val="auto"/>
                <w:sz w:val="21"/>
                <w:szCs w:val="21"/>
                <w:highlight w:val="none"/>
                <w:lang w:bidi="zh-CN"/>
              </w:rPr>
              <w:t>，不使用高污染燃料</w:t>
            </w:r>
          </w:p>
        </w:tc>
      </w:tr>
    </w:tbl>
    <w:p w14:paraId="5D766C75">
      <w:pPr>
        <w:widowControl w:val="0"/>
        <w:spacing w:line="440" w:lineRule="exact"/>
        <w:ind w:firstLine="482" w:firstLineChars="200"/>
        <w:jc w:val="both"/>
        <w:rPr>
          <w:rFonts w:ascii="Times New Roman" w:hAnsi="Times New Roman" w:cs="Times New Roman"/>
          <w:b/>
          <w:bCs/>
          <w:color w:val="auto"/>
          <w:kern w:val="2"/>
          <w:szCs w:val="28"/>
          <w:highlight w:val="none"/>
        </w:rPr>
      </w:pPr>
      <w:r>
        <w:rPr>
          <w:rFonts w:hint="eastAsia" w:ascii="Times New Roman" w:hAnsi="Times New Roman" w:cs="Times New Roman"/>
          <w:b/>
          <w:bCs/>
          <w:color w:val="auto"/>
          <w:kern w:val="2"/>
          <w:szCs w:val="28"/>
          <w:highlight w:val="none"/>
        </w:rPr>
        <w:t>续表</w:t>
      </w:r>
      <w:r>
        <w:rPr>
          <w:rFonts w:ascii="Times New Roman" w:hAnsi="Times New Roman" w:cs="Times New Roman"/>
          <w:b/>
          <w:bCs/>
          <w:color w:val="auto"/>
          <w:kern w:val="2"/>
          <w:szCs w:val="28"/>
          <w:highlight w:val="none"/>
        </w:rPr>
        <w:t>1.4-</w:t>
      </w:r>
      <w:r>
        <w:rPr>
          <w:rFonts w:hint="eastAsia" w:ascii="Times New Roman" w:hAnsi="Times New Roman" w:cs="Times New Roman"/>
          <w:b/>
          <w:bCs/>
          <w:color w:val="auto"/>
          <w:kern w:val="2"/>
          <w:szCs w:val="28"/>
          <w:highlight w:val="none"/>
        </w:rPr>
        <w:t>25</w:t>
      </w:r>
      <w:r>
        <w:rPr>
          <w:rFonts w:ascii="Times New Roman" w:hAnsi="Times New Roman" w:cs="Times New Roman"/>
          <w:b/>
          <w:bCs/>
          <w:color w:val="auto"/>
          <w:kern w:val="2"/>
          <w:szCs w:val="28"/>
          <w:highlight w:val="none"/>
        </w:rPr>
        <w:t xml:space="preserve">        </w:t>
      </w:r>
      <w:r>
        <w:rPr>
          <w:rFonts w:hint="eastAsia" w:ascii="Times New Roman" w:hAnsi="Times New Roman" w:cs="Times New Roman"/>
          <w:b/>
          <w:bCs/>
          <w:color w:val="auto"/>
          <w:kern w:val="2"/>
          <w:szCs w:val="28"/>
          <w:highlight w:val="none"/>
        </w:rPr>
        <w:t>本项目与安达市</w:t>
      </w:r>
      <w:r>
        <w:rPr>
          <w:rFonts w:ascii="Times New Roman" w:hAnsi="Times New Roman" w:cs="Times New Roman"/>
          <w:b/>
          <w:bCs/>
          <w:color w:val="auto"/>
          <w:kern w:val="2"/>
          <w:szCs w:val="28"/>
          <w:highlight w:val="none"/>
        </w:rPr>
        <w:t>生态环境准入清单符合性分析</w:t>
      </w:r>
    </w:p>
    <w:tbl>
      <w:tblPr>
        <w:tblStyle w:val="81"/>
        <w:tblW w:w="14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5"/>
        <w:gridCol w:w="1127"/>
        <w:gridCol w:w="835"/>
        <w:gridCol w:w="851"/>
        <w:gridCol w:w="7229"/>
        <w:gridCol w:w="2552"/>
      </w:tblGrid>
      <w:tr w14:paraId="47B0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Align w:val="center"/>
          </w:tcPr>
          <w:p w14:paraId="50C666FD">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环境管控单元编码</w:t>
            </w:r>
          </w:p>
        </w:tc>
        <w:tc>
          <w:tcPr>
            <w:tcW w:w="1127" w:type="dxa"/>
            <w:vAlign w:val="center"/>
          </w:tcPr>
          <w:p w14:paraId="1DEAF50D">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环境管控单元名称</w:t>
            </w:r>
          </w:p>
        </w:tc>
        <w:tc>
          <w:tcPr>
            <w:tcW w:w="835" w:type="dxa"/>
            <w:vAlign w:val="center"/>
          </w:tcPr>
          <w:p w14:paraId="71B11E6F">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管控单元分类</w:t>
            </w:r>
          </w:p>
        </w:tc>
        <w:tc>
          <w:tcPr>
            <w:tcW w:w="8080" w:type="dxa"/>
            <w:gridSpan w:val="2"/>
            <w:vAlign w:val="center"/>
          </w:tcPr>
          <w:p w14:paraId="486FD0EC">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管控要求</w:t>
            </w:r>
          </w:p>
        </w:tc>
        <w:tc>
          <w:tcPr>
            <w:tcW w:w="2552" w:type="dxa"/>
            <w:vAlign w:val="center"/>
          </w:tcPr>
          <w:p w14:paraId="481AEF39">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ascii="Times New Roman" w:hAnsi="Times New Roman" w:cs="Times New Roman"/>
                <w:bCs/>
                <w:color w:val="auto"/>
                <w:sz w:val="21"/>
                <w:szCs w:val="21"/>
                <w:highlight w:val="none"/>
              </w:rPr>
              <w:t>本项目符合性</w:t>
            </w:r>
          </w:p>
        </w:tc>
      </w:tr>
      <w:tr w14:paraId="6AF2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restart"/>
            <w:vAlign w:val="center"/>
          </w:tcPr>
          <w:p w14:paraId="7795AD4C">
            <w:pPr>
              <w:widowControl w:val="0"/>
              <w:autoSpaceDE w:val="0"/>
              <w:autoSpaceDN w:val="0"/>
              <w:spacing w:line="320" w:lineRule="exact"/>
              <w:jc w:val="center"/>
              <w:rPr>
                <w:rFonts w:hint="default" w:ascii="Times New Roman" w:hAnsi="Times New Roman" w:cs="Times New Roman"/>
                <w:color w:val="auto"/>
                <w:sz w:val="21"/>
                <w:szCs w:val="21"/>
                <w:highlight w:val="none"/>
                <w:lang w:val="en-US" w:bidi="zh-CN"/>
              </w:rPr>
            </w:pPr>
            <w:r>
              <w:rPr>
                <w:rFonts w:ascii="Times New Roman" w:hAnsi="Times New Roman" w:cs="Times New Roman"/>
                <w:color w:val="auto"/>
                <w:sz w:val="21"/>
                <w:szCs w:val="21"/>
                <w:highlight w:val="none"/>
                <w:lang w:val="zh-CN" w:bidi="zh-CN"/>
              </w:rPr>
              <w:t>ZH2312811000</w:t>
            </w:r>
            <w:r>
              <w:rPr>
                <w:rFonts w:hint="eastAsia" w:ascii="Times New Roman" w:hAnsi="Times New Roman" w:cs="Times New Roman"/>
                <w:color w:val="auto"/>
                <w:sz w:val="21"/>
                <w:szCs w:val="21"/>
                <w:highlight w:val="none"/>
                <w:lang w:val="en-US" w:bidi="zh-CN"/>
              </w:rPr>
              <w:t>3</w:t>
            </w:r>
          </w:p>
        </w:tc>
        <w:tc>
          <w:tcPr>
            <w:tcW w:w="1127" w:type="dxa"/>
            <w:vMerge w:val="restart"/>
            <w:vAlign w:val="center"/>
          </w:tcPr>
          <w:p w14:paraId="544E0A00">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安达市城镇空间</w:t>
            </w:r>
          </w:p>
        </w:tc>
        <w:tc>
          <w:tcPr>
            <w:tcW w:w="835" w:type="dxa"/>
            <w:vMerge w:val="restart"/>
            <w:vAlign w:val="center"/>
          </w:tcPr>
          <w:p w14:paraId="10314DF3">
            <w:pPr>
              <w:widowControl w:val="0"/>
              <w:adjustRightInd w:val="0"/>
              <w:spacing w:line="360" w:lineRule="exact"/>
              <w:jc w:val="center"/>
              <w:textAlignment w:val="baseline"/>
              <w:rPr>
                <w:rFonts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安达市城镇空间</w:t>
            </w:r>
          </w:p>
        </w:tc>
        <w:tc>
          <w:tcPr>
            <w:tcW w:w="851" w:type="dxa"/>
            <w:vAlign w:val="center"/>
          </w:tcPr>
          <w:p w14:paraId="73B16C7C">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空间布局约束</w:t>
            </w:r>
          </w:p>
        </w:tc>
        <w:tc>
          <w:tcPr>
            <w:tcW w:w="7229" w:type="dxa"/>
            <w:vAlign w:val="center"/>
          </w:tcPr>
          <w:p w14:paraId="6007F625">
            <w:pPr>
              <w:widowControl w:val="0"/>
              <w:autoSpaceDE w:val="0"/>
              <w:autoSpaceDN w:val="0"/>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1.执行（1）严禁在人口密集区新建危险化学品生产项目，城镇人口密集区危险化学品生产 企业应搬迁改造。（2）禁止在城镇居民区、文化教育科学研究区等人口集中区域建设畜禽 养殖场、养殖小区。 2.水环境城镇生活污染重点管控区执行除干旱地区外，新建城区应全 面实行雨污分流，鼓励对初期雨水进行收集、处理和资源化利用。 3.水环境农业污染重点 管控区同时执行（1）科学划定畜禽养殖禁养区。（2）加快农业结构调整。松嫩平原和三江 平原等地下水易受污染地区优先种植需肥需药量低、环境效益突出的农作物；在西部干旱区发展谷子、高粱等耐旱杂粮种植；在北部四、五积温区开展米豆麦轮作，促进化肥需求低的 农作物面积恢复性增长。 4.大气环境布局敏感重点管控区同时执行（1）严控“两高”行业 产能。严格执行钢铁、水泥、平板玻璃等行业产能置换实施办法。（2）利用水泥窑协同处 置城市生活垃圾、危险废弃物、电石渣等固废伴生水泥项目，必须依托现有新型干法水泥熟 料生产线进行不扩产能改造。 由市县级及以上地方人民政府统筹安排。除符合国家生态退耕条件的耕地，并纳入国家生态退耕总体安排，或因国家重大生态工程建设需要外，不得随意转用。</w:t>
            </w:r>
            <w:r>
              <w:rPr>
                <w:rFonts w:ascii="Times New Roman" w:hAnsi="Times New Roman" w:cs="Times New Roman"/>
                <w:color w:val="auto"/>
                <w:sz w:val="21"/>
                <w:szCs w:val="22"/>
                <w:highlight w:val="none"/>
                <w:lang w:val="zh-CN" w:bidi="zh-CN"/>
              </w:rPr>
              <w:t>（2）</w:t>
            </w:r>
            <w:r>
              <w:rPr>
                <w:rFonts w:ascii="Times New Roman" w:hAnsi="Times New Roman" w:cs="Times New Roman"/>
                <w:color w:val="auto"/>
                <w:sz w:val="21"/>
                <w:szCs w:val="21"/>
                <w:highlight w:val="none"/>
                <w:lang w:val="zh-CN" w:bidi="zh-CN"/>
              </w:rPr>
              <w:t>对依法保护的生态空间实行承载力控制，防止过度垦殖、放牧、采伐、取水、渔猎、旅游等对生态功能造成损害，确保自然生态系统的稳定。</w:t>
            </w:r>
            <w:r>
              <w:rPr>
                <w:rFonts w:ascii="Times New Roman" w:hAnsi="Times New Roman" w:cs="Times New Roman"/>
                <w:color w:val="auto"/>
                <w:sz w:val="21"/>
                <w:szCs w:val="22"/>
                <w:highlight w:val="none"/>
                <w:lang w:val="zh-CN" w:bidi="zh-CN"/>
              </w:rPr>
              <w:t>（3）</w:t>
            </w:r>
            <w:r>
              <w:rPr>
                <w:rFonts w:ascii="Times New Roman" w:hAnsi="Times New Roman" w:cs="Times New Roman"/>
                <w:color w:val="auto"/>
                <w:sz w:val="21"/>
                <w:szCs w:val="21"/>
                <w:highlight w:val="none"/>
                <w:lang w:val="zh-CN" w:bidi="zh-CN"/>
              </w:rPr>
              <w:t>避免开发建设活动损害其生态服务功能和生态产品质量。</w:t>
            </w:r>
            <w:r>
              <w:rPr>
                <w:rFonts w:ascii="Times New Roman" w:hAnsi="Times New Roman" w:cs="Times New Roman"/>
                <w:color w:val="auto"/>
                <w:sz w:val="21"/>
                <w:szCs w:val="22"/>
                <w:highlight w:val="none"/>
                <w:lang w:val="zh-CN" w:bidi="zh-CN"/>
              </w:rPr>
              <w:t>（4）</w:t>
            </w:r>
            <w:r>
              <w:rPr>
                <w:rFonts w:ascii="Times New Roman" w:hAnsi="Times New Roman" w:cs="Times New Roman"/>
                <w:color w:val="auto"/>
                <w:sz w:val="21"/>
                <w:szCs w:val="21"/>
                <w:highlight w:val="none"/>
                <w:lang w:val="zh-CN" w:bidi="zh-CN"/>
              </w:rPr>
              <w:t>已经侵占生态空间的，应建立退出机制、制定治理方案及时间表。</w:t>
            </w:r>
          </w:p>
          <w:p w14:paraId="43F412AD">
            <w:pPr>
              <w:widowControl w:val="0"/>
              <w:autoSpaceDE w:val="0"/>
              <w:autoSpaceDN w:val="0"/>
              <w:spacing w:line="320" w:lineRule="exact"/>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2.大庆市红旗水库饮用水水源、大庆市大庆水库饮用水水源、大庆市东城水库饮用水水源同时执行</w:t>
            </w:r>
            <w:r>
              <w:rPr>
                <w:rFonts w:ascii="Times New Roman" w:hAnsi="Times New Roman" w:cs="Times New Roman"/>
                <w:color w:val="auto"/>
                <w:sz w:val="21"/>
                <w:szCs w:val="22"/>
                <w:highlight w:val="none"/>
                <w:lang w:val="zh-CN" w:bidi="zh-CN"/>
              </w:rPr>
              <w:t>（1）</w:t>
            </w:r>
            <w:r>
              <w:rPr>
                <w:rFonts w:ascii="Times New Roman" w:hAnsi="Times New Roman" w:cs="Times New Roman"/>
                <w:color w:val="auto"/>
                <w:sz w:val="21"/>
                <w:szCs w:val="21"/>
                <w:highlight w:val="none"/>
                <w:lang w:val="zh-CN" w:bidi="zh-CN"/>
              </w:rPr>
              <w:t xml:space="preserve">饮用水地表水源各级保护区及准保护区内均必须遵守下列规定：&lt;1&gt;禁止一切破坏水环境生态平衡的活动以及破坏水源林、护岸林、与水源保护相关植被的活动。&lt;2&gt;禁止向水域倾倒工业废渣、城市垃圾、粪便及其它废弃物。&lt;3&gt;运输有毒有害物质、油类、粪便的船舶和车辆一般不准进入保护区，必须进入者应事先申请并经有关部门批准、登记并设置防渗、防溢、防漏设施。&lt;4&gt;禁止使用剧毒和高残留农药，不得滥用化肥，不得使用炸药、毒品捕杀鱼类。&lt;5&gt;禁止建设畜禽养殖场、养殖小区。&lt;6&gt;禁止设置排污口。（2）饮用水地表水源各级保护区及准保护区内必须分别遵守下列规定：&lt;1&gt;一级保护区内：禁止新建、扩建与供水设施和保护水源无关的建设项目，已建成的与供水设施和保护水源无关的建设项目，由县级以上人民政府责令拆除或者关闭；禁止向水域排放污水，已设置的排污口必须拆除；不得设置与供水需要无关的码头，禁止停靠船舶；禁止堆置和存放工业废渣、城市垃圾、粪便和其他废弃物；禁止设置油库；禁止从事种植、放养畜禽和网箱养殖活动；禁止可能污染水源的旅游活动和其他活动。&lt;2&gt;二级保护区内：禁止新建、改建、扩建排放污染物的建设项目，已建成的排放污染物的建设项目，由县级以上人民政府责令拆除或者关闭；原有排污口依法拆除或者关闭；禁止设立装卸垃圾、粪便、油类和有毒物品的码头。&lt;3&gt;准保护区内：禁止新建、扩建对水体污染严重的建设项目；改建建设项目，不得增加排污量。（3）国务院和省、自治区、直辖市人民政府根据水环境保护的需要，可以规定在饮用水水源保护区内，采取禁止或者限制使用含磷洗涤剂、化肥、农药以及限制种植养殖等措施。（4） 饮用水地下水源各级保护区及准保护区内均必须遵守下列规定：禁止利用渗坑、渗井、裂隙、溶洞等排放污水和其它有害废弃物；禁止利用透水层孔隙、裂隙、溶洞及废弃矿坑储存石油、天然气、放射性物质、有毒有害化工原料、农药等；实行人工回灌地下水时不得污染当地地下水源。&lt;1&gt;一级保护区内：禁止建设与取水设施无关的建筑物；禁止从事农牧业活动；禁止倾倒、堆放工业废渣及城市垃圾、粪便和其它有害废弃物；禁止输送污水的渠道、管道及输油管道通过本区；禁止建设油库；禁止建立墓地。&lt;2&gt;二级保护区内：1）对于潜水含水层地下水水源地：禁止建设化工、电镀、皮革、造纸、制浆、冶炼、放射性、印染、染料、炼焦、炼油及其它有严重污染的企业，已建成的要限期治理，转产或搬迁；禁止设置城市垃圾、粪便和易溶、有毒有害废弃物堆放场和转运站，已有的上述场站要限期搬迁；禁止利用未经净化的污水灌溉农田，已有的污灌农田要限期改用清水灌溉；化工原料、矿物油类及有毒有害矿产品的堆放场所必须有防雨、防渗措施。2）对于承压含水层地下水水源地：禁止承压水和潜水的混合开采，作好潜水的止水措施。&lt;3&gt;准保护区内：禁止建设城市垃圾、粪便和易溶、有毒有害废弃物的堆放场站，因特殊需要设立转运站的，必须经有关部门批准，并采取防渗漏措施；当补给源为地表水体时，该地表水体水质不应低于《地表水环境质量标准》Ⅲ类标准；不得使用不符合《农田灌溉水质标准》的污水进行灌溉，合理使用化肥；保护水源林，禁止毁林开荒，禁止非更新砍伐水源林。 </w:t>
            </w:r>
          </w:p>
        </w:tc>
        <w:tc>
          <w:tcPr>
            <w:tcW w:w="2552" w:type="dxa"/>
            <w:vAlign w:val="center"/>
          </w:tcPr>
          <w:p w14:paraId="550A1E5A">
            <w:pPr>
              <w:widowControl w:val="0"/>
              <w:autoSpaceDE w:val="0"/>
              <w:autoSpaceDN w:val="0"/>
              <w:spacing w:line="320" w:lineRule="exact"/>
              <w:jc w:val="center"/>
              <w:rPr>
                <w:rFonts w:hint="eastAsia" w:ascii="Times New Roman" w:hAnsi="Times New Roman" w:eastAsia="宋体" w:cs="Times New Roman"/>
                <w:color w:val="auto"/>
                <w:sz w:val="21"/>
                <w:szCs w:val="21"/>
                <w:highlight w:val="none"/>
                <w:lang w:val="en-US" w:eastAsia="zh-CN" w:bidi="zh-CN"/>
              </w:rPr>
            </w:pPr>
            <w:r>
              <w:rPr>
                <w:rFonts w:hint="eastAsia" w:ascii="Times New Roman" w:hAnsi="Times New Roman" w:eastAsia="宋体" w:cs="Times New Roman"/>
                <w:color w:val="auto"/>
                <w:sz w:val="21"/>
                <w:szCs w:val="21"/>
                <w:highlight w:val="none"/>
                <w:lang w:val="en-US" w:eastAsia="zh-CN" w:bidi="zh-CN"/>
              </w:rPr>
              <w:t>本项目为管道改造工程，属于陆地石油开采项目的一部分，遵循以生态环境保护为主，减少了对土地资源的占用。管道施工临时占用的草地（非基本草原）和耕地（基本农田），在施工结束后及时平整进行人工植被恢复，播撒适应当地环境生长的草籽进行恢复。</w:t>
            </w:r>
          </w:p>
          <w:p w14:paraId="6406210C">
            <w:pPr>
              <w:widowControl w:val="0"/>
              <w:autoSpaceDE w:val="0"/>
              <w:autoSpaceDN w:val="0"/>
              <w:spacing w:line="320" w:lineRule="exact"/>
              <w:jc w:val="center"/>
              <w:rPr>
                <w:rFonts w:ascii="Times New Roman" w:hAnsi="Times New Roman" w:eastAsia="宋体" w:cs="Times New Roman"/>
                <w:color w:val="auto"/>
                <w:sz w:val="21"/>
                <w:szCs w:val="21"/>
                <w:highlight w:val="none"/>
                <w:lang w:val="zh-CN" w:bidi="zh-CN"/>
              </w:rPr>
            </w:pPr>
            <w:r>
              <w:rPr>
                <w:rFonts w:hint="eastAsia" w:ascii="Times New Roman" w:hAnsi="Times New Roman" w:eastAsia="宋体" w:cs="Times New Roman"/>
                <w:color w:val="auto"/>
                <w:sz w:val="21"/>
                <w:szCs w:val="21"/>
                <w:highlight w:val="none"/>
                <w:lang w:val="en-US" w:eastAsia="zh-CN" w:bidi="zh-CN"/>
              </w:rPr>
              <w:t>本项目施工期新建管道试压废水由罐车拉运至卫一联含油污水深度处理站进行处理；施工期、退役期废弃管道清管废水由罐车拉运至卫一联含油污水深度处理站进行处理，处理后的污水指标满足《大庆油田地面工程建设设计规定》 （Q/SYDQ0639-2015） 、 《碎屑岩油藏注水水质指标技术要求及分析方法 》 （SY/T5329-2022） 标准要求后回注地下开采油层，不外排。施工期生活污水排入附近集油阀组间防渗旱厕，定期由安达市同昌油田工程有限公司拉运至大庆市净源环保科技有限公司进行处理。</w:t>
            </w:r>
          </w:p>
        </w:tc>
      </w:tr>
      <w:tr w14:paraId="34A9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0EF180A3">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p>
        </w:tc>
        <w:tc>
          <w:tcPr>
            <w:tcW w:w="1127" w:type="dxa"/>
            <w:vMerge w:val="continue"/>
            <w:vAlign w:val="center"/>
          </w:tcPr>
          <w:p w14:paraId="2833E7BA">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p>
        </w:tc>
        <w:tc>
          <w:tcPr>
            <w:tcW w:w="835" w:type="dxa"/>
            <w:vMerge w:val="continue"/>
            <w:vAlign w:val="center"/>
          </w:tcPr>
          <w:p w14:paraId="0D818AF0">
            <w:pPr>
              <w:widowControl w:val="0"/>
              <w:adjustRightInd w:val="0"/>
              <w:spacing w:line="360" w:lineRule="exact"/>
              <w:jc w:val="center"/>
              <w:textAlignment w:val="baseline"/>
              <w:rPr>
                <w:rFonts w:hint="eastAsia" w:ascii="Times New Roman" w:hAnsi="Times New Roman" w:cs="Times New Roman"/>
                <w:bCs/>
                <w:color w:val="auto"/>
                <w:sz w:val="21"/>
                <w:szCs w:val="21"/>
                <w:highlight w:val="none"/>
              </w:rPr>
            </w:pPr>
          </w:p>
        </w:tc>
        <w:tc>
          <w:tcPr>
            <w:tcW w:w="851" w:type="dxa"/>
            <w:vAlign w:val="center"/>
          </w:tcPr>
          <w:p w14:paraId="595928A7">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r>
              <w:rPr>
                <w:rFonts w:ascii="Times New Roman" w:hAnsi="Times New Roman" w:eastAsia="宋体" w:cs="Times New Roman"/>
                <w:color w:val="auto"/>
                <w:sz w:val="21"/>
                <w:szCs w:val="21"/>
                <w:highlight w:val="none"/>
                <w:lang w:val="zh-CN" w:bidi="zh-CN"/>
              </w:rPr>
              <w:t>污染物排放管控</w:t>
            </w:r>
          </w:p>
        </w:tc>
        <w:tc>
          <w:tcPr>
            <w:tcW w:w="7229" w:type="dxa"/>
            <w:vAlign w:val="center"/>
          </w:tcPr>
          <w:p w14:paraId="591C6E6F">
            <w:pPr>
              <w:widowControl w:val="0"/>
              <w:autoSpaceDE w:val="0"/>
              <w:autoSpaceDN w:val="0"/>
              <w:spacing w:line="320" w:lineRule="exact"/>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1.城市建成区和工业园区内新建、改扩建项目废气污染物二氧化硫、氮氧化物、细颗粒物排 放总量应等量置换。 2.执行：加快65t／h以上燃煤锅炉（含电力）超低排放改造。 3.水 环境城镇生活污染重点管控区执行（1).新区污水管网规划建设应当与城市开发同步推进， 除干旱地区外均实行雨污分流。 （2）强化城中村、老旧城区和城乡结合部污水截流、收 集。 （3）推进合流制排水系统雨污分流改造，难以改造的，应采取截流、调蓄和治理等措 施；推进现有污水处理设施配套管网建设；进一步提高城市、县城生活污水收集处理效能。 （4）县级以上人民政府应当合理确定城镇排水与污水处理设施建设标准，统筹安排管网、 泵站、污水处理厂以及污泥处理处置、再生水利用、雨水调蓄和排放等排水与污水处理设施 建设和改造，提高城镇污水收集率和处理率。 4.水环境农业污染重点管控区同时执行（1） 支持规模化畜禽养殖场（小区）开展标准化改造和建设，提高畜禽粪污收集和处理机械化水 平，实施雨污分流、粪污资源化利用，控制畜禽养殖污染排放。 （2）畜禽养殖户应当及时 对畜禽粪便、污水进行收集、贮存、清运，或者进行无害化处理。县级人民政府应当组织对 本行政区域的畜禽散养密集区畜禽粪便、污水进行集中处理利用，督促乡镇人民政府建设或 者配备污染防治配套设施。 （3）全面加强农业面源污染防控，科学合理使用农业投入品， 提高使用效率，减少农业内源性污染。 5.大气环境布局敏感重点管控区同时执行（1）对以 煤、石焦油、渣油、重油等为燃料的锅炉和工业炉窑，加快使用清洁低碳能源以及工厂余 热、电力热力等进行替代。 （2）到2025年，在用65蒸吨/小时以上的燃煤锅炉（含电 力）实现超低排放，钢铁企业基本实现超低排放。</w:t>
            </w:r>
          </w:p>
        </w:tc>
        <w:tc>
          <w:tcPr>
            <w:tcW w:w="2552" w:type="dxa"/>
            <w:vAlign w:val="center"/>
          </w:tcPr>
          <w:p w14:paraId="21F66328">
            <w:pPr>
              <w:widowControl w:val="0"/>
              <w:autoSpaceDE w:val="0"/>
              <w:autoSpaceDN w:val="0"/>
              <w:spacing w:line="320" w:lineRule="exact"/>
              <w:jc w:val="center"/>
              <w:rPr>
                <w:rFonts w:ascii="Times New Roman" w:hAnsi="Times New Roman" w:eastAsia="宋体" w:cs="Times New Roman"/>
                <w:color w:val="auto"/>
                <w:sz w:val="21"/>
                <w:szCs w:val="21"/>
                <w:highlight w:val="none"/>
                <w:lang w:val="zh-CN" w:bidi="zh-CN"/>
              </w:rPr>
            </w:pPr>
            <w:r>
              <w:rPr>
                <w:rFonts w:hint="eastAsia" w:ascii="Times New Roman" w:hAnsi="Times New Roman" w:eastAsia="宋体" w:cs="Times New Roman"/>
                <w:color w:val="auto"/>
                <w:sz w:val="21"/>
                <w:szCs w:val="21"/>
                <w:highlight w:val="none"/>
                <w:lang w:val="en-US" w:eastAsia="zh-CN" w:bidi="zh-CN"/>
              </w:rPr>
              <w:t>本项目不涉及销售、燃用高污染燃料，未建设高污染燃料的设施。不属于“两高”行业。本项目施工期更换管道试压废水由罐车拉运至卫一联含油污水深度处理站进行处理；施工期、退役期废弃管道清管废水由罐车拉运至卫一联含油污水深度处理站进行处理，处理后的污水指标满足《大庆油田地面工程建设设计规定》 （Q/SYDQ0639-2015） 、 《碎屑岩油藏注水水质指标技术要求及分析方法 》 （SY/T5329-2022） 标准要求后回注地下开采油层，不外排。施工期生活污水排入附近集油阀组间防渗旱厕，定期由安达市同昌油田工程有限公司拉运至大庆市净源环保科技有限公司进行处理。</w:t>
            </w:r>
          </w:p>
        </w:tc>
      </w:tr>
      <w:tr w14:paraId="1C76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651001C0">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p>
        </w:tc>
        <w:tc>
          <w:tcPr>
            <w:tcW w:w="1127" w:type="dxa"/>
            <w:vMerge w:val="continue"/>
            <w:vAlign w:val="center"/>
          </w:tcPr>
          <w:p w14:paraId="18B4EA2A">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p>
        </w:tc>
        <w:tc>
          <w:tcPr>
            <w:tcW w:w="835" w:type="dxa"/>
            <w:vMerge w:val="continue"/>
            <w:vAlign w:val="center"/>
          </w:tcPr>
          <w:p w14:paraId="047DC8E7">
            <w:pPr>
              <w:widowControl w:val="0"/>
              <w:adjustRightInd w:val="0"/>
              <w:spacing w:line="360" w:lineRule="exact"/>
              <w:jc w:val="center"/>
              <w:textAlignment w:val="baseline"/>
              <w:rPr>
                <w:rFonts w:hint="eastAsia" w:ascii="Times New Roman" w:hAnsi="Times New Roman" w:cs="Times New Roman"/>
                <w:bCs/>
                <w:color w:val="auto"/>
                <w:sz w:val="21"/>
                <w:szCs w:val="21"/>
                <w:highlight w:val="none"/>
              </w:rPr>
            </w:pPr>
          </w:p>
        </w:tc>
        <w:tc>
          <w:tcPr>
            <w:tcW w:w="851" w:type="dxa"/>
            <w:vAlign w:val="center"/>
          </w:tcPr>
          <w:p w14:paraId="3A4BF7A9">
            <w:pPr>
              <w:widowControl w:val="0"/>
              <w:autoSpaceDE w:val="0"/>
              <w:autoSpaceDN w:val="0"/>
              <w:spacing w:line="320" w:lineRule="exact"/>
              <w:jc w:val="center"/>
              <w:rPr>
                <w:rFonts w:ascii="Times New Roman" w:hAnsi="Times New Roman" w:eastAsia="宋体" w:cs="Times New Roman"/>
                <w:color w:val="auto"/>
                <w:sz w:val="21"/>
                <w:szCs w:val="21"/>
                <w:highlight w:val="none"/>
                <w:lang w:val="zh-CN" w:bidi="zh-CN"/>
              </w:rPr>
            </w:pPr>
            <w:r>
              <w:rPr>
                <w:rFonts w:hint="eastAsia" w:ascii="Times New Roman" w:hAnsi="Times New Roman" w:eastAsia="宋体" w:cs="Times New Roman"/>
                <w:color w:val="auto"/>
                <w:sz w:val="21"/>
                <w:szCs w:val="21"/>
                <w:highlight w:val="none"/>
                <w:lang w:val="en-US" w:bidi="zh-CN"/>
              </w:rPr>
              <w:t>环境</w:t>
            </w:r>
            <w:r>
              <w:rPr>
                <w:rFonts w:ascii="Times New Roman" w:hAnsi="Times New Roman" w:eastAsia="宋体" w:cs="Times New Roman"/>
                <w:color w:val="auto"/>
                <w:sz w:val="21"/>
                <w:szCs w:val="21"/>
                <w:highlight w:val="none"/>
                <w:lang w:val="zh-CN" w:bidi="zh-CN"/>
              </w:rPr>
              <w:t>风险防控</w:t>
            </w:r>
          </w:p>
        </w:tc>
        <w:tc>
          <w:tcPr>
            <w:tcW w:w="7229" w:type="dxa"/>
            <w:vAlign w:val="center"/>
          </w:tcPr>
          <w:p w14:paraId="7038681C">
            <w:pPr>
              <w:widowControl w:val="0"/>
              <w:autoSpaceDE w:val="0"/>
              <w:autoSpaceDN w:val="0"/>
              <w:spacing w:line="320" w:lineRule="exact"/>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1.执行化工园区与城市建成区、人员密集场所、重要设施、敏感目标等应当保持规定的安全 距离，相对封闭，不应保留常住居民，非关联企业和产业要逐步搬迁或退出，妥善防范化解 “邻避”问题。严禁在松花江干流及一级支流沿岸1公里范围内布局化工园区。 2.大气环 境布局敏感重点管控区同时执行禁止在居民区、学校、医疗和养老机构等周边新建有色金属 冶炼、焦化等行业企业。</w:t>
            </w:r>
          </w:p>
        </w:tc>
        <w:tc>
          <w:tcPr>
            <w:tcW w:w="2552" w:type="dxa"/>
            <w:vAlign w:val="center"/>
          </w:tcPr>
          <w:p w14:paraId="1BEA5B09">
            <w:pPr>
              <w:widowControl w:val="0"/>
              <w:autoSpaceDE w:val="0"/>
              <w:autoSpaceDN w:val="0"/>
              <w:spacing w:line="320" w:lineRule="exact"/>
              <w:jc w:val="center"/>
              <w:rPr>
                <w:rFonts w:ascii="Times New Roman" w:hAnsi="Times New Roman" w:eastAsia="宋体" w:cs="Times New Roman"/>
                <w:color w:val="auto"/>
                <w:sz w:val="21"/>
                <w:szCs w:val="21"/>
                <w:highlight w:val="none"/>
                <w:lang w:val="zh-CN" w:bidi="zh-CN"/>
              </w:rPr>
            </w:pPr>
            <w:r>
              <w:rPr>
                <w:rFonts w:hint="eastAsia" w:ascii="Times New Roman" w:hAnsi="Times New Roman" w:eastAsia="宋体" w:cs="Times New Roman"/>
                <w:color w:val="auto"/>
                <w:sz w:val="21"/>
                <w:szCs w:val="21"/>
                <w:highlight w:val="none"/>
                <w:lang w:val="en-US" w:eastAsia="zh-CN" w:bidi="zh-CN"/>
              </w:rPr>
              <w:t>本项目不涉及化工园区及居民区等行业企业。</w:t>
            </w:r>
          </w:p>
        </w:tc>
      </w:tr>
      <w:tr w14:paraId="0A94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44261902">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p>
        </w:tc>
        <w:tc>
          <w:tcPr>
            <w:tcW w:w="1127" w:type="dxa"/>
            <w:vMerge w:val="continue"/>
            <w:vAlign w:val="center"/>
          </w:tcPr>
          <w:p w14:paraId="65679654">
            <w:pPr>
              <w:widowControl w:val="0"/>
              <w:autoSpaceDE w:val="0"/>
              <w:autoSpaceDN w:val="0"/>
              <w:spacing w:line="320" w:lineRule="exact"/>
              <w:jc w:val="center"/>
              <w:rPr>
                <w:rFonts w:ascii="Times New Roman" w:hAnsi="Times New Roman" w:cs="Times New Roman"/>
                <w:color w:val="auto"/>
                <w:sz w:val="21"/>
                <w:szCs w:val="21"/>
                <w:highlight w:val="none"/>
                <w:lang w:val="zh-CN" w:bidi="zh-CN"/>
              </w:rPr>
            </w:pPr>
          </w:p>
        </w:tc>
        <w:tc>
          <w:tcPr>
            <w:tcW w:w="835" w:type="dxa"/>
            <w:vMerge w:val="continue"/>
            <w:vAlign w:val="center"/>
          </w:tcPr>
          <w:p w14:paraId="76C0759A">
            <w:pPr>
              <w:widowControl w:val="0"/>
              <w:adjustRightInd w:val="0"/>
              <w:spacing w:line="360" w:lineRule="exact"/>
              <w:jc w:val="center"/>
              <w:textAlignment w:val="baseline"/>
              <w:rPr>
                <w:rFonts w:hint="eastAsia" w:ascii="Times New Roman" w:hAnsi="Times New Roman" w:cs="Times New Roman"/>
                <w:bCs/>
                <w:color w:val="auto"/>
                <w:sz w:val="21"/>
                <w:szCs w:val="21"/>
                <w:highlight w:val="none"/>
              </w:rPr>
            </w:pPr>
          </w:p>
        </w:tc>
        <w:tc>
          <w:tcPr>
            <w:tcW w:w="851" w:type="dxa"/>
            <w:vAlign w:val="center"/>
          </w:tcPr>
          <w:p w14:paraId="359B846E">
            <w:pPr>
              <w:widowControl w:val="0"/>
              <w:autoSpaceDE w:val="0"/>
              <w:autoSpaceDN w:val="0"/>
              <w:spacing w:line="320" w:lineRule="exact"/>
              <w:jc w:val="center"/>
              <w:rPr>
                <w:rFonts w:ascii="Times New Roman" w:hAnsi="Times New Roman" w:eastAsia="宋体" w:cs="Times New Roman"/>
                <w:color w:val="auto"/>
                <w:sz w:val="21"/>
                <w:szCs w:val="21"/>
                <w:highlight w:val="none"/>
                <w:lang w:val="zh-CN" w:bidi="zh-CN"/>
              </w:rPr>
            </w:pPr>
            <w:r>
              <w:rPr>
                <w:rFonts w:ascii="Times New Roman" w:hAnsi="Times New Roman" w:eastAsia="宋体" w:cs="Times New Roman"/>
                <w:color w:val="auto"/>
                <w:sz w:val="21"/>
                <w:szCs w:val="21"/>
                <w:highlight w:val="none"/>
                <w:lang w:val="zh-CN" w:bidi="zh-CN"/>
              </w:rPr>
              <w:t>资源开发效率要求</w:t>
            </w:r>
          </w:p>
        </w:tc>
        <w:tc>
          <w:tcPr>
            <w:tcW w:w="7229" w:type="dxa"/>
            <w:vAlign w:val="center"/>
          </w:tcPr>
          <w:p w14:paraId="54CA3456">
            <w:pPr>
              <w:widowControl w:val="0"/>
              <w:autoSpaceDE w:val="0"/>
              <w:autoSpaceDN w:val="0"/>
              <w:spacing w:line="320" w:lineRule="exact"/>
              <w:jc w:val="both"/>
              <w:rPr>
                <w:rFonts w:ascii="Times New Roman" w:hAnsi="Times New Roman" w:cs="Times New Roman"/>
                <w:color w:val="auto"/>
                <w:sz w:val="21"/>
                <w:szCs w:val="21"/>
                <w:highlight w:val="none"/>
                <w:lang w:val="zh-CN" w:bidi="zh-CN"/>
              </w:rPr>
            </w:pPr>
            <w:r>
              <w:rPr>
                <w:rFonts w:ascii="Times New Roman" w:hAnsi="Times New Roman" w:cs="Times New Roman"/>
                <w:color w:val="auto"/>
                <w:sz w:val="21"/>
                <w:szCs w:val="21"/>
                <w:highlight w:val="none"/>
                <w:lang w:val="zh-CN" w:bidi="zh-CN"/>
              </w:rPr>
              <w:t>1.执行（1）推进污水再生利用设施建设。 （2）公共建筑必须采用节水器具，限期淘汰公 共建筑中不符合节水标准的水嘴、便器水箱等生活用水器具。 2.高污染燃料禁燃区同时执 行（1）在禁燃区内，禁止销售、燃用高污染燃料；禁止新建、扩建燃用高污染燃料的设施，已建成的，应当在城市人民政府规定的期限内改用天然气、页岩气、液化石油气、电或 者其他清洁能源。（2）城市建设应当统筹规划，在燃煤供热地区，推进热电联产和集中供 热。在集中供热管网覆盖地区，禁止新建、扩建分散燃煤供热锅炉；已建成的不能达标排放 的燃煤供热锅炉，应当在城市人民政府规定的期限内拆除。</w:t>
            </w:r>
          </w:p>
        </w:tc>
        <w:tc>
          <w:tcPr>
            <w:tcW w:w="2552" w:type="dxa"/>
            <w:vAlign w:val="center"/>
          </w:tcPr>
          <w:p w14:paraId="001AB9C4">
            <w:pPr>
              <w:widowControl w:val="0"/>
              <w:autoSpaceDE w:val="0"/>
              <w:autoSpaceDN w:val="0"/>
              <w:spacing w:line="320" w:lineRule="exact"/>
              <w:jc w:val="center"/>
              <w:rPr>
                <w:rFonts w:hint="eastAsia" w:ascii="Times New Roman" w:hAnsi="Times New Roman" w:eastAsia="宋体" w:cs="Times New Roman"/>
                <w:color w:val="auto"/>
                <w:sz w:val="21"/>
                <w:szCs w:val="21"/>
                <w:highlight w:val="none"/>
                <w:lang w:val="en-US" w:eastAsia="zh-CN" w:bidi="zh-CN"/>
              </w:rPr>
            </w:pPr>
            <w:r>
              <w:rPr>
                <w:rFonts w:hint="eastAsia" w:ascii="Times New Roman" w:hAnsi="Times New Roman" w:eastAsia="宋体" w:cs="Times New Roman"/>
                <w:color w:val="auto"/>
                <w:sz w:val="21"/>
                <w:szCs w:val="21"/>
                <w:highlight w:val="none"/>
                <w:lang w:val="en-US" w:eastAsia="zh-CN" w:bidi="zh-CN"/>
              </w:rPr>
              <w:t>本项目不涉及销售、燃用高污染燃料，未建设高污染燃料的设施。不属于“两高”行业。</w:t>
            </w:r>
          </w:p>
          <w:p w14:paraId="54CD48EB">
            <w:pPr>
              <w:widowControl w:val="0"/>
              <w:autoSpaceDE w:val="0"/>
              <w:autoSpaceDN w:val="0"/>
              <w:spacing w:line="320" w:lineRule="exact"/>
              <w:jc w:val="center"/>
              <w:rPr>
                <w:rFonts w:ascii="Times New Roman" w:hAnsi="Times New Roman" w:eastAsia="宋体" w:cs="Times New Roman"/>
                <w:color w:val="auto"/>
                <w:sz w:val="21"/>
                <w:szCs w:val="21"/>
                <w:highlight w:val="none"/>
                <w:lang w:val="zh-CN" w:bidi="zh-CN"/>
              </w:rPr>
            </w:pPr>
          </w:p>
        </w:tc>
      </w:tr>
    </w:tbl>
    <w:p w14:paraId="65D35639">
      <w:pPr>
        <w:widowControl w:val="0"/>
        <w:snapToGrid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根据上表分析，本项目符合《</w:t>
      </w:r>
      <w:r>
        <w:rPr>
          <w:rFonts w:hint="eastAsia" w:ascii="Times New Roman" w:hAnsi="Times New Roman" w:cs="Times New Roman"/>
          <w:color w:val="auto"/>
          <w:kern w:val="2"/>
          <w:highlight w:val="none"/>
        </w:rPr>
        <w:t>绥化</w:t>
      </w:r>
      <w:r>
        <w:rPr>
          <w:rFonts w:ascii="Times New Roman" w:hAnsi="Times New Roman" w:cs="Times New Roman"/>
          <w:color w:val="auto"/>
          <w:kern w:val="2"/>
          <w:highlight w:val="none"/>
        </w:rPr>
        <w:t>市生态环境准入清单（2023年版）》中生态环境准入清单要求，本项目为环境准入允许类别。</w:t>
      </w:r>
    </w:p>
    <w:p w14:paraId="211B8804">
      <w:pPr>
        <w:widowControl w:val="0"/>
        <w:spacing w:line="440" w:lineRule="exact"/>
        <w:ind w:firstLine="482" w:firstLineChars="200"/>
        <w:jc w:val="both"/>
        <w:rPr>
          <w:rFonts w:ascii="Times New Roman" w:hAnsi="Times New Roman" w:cs="Times New Roman"/>
          <w:b/>
          <w:color w:val="auto"/>
          <w:szCs w:val="20"/>
          <w:highlight w:val="none"/>
        </w:rPr>
        <w:sectPr>
          <w:pgSz w:w="16838" w:h="11906" w:orient="landscape"/>
          <w:pgMar w:top="1418" w:right="1418" w:bottom="1418" w:left="1418" w:header="851" w:footer="850" w:gutter="0"/>
          <w:pgNumType w:start="1"/>
          <w:cols w:space="720" w:num="1"/>
          <w:docGrid w:linePitch="326" w:charSpace="0"/>
        </w:sectPr>
      </w:pPr>
    </w:p>
    <w:p w14:paraId="3F3387F9">
      <w:pPr>
        <w:pStyle w:val="6"/>
        <w:widowControl w:val="0"/>
        <w:spacing w:before="60" w:after="60" w:line="440" w:lineRule="exact"/>
        <w:jc w:val="both"/>
        <w:rPr>
          <w:rFonts w:eastAsia="宋体"/>
          <w:b/>
          <w:caps w:val="0"/>
          <w:smallCaps w:val="0"/>
          <w:color w:val="auto"/>
          <w:spacing w:val="0"/>
          <w:w w:val="100"/>
          <w:kern w:val="2"/>
          <w:position w:val="0"/>
          <w:sz w:val="24"/>
          <w:szCs w:val="24"/>
          <w:highlight w:val="none"/>
        </w:rPr>
      </w:pPr>
      <w:bookmarkStart w:id="108" w:name="_Toc186444232"/>
      <w:r>
        <w:rPr>
          <w:rFonts w:eastAsia="宋体"/>
          <w:b/>
          <w:caps w:val="0"/>
          <w:smallCaps w:val="0"/>
          <w:color w:val="auto"/>
          <w:spacing w:val="0"/>
          <w:w w:val="100"/>
          <w:kern w:val="2"/>
          <w:position w:val="0"/>
          <w:sz w:val="24"/>
          <w:szCs w:val="24"/>
          <w:highlight w:val="none"/>
        </w:rPr>
        <w:t>1.4.5选址合理性分析</w:t>
      </w:r>
      <w:bookmarkEnd w:id="108"/>
    </w:p>
    <w:p w14:paraId="504B3B69">
      <w:pPr>
        <w:pStyle w:val="146"/>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本项目位于绥化市安达市昌德镇</w:t>
      </w:r>
      <w:r>
        <w:rPr>
          <w:rFonts w:hint="eastAsia" w:ascii="Times New Roman" w:hAnsi="Times New Roman" w:cs="Times New Roman"/>
          <w:bCs/>
          <w:caps w:val="0"/>
          <w:smallCaps w:val="0"/>
          <w:color w:val="auto"/>
          <w:spacing w:val="0"/>
          <w:w w:val="100"/>
          <w:position w:val="0"/>
          <w:highlight w:val="none"/>
          <w:lang w:val="en-US"/>
        </w:rPr>
        <w:t>卫1联合站东南</w:t>
      </w:r>
      <w:r>
        <w:rPr>
          <w:rFonts w:ascii="Times New Roman" w:hAnsi="Times New Roman" w:cs="Times New Roman"/>
          <w:bCs/>
          <w:caps w:val="0"/>
          <w:smallCaps w:val="0"/>
          <w:color w:val="auto"/>
          <w:spacing w:val="0"/>
          <w:w w:val="100"/>
          <w:position w:val="0"/>
          <w:highlight w:val="none"/>
        </w:rPr>
        <w:t>，主要建设内容</w:t>
      </w:r>
      <w:r>
        <w:rPr>
          <w:rFonts w:hint="eastAsia" w:ascii="Times New Roman" w:hAnsi="Times New Roman" w:cs="Times New Roman"/>
          <w:bCs/>
          <w:caps w:val="0"/>
          <w:smallCaps w:val="0"/>
          <w:color w:val="auto"/>
          <w:spacing w:val="0"/>
          <w:w w:val="100"/>
          <w:position w:val="0"/>
          <w:highlight w:val="none"/>
          <w:lang w:val="en-US" w:eastAsia="zh-CN"/>
        </w:rPr>
        <w:t>整体更换站间管道 1 条，局部更换站间管道 1 条，长度共计 8.29km。整体更换集油环管道1个，局部更换集油环管道2个，长度共计7.83km，</w:t>
      </w:r>
      <w:r>
        <w:rPr>
          <w:rFonts w:ascii="Times New Roman" w:hAnsi="Times New Roman" w:cs="Times New Roman"/>
          <w:bCs/>
          <w:caps w:val="0"/>
          <w:smallCaps w:val="0"/>
          <w:color w:val="auto"/>
          <w:spacing w:val="0"/>
          <w:w w:val="100"/>
          <w:position w:val="0"/>
          <w:highlight w:val="none"/>
        </w:rPr>
        <w:t>配套建设防腐等工程。项目周围敏感点主要为居住区、耕地、草地，与本项目最近的居住区为</w:t>
      </w:r>
      <w:r>
        <w:rPr>
          <w:rFonts w:hint="eastAsia" w:ascii="Times New Roman" w:hAnsi="Times New Roman" w:cs="Times New Roman"/>
          <w:bCs/>
          <w:caps w:val="0"/>
          <w:smallCaps w:val="0"/>
          <w:color w:val="auto"/>
          <w:spacing w:val="0"/>
          <w:w w:val="100"/>
          <w:position w:val="0"/>
          <w:highlight w:val="none"/>
          <w:lang w:val="en-US" w:eastAsia="zh-CN"/>
        </w:rPr>
        <w:t>孙家屯</w:t>
      </w:r>
      <w:r>
        <w:rPr>
          <w:rFonts w:ascii="Times New Roman" w:hAnsi="Times New Roman" w:cs="Times New Roman"/>
          <w:bCs/>
          <w:caps w:val="0"/>
          <w:smallCaps w:val="0"/>
          <w:color w:val="auto"/>
          <w:spacing w:val="0"/>
          <w:w w:val="100"/>
          <w:position w:val="0"/>
          <w:highlight w:val="none"/>
        </w:rPr>
        <w:t>（</w:t>
      </w:r>
      <w:r>
        <w:rPr>
          <w:rFonts w:hint="eastAsia" w:ascii="Times New Roman" w:hAnsi="Times New Roman" w:cs="Times New Roman"/>
          <w:bCs/>
          <w:caps w:val="0"/>
          <w:smallCaps w:val="0"/>
          <w:color w:val="auto"/>
          <w:spacing w:val="0"/>
          <w:w w:val="100"/>
          <w:position w:val="0"/>
          <w:highlight w:val="none"/>
          <w:lang w:val="en-US" w:eastAsia="zh-CN"/>
        </w:rPr>
        <w:t>管线西侧20m</w:t>
      </w:r>
      <w:r>
        <w:rPr>
          <w:rFonts w:ascii="Times New Roman" w:hAnsi="Times New Roman" w:cs="Times New Roman"/>
          <w:bCs/>
          <w:caps w:val="0"/>
          <w:smallCaps w:val="0"/>
          <w:color w:val="auto"/>
          <w:spacing w:val="0"/>
          <w:w w:val="100"/>
          <w:position w:val="0"/>
          <w:highlight w:val="none"/>
        </w:rPr>
        <w:t>）。</w:t>
      </w:r>
    </w:p>
    <w:p w14:paraId="2F01C4AD">
      <w:pPr>
        <w:pStyle w:val="146"/>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根据《黑龙江省国土空间规划（2021-2035年）》、《</w:t>
      </w:r>
      <w:r>
        <w:rPr>
          <w:rFonts w:hint="eastAsia" w:ascii="Times New Roman" w:hAnsi="Times New Roman" w:cs="Times New Roman"/>
          <w:bCs/>
          <w:caps w:val="0"/>
          <w:smallCaps w:val="0"/>
          <w:color w:val="auto"/>
          <w:spacing w:val="0"/>
          <w:w w:val="100"/>
          <w:position w:val="0"/>
          <w:highlight w:val="none"/>
        </w:rPr>
        <w:t>绥化市</w:t>
      </w:r>
      <w:r>
        <w:rPr>
          <w:rFonts w:ascii="Times New Roman" w:hAnsi="Times New Roman" w:cs="Times New Roman"/>
          <w:bCs/>
          <w:caps w:val="0"/>
          <w:smallCaps w:val="0"/>
          <w:color w:val="auto"/>
          <w:spacing w:val="0"/>
          <w:w w:val="100"/>
          <w:position w:val="0"/>
          <w:highlight w:val="none"/>
        </w:rPr>
        <w:t>国土空间总体规划（2021-2035 年）和黑龙江省生态环境分区管控数据应用平台，</w:t>
      </w:r>
      <w:r>
        <w:rPr>
          <w:rFonts w:hint="eastAsia" w:ascii="Times New Roman" w:hAnsi="Times New Roman" w:cs="Times New Roman"/>
          <w:bCs/>
          <w:caps w:val="0"/>
          <w:smallCaps w:val="0"/>
          <w:color w:val="auto"/>
          <w:spacing w:val="0"/>
          <w:w w:val="100"/>
          <w:position w:val="0"/>
          <w:highlight w:val="none"/>
        </w:rPr>
        <w:t>本项目不占用</w:t>
      </w:r>
      <w:r>
        <w:rPr>
          <w:rFonts w:ascii="Times New Roman" w:hAnsi="Times New Roman" w:cs="Times New Roman"/>
          <w:bCs/>
          <w:caps w:val="0"/>
          <w:smallCaps w:val="0"/>
          <w:color w:val="auto"/>
          <w:spacing w:val="0"/>
          <w:w w:val="100"/>
          <w:position w:val="0"/>
          <w:highlight w:val="none"/>
        </w:rPr>
        <w:t>国家公园、自然保护区、风景名胜区、世界文化和自然遗产地、海洋特别保护区、饮用水源保护区、基本草原、自然公园（森林公园、地质公园、海洋公园等）、重要湿地、天然林、生态红线管控范围、重点保护野生动物栖息地，重点保护野生植物生长繁殖地，重要水生生物的自然产卵场、索饵场、越冬场和洄游通道，天然渔场，</w:t>
      </w:r>
      <w:r>
        <w:rPr>
          <w:rFonts w:hint="eastAsia" w:ascii="Times New Roman" w:hAnsi="Times New Roman" w:cs="Times New Roman"/>
          <w:bCs/>
          <w:caps w:val="0"/>
          <w:smallCaps w:val="0"/>
          <w:color w:val="auto"/>
          <w:spacing w:val="0"/>
          <w:w w:val="100"/>
          <w:position w:val="0"/>
          <w:highlight w:val="none"/>
        </w:rPr>
        <w:t>水土流失重点预防区和重点治理区、</w:t>
      </w:r>
      <w:r>
        <w:rPr>
          <w:rFonts w:ascii="Times New Roman" w:hAnsi="Times New Roman" w:cs="Times New Roman"/>
          <w:bCs/>
          <w:caps w:val="0"/>
          <w:smallCaps w:val="0"/>
          <w:color w:val="auto"/>
          <w:spacing w:val="0"/>
          <w:w w:val="100"/>
          <w:position w:val="0"/>
          <w:highlight w:val="none"/>
        </w:rPr>
        <w:t>沙化土地封禁保护区、封闭及半封闭海域等重要保护目标</w:t>
      </w:r>
      <w:r>
        <w:rPr>
          <w:rFonts w:hint="eastAsia" w:ascii="Times New Roman" w:hAnsi="Times New Roman" w:cs="Times New Roman"/>
          <w:bCs/>
          <w:caps w:val="0"/>
          <w:smallCaps w:val="0"/>
          <w:color w:val="auto"/>
          <w:spacing w:val="0"/>
          <w:w w:val="100"/>
          <w:position w:val="0"/>
          <w:highlight w:val="none"/>
        </w:rPr>
        <w:t>，</w:t>
      </w:r>
      <w:r>
        <w:rPr>
          <w:rFonts w:ascii="Times New Roman" w:hAnsi="Times New Roman" w:cs="Times New Roman"/>
          <w:bCs/>
          <w:caps w:val="0"/>
          <w:smallCaps w:val="0"/>
          <w:color w:val="auto"/>
          <w:spacing w:val="0"/>
          <w:w w:val="100"/>
          <w:position w:val="0"/>
          <w:highlight w:val="none"/>
        </w:rPr>
        <w:t>同时对照《</w:t>
      </w:r>
      <w:r>
        <w:rPr>
          <w:rFonts w:hint="eastAsia" w:ascii="Times New Roman" w:hAnsi="Times New Roman" w:cs="Times New Roman"/>
          <w:bCs/>
          <w:caps w:val="0"/>
          <w:smallCaps w:val="0"/>
          <w:color w:val="auto"/>
          <w:spacing w:val="0"/>
          <w:w w:val="100"/>
          <w:position w:val="0"/>
          <w:highlight w:val="none"/>
        </w:rPr>
        <w:t>黑龙江省湿地名录（2</w:t>
      </w:r>
      <w:r>
        <w:rPr>
          <w:rFonts w:ascii="Times New Roman" w:hAnsi="Times New Roman" w:cs="Times New Roman"/>
          <w:bCs/>
          <w:caps w:val="0"/>
          <w:smallCaps w:val="0"/>
          <w:color w:val="auto"/>
          <w:spacing w:val="0"/>
          <w:w w:val="100"/>
          <w:position w:val="0"/>
          <w:highlight w:val="none"/>
        </w:rPr>
        <w:t>022版</w:t>
      </w:r>
      <w:r>
        <w:rPr>
          <w:rFonts w:hint="eastAsia" w:ascii="Times New Roman" w:hAnsi="Times New Roman" w:cs="Times New Roman"/>
          <w:bCs/>
          <w:caps w:val="0"/>
          <w:smallCaps w:val="0"/>
          <w:color w:val="auto"/>
          <w:spacing w:val="0"/>
          <w:w w:val="100"/>
          <w:position w:val="0"/>
          <w:highlight w:val="none"/>
        </w:rPr>
        <w:t>）</w:t>
      </w:r>
      <w:r>
        <w:rPr>
          <w:rFonts w:ascii="Times New Roman" w:hAnsi="Times New Roman" w:cs="Times New Roman"/>
          <w:bCs/>
          <w:caps w:val="0"/>
          <w:smallCaps w:val="0"/>
          <w:color w:val="auto"/>
          <w:spacing w:val="0"/>
          <w:w w:val="100"/>
          <w:position w:val="0"/>
          <w:highlight w:val="none"/>
        </w:rPr>
        <w:t>》，本项目评价范围内</w:t>
      </w:r>
      <w:r>
        <w:rPr>
          <w:rFonts w:hint="eastAsia" w:ascii="Times New Roman" w:hAnsi="Times New Roman" w:cs="Times New Roman"/>
          <w:bCs/>
          <w:caps w:val="0"/>
          <w:smallCaps w:val="0"/>
          <w:color w:val="auto"/>
          <w:spacing w:val="0"/>
          <w:w w:val="100"/>
          <w:position w:val="0"/>
          <w:highlight w:val="none"/>
        </w:rPr>
        <w:t>不</w:t>
      </w:r>
      <w:r>
        <w:rPr>
          <w:rFonts w:ascii="Times New Roman" w:hAnsi="Times New Roman" w:cs="Times New Roman"/>
          <w:bCs/>
          <w:caps w:val="0"/>
          <w:smallCaps w:val="0"/>
          <w:color w:val="auto"/>
          <w:spacing w:val="0"/>
          <w:w w:val="100"/>
          <w:position w:val="0"/>
          <w:highlight w:val="none"/>
        </w:rPr>
        <w:t>涉及一般湿地。</w:t>
      </w:r>
    </w:p>
    <w:p w14:paraId="08DD24BC">
      <w:pPr>
        <w:pStyle w:val="146"/>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根据</w:t>
      </w:r>
      <w:r>
        <w:rPr>
          <w:rFonts w:hint="eastAsia" w:ascii="Times New Roman" w:hAnsi="Times New Roman" w:cs="Times New Roman"/>
          <w:bCs/>
          <w:caps w:val="0"/>
          <w:smallCaps w:val="0"/>
          <w:color w:val="auto"/>
          <w:spacing w:val="0"/>
          <w:w w:val="100"/>
          <w:position w:val="0"/>
          <w:highlight w:val="none"/>
        </w:rPr>
        <w:t>《绥化市生态环境准入清单</w:t>
      </w:r>
      <w:r>
        <w:rPr>
          <w:rFonts w:ascii="Times New Roman" w:hAnsi="Times New Roman" w:cs="Times New Roman"/>
          <w:bCs/>
          <w:caps w:val="0"/>
          <w:smallCaps w:val="0"/>
          <w:color w:val="auto"/>
          <w:spacing w:val="0"/>
          <w:w w:val="100"/>
          <w:position w:val="0"/>
          <w:highlight w:val="none"/>
        </w:rPr>
        <w:t>（2023年版）》，本项目位于重点管控单元，结合</w:t>
      </w:r>
      <w:r>
        <w:rPr>
          <w:rFonts w:hint="eastAsia" w:ascii="Times New Roman" w:hAnsi="Times New Roman" w:cs="Times New Roman"/>
          <w:bCs/>
          <w:caps w:val="0"/>
          <w:smallCaps w:val="0"/>
          <w:color w:val="auto"/>
          <w:spacing w:val="0"/>
          <w:w w:val="100"/>
          <w:position w:val="0"/>
          <w:highlight w:val="none"/>
        </w:rPr>
        <w:t>黑龙江省生态环境分区管控数据应用平台</w:t>
      </w:r>
      <w:r>
        <w:rPr>
          <w:rFonts w:ascii="Times New Roman" w:hAnsi="Times New Roman" w:cs="Times New Roman"/>
          <w:bCs/>
          <w:caps w:val="0"/>
          <w:smallCaps w:val="0"/>
          <w:color w:val="auto"/>
          <w:spacing w:val="0"/>
          <w:w w:val="100"/>
          <w:position w:val="0"/>
          <w:highlight w:val="none"/>
        </w:rPr>
        <w:t>，本项目位于安达市</w:t>
      </w:r>
      <w:r>
        <w:rPr>
          <w:rFonts w:hint="eastAsia" w:ascii="Times New Roman" w:hAnsi="Times New Roman" w:cs="Times New Roman"/>
          <w:bCs/>
          <w:caps w:val="0"/>
          <w:smallCaps w:val="0"/>
          <w:color w:val="auto"/>
          <w:spacing w:val="0"/>
          <w:w w:val="100"/>
          <w:position w:val="0"/>
          <w:highlight w:val="none"/>
        </w:rPr>
        <w:t>水环境</w:t>
      </w:r>
      <w:r>
        <w:rPr>
          <w:rFonts w:ascii="Times New Roman" w:hAnsi="Times New Roman" w:cs="Times New Roman"/>
          <w:bCs/>
          <w:caps w:val="0"/>
          <w:smallCaps w:val="0"/>
          <w:color w:val="auto"/>
          <w:spacing w:val="0"/>
          <w:w w:val="100"/>
          <w:position w:val="0"/>
          <w:highlight w:val="none"/>
        </w:rPr>
        <w:t>城镇生活污染重点管控区和</w:t>
      </w:r>
      <w:r>
        <w:rPr>
          <w:rFonts w:hint="eastAsia" w:ascii="Times New Roman" w:hAnsi="Times New Roman" w:cs="Times New Roman"/>
          <w:bCs/>
          <w:caps w:val="0"/>
          <w:smallCaps w:val="0"/>
          <w:color w:val="auto"/>
          <w:spacing w:val="0"/>
          <w:w w:val="100"/>
          <w:position w:val="0"/>
          <w:highlight w:val="none"/>
        </w:rPr>
        <w:t>安达市</w:t>
      </w:r>
      <w:r>
        <w:rPr>
          <w:rFonts w:hint="eastAsia" w:ascii="Times New Roman" w:hAnsi="Times New Roman" w:cs="Times New Roman"/>
          <w:bCs/>
          <w:caps w:val="0"/>
          <w:smallCaps w:val="0"/>
          <w:color w:val="auto"/>
          <w:spacing w:val="0"/>
          <w:w w:val="100"/>
          <w:position w:val="0"/>
          <w:highlight w:val="none"/>
          <w:lang w:val="en-US" w:eastAsia="zh-CN"/>
        </w:rPr>
        <w:t>城镇</w:t>
      </w:r>
      <w:r>
        <w:rPr>
          <w:rFonts w:ascii="Times New Roman" w:hAnsi="Times New Roman" w:cs="Times New Roman"/>
          <w:bCs/>
          <w:caps w:val="0"/>
          <w:smallCaps w:val="0"/>
          <w:color w:val="auto"/>
          <w:spacing w:val="0"/>
          <w:w w:val="100"/>
          <w:position w:val="0"/>
          <w:highlight w:val="none"/>
        </w:rPr>
        <w:t>空间，</w:t>
      </w:r>
      <w:r>
        <w:rPr>
          <w:rFonts w:hint="eastAsia" w:ascii="Times New Roman" w:hAnsi="Times New Roman" w:cs="Times New Roman"/>
          <w:bCs/>
          <w:caps w:val="0"/>
          <w:smallCaps w:val="0"/>
          <w:color w:val="auto"/>
          <w:spacing w:val="0"/>
          <w:w w:val="100"/>
          <w:position w:val="0"/>
          <w:highlight w:val="none"/>
        </w:rPr>
        <w:t>经与生态环境准入清单管控体系符合性分析</w:t>
      </w:r>
      <w:r>
        <w:rPr>
          <w:rFonts w:ascii="Times New Roman" w:hAnsi="Times New Roman" w:cs="Times New Roman"/>
          <w:bCs/>
          <w:caps w:val="0"/>
          <w:smallCaps w:val="0"/>
          <w:color w:val="auto"/>
          <w:spacing w:val="0"/>
          <w:w w:val="100"/>
          <w:position w:val="0"/>
          <w:highlight w:val="none"/>
        </w:rPr>
        <w:t>，本项目建设符合分区管控要求</w:t>
      </w:r>
      <w:r>
        <w:rPr>
          <w:rFonts w:hint="eastAsia" w:ascii="Times New Roman" w:hAnsi="Times New Roman" w:cs="Times New Roman"/>
          <w:bCs/>
          <w:caps w:val="0"/>
          <w:smallCaps w:val="0"/>
          <w:color w:val="auto"/>
          <w:spacing w:val="0"/>
          <w:w w:val="100"/>
          <w:position w:val="0"/>
          <w:highlight w:val="none"/>
        </w:rPr>
        <w:t>。</w:t>
      </w:r>
    </w:p>
    <w:p w14:paraId="31E14BF4">
      <w:pPr>
        <w:pStyle w:val="146"/>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根据设计方案，结合现场勘查情况，本项目管线路由严格遵循最短路由，尽量做到线路平、顺、直，</w:t>
      </w:r>
      <w:r>
        <w:rPr>
          <w:rFonts w:hint="eastAsia" w:ascii="Times New Roman" w:hAnsi="Times New Roman" w:cs="Times New Roman"/>
          <w:bCs/>
          <w:caps w:val="0"/>
          <w:smallCaps w:val="0"/>
          <w:color w:val="auto"/>
          <w:spacing w:val="0"/>
          <w:w w:val="100"/>
          <w:position w:val="0"/>
          <w:highlight w:val="none"/>
        </w:rPr>
        <w:t>在满足注水要求的前提下，</w:t>
      </w:r>
      <w:r>
        <w:rPr>
          <w:rFonts w:ascii="Times New Roman" w:hAnsi="Times New Roman" w:cs="Times New Roman"/>
          <w:bCs/>
          <w:caps w:val="0"/>
          <w:smallCaps w:val="0"/>
          <w:color w:val="auto"/>
          <w:spacing w:val="0"/>
          <w:w w:val="100"/>
          <w:position w:val="0"/>
          <w:highlight w:val="none"/>
        </w:rPr>
        <w:t>尽量</w:t>
      </w:r>
      <w:r>
        <w:rPr>
          <w:rFonts w:hint="eastAsia" w:ascii="Times New Roman" w:hAnsi="Times New Roman" w:cs="Times New Roman"/>
          <w:bCs/>
          <w:caps w:val="0"/>
          <w:smallCaps w:val="0"/>
          <w:color w:val="auto"/>
          <w:spacing w:val="0"/>
          <w:w w:val="100"/>
          <w:position w:val="0"/>
          <w:highlight w:val="none"/>
        </w:rPr>
        <w:t>沿现有道路敷设</w:t>
      </w:r>
      <w:r>
        <w:rPr>
          <w:rFonts w:ascii="Times New Roman" w:hAnsi="Times New Roman" w:cs="Times New Roman"/>
          <w:bCs/>
          <w:caps w:val="0"/>
          <w:smallCaps w:val="0"/>
          <w:color w:val="auto"/>
          <w:spacing w:val="0"/>
          <w:w w:val="100"/>
          <w:position w:val="0"/>
          <w:highlight w:val="none"/>
        </w:rPr>
        <w:t>，便于施工和生产维护管理的原则布置，采取了最优的管道走向</w:t>
      </w:r>
      <w:r>
        <w:rPr>
          <w:rFonts w:hint="eastAsia" w:ascii="Times New Roman" w:hAnsi="Times New Roman" w:cs="Times New Roman"/>
          <w:bCs/>
          <w:caps w:val="0"/>
          <w:smallCaps w:val="0"/>
          <w:color w:val="auto"/>
          <w:spacing w:val="0"/>
          <w:w w:val="100"/>
          <w:position w:val="0"/>
          <w:highlight w:val="none"/>
        </w:rPr>
        <w:t>，并尽量减少与天然和人工障碍物交叉；</w:t>
      </w:r>
      <w:r>
        <w:rPr>
          <w:rFonts w:ascii="Times New Roman" w:hAnsi="Times New Roman" w:cs="Times New Roman"/>
          <w:bCs/>
          <w:caps w:val="0"/>
          <w:smallCaps w:val="0"/>
          <w:color w:val="auto"/>
          <w:spacing w:val="0"/>
          <w:w w:val="100"/>
          <w:position w:val="0"/>
          <w:highlight w:val="none"/>
        </w:rPr>
        <w:t>项目管线施工占地范围内剥离的表土暂存于临时占地范围内，不设取土场、弃土场。</w:t>
      </w:r>
    </w:p>
    <w:p w14:paraId="4D270B00">
      <w:pPr>
        <w:pStyle w:val="146"/>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本项目</w:t>
      </w:r>
      <w:r>
        <w:rPr>
          <w:rFonts w:hint="eastAsia" w:ascii="Times New Roman" w:hAnsi="Times New Roman" w:cs="Times New Roman"/>
          <w:bCs/>
          <w:caps w:val="0"/>
          <w:smallCaps w:val="0"/>
          <w:color w:val="auto"/>
          <w:spacing w:val="0"/>
          <w:w w:val="100"/>
          <w:position w:val="0"/>
          <w:highlight w:val="none"/>
        </w:rPr>
        <w:t>管道工程临时占用基本农田</w:t>
      </w:r>
      <w:r>
        <w:rPr>
          <w:rFonts w:ascii="Times New Roman" w:hAnsi="Times New Roman" w:cs="Times New Roman"/>
          <w:bCs/>
          <w:caps w:val="0"/>
          <w:smallCaps w:val="0"/>
          <w:color w:val="auto"/>
          <w:spacing w:val="0"/>
          <w:w w:val="100"/>
          <w:position w:val="0"/>
          <w:highlight w:val="none"/>
        </w:rPr>
        <w:t>。根据《基本农田保护条例》（2011年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本项目</w:t>
      </w:r>
      <w:r>
        <w:rPr>
          <w:rFonts w:hint="eastAsia" w:ascii="Times New Roman" w:hAnsi="Times New Roman" w:cs="Times New Roman"/>
          <w:bCs/>
          <w:caps w:val="0"/>
          <w:smallCaps w:val="0"/>
          <w:color w:val="auto"/>
          <w:spacing w:val="0"/>
          <w:w w:val="100"/>
          <w:position w:val="0"/>
          <w:highlight w:val="none"/>
        </w:rPr>
        <w:t>管道工程</w:t>
      </w:r>
      <w:r>
        <w:rPr>
          <w:rFonts w:ascii="Times New Roman" w:hAnsi="Times New Roman" w:cs="Times New Roman"/>
          <w:bCs/>
          <w:caps w:val="0"/>
          <w:smallCaps w:val="0"/>
          <w:color w:val="auto"/>
          <w:spacing w:val="0"/>
          <w:w w:val="100"/>
          <w:position w:val="0"/>
          <w:highlight w:val="none"/>
        </w:rPr>
        <w:t>确实无法避让基本农田，对于</w:t>
      </w:r>
      <w:r>
        <w:rPr>
          <w:rFonts w:hint="eastAsia" w:ascii="Times New Roman" w:hAnsi="Times New Roman" w:cs="Times New Roman"/>
          <w:bCs/>
          <w:caps w:val="0"/>
          <w:smallCaps w:val="0"/>
          <w:color w:val="auto"/>
          <w:spacing w:val="0"/>
          <w:w w:val="100"/>
          <w:position w:val="0"/>
          <w:highlight w:val="none"/>
          <w:lang w:val="en-US" w:eastAsia="zh-CN"/>
        </w:rPr>
        <w:t>21.88</w:t>
      </w:r>
      <w:r>
        <w:rPr>
          <w:rFonts w:ascii="Times New Roman" w:hAnsi="Times New Roman" w:cs="Times New Roman"/>
          <w:bCs/>
          <w:caps w:val="0"/>
          <w:smallCaps w:val="0"/>
          <w:color w:val="auto"/>
          <w:spacing w:val="0"/>
          <w:w w:val="100"/>
          <w:position w:val="0"/>
          <w:highlight w:val="none"/>
        </w:rPr>
        <w:t>hm</w:t>
      </w:r>
      <w:r>
        <w:rPr>
          <w:rFonts w:ascii="Times New Roman" w:hAnsi="Times New Roman" w:cs="Times New Roman"/>
          <w:bCs/>
          <w:caps w:val="0"/>
          <w:smallCaps w:val="0"/>
          <w:color w:val="auto"/>
          <w:spacing w:val="0"/>
          <w:w w:val="100"/>
          <w:position w:val="0"/>
          <w:highlight w:val="none"/>
          <w:vertAlign w:val="superscript"/>
        </w:rPr>
        <w:t>2</w:t>
      </w:r>
      <w:r>
        <w:rPr>
          <w:rFonts w:ascii="Times New Roman" w:hAnsi="Times New Roman" w:cs="Times New Roman"/>
          <w:bCs/>
          <w:caps w:val="0"/>
          <w:smallCaps w:val="0"/>
          <w:color w:val="auto"/>
          <w:spacing w:val="0"/>
          <w:w w:val="100"/>
          <w:position w:val="0"/>
          <w:highlight w:val="none"/>
        </w:rPr>
        <w:t>临时占地，施工前应剥离占地内0.3m的表土，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对占用的草地进行植被恢复，采取以上措施，满足占用耕地及草地的选址要求。</w:t>
      </w:r>
    </w:p>
    <w:p w14:paraId="585304D4">
      <w:pPr>
        <w:pStyle w:val="146"/>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本项目管线施工尽量采用占地面积最小、环境影响最小的布局方案，尽量避绕周围环境敏感目标，减少对耕地及草地的占用，并对占地采取生态恢复及补偿措施，把对生态环境的影响降至最小。工程建设对周围的主要环境影响为生态环境影响、大气环境影响、地下水环境影响、声环境影响和固体废物对周围的环境影响。通过环境影响预测与环境影响分析，工程建设实施后，通过采取相应的废气、废水、噪声、固体废物等污染控制措施，周围环境质量均满足相关标准要求，工程建设对周围的环境影响均在可接受的范围。</w:t>
      </w:r>
    </w:p>
    <w:p w14:paraId="7D6005BA">
      <w:pPr>
        <w:pStyle w:val="146"/>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综合分析，项目周边不涉及制约本项目建设的环境影响因素，工程选址在环境保护方面较合理。</w:t>
      </w:r>
    </w:p>
    <w:p w14:paraId="49D625D1">
      <w:pPr>
        <w:pStyle w:val="4"/>
        <w:keepNext w:val="0"/>
        <w:keepLines w:val="0"/>
        <w:widowControl w:val="0"/>
        <w:spacing w:before="120" w:after="120" w:line="440" w:lineRule="exact"/>
        <w:rPr>
          <w:rFonts w:ascii="Times New Roman" w:hAnsi="Times New Roman" w:eastAsia="宋体"/>
          <w:b/>
          <w:caps w:val="0"/>
          <w:smallCaps w:val="0"/>
          <w:snapToGrid w:val="0"/>
          <w:color w:val="auto"/>
          <w:spacing w:val="0"/>
          <w:w w:val="100"/>
          <w:position w:val="0"/>
          <w:highlight w:val="none"/>
        </w:rPr>
      </w:pPr>
      <w:bookmarkStart w:id="109" w:name="_Toc219900368"/>
      <w:bookmarkStart w:id="110" w:name="_Toc186444233"/>
      <w:r>
        <w:rPr>
          <w:rFonts w:ascii="Times New Roman" w:hAnsi="Times New Roman" w:eastAsia="宋体"/>
          <w:b/>
          <w:caps w:val="0"/>
          <w:smallCaps w:val="0"/>
          <w:snapToGrid w:val="0"/>
          <w:color w:val="auto"/>
          <w:spacing w:val="0"/>
          <w:w w:val="100"/>
          <w:position w:val="0"/>
          <w:highlight w:val="none"/>
        </w:rPr>
        <w:t>1.5关注的主要环境问题及环境影响</w:t>
      </w:r>
      <w:bookmarkEnd w:id="109"/>
      <w:bookmarkEnd w:id="110"/>
    </w:p>
    <w:p w14:paraId="59ED429E">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本项目为油田内部管线建设项目，环境影响主要来源于管线的建设，环境影响包括施工期污染物排放造成的环境污染和占地及施工造成的生态影响。根据现状调查，本项目不在自然保护区、风景名胜区等环境敏感区域内，主要环境敏感保护目标为评价范围内的生态环境、区块周边分布的居民区。本次评价重点关注施工期施工活动和工程占地对土壤、生态环境的影响，施工过程中产生的废气、废水、固体废物、噪声等对周围环境的影响。</w:t>
      </w:r>
    </w:p>
    <w:p w14:paraId="7E219743">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（1）环境空气</w:t>
      </w:r>
    </w:p>
    <w:p w14:paraId="69B4ECCF">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本项目施工期主要体现在施工活动产生的扬尘、管道焊接烟尘、施工机械和运输车辆尾气对大气环境产生的影响。通过合理规划运输路线、土方加盖防尘网或苫布、定期洒水抑尘等措施后，项目施工期对周围大气环境的影响较小。本项目运营期无废气产生。</w:t>
      </w:r>
    </w:p>
    <w:p w14:paraId="5CEDAA9F">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（2）水环境</w:t>
      </w:r>
    </w:p>
    <w:p w14:paraId="24B78568">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本项目施工期可能对地表水环境产生影响的主要为</w:t>
      </w:r>
      <w:r>
        <w:rPr>
          <w:rFonts w:hint="eastAsia" w:ascii="Times New Roman" w:hAnsi="Times New Roman"/>
          <w:color w:val="auto"/>
          <w:highlight w:val="none"/>
        </w:rPr>
        <w:t>新建管线试压废水、废弃管线清洗废水</w:t>
      </w:r>
      <w:r>
        <w:rPr>
          <w:rFonts w:ascii="Times New Roman" w:hAnsi="Times New Roman"/>
          <w:color w:val="auto"/>
          <w:highlight w:val="none"/>
        </w:rPr>
        <w:t>以及施工人员的生活污水。施工人员产生的生活污水排入附近计量间或场站内已建防渗旱厕，定期由</w:t>
      </w:r>
      <w:r>
        <w:rPr>
          <w:rFonts w:hint="eastAsia" w:ascii="Times New Roman" w:hAnsi="Times New Roman" w:eastAsiaTheme="minorEastAsia"/>
          <w:caps w:val="0"/>
          <w:smallCaps w:val="0"/>
          <w:color w:val="auto"/>
          <w:spacing w:val="0"/>
          <w:w w:val="100"/>
          <w:position w:val="0"/>
          <w:highlight w:val="none"/>
          <w:lang w:eastAsia="zh-CN"/>
        </w:rPr>
        <w:t>安达市同昌油田工程有限公司拉运至大庆市净源环保科技有限公司进行处理</w:t>
      </w:r>
      <w:r>
        <w:rPr>
          <w:rFonts w:ascii="Times New Roman" w:hAnsi="Times New Roman"/>
          <w:color w:val="auto"/>
          <w:highlight w:val="none"/>
        </w:rPr>
        <w:t>。</w:t>
      </w:r>
      <w:r>
        <w:rPr>
          <w:rFonts w:hint="eastAsia" w:ascii="Times New Roman" w:hAnsi="Times New Roman"/>
          <w:bCs/>
          <w:color w:val="auto"/>
          <w:highlight w:val="none"/>
        </w:rPr>
        <w:t>新建管线试压废水及废弃管线清洗废水</w:t>
      </w:r>
      <w:r>
        <w:rPr>
          <w:rFonts w:ascii="Times New Roman" w:hAnsi="Times New Roman"/>
          <w:bCs/>
          <w:color w:val="auto"/>
          <w:highlight w:val="none"/>
        </w:rPr>
        <w:t>由罐车拉运至</w:t>
      </w:r>
      <w:r>
        <w:rPr>
          <w:rFonts w:hint="eastAsia" w:ascii="Times New Roman" w:hAnsi="Times New Roman"/>
          <w:bCs/>
          <w:color w:val="auto"/>
          <w:highlight w:val="none"/>
        </w:rPr>
        <w:t>卫一联含油污水深度处理站</w:t>
      </w:r>
      <w:r>
        <w:rPr>
          <w:rFonts w:ascii="Times New Roman" w:hAnsi="Times New Roman"/>
          <w:bCs/>
          <w:color w:val="auto"/>
          <w:highlight w:val="none"/>
        </w:rPr>
        <w:t>处理满足《大庆油田地面工程建设设计规定》（Q/SYDQ0639-2015）及《碎屑岩油藏注水水质指标技术要求及分析方法》（SY/T5329-2022）限值要求后回注油层，不外排。本项目施工期废水不会对周边地下水及地表水环境产生明显不利影响。本项目运行期无废水产生及排放。</w:t>
      </w:r>
    </w:p>
    <w:p w14:paraId="2F85B2FC">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本工程施工期可能对地下水产生影响的主要为废弃泥浆，运行期可能对地下水产生影响的因素主要为</w:t>
      </w:r>
      <w:r>
        <w:rPr>
          <w:rFonts w:hint="eastAsia" w:ascii="Times New Roman" w:hAnsi="Times New Roman"/>
          <w:color w:val="auto"/>
          <w:highlight w:val="none"/>
          <w:lang w:val="en-US" w:eastAsia="zh-CN"/>
        </w:rPr>
        <w:t>集输</w:t>
      </w:r>
      <w:r>
        <w:rPr>
          <w:rFonts w:ascii="Times New Roman" w:hAnsi="Times New Roman"/>
          <w:color w:val="auto"/>
          <w:highlight w:val="none"/>
        </w:rPr>
        <w:t>管道泄露。在采取源头控制、过程防控、分区防渗、跟踪监测后对区域的地下水环境影响较小。</w:t>
      </w:r>
    </w:p>
    <w:p w14:paraId="37303CF9">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（3）声环境</w:t>
      </w:r>
    </w:p>
    <w:p w14:paraId="509FE49D">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本项目施工期对声环境的影响主要为各类集输管线施工机械及运输车辆产生的噪声。通过选用低噪声施工设备，合理布置施工现场，合理安排施工时间，注意施工机械及运输车辆的维护和保养，运输车辆选择避开居民点路线，尽量不鸣笛</w:t>
      </w:r>
      <w:r>
        <w:rPr>
          <w:rFonts w:hint="eastAsia" w:ascii="Times New Roman" w:hAnsi="Times New Roman"/>
          <w:color w:val="auto"/>
          <w:highlight w:val="none"/>
        </w:rPr>
        <w:t>，</w:t>
      </w:r>
      <w:r>
        <w:rPr>
          <w:rFonts w:ascii="Times New Roman" w:hAnsi="Times New Roman"/>
          <w:color w:val="auto"/>
          <w:highlight w:val="none"/>
        </w:rPr>
        <w:t>对周边声环境影响较小。</w:t>
      </w:r>
    </w:p>
    <w:p w14:paraId="520D6C59">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（4）固体废物</w:t>
      </w:r>
    </w:p>
    <w:p w14:paraId="68027B3B">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施工过程中产生的固体废物主要为施工废料、废弃泥浆、生活垃圾等。施工期产生的施工废料</w:t>
      </w:r>
      <w:r>
        <w:rPr>
          <w:rFonts w:ascii="Times New Roman" w:hAnsi="Times New Roman"/>
          <w:bCs/>
          <w:color w:val="auto"/>
          <w:highlight w:val="none"/>
        </w:rPr>
        <w:t>属于一般固体废物，统一收集后由施工单位拉运至第八采油厂工业固废填埋场处理。废弃泥浆排入施工场地的钢制泥浆槽中，定期拉运至大庆洁宇环保科技有限公司处理。原有管线的两端切断，并采用混凝土对占压管线两端进行封堵后直埋于地下，不再挖出。施工期生活垃圾统一收集后拉运至安达市生活垃圾填埋场处理。</w:t>
      </w:r>
    </w:p>
    <w:p w14:paraId="423E6BA9">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（5）生态环境</w:t>
      </w:r>
    </w:p>
    <w:p w14:paraId="6FB51B71">
      <w:pPr>
        <w:pStyle w:val="149"/>
        <w:widowControl w:val="0"/>
        <w:spacing w:line="440" w:lineRule="exact"/>
        <w:ind w:firstLine="480"/>
        <w:rPr>
          <w:rFonts w:ascii="Times New Roman" w:hAnsi="Times New Roman"/>
          <w:color w:val="auto"/>
          <w:highlight w:val="none"/>
        </w:rPr>
      </w:pPr>
      <w:r>
        <w:rPr>
          <w:rFonts w:ascii="Times New Roman" w:hAnsi="Times New Roman" w:eastAsiaTheme="minorEastAsia"/>
          <w:color w:val="auto"/>
          <w:highlight w:val="none"/>
        </w:rPr>
        <w:t>本工程管道铺设发生的临时占地，以及因机械设备、车辆的碾压、人员的践踏等活动将会对地表植被造成一定程度的破坏。临时占地暂时改变了土地利用形式，使区域的生产能力受到暂时性影响。施工结束后，及时恢复被破坏的地表形态，对临时占用耕地及草地进行表土留存，分层回填，整平翻松，确保恢复等质等量面积的耕地及草地，项目建设对生态环境影响较小。</w:t>
      </w:r>
    </w:p>
    <w:p w14:paraId="11EAB138">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（6）土壤环境</w:t>
      </w:r>
    </w:p>
    <w:p w14:paraId="739D6BDC">
      <w:pPr>
        <w:pStyle w:val="149"/>
        <w:widowControl w:val="0"/>
        <w:spacing w:line="440" w:lineRule="exact"/>
        <w:ind w:firstLine="480"/>
        <w:jc w:val="both"/>
        <w:rPr>
          <w:rFonts w:ascii="Times New Roman" w:hAnsi="Times New Roman" w:eastAsiaTheme="minorEastAsia"/>
          <w:color w:val="auto"/>
          <w:highlight w:val="none"/>
        </w:rPr>
      </w:pPr>
      <w:r>
        <w:rPr>
          <w:rFonts w:ascii="Times New Roman" w:hAnsi="Times New Roman" w:eastAsiaTheme="minorEastAsia"/>
          <w:color w:val="auto"/>
          <w:highlight w:val="none"/>
        </w:rPr>
        <w:t>本项目</w:t>
      </w:r>
      <w:r>
        <w:rPr>
          <w:rFonts w:hint="eastAsia" w:ascii="Times New Roman" w:hAnsi="Times New Roman"/>
          <w:color w:val="auto"/>
          <w:highlight w:val="none"/>
          <w:lang w:val="en-US" w:eastAsia="zh-CN"/>
        </w:rPr>
        <w:t>集输</w:t>
      </w:r>
      <w:r>
        <w:rPr>
          <w:rFonts w:ascii="Times New Roman" w:hAnsi="Times New Roman" w:eastAsiaTheme="minorEastAsia"/>
          <w:color w:val="auto"/>
          <w:highlight w:val="none"/>
        </w:rPr>
        <w:t>管道运营过程中，石油烃进入土壤的途径主要事故状态下</w:t>
      </w:r>
      <w:r>
        <w:rPr>
          <w:rFonts w:hint="eastAsia" w:ascii="Times New Roman" w:hAnsi="Times New Roman"/>
          <w:color w:val="auto"/>
          <w:highlight w:val="none"/>
          <w:lang w:val="en-US" w:eastAsia="zh-CN"/>
        </w:rPr>
        <w:t>集输</w:t>
      </w:r>
      <w:r>
        <w:rPr>
          <w:rFonts w:ascii="Times New Roman" w:hAnsi="Times New Roman" w:eastAsiaTheme="minorEastAsia"/>
          <w:color w:val="auto"/>
          <w:highlight w:val="none"/>
        </w:rPr>
        <w:t>管道泄露时产生的</w:t>
      </w:r>
      <w:r>
        <w:rPr>
          <w:rFonts w:hint="eastAsia" w:ascii="Times New Roman" w:hAnsi="Times New Roman" w:eastAsiaTheme="minorEastAsia"/>
          <w:color w:val="auto"/>
          <w:highlight w:val="none"/>
          <w:lang w:val="en-US" w:eastAsia="zh-CN"/>
        </w:rPr>
        <w:t>原油及</w:t>
      </w:r>
      <w:r>
        <w:rPr>
          <w:rFonts w:ascii="Times New Roman" w:hAnsi="Times New Roman" w:eastAsiaTheme="minorEastAsia"/>
          <w:color w:val="auto"/>
          <w:highlight w:val="none"/>
        </w:rPr>
        <w:t>含油污水。</w:t>
      </w:r>
    </w:p>
    <w:p w14:paraId="793FD1CD">
      <w:pPr>
        <w:pStyle w:val="149"/>
        <w:widowControl w:val="0"/>
        <w:spacing w:line="440" w:lineRule="exact"/>
        <w:ind w:firstLine="480"/>
        <w:rPr>
          <w:rFonts w:ascii="Times New Roman" w:hAnsi="Times New Roman"/>
          <w:color w:val="auto"/>
          <w:kern w:val="2"/>
          <w:szCs w:val="20"/>
          <w:highlight w:val="none"/>
        </w:rPr>
      </w:pPr>
      <w:r>
        <w:rPr>
          <w:rFonts w:ascii="Times New Roman" w:hAnsi="Times New Roman" w:eastAsiaTheme="minorEastAsia"/>
          <w:color w:val="auto"/>
          <w:highlight w:val="none"/>
        </w:rPr>
        <w:t>针对工程可能发生的土壤污染，按照“源头控制、末端防治、污染监控、应急响应”相结合的原则，从污染物的产生、入渗、扩散、应急响应全阶段进行控制后对区域的土壤环境影响较小。</w:t>
      </w:r>
    </w:p>
    <w:p w14:paraId="2060A17B">
      <w:pPr>
        <w:pStyle w:val="149"/>
        <w:widowControl w:val="0"/>
        <w:spacing w:line="440" w:lineRule="exact"/>
        <w:ind w:firstLine="480"/>
        <w:rPr>
          <w:rFonts w:ascii="Times New Roman" w:hAnsi="Times New Roman"/>
          <w:color w:val="auto"/>
          <w:highlight w:val="none"/>
        </w:rPr>
      </w:pPr>
      <w:r>
        <w:rPr>
          <w:rFonts w:ascii="Times New Roman" w:hAnsi="Times New Roman"/>
          <w:color w:val="auto"/>
          <w:highlight w:val="none"/>
        </w:rPr>
        <w:t>（7）环境风险</w:t>
      </w:r>
    </w:p>
    <w:p w14:paraId="157CF382">
      <w:pPr>
        <w:pStyle w:val="149"/>
        <w:widowControl w:val="0"/>
        <w:spacing w:line="440" w:lineRule="exact"/>
        <w:ind w:firstLine="480"/>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olor w:val="auto"/>
          <w:highlight w:val="none"/>
        </w:rPr>
        <w:t>本工程的主要环境风险是含油污水泄漏，对区域内的大气、地表水、地下水环境和生态环境有潜在危害性。本次新建的</w:t>
      </w:r>
      <w:r>
        <w:rPr>
          <w:rFonts w:hint="eastAsia" w:ascii="Times New Roman" w:hAnsi="Times New Roman"/>
          <w:color w:val="auto"/>
          <w:highlight w:val="none"/>
          <w:lang w:val="en-US" w:eastAsia="zh-CN"/>
        </w:rPr>
        <w:t>集输</w:t>
      </w:r>
      <w:r>
        <w:rPr>
          <w:rFonts w:ascii="Times New Roman" w:hAnsi="Times New Roman" w:eastAsiaTheme="minorEastAsia"/>
          <w:color w:val="auto"/>
          <w:highlight w:val="none"/>
        </w:rPr>
        <w:t>管道</w:t>
      </w:r>
      <w:r>
        <w:rPr>
          <w:rFonts w:ascii="Times New Roman" w:hAnsi="Times New Roman" w:eastAsiaTheme="minorEastAsia"/>
          <w:bCs/>
          <w:color w:val="auto"/>
          <w:highlight w:val="none"/>
        </w:rPr>
        <w:t>管道材质均采用内环氧粉末普通级外2PE加强沥青防腐钢管</w:t>
      </w:r>
      <w:r>
        <w:rPr>
          <w:rFonts w:ascii="Times New Roman" w:hAnsi="Times New Roman" w:eastAsiaTheme="minorEastAsia"/>
          <w:color w:val="auto"/>
          <w:highlight w:val="none"/>
        </w:rPr>
        <w:t>，依托注配间压力监控系统进行实时压力监控，一旦发生泄漏管道压力就会出现异常，工作人员可第一时间发现，发现后采取关闭机泵等措施进行控制。在工程采取相应环境风险防范和应急措施后，可以降低和控制工程发生事故情况下对周围环境的影响。</w:t>
      </w:r>
    </w:p>
    <w:p w14:paraId="5AA0A813">
      <w:pPr>
        <w:pStyle w:val="4"/>
        <w:keepNext w:val="0"/>
        <w:keepLines w:val="0"/>
        <w:widowControl w:val="0"/>
        <w:spacing w:before="120" w:after="120" w:line="440" w:lineRule="exact"/>
        <w:rPr>
          <w:rFonts w:ascii="Times New Roman" w:hAnsi="Times New Roman" w:eastAsia="宋体"/>
          <w:b/>
          <w:caps w:val="0"/>
          <w:smallCaps w:val="0"/>
          <w:snapToGrid w:val="0"/>
          <w:color w:val="auto"/>
          <w:spacing w:val="0"/>
          <w:w w:val="100"/>
          <w:position w:val="0"/>
          <w:highlight w:val="none"/>
        </w:rPr>
      </w:pPr>
      <w:bookmarkStart w:id="111" w:name="_Toc186444234"/>
      <w:bookmarkStart w:id="112" w:name="_Toc219900369"/>
      <w:r>
        <w:rPr>
          <w:rFonts w:ascii="Times New Roman" w:hAnsi="Times New Roman" w:eastAsia="宋体"/>
          <w:b/>
          <w:caps w:val="0"/>
          <w:smallCaps w:val="0"/>
          <w:snapToGrid w:val="0"/>
          <w:color w:val="auto"/>
          <w:spacing w:val="0"/>
          <w:w w:val="100"/>
          <w:position w:val="0"/>
          <w:highlight w:val="none"/>
        </w:rPr>
        <w:t>1.6环境影响评价主要结论</w:t>
      </w:r>
      <w:bookmarkEnd w:id="111"/>
      <w:bookmarkEnd w:id="112"/>
    </w:p>
    <w:p w14:paraId="5748844B">
      <w:pPr>
        <w:pStyle w:val="149"/>
        <w:widowControl w:val="0"/>
        <w:spacing w:line="440" w:lineRule="exact"/>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w:t>
      </w:r>
      <w:r>
        <w:rPr>
          <w:rFonts w:ascii="Times New Roman" w:hAnsi="Times New Roman" w:eastAsiaTheme="minorEastAsia"/>
          <w:caps w:val="0"/>
          <w:smallCaps w:val="0"/>
          <w:color w:val="auto"/>
          <w:spacing w:val="0"/>
          <w:w w:val="100"/>
          <w:position w:val="0"/>
          <w:highlight w:val="none"/>
        </w:rPr>
        <w:t>《产业结构调整指导目录（2024 年本）》</w:t>
      </w:r>
      <w:r>
        <w:rPr>
          <w:rFonts w:ascii="Times New Roman" w:hAnsi="Times New Roman" w:eastAsiaTheme="minorEastAsia"/>
          <w:caps w:val="0"/>
          <w:smallCaps w:val="0"/>
          <w:snapToGrid w:val="0"/>
          <w:color w:val="auto"/>
          <w:spacing w:val="0"/>
          <w:w w:val="100"/>
          <w:position w:val="0"/>
          <w:highlight w:val="none"/>
        </w:rPr>
        <w:t>，</w:t>
      </w:r>
      <w:r>
        <w:rPr>
          <w:rFonts w:hint="eastAsia" w:ascii="Times New Roman" w:hAnsi="Times New Roman" w:eastAsiaTheme="minorEastAsia"/>
          <w:caps w:val="0"/>
          <w:smallCaps w:val="0"/>
          <w:snapToGrid w:val="0"/>
          <w:color w:val="auto"/>
          <w:spacing w:val="0"/>
          <w:w w:val="100"/>
          <w:position w:val="0"/>
          <w:highlight w:val="none"/>
        </w:rPr>
        <w:t>本项目</w:t>
      </w:r>
      <w:r>
        <w:rPr>
          <w:rFonts w:ascii="Times New Roman" w:hAnsi="Times New Roman" w:eastAsiaTheme="minorEastAsia"/>
          <w:caps w:val="0"/>
          <w:smallCaps w:val="0"/>
          <w:snapToGrid w:val="0"/>
          <w:color w:val="auto"/>
          <w:spacing w:val="0"/>
          <w:w w:val="100"/>
          <w:position w:val="0"/>
          <w:highlight w:val="none"/>
        </w:rPr>
        <w:t>属于鼓励类项目，符合国家产业政策。本项目符合</w:t>
      </w:r>
      <w:r>
        <w:rPr>
          <w:rFonts w:hint="eastAsia" w:ascii="Times New Roman" w:hAnsi="Times New Roman" w:eastAsiaTheme="minorEastAsia"/>
          <w:caps w:val="0"/>
          <w:smallCaps w:val="0"/>
          <w:snapToGrid w:val="0"/>
          <w:color w:val="auto"/>
          <w:spacing w:val="0"/>
          <w:w w:val="100"/>
          <w:position w:val="0"/>
          <w:highlight w:val="none"/>
        </w:rPr>
        <w:t>生态环境分区管控要求</w:t>
      </w:r>
      <w:r>
        <w:rPr>
          <w:rFonts w:hint="eastAsia" w:ascii="Times New Roman" w:hAnsi="Times New Roman" w:eastAsiaTheme="minorEastAsia"/>
          <w:bCs/>
          <w:caps w:val="0"/>
          <w:smallCaps w:val="0"/>
          <w:color w:val="auto"/>
          <w:spacing w:val="0"/>
          <w:w w:val="100"/>
          <w:position w:val="0"/>
          <w:highlight w:val="none"/>
        </w:rPr>
        <w:t>，同时满足《黑龙江省国土空间规划（2021-2035年）》、</w:t>
      </w:r>
      <w:r>
        <w:rPr>
          <w:rFonts w:hint="eastAsia" w:ascii="Times New Roman" w:hAnsi="Times New Roman" w:eastAsiaTheme="minorEastAsia"/>
          <w:bCs/>
          <w:caps w:val="0"/>
          <w:smallCaps w:val="0"/>
          <w:color w:val="auto"/>
          <w:spacing w:val="0"/>
          <w:w w:val="100"/>
          <w:position w:val="0"/>
          <w:highlight w:val="none"/>
          <w:lang w:val="en-US"/>
        </w:rPr>
        <w:t>《安达市国土空间总体规划（2021-2035）》</w:t>
      </w:r>
      <w:r>
        <w:rPr>
          <w:rFonts w:ascii="Times New Roman" w:hAnsi="Times New Roman" w:eastAsiaTheme="minorEastAsia"/>
          <w:bCs/>
          <w:caps w:val="0"/>
          <w:smallCaps w:val="0"/>
          <w:color w:val="auto"/>
          <w:spacing w:val="0"/>
          <w:w w:val="100"/>
          <w:position w:val="0"/>
          <w:highlight w:val="none"/>
        </w:rPr>
        <w:t>、</w:t>
      </w:r>
      <w:r>
        <w:rPr>
          <w:rFonts w:hint="eastAsia" w:ascii="Times New Roman" w:hAnsi="Times New Roman" w:eastAsiaTheme="minorEastAsia"/>
          <w:bCs/>
          <w:caps w:val="0"/>
          <w:smallCaps w:val="0"/>
          <w:color w:val="auto"/>
          <w:spacing w:val="0"/>
          <w:w w:val="100"/>
          <w:position w:val="0"/>
          <w:highlight w:val="none"/>
        </w:rPr>
        <w:t>《黑龙江省主体功能区划》、《黑龙江省生态功能区划》、《黑龙江省“十四五”生态环境保护规划》、《</w:t>
      </w:r>
      <w:r>
        <w:rPr>
          <w:rFonts w:hint="eastAsia" w:ascii="Times New Roman" w:hAnsi="Times New Roman" w:eastAsiaTheme="minorEastAsia"/>
          <w:bCs/>
          <w:caps w:val="0"/>
          <w:smallCaps w:val="0"/>
          <w:color w:val="auto"/>
          <w:spacing w:val="0"/>
          <w:w w:val="100"/>
          <w:position w:val="0"/>
          <w:highlight w:val="none"/>
          <w:lang w:val="en-US" w:eastAsia="zh-CN"/>
        </w:rPr>
        <w:t>绥化</w:t>
      </w:r>
      <w:r>
        <w:rPr>
          <w:rFonts w:hint="eastAsia" w:ascii="Times New Roman" w:hAnsi="Times New Roman" w:eastAsiaTheme="minorEastAsia"/>
          <w:bCs/>
          <w:caps w:val="0"/>
          <w:smallCaps w:val="0"/>
          <w:color w:val="auto"/>
          <w:spacing w:val="0"/>
          <w:w w:val="100"/>
          <w:position w:val="0"/>
          <w:highlight w:val="none"/>
        </w:rPr>
        <w:t>市“十四五”生态环境保护规划》</w:t>
      </w:r>
      <w:r>
        <w:rPr>
          <w:rFonts w:ascii="Times New Roman" w:hAnsi="Times New Roman" w:eastAsiaTheme="minorEastAsia"/>
          <w:bCs/>
          <w:caps w:val="0"/>
          <w:smallCaps w:val="0"/>
          <w:color w:val="auto"/>
          <w:spacing w:val="0"/>
          <w:w w:val="100"/>
          <w:position w:val="0"/>
          <w:highlight w:val="none"/>
        </w:rPr>
        <w:t>等要求</w:t>
      </w:r>
      <w:r>
        <w:rPr>
          <w:rFonts w:ascii="Times New Roman" w:hAnsi="Times New Roman" w:eastAsiaTheme="minorEastAsia"/>
          <w:caps w:val="0"/>
          <w:smallCaps w:val="0"/>
          <w:snapToGrid w:val="0"/>
          <w:color w:val="auto"/>
          <w:spacing w:val="0"/>
          <w:w w:val="100"/>
          <w:position w:val="0"/>
          <w:highlight w:val="none"/>
        </w:rPr>
        <w:t>。按照《环境影响评价公众参与办法》（生态环境部令第4号，2019.1.1）的要求，本项目环评进行的过程中建设单位开展了公众参与调查，具体见《</w:t>
      </w:r>
      <w:r>
        <w:rPr>
          <w:rFonts w:hint="eastAsia" w:ascii="Times New Roman" w:hAnsi="Times New Roman" w:eastAsiaTheme="minorEastAsia"/>
          <w:caps w:val="0"/>
          <w:smallCaps w:val="0"/>
          <w:snapToGrid w:val="0"/>
          <w:color w:val="auto"/>
          <w:spacing w:val="0"/>
          <w:w w:val="100"/>
          <w:position w:val="0"/>
          <w:highlight w:val="none"/>
          <w:lang w:val="en-US"/>
        </w:rPr>
        <w:t>大庆油田第十一采油厂油系统管道安全隐患治理工程项目</w:t>
      </w:r>
      <w:r>
        <w:rPr>
          <w:rFonts w:ascii="Times New Roman" w:hAnsi="Times New Roman" w:eastAsiaTheme="minorEastAsia"/>
          <w:caps w:val="0"/>
          <w:smallCaps w:val="0"/>
          <w:snapToGrid w:val="0"/>
          <w:color w:val="auto"/>
          <w:spacing w:val="0"/>
          <w:w w:val="100"/>
          <w:position w:val="0"/>
          <w:highlight w:val="none"/>
        </w:rPr>
        <w:t>环境影响评价公众参与说明》。</w:t>
      </w:r>
    </w:p>
    <w:p w14:paraId="5EC8527A">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sectPr>
          <w:footerReference r:id="rId5" w:type="default"/>
          <w:type w:val="nextColumn"/>
          <w:pgSz w:w="11906" w:h="16838"/>
          <w:pgMar w:top="1418" w:right="1418" w:bottom="1418" w:left="1418" w:header="851" w:footer="992" w:gutter="0"/>
          <w:pgNumType w:start="1"/>
          <w:cols w:space="720" w:num="1"/>
          <w:docGrid w:linePitch="312" w:charSpace="0"/>
        </w:sectPr>
      </w:pPr>
      <w:r>
        <w:rPr>
          <w:rFonts w:ascii="Times New Roman" w:hAnsi="Times New Roman" w:eastAsiaTheme="minorEastAsia"/>
          <w:caps w:val="0"/>
          <w:smallCaps w:val="0"/>
          <w:snapToGrid w:val="0"/>
          <w:color w:val="auto"/>
          <w:spacing w:val="0"/>
          <w:w w:val="100"/>
          <w:position w:val="0"/>
          <w:highlight w:val="none"/>
        </w:rPr>
        <w:t>本报告书较为详细地论述了建设项目环境概况、主要环境问题、主要环境影响和拟采取的环保措施。主要结论为：</w:t>
      </w:r>
      <w:r>
        <w:rPr>
          <w:rFonts w:hint="eastAsia" w:ascii="Times New Roman" w:hAnsi="Times New Roman" w:eastAsiaTheme="minorEastAsia"/>
          <w:caps w:val="0"/>
          <w:smallCaps w:val="0"/>
          <w:snapToGrid w:val="0"/>
          <w:color w:val="auto"/>
          <w:spacing w:val="0"/>
          <w:w w:val="100"/>
          <w:position w:val="0"/>
          <w:highlight w:val="none"/>
          <w:lang w:val="en-US"/>
        </w:rPr>
        <w:t>大庆油田第十一采油厂油系统管道安全隐患治理工程项目</w:t>
      </w:r>
      <w:r>
        <w:rPr>
          <w:rFonts w:ascii="Times New Roman" w:hAnsi="Times New Roman" w:eastAsiaTheme="minorEastAsia"/>
          <w:caps w:val="0"/>
          <w:smallCaps w:val="0"/>
          <w:snapToGrid w:val="0"/>
          <w:color w:val="auto"/>
          <w:spacing w:val="0"/>
          <w:w w:val="100"/>
          <w:position w:val="0"/>
          <w:highlight w:val="none"/>
        </w:rPr>
        <w:t>选址合理；项目符合现行产业政策；对产生的污染物采取行之有效的环保措施后，可以做到达标排放，满足总量控制要求，环境风险</w:t>
      </w:r>
      <w:r>
        <w:rPr>
          <w:rFonts w:hint="eastAsia" w:ascii="Times New Roman" w:hAnsi="Times New Roman" w:eastAsiaTheme="minorEastAsia"/>
          <w:caps w:val="0"/>
          <w:smallCaps w:val="0"/>
          <w:snapToGrid w:val="0"/>
          <w:color w:val="auto"/>
          <w:spacing w:val="0"/>
          <w:w w:val="100"/>
          <w:position w:val="0"/>
          <w:highlight w:val="none"/>
        </w:rPr>
        <w:t>受控</w:t>
      </w:r>
      <w:r>
        <w:rPr>
          <w:rFonts w:ascii="Times New Roman" w:hAnsi="Times New Roman" w:eastAsiaTheme="minorEastAsia"/>
          <w:caps w:val="0"/>
          <w:smallCaps w:val="0"/>
          <w:snapToGrid w:val="0"/>
          <w:color w:val="auto"/>
          <w:spacing w:val="0"/>
          <w:w w:val="100"/>
          <w:position w:val="0"/>
          <w:highlight w:val="none"/>
        </w:rPr>
        <w:t>，对区域环境影响较小；公众参与调查结果表明，公众参与对该项目无反对意见。在确保落实好各项环保措施并保证其正常运行的前提下，从环境保护角度分析，本项目的建设可行。</w:t>
      </w:r>
    </w:p>
    <w:bookmarkEnd w:id="75"/>
    <w:bookmarkEnd w:id="76"/>
    <w:bookmarkEnd w:id="77"/>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14:paraId="0FBD2226">
      <w:pPr>
        <w:pStyle w:val="3"/>
        <w:widowControl w:val="0"/>
        <w:spacing w:before="180" w:after="180" w:line="500" w:lineRule="exact"/>
        <w:rPr>
          <w:rFonts w:ascii="Times New Roman" w:hAnsi="Times New Roman" w:eastAsiaTheme="minorEastAsia"/>
          <w:b/>
          <w:caps w:val="0"/>
          <w:smallCaps w:val="0"/>
          <w:snapToGrid w:val="0"/>
          <w:color w:val="auto"/>
          <w:spacing w:val="0"/>
          <w:w w:val="100"/>
          <w:position w:val="0"/>
          <w:sz w:val="30"/>
          <w:szCs w:val="30"/>
          <w:highlight w:val="none"/>
        </w:rPr>
      </w:pPr>
      <w:bookmarkStart w:id="113" w:name="_Toc219900370"/>
      <w:bookmarkStart w:id="114" w:name="_Toc502736439"/>
      <w:r>
        <w:rPr>
          <w:rFonts w:ascii="Times New Roman" w:hAnsi="Times New Roman" w:eastAsiaTheme="minorEastAsia"/>
          <w:b/>
          <w:caps w:val="0"/>
          <w:smallCaps w:val="0"/>
          <w:snapToGrid w:val="0"/>
          <w:color w:val="auto"/>
          <w:spacing w:val="0"/>
          <w:w w:val="100"/>
          <w:position w:val="0"/>
          <w:sz w:val="30"/>
          <w:szCs w:val="30"/>
          <w:highlight w:val="none"/>
        </w:rPr>
        <w:t>2总则</w:t>
      </w:r>
      <w:bookmarkEnd w:id="113"/>
    </w:p>
    <w:p w14:paraId="2DDC2FDC">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115" w:name="_Toc219900371"/>
      <w:r>
        <w:rPr>
          <w:rFonts w:ascii="Times New Roman" w:hAnsi="Times New Roman" w:eastAsiaTheme="minorEastAsia"/>
          <w:b/>
          <w:caps w:val="0"/>
          <w:smallCaps w:val="0"/>
          <w:snapToGrid w:val="0"/>
          <w:color w:val="auto"/>
          <w:spacing w:val="0"/>
          <w:w w:val="100"/>
          <w:position w:val="0"/>
          <w:highlight w:val="none"/>
        </w:rPr>
        <w:t>2.1评价目的</w:t>
      </w:r>
      <w:bookmarkEnd w:id="115"/>
    </w:p>
    <w:p w14:paraId="5B9EA43F">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根据本工程特性及工程所在地的环境特点，确定建设项目环境影响评价目的：</w:t>
      </w:r>
    </w:p>
    <w:p w14:paraId="2F8FEDCB">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对建设项目的工程内容和工艺流程进行分析，明确污染源和可能产生的污染因素，明确污染物的排放源强。对现有项目进行简要分析，明确现有项目存在的环境问题，提出有针对性的整改方案，并对本项目的依托工程进行依托可行性分析。</w:t>
      </w:r>
    </w:p>
    <w:p w14:paraId="474633F2">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（2）对建设项目所在地的自然环境和环境质量进行现状调查，查清项目拟建厂址所在地区的环境质量现状，得到当地的环境质量现状的结论及存在的主要环境制约因素。</w:t>
      </w:r>
    </w:p>
    <w:p w14:paraId="1A52FA1E">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（3）分析、预测、评价项目对评价区域内大气环境、地表水环境、地下水环境、声环境、土壤环境、生态环境和环境风险可能造成的影响程度和范围。</w:t>
      </w:r>
    </w:p>
    <w:p w14:paraId="407E9174">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（4）对项目拟采取的环保措施进行论证，提出污染防治措施及生态保护对策与建议。</w:t>
      </w:r>
    </w:p>
    <w:p w14:paraId="5BF297F2">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（5）从环境保护和环境风险角度论证本项目建设的可行性，并从设计、生产、管理和环境污染防治等方面提出环境保护和减缓措施，最大限度降低项目建设对环境的不利影响，确保经济和环境的可持续发展。</w:t>
      </w:r>
    </w:p>
    <w:p w14:paraId="10235F50">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116" w:name="_Toc219900372"/>
      <w:r>
        <w:rPr>
          <w:rFonts w:ascii="Times New Roman" w:hAnsi="Times New Roman" w:eastAsiaTheme="minorEastAsia"/>
          <w:b/>
          <w:caps w:val="0"/>
          <w:smallCaps w:val="0"/>
          <w:snapToGrid w:val="0"/>
          <w:color w:val="auto"/>
          <w:spacing w:val="0"/>
          <w:w w:val="100"/>
          <w:position w:val="0"/>
          <w:highlight w:val="none"/>
        </w:rPr>
        <w:t>2.2评价原则</w:t>
      </w:r>
      <w:bookmarkEnd w:id="116"/>
    </w:p>
    <w:p w14:paraId="43F61C8E">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 xml:space="preserve">突出环境影响评价的源头预防作用，坚持保护和改善环境质量。 </w:t>
      </w:r>
    </w:p>
    <w:p w14:paraId="07A4BCFF">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（1）依法评价</w:t>
      </w:r>
    </w:p>
    <w:p w14:paraId="239CA0A7">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贯彻执行我国环境保护相关法律法规、标准、政策和规划等，优化项目建设，服务环境管理。</w:t>
      </w:r>
    </w:p>
    <w:p w14:paraId="709A3292">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（2）科学评价</w:t>
      </w:r>
    </w:p>
    <w:p w14:paraId="0CA3632C">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规范环境影响评价方法，科学分析项目建设对环境质量的影响。</w:t>
      </w:r>
    </w:p>
    <w:p w14:paraId="0E7A7E60">
      <w:pPr>
        <w:pStyle w:val="149"/>
        <w:widowControl w:val="0"/>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（3）突出重点</w:t>
      </w:r>
    </w:p>
    <w:p w14:paraId="3DDDC33D">
      <w:pPr>
        <w:pStyle w:val="149"/>
        <w:widowControl w:val="0"/>
        <w:ind w:firstLine="448"/>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根据建设项目的工程内容及其特点，明确与环境要素间的作用效应关系，充分利用符合时效的数据资料及成果，对建设项目主要环境影响予以重点分析和评价。</w:t>
      </w:r>
    </w:p>
    <w:p w14:paraId="782EA02D">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117" w:name="_Toc219900373"/>
      <w:r>
        <w:rPr>
          <w:rFonts w:ascii="Times New Roman" w:hAnsi="Times New Roman" w:eastAsiaTheme="minorEastAsia"/>
          <w:b/>
          <w:caps w:val="0"/>
          <w:smallCaps w:val="0"/>
          <w:snapToGrid w:val="0"/>
          <w:color w:val="auto"/>
          <w:spacing w:val="0"/>
          <w:w w:val="100"/>
          <w:position w:val="0"/>
          <w:highlight w:val="none"/>
        </w:rPr>
        <w:t>2.3编制依据</w:t>
      </w:r>
      <w:bookmarkEnd w:id="117"/>
    </w:p>
    <w:p w14:paraId="04450FD3">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118" w:name="_Toc57203215"/>
      <w:bookmarkStart w:id="119" w:name="_Toc57976640"/>
      <w:bookmarkStart w:id="120" w:name="_Toc17898130"/>
      <w:bookmarkStart w:id="121" w:name="_Toc9305"/>
      <w:bookmarkStart w:id="122" w:name="_Toc57707885"/>
      <w:bookmarkStart w:id="123" w:name="_Toc76976206"/>
      <w:bookmarkStart w:id="124" w:name="_Toc78816423"/>
      <w:bookmarkStart w:id="125" w:name="_Toc80588218"/>
      <w:bookmarkStart w:id="126" w:name="_Toc80971340"/>
      <w:bookmarkStart w:id="127" w:name="_Toc70050138"/>
      <w:bookmarkStart w:id="128" w:name="_Toc84929191"/>
      <w:bookmarkStart w:id="129" w:name="_Toc77067622"/>
      <w:bookmarkStart w:id="130" w:name="_Toc83209435"/>
      <w:bookmarkStart w:id="131" w:name="_Toc67860091"/>
      <w:bookmarkStart w:id="132" w:name="_Toc61597184"/>
      <w:bookmarkStart w:id="133" w:name="_Toc110438443"/>
      <w:bookmarkStart w:id="134" w:name="_Toc85640716"/>
      <w:bookmarkStart w:id="135" w:name="_Toc86141899"/>
      <w:r>
        <w:rPr>
          <w:rFonts w:eastAsiaTheme="minorEastAsia"/>
          <w:b/>
          <w:caps w:val="0"/>
          <w:smallCaps w:val="0"/>
          <w:color w:val="auto"/>
          <w:spacing w:val="0"/>
          <w:w w:val="100"/>
          <w:kern w:val="2"/>
          <w:position w:val="0"/>
          <w:sz w:val="24"/>
          <w:szCs w:val="24"/>
          <w:highlight w:val="none"/>
        </w:rPr>
        <w:t>2.3.1</w:t>
      </w:r>
      <w:bookmarkEnd w:id="118"/>
      <w:bookmarkEnd w:id="119"/>
      <w:bookmarkEnd w:id="120"/>
      <w:bookmarkEnd w:id="121"/>
      <w:bookmarkEnd w:id="122"/>
      <w:r>
        <w:rPr>
          <w:rFonts w:eastAsiaTheme="minorEastAsia"/>
          <w:b/>
          <w:caps w:val="0"/>
          <w:smallCaps w:val="0"/>
          <w:color w:val="auto"/>
          <w:spacing w:val="0"/>
          <w:w w:val="100"/>
          <w:kern w:val="2"/>
          <w:position w:val="0"/>
          <w:sz w:val="24"/>
          <w:szCs w:val="24"/>
          <w:highlight w:val="none"/>
        </w:rPr>
        <w:t>环境保护相关法律</w:t>
      </w:r>
      <w:bookmarkEnd w:id="123"/>
      <w:bookmarkEnd w:id="124"/>
      <w:bookmarkEnd w:id="125"/>
      <w:bookmarkEnd w:id="126"/>
      <w:bookmarkEnd w:id="127"/>
      <w:bookmarkEnd w:id="128"/>
      <w:bookmarkEnd w:id="129"/>
      <w:bookmarkEnd w:id="130"/>
      <w:bookmarkEnd w:id="131"/>
      <w:bookmarkEnd w:id="132"/>
      <w:r>
        <w:rPr>
          <w:rFonts w:eastAsiaTheme="minorEastAsia"/>
          <w:b/>
          <w:caps w:val="0"/>
          <w:smallCaps w:val="0"/>
          <w:color w:val="auto"/>
          <w:spacing w:val="0"/>
          <w:w w:val="100"/>
          <w:kern w:val="2"/>
          <w:position w:val="0"/>
          <w:sz w:val="24"/>
          <w:szCs w:val="24"/>
          <w:highlight w:val="none"/>
        </w:rPr>
        <w:t>、法规</w:t>
      </w:r>
      <w:bookmarkEnd w:id="133"/>
      <w:bookmarkEnd w:id="134"/>
      <w:bookmarkEnd w:id="135"/>
    </w:p>
    <w:p w14:paraId="6C3CBC5F">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（1）《中华人民共和国环境保护法》，</w:t>
      </w:r>
      <w:r>
        <w:rPr>
          <w:rFonts w:ascii="Times New Roman" w:hAnsi="Times New Roman" w:eastAsiaTheme="minorEastAsia"/>
          <w:caps w:val="0"/>
          <w:smallCaps w:val="0"/>
          <w:color w:val="auto"/>
          <w:spacing w:val="0"/>
          <w:w w:val="100"/>
          <w:position w:val="0"/>
          <w:highlight w:val="none"/>
        </w:rPr>
        <w:t>2015年1月1日</w:t>
      </w:r>
      <w:r>
        <w:rPr>
          <w:rFonts w:ascii="Times New Roman" w:hAnsi="Times New Roman" w:eastAsiaTheme="minorEastAsia"/>
          <w:caps w:val="0"/>
          <w:smallCaps w:val="0"/>
          <w:snapToGrid w:val="0"/>
          <w:color w:val="auto"/>
          <w:spacing w:val="0"/>
          <w:w w:val="100"/>
          <w:position w:val="0"/>
          <w:highlight w:val="none"/>
        </w:rPr>
        <w:t>；</w:t>
      </w:r>
    </w:p>
    <w:p w14:paraId="4B8E0360">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（2）《中华人民共和国环境影响评价法》（修订），</w:t>
      </w:r>
      <w:r>
        <w:rPr>
          <w:rFonts w:ascii="Times New Roman" w:hAnsi="Times New Roman" w:eastAsiaTheme="minorEastAsia"/>
          <w:caps w:val="0"/>
          <w:smallCaps w:val="0"/>
          <w:color w:val="auto"/>
          <w:spacing w:val="0"/>
          <w:w w:val="100"/>
          <w:position w:val="0"/>
          <w:highlight w:val="none"/>
        </w:rPr>
        <w:t>2018年12月29日</w:t>
      </w:r>
      <w:r>
        <w:rPr>
          <w:rFonts w:ascii="Times New Roman" w:hAnsi="Times New Roman" w:eastAsiaTheme="minorEastAsia"/>
          <w:caps w:val="0"/>
          <w:smallCaps w:val="0"/>
          <w:snapToGrid w:val="0"/>
          <w:color w:val="auto"/>
          <w:spacing w:val="0"/>
          <w:w w:val="100"/>
          <w:position w:val="0"/>
          <w:highlight w:val="none"/>
        </w:rPr>
        <w:t>；</w:t>
      </w:r>
    </w:p>
    <w:p w14:paraId="64056729">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（3）《中华人民共和国大气污染防治法》，</w:t>
      </w:r>
      <w:r>
        <w:rPr>
          <w:rFonts w:ascii="Times New Roman" w:hAnsi="Times New Roman" w:eastAsiaTheme="minorEastAsia"/>
          <w:caps w:val="0"/>
          <w:smallCaps w:val="0"/>
          <w:color w:val="auto"/>
          <w:spacing w:val="0"/>
          <w:w w:val="100"/>
          <w:position w:val="0"/>
          <w:highlight w:val="none"/>
        </w:rPr>
        <w:t>2018年10月26日</w:t>
      </w:r>
      <w:r>
        <w:rPr>
          <w:rFonts w:ascii="Times New Roman" w:hAnsi="Times New Roman" w:eastAsiaTheme="minorEastAsia"/>
          <w:caps w:val="0"/>
          <w:smallCaps w:val="0"/>
          <w:snapToGrid w:val="0"/>
          <w:color w:val="auto"/>
          <w:spacing w:val="0"/>
          <w:w w:val="100"/>
          <w:position w:val="0"/>
          <w:highlight w:val="none"/>
        </w:rPr>
        <w:t>；</w:t>
      </w:r>
    </w:p>
    <w:p w14:paraId="59B03AAB">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（4）《中华人民共和国水污染防治法》，2018年1月1日；</w:t>
      </w:r>
    </w:p>
    <w:p w14:paraId="598A6AF4">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（5）《中华人民共和国噪声污染防治法》，</w:t>
      </w:r>
      <w:r>
        <w:rPr>
          <w:rFonts w:ascii="Times New Roman" w:hAnsi="Times New Roman" w:eastAsiaTheme="minorEastAsia"/>
          <w:caps w:val="0"/>
          <w:smallCaps w:val="0"/>
          <w:color w:val="auto"/>
          <w:spacing w:val="0"/>
          <w:w w:val="100"/>
          <w:position w:val="0"/>
          <w:highlight w:val="none"/>
        </w:rPr>
        <w:t>2022年6月5日</w:t>
      </w:r>
      <w:r>
        <w:rPr>
          <w:rFonts w:ascii="Times New Roman" w:hAnsi="Times New Roman" w:eastAsiaTheme="minorEastAsia"/>
          <w:caps w:val="0"/>
          <w:smallCaps w:val="0"/>
          <w:snapToGrid w:val="0"/>
          <w:color w:val="auto"/>
          <w:spacing w:val="0"/>
          <w:w w:val="100"/>
          <w:position w:val="0"/>
          <w:highlight w:val="none"/>
        </w:rPr>
        <w:t>；</w:t>
      </w:r>
    </w:p>
    <w:p w14:paraId="18A4ACA1">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（6）《中华人民共和国土壤污染防治法》，</w:t>
      </w:r>
      <w:r>
        <w:rPr>
          <w:rFonts w:ascii="Times New Roman" w:hAnsi="Times New Roman" w:eastAsiaTheme="minorEastAsia"/>
          <w:caps w:val="0"/>
          <w:smallCaps w:val="0"/>
          <w:color w:val="auto"/>
          <w:spacing w:val="0"/>
          <w:w w:val="100"/>
          <w:position w:val="0"/>
          <w:highlight w:val="none"/>
        </w:rPr>
        <w:t>2019年1月1日</w:t>
      </w:r>
      <w:r>
        <w:rPr>
          <w:rFonts w:ascii="Times New Roman" w:hAnsi="Times New Roman" w:eastAsiaTheme="minorEastAsia"/>
          <w:caps w:val="0"/>
          <w:smallCaps w:val="0"/>
          <w:snapToGrid w:val="0"/>
          <w:color w:val="auto"/>
          <w:spacing w:val="0"/>
          <w:w w:val="100"/>
          <w:position w:val="0"/>
          <w:highlight w:val="none"/>
        </w:rPr>
        <w:t>；</w:t>
      </w:r>
    </w:p>
    <w:p w14:paraId="5D3C070C">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（7）《中华人民共和国固体废物污染环境防治法》，2020年4月29日修订，2020年9月1日起施行；</w:t>
      </w:r>
    </w:p>
    <w:p w14:paraId="4A284B76">
      <w:pPr>
        <w:pStyle w:val="181"/>
        <w:tabs>
          <w:tab w:val="left" w:pos="1560"/>
        </w:tabs>
        <w:spacing w:line="440" w:lineRule="exact"/>
        <w:ind w:left="0"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w:t>
      </w:r>
      <w:r>
        <w:rPr>
          <w:rFonts w:ascii="Times New Roman" w:hAnsi="Times New Roman" w:cs="Times New Roman" w:eastAsiaTheme="minorEastAsia"/>
          <w:caps w:val="0"/>
          <w:smallCaps w:val="0"/>
          <w:color w:val="auto"/>
          <w:spacing w:val="0"/>
          <w:w w:val="100"/>
          <w:position w:val="0"/>
          <w:highlight w:val="none"/>
          <w:lang w:val="en-US"/>
        </w:rPr>
        <w:t>8</w:t>
      </w:r>
      <w:r>
        <w:rPr>
          <w:rFonts w:ascii="Times New Roman" w:hAnsi="Times New Roman" w:cs="Times New Roman" w:eastAsiaTheme="minorEastAsia"/>
          <w:caps w:val="0"/>
          <w:smallCaps w:val="0"/>
          <w:color w:val="auto"/>
          <w:spacing w:val="0"/>
          <w:w w:val="100"/>
          <w:position w:val="0"/>
          <w:highlight w:val="none"/>
        </w:rPr>
        <w:t>）《</w:t>
      </w:r>
      <w:bookmarkStart w:id="136" w:name="OLE_LINK85"/>
      <w:bookmarkStart w:id="137" w:name="OLE_LINK86"/>
      <w:r>
        <w:rPr>
          <w:rFonts w:ascii="Times New Roman" w:hAnsi="Times New Roman" w:cs="Times New Roman" w:eastAsiaTheme="minorEastAsia"/>
          <w:caps w:val="0"/>
          <w:smallCaps w:val="0"/>
          <w:color w:val="auto"/>
          <w:spacing w:val="0"/>
          <w:w w:val="100"/>
          <w:position w:val="0"/>
          <w:highlight w:val="none"/>
        </w:rPr>
        <w:t>中华人民共和国黑土地保护法</w:t>
      </w:r>
      <w:bookmarkEnd w:id="136"/>
      <w:bookmarkEnd w:id="137"/>
      <w:r>
        <w:rPr>
          <w:rFonts w:ascii="Times New Roman" w:hAnsi="Times New Roman" w:cs="Times New Roman" w:eastAsiaTheme="minorEastAsia"/>
          <w:caps w:val="0"/>
          <w:smallCaps w:val="0"/>
          <w:color w:val="auto"/>
          <w:spacing w:val="0"/>
          <w:w w:val="100"/>
          <w:position w:val="0"/>
          <w:highlight w:val="none"/>
        </w:rPr>
        <w:t>》（</w:t>
      </w:r>
      <w:r>
        <w:rPr>
          <w:rFonts w:ascii="Times New Roman" w:hAnsi="Times New Roman" w:cs="Times New Roman" w:eastAsiaTheme="minorEastAsia"/>
          <w:caps w:val="0"/>
          <w:smallCaps w:val="0"/>
          <w:color w:val="auto"/>
          <w:spacing w:val="0"/>
          <w:w w:val="100"/>
          <w:position w:val="0"/>
          <w:highlight w:val="none"/>
          <w:lang w:val="en-US"/>
        </w:rPr>
        <w:t>2022</w:t>
      </w:r>
      <w:r>
        <w:rPr>
          <w:rFonts w:ascii="Times New Roman" w:hAnsi="Times New Roman" w:cs="Times New Roman" w:eastAsiaTheme="minorEastAsia"/>
          <w:caps w:val="0"/>
          <w:smallCaps w:val="0"/>
          <w:color w:val="auto"/>
          <w:spacing w:val="0"/>
          <w:w w:val="100"/>
          <w:position w:val="0"/>
          <w:highlight w:val="none"/>
        </w:rPr>
        <w:t>年</w:t>
      </w:r>
      <w:r>
        <w:rPr>
          <w:rFonts w:ascii="Times New Roman" w:hAnsi="Times New Roman" w:cs="Times New Roman" w:eastAsiaTheme="minorEastAsia"/>
          <w:caps w:val="0"/>
          <w:smallCaps w:val="0"/>
          <w:color w:val="auto"/>
          <w:spacing w:val="0"/>
          <w:w w:val="100"/>
          <w:position w:val="0"/>
          <w:highlight w:val="none"/>
          <w:lang w:val="en-US"/>
        </w:rPr>
        <w:t>8</w:t>
      </w:r>
      <w:r>
        <w:rPr>
          <w:rFonts w:ascii="Times New Roman" w:hAnsi="Times New Roman" w:cs="Times New Roman" w:eastAsiaTheme="minorEastAsia"/>
          <w:caps w:val="0"/>
          <w:smallCaps w:val="0"/>
          <w:color w:val="auto"/>
          <w:spacing w:val="0"/>
          <w:w w:val="100"/>
          <w:position w:val="0"/>
          <w:highlight w:val="none"/>
        </w:rPr>
        <w:t>月</w:t>
      </w:r>
      <w:r>
        <w:rPr>
          <w:rFonts w:ascii="Times New Roman" w:hAnsi="Times New Roman" w:cs="Times New Roman" w:eastAsiaTheme="minorEastAsia"/>
          <w:caps w:val="0"/>
          <w:smallCaps w:val="0"/>
          <w:color w:val="auto"/>
          <w:spacing w:val="0"/>
          <w:w w:val="100"/>
          <w:position w:val="0"/>
          <w:highlight w:val="none"/>
          <w:lang w:val="en-US"/>
        </w:rPr>
        <w:t>1</w:t>
      </w:r>
      <w:r>
        <w:rPr>
          <w:rFonts w:ascii="Times New Roman" w:hAnsi="Times New Roman" w:cs="Times New Roman" w:eastAsiaTheme="minorEastAsia"/>
          <w:caps w:val="0"/>
          <w:smallCaps w:val="0"/>
          <w:color w:val="auto"/>
          <w:spacing w:val="0"/>
          <w:w w:val="100"/>
          <w:position w:val="0"/>
          <w:highlight w:val="none"/>
        </w:rPr>
        <w:t>日起施行）；</w:t>
      </w:r>
    </w:p>
    <w:p w14:paraId="2BB8FC8E">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（9）《中华人民共和国水土保持法》（中华人民共和国主席令第 39 号，2011年3月1日）。</w:t>
      </w:r>
    </w:p>
    <w:p w14:paraId="1A293EDD">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（10）《中华人民共和国清洁生产促进法》（中华人民共和国主席令第54号，2012年7月1日起施行）；</w:t>
      </w:r>
    </w:p>
    <w:p w14:paraId="1591E99D">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（11）《中华人民共和国野生动物保护法》（2022年12月30日第十三届全国人民代表大会常务委员会第三十八次会议第二次修订，</w:t>
      </w:r>
      <w:r>
        <w:rPr>
          <w:rFonts w:hint="eastAsia" w:ascii="Times New Roman" w:hAnsi="Times New Roman" w:eastAsiaTheme="minorEastAsia"/>
          <w:caps w:val="0"/>
          <w:smallCaps w:val="0"/>
          <w:snapToGrid w:val="0"/>
          <w:color w:val="auto"/>
          <w:spacing w:val="0"/>
          <w:w w:val="100"/>
          <w:position w:val="0"/>
          <w:highlight w:val="none"/>
        </w:rPr>
        <w:t>2023年5月1日起施行</w:t>
      </w:r>
      <w:r>
        <w:rPr>
          <w:rFonts w:ascii="Times New Roman" w:hAnsi="Times New Roman" w:eastAsiaTheme="minorEastAsia"/>
          <w:caps w:val="0"/>
          <w:smallCaps w:val="0"/>
          <w:snapToGrid w:val="0"/>
          <w:color w:val="auto"/>
          <w:spacing w:val="0"/>
          <w:w w:val="100"/>
          <w:position w:val="0"/>
          <w:highlight w:val="none"/>
        </w:rPr>
        <w:t>）；</w:t>
      </w:r>
    </w:p>
    <w:p w14:paraId="0699E923">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（12）《中华人民共和国草原法》（中华人民共和国主席令〔2021〕81号，2021年4月29日修正施行）；</w:t>
      </w:r>
    </w:p>
    <w:p w14:paraId="688FBB1F">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（13）《中华人民共和国防沙治沙法》（主席令2018年第16号（3），2018年10月26日修正施行）；</w:t>
      </w:r>
    </w:p>
    <w:p w14:paraId="7D03A441">
      <w:pPr>
        <w:tabs>
          <w:tab w:val="left" w:pos="4154"/>
          <w:tab w:val="center" w:pos="8305"/>
        </w:tabs>
        <w:spacing w:line="440" w:lineRule="exact"/>
        <w:ind w:firstLine="480" w:firstLineChars="200"/>
        <w:jc w:val="both"/>
        <w:rPr>
          <w:rFonts w:ascii="Times New Roman" w:hAnsi="Times New Roman" w:cs="Times New Roman" w:eastAsiaTheme="minorEastAsia"/>
          <w:caps w:val="0"/>
          <w:smallCaps w:val="0"/>
          <w:snapToGrid w:val="0"/>
          <w:color w:val="auto"/>
          <w:spacing w:val="0"/>
          <w:w w:val="100"/>
          <w:position w:val="0"/>
          <w:highlight w:val="none"/>
        </w:rPr>
      </w:pPr>
      <w:r>
        <w:rPr>
          <w:rFonts w:ascii="Times New Roman" w:hAnsi="Times New Roman" w:cs="Times New Roman" w:eastAsiaTheme="minorEastAsia"/>
          <w:iCs/>
          <w:caps w:val="0"/>
          <w:smallCaps w:val="0"/>
          <w:color w:val="auto"/>
          <w:spacing w:val="0"/>
          <w:w w:val="100"/>
          <w:position w:val="0"/>
          <w:highlight w:val="none"/>
        </w:rPr>
        <w:t>（14）《中华人民共和国石油天然气管道保护法》（2010年10月1日起施行）</w:t>
      </w:r>
      <w:r>
        <w:rPr>
          <w:rFonts w:ascii="Times New Roman" w:hAnsi="Times New Roman" w:cs="Times New Roman" w:eastAsiaTheme="minorEastAsia"/>
          <w:caps w:val="0"/>
          <w:smallCaps w:val="0"/>
          <w:snapToGrid w:val="0"/>
          <w:color w:val="auto"/>
          <w:spacing w:val="0"/>
          <w:w w:val="100"/>
          <w:position w:val="0"/>
          <w:highlight w:val="none"/>
        </w:rPr>
        <w:t>。</w:t>
      </w:r>
    </w:p>
    <w:p w14:paraId="6FA697A1">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（15）《建设项目环境保护管理条例》（中华人民共和国国务院令第 682号，2017.10.01）；</w:t>
      </w:r>
    </w:p>
    <w:p w14:paraId="19A071B0">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（16）《排污许可管理条例》（国令第736号，2021年3月1日起施行）；</w:t>
      </w:r>
    </w:p>
    <w:p w14:paraId="548596B8">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（17）《排污许可管理办法》（中华人民共和国生态环境部令第 32 号，2024年7月1日实施）；</w:t>
      </w:r>
    </w:p>
    <w:p w14:paraId="4E546805">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（18）《自然资源部关于依据“三区三线”划定成果报批建设项目用地用海有关事宜的函》（自然资办函〔2022〕2072号，2022年9月30日）；</w:t>
      </w:r>
    </w:p>
    <w:p w14:paraId="628442A6">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（19）《自然资源部 生态环境部 国家林业和草原局关于加强生态保护红线管理的通知（试行）》（自然资发〔2022〕142号）；</w:t>
      </w:r>
    </w:p>
    <w:p w14:paraId="40EA68A3">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（20）《中华人民共和国土地管理法》（2019修订），2019年8月26日修订，2020年1月1日起施行；</w:t>
      </w:r>
    </w:p>
    <w:p w14:paraId="22A84093">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（21）《地下水管理条例》（2021年10月29日公布，自2021年12月1日起施行）；</w:t>
      </w:r>
    </w:p>
    <w:p w14:paraId="64448DD9">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（22）《土地复垦条例》（中华人民共和国国务院令第592号，2011.03.05）；</w:t>
      </w:r>
    </w:p>
    <w:p w14:paraId="32A96EC2">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（23）《黑龙江省环境保护条例》（2018.04.26修正）；</w:t>
      </w:r>
    </w:p>
    <w:p w14:paraId="3B7FF11E">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（24）《黑龙江省大气污染防治条例》（2018.12.27）；</w:t>
      </w:r>
    </w:p>
    <w:p w14:paraId="79992BEC">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（25）《黑龙江省水污染防治条例》（2023年12月1日实施）；</w:t>
      </w:r>
    </w:p>
    <w:p w14:paraId="440004B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（26）《黑龙江省防沙治沙条例》（2018年6月18日修正）；</w:t>
      </w:r>
    </w:p>
    <w:p w14:paraId="1559BF25">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（27）《黑龙江省土壤污染防治实施方案》（黑政发〔2016〕46号，2016年12月30日）；</w:t>
      </w:r>
    </w:p>
    <w:p w14:paraId="1E1716EB">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（28）《黑龙江省黑土地保护利用条例》（2023年12月24日修订通过，2024年3月1日起施行）；</w:t>
      </w:r>
    </w:p>
    <w:p w14:paraId="20B82CA0">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（29）</w:t>
      </w:r>
      <w:r>
        <w:rPr>
          <w:rFonts w:ascii="Times New Roman" w:hAnsi="Times New Roman"/>
          <w:iCs/>
          <w:caps w:val="0"/>
          <w:smallCaps w:val="0"/>
          <w:color w:val="auto"/>
          <w:spacing w:val="0"/>
          <w:w w:val="100"/>
          <w:kern w:val="2"/>
          <w:position w:val="0"/>
          <w:highlight w:val="none"/>
        </w:rPr>
        <w:t>《黑龙江省草原条例》（2018年6月28日修订施行）；</w:t>
      </w:r>
    </w:p>
    <w:p w14:paraId="7138B4BF">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138" w:name="_Toc85640717"/>
      <w:bookmarkStart w:id="139" w:name="_Toc84929193"/>
      <w:bookmarkStart w:id="140" w:name="_Toc86141900"/>
      <w:bookmarkStart w:id="141" w:name="_Toc67860093"/>
      <w:bookmarkStart w:id="142" w:name="_Toc61597186"/>
      <w:bookmarkStart w:id="143" w:name="_Toc83209437"/>
      <w:bookmarkStart w:id="144" w:name="_Toc77067624"/>
      <w:bookmarkStart w:id="145" w:name="_Toc80971342"/>
      <w:bookmarkStart w:id="146" w:name="_Toc70050140"/>
      <w:bookmarkStart w:id="147" w:name="_Toc76976208"/>
      <w:bookmarkStart w:id="148" w:name="_Toc80588220"/>
      <w:bookmarkStart w:id="149" w:name="_Toc110438444"/>
      <w:bookmarkStart w:id="150" w:name="_Toc78816425"/>
      <w:r>
        <w:rPr>
          <w:rFonts w:eastAsiaTheme="minorEastAsia"/>
          <w:b/>
          <w:caps w:val="0"/>
          <w:smallCaps w:val="0"/>
          <w:color w:val="auto"/>
          <w:spacing w:val="0"/>
          <w:w w:val="100"/>
          <w:kern w:val="2"/>
          <w:position w:val="0"/>
          <w:sz w:val="24"/>
          <w:szCs w:val="24"/>
          <w:highlight w:val="none"/>
        </w:rPr>
        <w:t>2.3.2环境保护相关部门规章及规范性文件</w:t>
      </w:r>
      <w:bookmarkEnd w:id="138"/>
      <w:bookmarkEnd w:id="139"/>
      <w:bookmarkEnd w:id="140"/>
      <w:bookmarkEnd w:id="141"/>
      <w:bookmarkEnd w:id="142"/>
      <w:bookmarkEnd w:id="143"/>
      <w:bookmarkEnd w:id="144"/>
      <w:bookmarkEnd w:id="145"/>
      <w:bookmarkEnd w:id="146"/>
      <w:bookmarkEnd w:id="147"/>
      <w:bookmarkEnd w:id="148"/>
      <w:bookmarkEnd w:id="149"/>
      <w:bookmarkEnd w:id="150"/>
    </w:p>
    <w:p w14:paraId="1C9E25DA">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（1）《建设项目环境影响评价分类管理名录（2021年版）》（部令第16号），2021年1月1日起施行</w:t>
      </w:r>
      <w:r>
        <w:rPr>
          <w:rFonts w:ascii="Times New Roman" w:hAnsi="Times New Roman"/>
          <w:iCs/>
          <w:caps w:val="0"/>
          <w:smallCaps w:val="0"/>
          <w:color w:val="auto"/>
          <w:spacing w:val="0"/>
          <w:w w:val="100"/>
          <w:kern w:val="2"/>
          <w:position w:val="0"/>
          <w:highlight w:val="none"/>
        </w:rPr>
        <w:t>；</w:t>
      </w:r>
    </w:p>
    <w:p w14:paraId="69FF9330">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（2）《产业结构调整指导目录（2024 年本）》（中华人民共和国国家发展和改革委员会令第7号）；</w:t>
      </w:r>
    </w:p>
    <w:p w14:paraId="49195721">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（3）《国家危险废物名录（2025年版）》（2024年11月26日生态环境部、国家发展和改革委员会、公安部、交通运输部、国家卫生健康委员会令第36号公布，自2025年1月1日起施行）；</w:t>
      </w:r>
    </w:p>
    <w:p w14:paraId="1D07A4A3">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（4）《危险废物排除管理清单（2021年版）》（生态环境部公告2021年第66号）；</w:t>
      </w:r>
    </w:p>
    <w:p w14:paraId="1FD5B8D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（5）</w:t>
      </w:r>
      <w:r>
        <w:rPr>
          <w:rFonts w:ascii="Times New Roman" w:hAnsi="Times New Roman" w:eastAsiaTheme="minorEastAsia"/>
          <w:bCs/>
          <w:caps w:val="0"/>
          <w:smallCaps w:val="0"/>
          <w:snapToGrid w:val="0"/>
          <w:color w:val="auto"/>
          <w:spacing w:val="0"/>
          <w:w w:val="100"/>
          <w:position w:val="0"/>
          <w:highlight w:val="none"/>
        </w:rPr>
        <w:t>《危险废物转移管理办法》（2022年1月1日起施行）；</w:t>
      </w:r>
    </w:p>
    <w:p w14:paraId="0A4E6D5B">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（6）《关于以改善环境质量为核心加强环境影响评价管理的通知》（环环评〔2016〕150 号）；</w:t>
      </w:r>
    </w:p>
    <w:p w14:paraId="30F0F9A0">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（7）《关于进一步加强环境影响评价管理防范环境风险的通知》（环发[2012]77 号，2012.07.03）；</w:t>
      </w:r>
    </w:p>
    <w:p w14:paraId="412B8951">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（8）《关于切实加强风险防范严格环境影响评价管理的通知》（环发[2012]98 号，2012.08.07）；</w:t>
      </w:r>
    </w:p>
    <w:p w14:paraId="55DFBF7B">
      <w:pPr>
        <w:pStyle w:val="149"/>
        <w:widowControl w:val="0"/>
        <w:spacing w:line="440" w:lineRule="exact"/>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（9）《空气质量持续改善行动计划》（国发〔2023〕24号）；</w:t>
      </w:r>
    </w:p>
    <w:p w14:paraId="3BEE5EB3">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（10） 《环境影响评价公众参与办法》 （生态环境部令第4号，2019.01.01）；</w:t>
      </w:r>
    </w:p>
    <w:p w14:paraId="50EBEC87">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（11）《关于进一步加强石油天然气行业环境影响评价管理的通知》（环办环评函〔2019〕910号）；</w:t>
      </w:r>
    </w:p>
    <w:p w14:paraId="5F96EF4E">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（12） 《石油天然气开采业污染防治技术政策》（环保部公告2012年第18号）；</w:t>
      </w:r>
    </w:p>
    <w:p w14:paraId="42463CCC">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（13）《自然资源部关于规范临时用地管理的通知》（自然资规〔2021〕2号）；</w:t>
      </w:r>
    </w:p>
    <w:p w14:paraId="056C2ED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（14）《关于印发“十四五”土壤、地下水和农村生态环境保护规划的通知》（环土壤〔2021〕120 号）；</w:t>
      </w:r>
    </w:p>
    <w:p w14:paraId="34236A91">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（15）《黑龙江省重点行业挥发性有机物综合治理行动方案》（黑环发〔2019〕153号）；</w:t>
      </w:r>
    </w:p>
    <w:p w14:paraId="46A1C9E7">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（16）《黑龙江省主体功能区规划》；</w:t>
      </w:r>
    </w:p>
    <w:p w14:paraId="58F53CD5">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（17）《黑龙江省生态功能区规划》；</w:t>
      </w:r>
    </w:p>
    <w:p w14:paraId="4E6C94A0">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（18）《黑龙江省“十四五”黑土地保护规划》；</w:t>
      </w:r>
    </w:p>
    <w:p w14:paraId="5FD60BA9">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（19）《黑龙江省“十四五”生态环境保护规划》（黑政规〔2021〕18号）；</w:t>
      </w:r>
    </w:p>
    <w:p w14:paraId="39118E09">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（20）《黑龙江省国民经济和社会发展第十四个五年规划和二〇三五年远景目标纲要》（黑政发〔2021〕5号）；</w:t>
      </w:r>
    </w:p>
    <w:p w14:paraId="32EE4A05">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（21）《黑龙江省黑土地保护工程实施方案（2021-2025 年）》（黑政办规〔2021〕40号）；</w:t>
      </w:r>
    </w:p>
    <w:p w14:paraId="050EBA9D">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（22）《黑龙江省人民政府办公厅关于建设占用耕地耕作层土壤剥离利用工作的指导意见（试行）》（黑政办规〔2021〕18号）；</w:t>
      </w:r>
    </w:p>
    <w:p w14:paraId="2733EB3A">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（23）《黑龙江省空气质量持续改善行动计划实施方案》（黑政发〔2023〕19 号）（2023年12月30日）；</w:t>
      </w:r>
    </w:p>
    <w:p w14:paraId="1CADD7DA">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（24）《关于更新黑龙江省湿地名录数据的公告》（黑龙江省林业和草原局，2022年8月18日）；</w:t>
      </w:r>
    </w:p>
    <w:p w14:paraId="137E97ED">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（25）《黑龙江省生态环境分区管控动态更新成果（2023年版）》；</w:t>
      </w:r>
    </w:p>
    <w:p w14:paraId="1A5E5D59">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（26）《关于支持大庆油田有限责任公司油气项目临时用地办理事项的通知》（黑国土资函〔2016〕22号）；</w:t>
      </w:r>
    </w:p>
    <w:p w14:paraId="1A672698">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（27）《大庆市人民政府关于印发大庆市声环境功能区划分、大庆市环境空气质量功能区划分、大庆市地表水环境功能区划分的通知》（庆政发〔2019〕11号）；</w:t>
      </w:r>
    </w:p>
    <w:p w14:paraId="7C1CC6DE">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（28）《大庆市生态环境准入清单（2023年版）》；</w:t>
      </w:r>
    </w:p>
    <w:p w14:paraId="4DFFB110">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（29）《大庆市水土保持规划》（2015～2030年）；</w:t>
      </w:r>
    </w:p>
    <w:p w14:paraId="463411F0">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（30）《大庆油气田地面工程“十四五”规划》；</w:t>
      </w:r>
    </w:p>
    <w:p w14:paraId="2A169165">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（31）《大庆市“十四五”生态环境保护规划》（庆政规〔2022〕7号）；</w:t>
      </w:r>
    </w:p>
    <w:p w14:paraId="3B2F0607">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w:t>
      </w:r>
      <w:r>
        <w:rPr>
          <w:rFonts w:hint="eastAsia" w:ascii="Times New Roman" w:hAnsi="Times New Roman" w:eastAsiaTheme="minorEastAsia"/>
          <w:caps w:val="0"/>
          <w:smallCaps w:val="0"/>
          <w:snapToGrid w:val="0"/>
          <w:color w:val="auto"/>
          <w:spacing w:val="0"/>
          <w:w w:val="100"/>
          <w:position w:val="0"/>
          <w:highlight w:val="none"/>
        </w:rPr>
        <w:t>3</w:t>
      </w:r>
      <w:r>
        <w:rPr>
          <w:rFonts w:ascii="Times New Roman" w:hAnsi="Times New Roman" w:eastAsiaTheme="minorEastAsia"/>
          <w:caps w:val="0"/>
          <w:smallCaps w:val="0"/>
          <w:snapToGrid w:val="0"/>
          <w:color w:val="auto"/>
          <w:spacing w:val="0"/>
          <w:w w:val="100"/>
          <w:position w:val="0"/>
          <w:highlight w:val="none"/>
        </w:rPr>
        <w:t>2）</w:t>
      </w:r>
      <w:r>
        <w:rPr>
          <w:rFonts w:hint="eastAsia" w:eastAsiaTheme="minorEastAsia"/>
          <w:caps w:val="0"/>
          <w:smallCaps w:val="0"/>
          <w:color w:val="auto"/>
          <w:spacing w:val="0"/>
          <w:w w:val="100"/>
          <w:position w:val="0"/>
          <w:szCs w:val="21"/>
          <w:highlight w:val="none"/>
        </w:rPr>
        <w:t>《</w:t>
      </w:r>
      <w:bookmarkStart w:id="151" w:name="OLE_LINK71"/>
      <w:bookmarkStart w:id="152" w:name="OLE_LINK72"/>
      <w:r>
        <w:rPr>
          <w:rFonts w:hint="eastAsia" w:eastAsiaTheme="minorEastAsia"/>
          <w:caps w:val="0"/>
          <w:smallCaps w:val="0"/>
          <w:color w:val="auto"/>
          <w:spacing w:val="0"/>
          <w:w w:val="100"/>
          <w:position w:val="0"/>
          <w:szCs w:val="21"/>
          <w:highlight w:val="none"/>
        </w:rPr>
        <w:t>新时代大庆油田当好标杆旗帜建设百年油田发展规划</w:t>
      </w:r>
      <w:bookmarkEnd w:id="151"/>
      <w:bookmarkEnd w:id="152"/>
      <w:r>
        <w:rPr>
          <w:rFonts w:hint="eastAsia" w:eastAsiaTheme="minorEastAsia"/>
          <w:caps w:val="0"/>
          <w:smallCaps w:val="0"/>
          <w:color w:val="auto"/>
          <w:spacing w:val="0"/>
          <w:w w:val="100"/>
          <w:position w:val="0"/>
          <w:szCs w:val="21"/>
          <w:highlight w:val="none"/>
        </w:rPr>
        <w:t>》；</w:t>
      </w:r>
    </w:p>
    <w:p w14:paraId="5D00DCFC">
      <w:pPr>
        <w:pStyle w:val="149"/>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（33）《</w:t>
      </w:r>
      <w:bookmarkStart w:id="153" w:name="OLE_LINK27"/>
      <w:bookmarkStart w:id="154" w:name="OLE_LINK32"/>
      <w:r>
        <w:rPr>
          <w:rFonts w:ascii="Times New Roman" w:hAnsi="Times New Roman" w:eastAsiaTheme="minorEastAsia"/>
          <w:caps w:val="0"/>
          <w:smallCaps w:val="0"/>
          <w:snapToGrid w:val="0"/>
          <w:color w:val="auto"/>
          <w:spacing w:val="0"/>
          <w:w w:val="100"/>
          <w:position w:val="0"/>
          <w:highlight w:val="none"/>
        </w:rPr>
        <w:t>陆上石油天然气开采业绿色矿山建设规范</w:t>
      </w:r>
      <w:bookmarkEnd w:id="153"/>
      <w:bookmarkEnd w:id="154"/>
      <w:r>
        <w:rPr>
          <w:rFonts w:ascii="Times New Roman" w:hAnsi="Times New Roman" w:eastAsiaTheme="minorEastAsia"/>
          <w:caps w:val="0"/>
          <w:smallCaps w:val="0"/>
          <w:snapToGrid w:val="0"/>
          <w:color w:val="auto"/>
          <w:spacing w:val="0"/>
          <w:w w:val="100"/>
          <w:position w:val="0"/>
          <w:highlight w:val="none"/>
        </w:rPr>
        <w:t>》（DZ∕T 0317-2018）。</w:t>
      </w:r>
    </w:p>
    <w:p w14:paraId="6EF4BECA">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155" w:name="_Toc57707886"/>
      <w:bookmarkStart w:id="156" w:name="_Toc57203216"/>
      <w:bookmarkStart w:id="157" w:name="_Toc57976641"/>
      <w:bookmarkStart w:id="158" w:name="_Toc8791"/>
      <w:bookmarkStart w:id="159" w:name="_Toc17898131"/>
      <w:bookmarkStart w:id="160" w:name="_Toc77067625"/>
      <w:bookmarkStart w:id="161" w:name="_Toc83209438"/>
      <w:bookmarkStart w:id="162" w:name="_Toc78816426"/>
      <w:bookmarkStart w:id="163" w:name="_Toc67860094"/>
      <w:bookmarkStart w:id="164" w:name="_Toc85640718"/>
      <w:bookmarkStart w:id="165" w:name="_Toc86141901"/>
      <w:bookmarkStart w:id="166" w:name="_Toc80971343"/>
      <w:bookmarkStart w:id="167" w:name="_Toc70050141"/>
      <w:bookmarkStart w:id="168" w:name="_Toc61597187"/>
      <w:bookmarkStart w:id="169" w:name="_Toc76976209"/>
      <w:bookmarkStart w:id="170" w:name="_Toc110438445"/>
      <w:bookmarkStart w:id="171" w:name="_Toc84929194"/>
      <w:bookmarkStart w:id="172" w:name="_Toc80588221"/>
      <w:r>
        <w:rPr>
          <w:rFonts w:eastAsiaTheme="minorEastAsia"/>
          <w:b/>
          <w:caps w:val="0"/>
          <w:smallCaps w:val="0"/>
          <w:color w:val="auto"/>
          <w:spacing w:val="0"/>
          <w:w w:val="100"/>
          <w:kern w:val="2"/>
          <w:position w:val="0"/>
          <w:sz w:val="24"/>
          <w:szCs w:val="24"/>
          <w:highlight w:val="none"/>
        </w:rPr>
        <w:t>2.3.</w:t>
      </w:r>
      <w:bookmarkEnd w:id="155"/>
      <w:bookmarkEnd w:id="156"/>
      <w:bookmarkEnd w:id="157"/>
      <w:bookmarkEnd w:id="158"/>
      <w:bookmarkEnd w:id="159"/>
      <w:r>
        <w:rPr>
          <w:rFonts w:eastAsiaTheme="minorEastAsia"/>
          <w:b/>
          <w:caps w:val="0"/>
          <w:smallCaps w:val="0"/>
          <w:color w:val="auto"/>
          <w:spacing w:val="0"/>
          <w:w w:val="100"/>
          <w:kern w:val="2"/>
          <w:position w:val="0"/>
          <w:sz w:val="24"/>
          <w:szCs w:val="24"/>
          <w:highlight w:val="none"/>
        </w:rPr>
        <w:t>3技术依据</w:t>
      </w:r>
      <w:bookmarkEnd w:id="160"/>
      <w:bookmarkEnd w:id="161"/>
      <w:bookmarkEnd w:id="162"/>
      <w:bookmarkEnd w:id="163"/>
      <w:bookmarkEnd w:id="164"/>
      <w:bookmarkEnd w:id="165"/>
      <w:bookmarkEnd w:id="166"/>
      <w:bookmarkEnd w:id="167"/>
      <w:bookmarkEnd w:id="168"/>
      <w:bookmarkEnd w:id="169"/>
      <w:bookmarkEnd w:id="170"/>
      <w:bookmarkEnd w:id="171"/>
      <w:bookmarkEnd w:id="172"/>
    </w:p>
    <w:p w14:paraId="35DC1F62">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（1）《建设项目环境影响评价技术导则 总纲》（HJ2.1-2016）；</w:t>
      </w:r>
    </w:p>
    <w:p w14:paraId="3F26A3A7">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（2）《环境影响评价技术导则 大气环境》（HJ2.2-2018）；</w:t>
      </w:r>
    </w:p>
    <w:p w14:paraId="32FB6696">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（3）《环境影响评价技术导则 地表水环境》（HJ2.3-2018）；</w:t>
      </w:r>
    </w:p>
    <w:p w14:paraId="2A21EAF1">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（4）《环境影响评价技术导则 声环境》（HJ2.4-2021）；</w:t>
      </w:r>
    </w:p>
    <w:p w14:paraId="5D97CA64">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（5）《环境影响评价技术导则 地下水环境》（HJ610-2016）；</w:t>
      </w:r>
    </w:p>
    <w:p w14:paraId="61029A41">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（6）《环境影响评价技术导则 生态影响》（HJ19-2022）；</w:t>
      </w:r>
    </w:p>
    <w:p w14:paraId="4E16E24A">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（7）《环境影响评价技术导则 土壤环境（试行）》（HJ964-2018）；</w:t>
      </w:r>
    </w:p>
    <w:p w14:paraId="272AAF04">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（8）《建设项目环境风险评价技术导则》（HJ169-2018）；</w:t>
      </w:r>
    </w:p>
    <w:p w14:paraId="77930DDD">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（9）《环境影响评价技术导则 陆地石油天然气开发建设项目》（HJ349-2023）；</w:t>
      </w:r>
    </w:p>
    <w:p w14:paraId="125A4D8D">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（10）《排污许可证申请与核发技术规范 总则》（HJ942-2018）；</w:t>
      </w:r>
    </w:p>
    <w:p w14:paraId="6AAB281E">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（11）《排污单位自行监测技术指南 总则》（HJ819-2017）；</w:t>
      </w:r>
    </w:p>
    <w:p w14:paraId="496682C1">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（12）《排污单位自行监测技术指南 陆上石油天然气开采工业》（HJ1248-2022）；</w:t>
      </w:r>
    </w:p>
    <w:p w14:paraId="3C3330C2">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（13）</w:t>
      </w:r>
      <w:r>
        <w:rPr>
          <w:rFonts w:ascii="Times New Roman" w:hAnsi="Times New Roman" w:cs="Times New Roman"/>
          <w:caps w:val="0"/>
          <w:smallCaps w:val="0"/>
          <w:snapToGrid w:val="0"/>
          <w:color w:val="auto"/>
          <w:spacing w:val="0"/>
          <w:w w:val="100"/>
          <w:position w:val="0"/>
          <w:highlight w:val="none"/>
          <w:lang w:bidi="zh-CN"/>
        </w:rPr>
        <w:t>《工业企业土壤和地下水自行监测技术指南（试行）》（HJ1209-2021）；</w:t>
      </w:r>
    </w:p>
    <w:p w14:paraId="2FF3C55A">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（14）《建设项目危险废物环境影响评价指南》（环境保护部公告2017年第43号，2017.10.1）；</w:t>
      </w:r>
    </w:p>
    <w:p w14:paraId="108043C6">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（15）《危险废物环境管理指南 陆上石油天然气开采》（</w:t>
      </w:r>
      <w:r>
        <w:rPr>
          <w:rFonts w:ascii="Times New Roman" w:hAnsi="Times New Roman" w:cs="Times New Roman"/>
          <w:caps w:val="0"/>
          <w:smallCaps w:val="0"/>
          <w:snapToGrid w:val="0"/>
          <w:color w:val="auto"/>
          <w:spacing w:val="0"/>
          <w:w w:val="100"/>
          <w:position w:val="0"/>
          <w:highlight w:val="none"/>
          <w:lang w:bidi="zh-CN"/>
        </w:rPr>
        <w:t>生态环境部公告2021年第74号，2021.12.21</w:t>
      </w:r>
      <w:r>
        <w:rPr>
          <w:rFonts w:ascii="Times New Roman" w:hAnsi="Times New Roman" w:cs="Times New Roman"/>
          <w:caps w:val="0"/>
          <w:smallCaps w:val="0"/>
          <w:snapToGrid w:val="0"/>
          <w:color w:val="auto"/>
          <w:spacing w:val="0"/>
          <w:w w:val="100"/>
          <w:position w:val="0"/>
          <w:highlight w:val="none"/>
          <w:lang w:val="zh-CN" w:bidi="zh-CN"/>
        </w:rPr>
        <w:t>）；</w:t>
      </w:r>
    </w:p>
    <w:p w14:paraId="34386658">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（16）《污染源源强核算技术指南 准则》（HJ884-2018）。</w:t>
      </w:r>
    </w:p>
    <w:p w14:paraId="252ED0D2">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val="zh-CN" w:bidi="zh-CN"/>
        </w:rPr>
      </w:pPr>
      <w:r>
        <w:rPr>
          <w:rFonts w:ascii="Times New Roman" w:hAnsi="Times New Roman" w:cs="Times New Roman"/>
          <w:caps w:val="0"/>
          <w:smallCaps w:val="0"/>
          <w:snapToGrid w:val="0"/>
          <w:color w:val="auto"/>
          <w:spacing w:val="0"/>
          <w:w w:val="100"/>
          <w:position w:val="0"/>
          <w:highlight w:val="none"/>
          <w:lang w:val="zh-CN" w:bidi="zh-CN"/>
        </w:rPr>
        <w:t>（17）《中国石油天然气生产企业温室气体排放核算方法与报告指南》；</w:t>
      </w:r>
    </w:p>
    <w:p w14:paraId="6233055E">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（18）《甲烷排放控制行动方案》（环气候〔2023〕67号）。</w:t>
      </w:r>
    </w:p>
    <w:p w14:paraId="1A94A2B7">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（19）《危险废物收集 贮存 运输技术规范》（HJ2025-2012）；</w:t>
      </w:r>
    </w:p>
    <w:p w14:paraId="1C16134F">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（20）《碎屑岩油藏注水水质指标技术要求及分析方法》（SY/T5329-2022）；</w:t>
      </w:r>
    </w:p>
    <w:p w14:paraId="7D4AF49A">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（21）《陆上石油天然气生产环境保护推荐做法》（SY/T6628-2016）；</w:t>
      </w:r>
    </w:p>
    <w:p w14:paraId="02163846">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（22）《矿山生态修复技术规范 第7部分：油气矿山》（TD/T1070.7-2022）；</w:t>
      </w:r>
    </w:p>
    <w:p w14:paraId="014AD286">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（23）《石油天然气项目土地复垦与生态修复技术规范》（GB/T43936-2024）；</w:t>
      </w:r>
    </w:p>
    <w:p w14:paraId="3AC855F9">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（24）《矿产资源“三率”指标要求第2部分：石油、天然气、煤层气、页岩气、二氧化碳气》（DZ/T0462.2-2023）；</w:t>
      </w:r>
    </w:p>
    <w:p w14:paraId="35223CD8">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（25）《危险废物鉴别技术规范》（HJ298-2019）；</w:t>
      </w:r>
    </w:p>
    <w:p w14:paraId="3D895E1B">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（26）《生产建设项目水土流失防治标准》（GBT50434-2018）；</w:t>
      </w:r>
    </w:p>
    <w:p w14:paraId="044A44B7">
      <w:pPr>
        <w:widowControl w:val="0"/>
        <w:spacing w:line="440" w:lineRule="exact"/>
        <w:ind w:firstLine="480" w:firstLineChars="200"/>
        <w:jc w:val="both"/>
        <w:rPr>
          <w:rFonts w:ascii="Times New Roman" w:hAnsi="Times New Roman" w:cs="Times New Roman"/>
          <w:caps w:val="0"/>
          <w:smallCaps w:val="0"/>
          <w:snapToGrid w:val="0"/>
          <w:color w:val="auto"/>
          <w:spacing w:val="0"/>
          <w:w w:val="100"/>
          <w:position w:val="0"/>
          <w:highlight w:val="none"/>
          <w:lang w:bidi="zh-CN"/>
        </w:rPr>
      </w:pPr>
      <w:r>
        <w:rPr>
          <w:rFonts w:ascii="Times New Roman" w:hAnsi="Times New Roman" w:cs="Times New Roman"/>
          <w:caps w:val="0"/>
          <w:smallCaps w:val="0"/>
          <w:snapToGrid w:val="0"/>
          <w:color w:val="auto"/>
          <w:spacing w:val="0"/>
          <w:w w:val="100"/>
          <w:position w:val="0"/>
          <w:highlight w:val="none"/>
          <w:lang w:bidi="zh-CN"/>
        </w:rPr>
        <w:t>（27）《固体废物分类与代码目录》（生态环境部公告2024年第4号）；</w:t>
      </w:r>
    </w:p>
    <w:p w14:paraId="17FC0478">
      <w:pPr>
        <w:pStyle w:val="149"/>
        <w:spacing w:line="440" w:lineRule="exact"/>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（28）《</w:t>
      </w:r>
      <w:r>
        <w:rPr>
          <w:rFonts w:ascii="Times New Roman" w:hAnsi="Times New Roman" w:eastAsiaTheme="minorEastAsia"/>
          <w:caps w:val="0"/>
          <w:smallCaps w:val="0"/>
          <w:color w:val="auto"/>
          <w:spacing w:val="0"/>
          <w:w w:val="100"/>
          <w:position w:val="0"/>
          <w:highlight w:val="none"/>
        </w:rPr>
        <w:t>地下水型饮用水水源补给区划定技术指南（试行）</w:t>
      </w:r>
      <w:r>
        <w:rPr>
          <w:rFonts w:ascii="Times New Roman" w:hAnsi="Times New Roman" w:eastAsiaTheme="minorEastAsia"/>
          <w:caps w:val="0"/>
          <w:smallCaps w:val="0"/>
          <w:snapToGrid w:val="0"/>
          <w:color w:val="auto"/>
          <w:spacing w:val="0"/>
          <w:w w:val="100"/>
          <w:position w:val="0"/>
          <w:highlight w:val="none"/>
        </w:rPr>
        <w:t>》（环办便函〔2022〕335号）。</w:t>
      </w:r>
    </w:p>
    <w:p w14:paraId="165FE4A7">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173" w:name="_Toc57203217"/>
      <w:bookmarkStart w:id="174" w:name="_Toc9176"/>
      <w:bookmarkStart w:id="175" w:name="_Toc17898132"/>
      <w:bookmarkStart w:id="176" w:name="_Toc57707887"/>
      <w:bookmarkStart w:id="177" w:name="_Toc57976642"/>
      <w:bookmarkStart w:id="178" w:name="_Toc70050142"/>
      <w:bookmarkStart w:id="179" w:name="_Toc77067626"/>
      <w:bookmarkStart w:id="180" w:name="_Toc110438446"/>
      <w:bookmarkStart w:id="181" w:name="_Toc84929195"/>
      <w:bookmarkStart w:id="182" w:name="_Toc80588222"/>
      <w:bookmarkStart w:id="183" w:name="_Toc67860095"/>
      <w:bookmarkStart w:id="184" w:name="_Toc78816427"/>
      <w:bookmarkStart w:id="185" w:name="_Toc80971344"/>
      <w:bookmarkStart w:id="186" w:name="_Toc86141902"/>
      <w:bookmarkStart w:id="187" w:name="_Toc83209439"/>
      <w:bookmarkStart w:id="188" w:name="_Toc76976210"/>
      <w:bookmarkStart w:id="189" w:name="_Toc85640719"/>
      <w:bookmarkStart w:id="190" w:name="_Toc61597188"/>
      <w:r>
        <w:rPr>
          <w:rFonts w:eastAsiaTheme="minorEastAsia"/>
          <w:b/>
          <w:caps w:val="0"/>
          <w:smallCaps w:val="0"/>
          <w:color w:val="auto"/>
          <w:spacing w:val="0"/>
          <w:w w:val="100"/>
          <w:kern w:val="2"/>
          <w:position w:val="0"/>
          <w:sz w:val="24"/>
          <w:szCs w:val="24"/>
          <w:highlight w:val="none"/>
        </w:rPr>
        <w:t>2.3.</w:t>
      </w:r>
      <w:bookmarkEnd w:id="173"/>
      <w:bookmarkEnd w:id="174"/>
      <w:bookmarkEnd w:id="175"/>
      <w:bookmarkEnd w:id="176"/>
      <w:bookmarkEnd w:id="177"/>
      <w:r>
        <w:rPr>
          <w:rFonts w:eastAsiaTheme="minorEastAsia"/>
          <w:b/>
          <w:caps w:val="0"/>
          <w:smallCaps w:val="0"/>
          <w:color w:val="auto"/>
          <w:spacing w:val="0"/>
          <w:w w:val="100"/>
          <w:kern w:val="2"/>
          <w:position w:val="0"/>
          <w:sz w:val="24"/>
          <w:szCs w:val="24"/>
          <w:highlight w:val="none"/>
        </w:rPr>
        <w:t>4其它相关依据及支持性文件</w:t>
      </w:r>
      <w:bookmarkEnd w:id="178"/>
      <w:bookmarkEnd w:id="179"/>
      <w:bookmarkEnd w:id="180"/>
      <w:bookmarkEnd w:id="181"/>
      <w:bookmarkEnd w:id="182"/>
      <w:bookmarkEnd w:id="183"/>
      <w:bookmarkEnd w:id="184"/>
      <w:bookmarkEnd w:id="185"/>
      <w:bookmarkEnd w:id="186"/>
      <w:bookmarkEnd w:id="187"/>
      <w:bookmarkEnd w:id="188"/>
      <w:bookmarkEnd w:id="189"/>
      <w:bookmarkEnd w:id="190"/>
    </w:p>
    <w:p w14:paraId="7FEF5762">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w:t>
      </w:r>
      <w:r>
        <w:rPr>
          <w:rFonts w:hint="eastAsia" w:ascii="Times New Roman" w:hAnsi="Times New Roman" w:eastAsiaTheme="minorEastAsia"/>
          <w:caps w:val="0"/>
          <w:smallCaps w:val="0"/>
          <w:snapToGrid w:val="0"/>
          <w:color w:val="auto"/>
          <w:spacing w:val="0"/>
          <w:w w:val="100"/>
          <w:position w:val="0"/>
          <w:highlight w:val="none"/>
        </w:rPr>
        <w:t>大庆油田第十一采油厂油系统管道安全隐患治理工程</w:t>
      </w:r>
      <w:r>
        <w:rPr>
          <w:rFonts w:hint="eastAsia" w:ascii="Times New Roman" w:hAnsi="Times New Roman" w:eastAsiaTheme="minorEastAsia"/>
          <w:caps w:val="0"/>
          <w:smallCaps w:val="0"/>
          <w:snapToGrid w:val="0"/>
          <w:color w:val="auto"/>
          <w:spacing w:val="0"/>
          <w:w w:val="100"/>
          <w:position w:val="0"/>
          <w:highlight w:val="none"/>
          <w:lang w:val="en-US" w:eastAsia="zh-CN"/>
        </w:rPr>
        <w:t>方案</w:t>
      </w:r>
      <w:r>
        <w:rPr>
          <w:rFonts w:ascii="Times New Roman" w:hAnsi="Times New Roman" w:eastAsiaTheme="minorEastAsia"/>
          <w:caps w:val="0"/>
          <w:smallCaps w:val="0"/>
          <w:snapToGrid w:val="0"/>
          <w:color w:val="auto"/>
          <w:spacing w:val="0"/>
          <w:w w:val="100"/>
          <w:position w:val="0"/>
          <w:highlight w:val="none"/>
        </w:rPr>
        <w:t>》（项目编号：</w:t>
      </w:r>
      <w:r>
        <w:rPr>
          <w:rFonts w:hint="default" w:ascii="Times New Roman" w:hAnsi="Times New Roman" w:eastAsiaTheme="minorEastAsia"/>
          <w:caps w:val="0"/>
          <w:smallCaps w:val="0"/>
          <w:snapToGrid w:val="0"/>
          <w:color w:val="auto"/>
          <w:spacing w:val="0"/>
          <w:w w:val="100"/>
          <w:position w:val="0"/>
          <w:highlight w:val="none"/>
          <w:lang w:val="en-US" w:eastAsia="zh-CN"/>
        </w:rPr>
        <w:t>S(26)0519AQ001</w:t>
      </w:r>
      <w:r>
        <w:rPr>
          <w:rFonts w:ascii="Times New Roman" w:hAnsi="Times New Roman" w:eastAsiaTheme="minorEastAsia"/>
          <w:caps w:val="0"/>
          <w:smallCaps w:val="0"/>
          <w:snapToGrid w:val="0"/>
          <w:color w:val="auto"/>
          <w:spacing w:val="0"/>
          <w:w w:val="100"/>
          <w:position w:val="0"/>
          <w:highlight w:val="none"/>
        </w:rPr>
        <w:t>）；</w:t>
      </w:r>
    </w:p>
    <w:p w14:paraId="4190731B">
      <w:pPr>
        <w:pStyle w:val="149"/>
        <w:widowControl w:val="0"/>
        <w:spacing w:line="440" w:lineRule="exact"/>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w:t>
      </w:r>
      <w:r>
        <w:rPr>
          <w:rFonts w:hint="eastAsia" w:ascii="Times New Roman" w:hAnsi="Times New Roman" w:eastAsiaTheme="minorEastAsia"/>
          <w:caps w:val="0"/>
          <w:smallCaps w:val="0"/>
          <w:snapToGrid w:val="0"/>
          <w:color w:val="auto"/>
          <w:spacing w:val="0"/>
          <w:w w:val="100"/>
          <w:position w:val="0"/>
          <w:highlight w:val="none"/>
        </w:rPr>
        <w:t>大庆油田第十一采油厂油系统管道安全隐患治理工程</w:t>
      </w:r>
      <w:r>
        <w:rPr>
          <w:rFonts w:ascii="Times New Roman" w:hAnsi="Times New Roman" w:eastAsiaTheme="minorEastAsia"/>
          <w:caps w:val="0"/>
          <w:smallCaps w:val="0"/>
          <w:snapToGrid w:val="0"/>
          <w:color w:val="auto"/>
          <w:spacing w:val="0"/>
          <w:w w:val="100"/>
          <w:position w:val="0"/>
          <w:highlight w:val="none"/>
        </w:rPr>
        <w:t>项目监测报告》（报告编号：中检(BH)字202</w:t>
      </w:r>
      <w:r>
        <w:rPr>
          <w:rFonts w:hint="eastAsia" w:ascii="Times New Roman" w:hAnsi="Times New Roman" w:eastAsiaTheme="minorEastAsia"/>
          <w:caps w:val="0"/>
          <w:smallCaps w:val="0"/>
          <w:snapToGrid w:val="0"/>
          <w:color w:val="auto"/>
          <w:spacing w:val="0"/>
          <w:w w:val="100"/>
          <w:position w:val="0"/>
          <w:highlight w:val="none"/>
          <w:lang w:val="en-US" w:eastAsia="zh-CN"/>
        </w:rPr>
        <w:t>6</w:t>
      </w:r>
      <w:r>
        <w:rPr>
          <w:rFonts w:ascii="Times New Roman" w:hAnsi="Times New Roman" w:eastAsiaTheme="minorEastAsia"/>
          <w:caps w:val="0"/>
          <w:smallCaps w:val="0"/>
          <w:snapToGrid w:val="0"/>
          <w:color w:val="auto"/>
          <w:spacing w:val="0"/>
          <w:w w:val="100"/>
          <w:position w:val="0"/>
          <w:highlight w:val="none"/>
        </w:rPr>
        <w:t>第0</w:t>
      </w:r>
      <w:r>
        <w:rPr>
          <w:rFonts w:hint="eastAsia" w:ascii="Times New Roman" w:hAnsi="Times New Roman" w:eastAsiaTheme="minorEastAsia"/>
          <w:caps w:val="0"/>
          <w:smallCaps w:val="0"/>
          <w:snapToGrid w:val="0"/>
          <w:color w:val="auto"/>
          <w:spacing w:val="0"/>
          <w:w w:val="100"/>
          <w:position w:val="0"/>
          <w:highlight w:val="none"/>
          <w:lang w:val="en-US" w:eastAsia="zh-CN"/>
        </w:rPr>
        <w:t>5</w:t>
      </w:r>
      <w:r>
        <w:rPr>
          <w:rFonts w:ascii="Times New Roman" w:hAnsi="Times New Roman" w:eastAsiaTheme="minorEastAsia"/>
          <w:caps w:val="0"/>
          <w:smallCaps w:val="0"/>
          <w:snapToGrid w:val="0"/>
          <w:color w:val="auto"/>
          <w:spacing w:val="0"/>
          <w:w w:val="100"/>
          <w:position w:val="0"/>
          <w:highlight w:val="none"/>
        </w:rPr>
        <w:t>-0</w:t>
      </w:r>
      <w:r>
        <w:rPr>
          <w:rFonts w:hint="eastAsia" w:ascii="Times New Roman" w:hAnsi="Times New Roman" w:eastAsiaTheme="minorEastAsia"/>
          <w:caps w:val="0"/>
          <w:smallCaps w:val="0"/>
          <w:snapToGrid w:val="0"/>
          <w:color w:val="auto"/>
          <w:spacing w:val="0"/>
          <w:w w:val="100"/>
          <w:position w:val="0"/>
          <w:highlight w:val="none"/>
          <w:lang w:val="en-US" w:eastAsia="zh-CN"/>
        </w:rPr>
        <w:t>11</w:t>
      </w:r>
      <w:r>
        <w:rPr>
          <w:rFonts w:ascii="Times New Roman" w:hAnsi="Times New Roman" w:eastAsiaTheme="minorEastAsia"/>
          <w:caps w:val="0"/>
          <w:smallCaps w:val="0"/>
          <w:snapToGrid w:val="0"/>
          <w:color w:val="auto"/>
          <w:spacing w:val="0"/>
          <w:w w:val="100"/>
          <w:position w:val="0"/>
          <w:highlight w:val="none"/>
        </w:rPr>
        <w:t>号）；</w:t>
      </w:r>
    </w:p>
    <w:p w14:paraId="5A2BB643">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191" w:name="_Toc12054"/>
      <w:bookmarkStart w:id="192" w:name="_Toc219900374"/>
      <w:r>
        <w:rPr>
          <w:rFonts w:ascii="Times New Roman" w:hAnsi="Times New Roman" w:eastAsiaTheme="minorEastAsia"/>
          <w:b/>
          <w:caps w:val="0"/>
          <w:smallCaps w:val="0"/>
          <w:snapToGrid w:val="0"/>
          <w:color w:val="auto"/>
          <w:spacing w:val="0"/>
          <w:w w:val="100"/>
          <w:position w:val="0"/>
          <w:highlight w:val="none"/>
        </w:rPr>
        <w:t>2.4环境影响识别与评价因子筛选</w:t>
      </w:r>
      <w:bookmarkEnd w:id="191"/>
      <w:bookmarkEnd w:id="192"/>
    </w:p>
    <w:p w14:paraId="067CF019">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193" w:name="_Toc83209441"/>
      <w:bookmarkStart w:id="194" w:name="_Toc85640721"/>
      <w:bookmarkStart w:id="195" w:name="_Toc80588224"/>
      <w:bookmarkStart w:id="196" w:name="_Toc70050144"/>
      <w:bookmarkStart w:id="197" w:name="_Toc84929197"/>
      <w:bookmarkStart w:id="198" w:name="_Toc77067628"/>
      <w:bookmarkStart w:id="199" w:name="_Toc61597190"/>
      <w:bookmarkStart w:id="200" w:name="_Toc76976212"/>
      <w:bookmarkStart w:id="201" w:name="_Toc80971346"/>
      <w:bookmarkStart w:id="202" w:name="_Toc110438448"/>
      <w:bookmarkStart w:id="203" w:name="_Toc78816429"/>
      <w:bookmarkStart w:id="204" w:name="_Toc67860097"/>
      <w:bookmarkStart w:id="205" w:name="_Toc86141904"/>
      <w:bookmarkStart w:id="206" w:name="_Toc57203219"/>
      <w:bookmarkStart w:id="207" w:name="_Toc57976644"/>
      <w:bookmarkStart w:id="208" w:name="_Toc17898134"/>
      <w:bookmarkStart w:id="209" w:name="_Toc6028"/>
      <w:bookmarkStart w:id="210" w:name="_Toc57707889"/>
      <w:r>
        <w:rPr>
          <w:rFonts w:eastAsiaTheme="minorEastAsia"/>
          <w:b/>
          <w:caps w:val="0"/>
          <w:smallCaps w:val="0"/>
          <w:color w:val="auto"/>
          <w:spacing w:val="0"/>
          <w:w w:val="100"/>
          <w:kern w:val="2"/>
          <w:position w:val="0"/>
          <w:sz w:val="24"/>
          <w:szCs w:val="24"/>
          <w:highlight w:val="none"/>
        </w:rPr>
        <w:t>2.4.1评价时段</w:t>
      </w:r>
      <w:bookmarkEnd w:id="193"/>
      <w:bookmarkEnd w:id="194"/>
      <w:bookmarkEnd w:id="195"/>
      <w:bookmarkEnd w:id="196"/>
      <w:bookmarkEnd w:id="197"/>
      <w:bookmarkEnd w:id="198"/>
      <w:bookmarkEnd w:id="199"/>
      <w:bookmarkEnd w:id="200"/>
      <w:bookmarkEnd w:id="201"/>
      <w:bookmarkEnd w:id="202"/>
      <w:bookmarkEnd w:id="203"/>
      <w:bookmarkEnd w:id="204"/>
      <w:bookmarkEnd w:id="205"/>
    </w:p>
    <w:p w14:paraId="55AC36C5">
      <w:pPr>
        <w:pStyle w:val="149"/>
        <w:widowControl w:val="0"/>
        <w:spacing w:line="440" w:lineRule="exact"/>
        <w:ind w:firstLine="473"/>
        <w:rPr>
          <w:rFonts w:ascii="Times New Roman" w:hAnsi="Times New Roman"/>
          <w:caps w:val="0"/>
          <w:smallCaps w:val="0"/>
          <w:color w:val="auto"/>
          <w:spacing w:val="0"/>
          <w:w w:val="100"/>
          <w:position w:val="0"/>
          <w:highlight w:val="none"/>
        </w:rPr>
      </w:pPr>
      <w:bookmarkStart w:id="211" w:name="_Toc80971347"/>
      <w:bookmarkStart w:id="212" w:name="_Toc70050145"/>
      <w:bookmarkStart w:id="213" w:name="_Toc80588225"/>
      <w:bookmarkStart w:id="214" w:name="_Toc78816430"/>
      <w:bookmarkStart w:id="215" w:name="_Toc110438449"/>
      <w:bookmarkStart w:id="216" w:name="_Toc61597191"/>
      <w:bookmarkStart w:id="217" w:name="_Toc85640722"/>
      <w:bookmarkStart w:id="218" w:name="_Toc77067629"/>
      <w:bookmarkStart w:id="219" w:name="_Toc86141905"/>
      <w:bookmarkStart w:id="220" w:name="_Toc76976213"/>
      <w:bookmarkStart w:id="221" w:name="_Toc83209442"/>
      <w:bookmarkStart w:id="222" w:name="_Toc67860098"/>
      <w:bookmarkStart w:id="223" w:name="_Toc84929198"/>
      <w:r>
        <w:rPr>
          <w:rFonts w:ascii="Times New Roman" w:hAnsi="Times New Roman"/>
          <w:caps w:val="0"/>
          <w:smallCaps w:val="0"/>
          <w:color w:val="auto"/>
          <w:spacing w:val="0"/>
          <w:w w:val="100"/>
          <w:position w:val="0"/>
          <w:highlight w:val="none"/>
        </w:rPr>
        <w:t>施工期、运行期</w:t>
      </w:r>
      <w:r>
        <w:rPr>
          <w:rFonts w:ascii="Times New Roman" w:hAnsi="Times New Roman" w:eastAsiaTheme="minorEastAsia"/>
          <w:caps w:val="0"/>
          <w:smallCaps w:val="0"/>
          <w:color w:val="auto"/>
          <w:spacing w:val="0"/>
          <w:w w:val="100"/>
          <w:position w:val="0"/>
          <w:highlight w:val="none"/>
        </w:rPr>
        <w:t>和退役期</w:t>
      </w:r>
      <w:r>
        <w:rPr>
          <w:rFonts w:ascii="Times New Roman" w:hAnsi="Times New Roman"/>
          <w:caps w:val="0"/>
          <w:smallCaps w:val="0"/>
          <w:color w:val="auto"/>
          <w:spacing w:val="0"/>
          <w:w w:val="100"/>
          <w:position w:val="0"/>
          <w:highlight w:val="none"/>
        </w:rPr>
        <w:t>。</w:t>
      </w:r>
    </w:p>
    <w:p w14:paraId="385DECD2">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2.4.2环境影响因素识别</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72CD7033">
      <w:pPr>
        <w:pStyle w:val="31"/>
        <w:spacing w:line="440" w:lineRule="exact"/>
        <w:ind w:firstLine="480" w:firstLineChars="200"/>
        <w:jc w:val="both"/>
        <w:rPr>
          <w:rFonts w:ascii="Times New Roman" w:hAnsi="Times New Roman" w:eastAsiaTheme="minorEastAsia"/>
          <w:caps w:val="0"/>
          <w:smallCaps w:val="0"/>
          <w:color w:val="auto"/>
          <w:spacing w:val="0"/>
          <w:w w:val="100"/>
          <w:position w:val="0"/>
          <w:szCs w:val="24"/>
          <w:highlight w:val="none"/>
        </w:rPr>
      </w:pPr>
      <w:r>
        <w:rPr>
          <w:rFonts w:ascii="Times New Roman" w:hAnsi="Times New Roman" w:eastAsiaTheme="minorEastAsia"/>
          <w:caps w:val="0"/>
          <w:smallCaps w:val="0"/>
          <w:color w:val="auto"/>
          <w:spacing w:val="0"/>
          <w:w w:val="100"/>
          <w:position w:val="0"/>
          <w:szCs w:val="24"/>
          <w:highlight w:val="none"/>
        </w:rPr>
        <w:t>（1）施工期</w:t>
      </w:r>
    </w:p>
    <w:p w14:paraId="787BB788">
      <w:pPr>
        <w:pStyle w:val="31"/>
        <w:spacing w:line="440" w:lineRule="exact"/>
        <w:ind w:firstLine="480" w:firstLineChars="200"/>
        <w:jc w:val="both"/>
        <w:rPr>
          <w:rFonts w:ascii="Times New Roman" w:hAnsi="Times New Roman" w:eastAsiaTheme="minorEastAsia"/>
          <w:caps w:val="0"/>
          <w:smallCaps w:val="0"/>
          <w:color w:val="auto"/>
          <w:spacing w:val="0"/>
          <w:w w:val="100"/>
          <w:position w:val="0"/>
          <w:szCs w:val="24"/>
          <w:highlight w:val="none"/>
        </w:rPr>
      </w:pPr>
      <w:r>
        <w:rPr>
          <w:rFonts w:ascii="Times New Roman" w:hAnsi="Times New Roman" w:eastAsiaTheme="minorEastAsia"/>
          <w:caps w:val="0"/>
          <w:smallCaps w:val="0"/>
          <w:color w:val="auto"/>
          <w:spacing w:val="0"/>
          <w:w w:val="100"/>
          <w:position w:val="0"/>
          <w:szCs w:val="24"/>
          <w:highlight w:val="none"/>
        </w:rPr>
        <w:t>本项目施工期主要为管线施工对生态环境产生一定不利影响，主要体现在占用土地及破坏土壤、地表植被等。此外，施工扬尘、防腐废气、</w:t>
      </w:r>
      <w:r>
        <w:rPr>
          <w:rFonts w:hint="eastAsia" w:ascii="Times New Roman" w:hAnsi="Times New Roman" w:eastAsiaTheme="minorEastAsia"/>
          <w:caps w:val="0"/>
          <w:smallCaps w:val="0"/>
          <w:color w:val="auto"/>
          <w:spacing w:val="0"/>
          <w:w w:val="100"/>
          <w:position w:val="0"/>
          <w:szCs w:val="24"/>
          <w:highlight w:val="none"/>
        </w:rPr>
        <w:t>新建管线试压废水、</w:t>
      </w:r>
      <w:r>
        <w:rPr>
          <w:rFonts w:hint="eastAsia" w:ascii="Times New Roman" w:hAnsi="Times New Roman" w:eastAsiaTheme="minorEastAsia"/>
          <w:caps w:val="0"/>
          <w:smallCaps w:val="0"/>
          <w:color w:val="auto"/>
          <w:spacing w:val="0"/>
          <w:w w:val="100"/>
          <w:position w:val="0"/>
          <w:szCs w:val="24"/>
          <w:highlight w:val="none"/>
          <w:lang w:val="en-US" w:eastAsia="zh-CN"/>
        </w:rPr>
        <w:t>废弃</w:t>
      </w:r>
      <w:r>
        <w:rPr>
          <w:rFonts w:hint="eastAsia" w:ascii="Times New Roman" w:hAnsi="Times New Roman" w:eastAsiaTheme="minorEastAsia"/>
          <w:caps w:val="0"/>
          <w:smallCaps w:val="0"/>
          <w:color w:val="auto"/>
          <w:spacing w:val="0"/>
          <w:w w:val="100"/>
          <w:position w:val="0"/>
          <w:szCs w:val="24"/>
          <w:highlight w:val="none"/>
        </w:rPr>
        <w:t>管线清洗废水、</w:t>
      </w:r>
      <w:r>
        <w:rPr>
          <w:rFonts w:ascii="Times New Roman" w:hAnsi="Times New Roman" w:eastAsiaTheme="minorEastAsia"/>
          <w:caps w:val="0"/>
          <w:smallCaps w:val="0"/>
          <w:color w:val="auto"/>
          <w:spacing w:val="0"/>
          <w:w w:val="100"/>
          <w:position w:val="0"/>
          <w:szCs w:val="24"/>
          <w:highlight w:val="none"/>
        </w:rPr>
        <w:t>施工机械噪声、施工固废等对周围环境空气、声环境和地表水环境等也会产生一定影响。这种影响是短暂的，待施工结束后将随之消失。</w:t>
      </w:r>
    </w:p>
    <w:p w14:paraId="7D999912">
      <w:pPr>
        <w:pStyle w:val="31"/>
        <w:spacing w:line="440" w:lineRule="exact"/>
        <w:ind w:firstLine="480" w:firstLineChars="200"/>
        <w:jc w:val="both"/>
        <w:rPr>
          <w:rFonts w:ascii="Times New Roman" w:hAnsi="Times New Roman" w:eastAsiaTheme="minorEastAsia"/>
          <w:caps w:val="0"/>
          <w:smallCaps w:val="0"/>
          <w:color w:val="auto"/>
          <w:spacing w:val="0"/>
          <w:w w:val="100"/>
          <w:position w:val="0"/>
          <w:szCs w:val="24"/>
          <w:highlight w:val="none"/>
        </w:rPr>
      </w:pPr>
      <w:r>
        <w:rPr>
          <w:rFonts w:ascii="Times New Roman" w:hAnsi="Times New Roman" w:eastAsiaTheme="minorEastAsia"/>
          <w:caps w:val="0"/>
          <w:smallCaps w:val="0"/>
          <w:color w:val="auto"/>
          <w:spacing w:val="0"/>
          <w:w w:val="100"/>
          <w:position w:val="0"/>
          <w:szCs w:val="24"/>
          <w:highlight w:val="none"/>
        </w:rPr>
        <w:t>（2）营运期</w:t>
      </w:r>
    </w:p>
    <w:p w14:paraId="5CB6D6B1">
      <w:pPr>
        <w:pStyle w:val="31"/>
        <w:spacing w:line="440" w:lineRule="exact"/>
        <w:ind w:firstLine="480" w:firstLineChars="200"/>
        <w:jc w:val="both"/>
        <w:rPr>
          <w:rFonts w:ascii="Times New Roman" w:hAnsi="Times New Roman" w:eastAsiaTheme="minorEastAsia"/>
          <w:caps w:val="0"/>
          <w:smallCaps w:val="0"/>
          <w:color w:val="auto"/>
          <w:spacing w:val="0"/>
          <w:w w:val="100"/>
          <w:position w:val="0"/>
          <w:szCs w:val="24"/>
          <w:highlight w:val="none"/>
        </w:rPr>
      </w:pPr>
      <w:r>
        <w:rPr>
          <w:rFonts w:ascii="Times New Roman" w:hAnsi="Times New Roman" w:eastAsiaTheme="minorEastAsia"/>
          <w:caps w:val="0"/>
          <w:smallCaps w:val="0"/>
          <w:color w:val="auto"/>
          <w:spacing w:val="0"/>
          <w:w w:val="100"/>
          <w:position w:val="0"/>
          <w:szCs w:val="24"/>
          <w:highlight w:val="none"/>
        </w:rPr>
        <w:t>本项目为</w:t>
      </w:r>
      <w:r>
        <w:rPr>
          <w:rFonts w:ascii="Times New Roman" w:hAnsi="Times New Roman" w:eastAsiaTheme="minorEastAsia"/>
          <w:bCs/>
          <w:caps w:val="0"/>
          <w:smallCaps w:val="0"/>
          <w:color w:val="auto"/>
          <w:spacing w:val="0"/>
          <w:w w:val="100"/>
          <w:position w:val="0"/>
          <w:szCs w:val="24"/>
          <w:highlight w:val="none"/>
        </w:rPr>
        <w:t>油田内部</w:t>
      </w:r>
      <w:r>
        <w:rPr>
          <w:rFonts w:hint="eastAsia" w:ascii="Times New Roman" w:hAnsi="Times New Roman" w:eastAsiaTheme="minorEastAsia"/>
          <w:bCs/>
          <w:caps w:val="0"/>
          <w:smallCaps w:val="0"/>
          <w:color w:val="auto"/>
          <w:spacing w:val="0"/>
          <w:w w:val="100"/>
          <w:position w:val="0"/>
          <w:szCs w:val="24"/>
          <w:highlight w:val="none"/>
        </w:rPr>
        <w:t>输油管道及输气管道</w:t>
      </w:r>
      <w:r>
        <w:rPr>
          <w:rFonts w:ascii="Times New Roman" w:hAnsi="Times New Roman" w:eastAsiaTheme="minorEastAsia"/>
          <w:bCs/>
          <w:caps w:val="0"/>
          <w:smallCaps w:val="0"/>
          <w:color w:val="auto"/>
          <w:spacing w:val="0"/>
          <w:w w:val="100"/>
          <w:position w:val="0"/>
          <w:szCs w:val="24"/>
          <w:highlight w:val="none"/>
        </w:rPr>
        <w:t>建设项目</w:t>
      </w:r>
      <w:r>
        <w:rPr>
          <w:rFonts w:ascii="Times New Roman" w:hAnsi="Times New Roman" w:eastAsiaTheme="minorEastAsia"/>
          <w:caps w:val="0"/>
          <w:smallCaps w:val="0"/>
          <w:color w:val="auto"/>
          <w:spacing w:val="0"/>
          <w:w w:val="100"/>
          <w:position w:val="0"/>
          <w:szCs w:val="24"/>
          <w:highlight w:val="none"/>
        </w:rPr>
        <w:t>，管线密闭集输，正常工况下无废气、废水、噪声等产生，事故状态下存在潜在的含油污水泄漏风险，可能对环境空气、地表水、地下水和土壤环境等产生影响。</w:t>
      </w:r>
    </w:p>
    <w:p w14:paraId="21288582">
      <w:pPr>
        <w:pStyle w:val="31"/>
        <w:widowControl w:val="0"/>
        <w:spacing w:line="440" w:lineRule="exact"/>
        <w:ind w:firstLine="480" w:firstLineChars="200"/>
        <w:jc w:val="both"/>
        <w:rPr>
          <w:rFonts w:ascii="Times New Roman" w:hAnsi="Times New Roman" w:eastAsiaTheme="minorEastAsia"/>
          <w:caps w:val="0"/>
          <w:smallCaps w:val="0"/>
          <w:color w:val="auto"/>
          <w:spacing w:val="0"/>
          <w:w w:val="100"/>
          <w:position w:val="0"/>
          <w:szCs w:val="24"/>
          <w:highlight w:val="none"/>
        </w:rPr>
      </w:pPr>
      <w:r>
        <w:rPr>
          <w:rFonts w:ascii="Times New Roman" w:hAnsi="Times New Roman" w:eastAsiaTheme="minorEastAsia"/>
          <w:caps w:val="0"/>
          <w:smallCaps w:val="0"/>
          <w:color w:val="auto"/>
          <w:spacing w:val="0"/>
          <w:w w:val="100"/>
          <w:position w:val="0"/>
          <w:szCs w:val="24"/>
          <w:highlight w:val="none"/>
        </w:rPr>
        <w:t>（3）退役期</w:t>
      </w:r>
    </w:p>
    <w:p w14:paraId="64D4CAE7">
      <w:pPr>
        <w:pStyle w:val="31"/>
        <w:widowControl w:val="0"/>
        <w:spacing w:line="440" w:lineRule="exact"/>
        <w:ind w:firstLine="480" w:firstLineChars="200"/>
        <w:jc w:val="both"/>
        <w:rPr>
          <w:rFonts w:ascii="Times New Roman" w:hAnsi="Times New Roman" w:eastAsiaTheme="minorEastAsia"/>
          <w:caps w:val="0"/>
          <w:smallCaps w:val="0"/>
          <w:color w:val="auto"/>
          <w:spacing w:val="0"/>
          <w:w w:val="100"/>
          <w:position w:val="0"/>
          <w:szCs w:val="24"/>
          <w:highlight w:val="none"/>
        </w:rPr>
      </w:pPr>
      <w:r>
        <w:rPr>
          <w:rFonts w:ascii="Times New Roman" w:hAnsi="Times New Roman" w:eastAsiaTheme="minorEastAsia"/>
          <w:caps w:val="0"/>
          <w:smallCaps w:val="0"/>
          <w:color w:val="auto"/>
          <w:spacing w:val="0"/>
          <w:w w:val="100"/>
          <w:position w:val="0"/>
          <w:szCs w:val="24"/>
          <w:highlight w:val="none"/>
        </w:rPr>
        <w:t>本项目退役期环境的影响主要表现为管线封堵等施工活动，施工将造成一定程度的水土流失、扬尘等。</w:t>
      </w:r>
    </w:p>
    <w:p w14:paraId="4FF2C166">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根据工程实际情况，结合工程区域的自然环境特征，采用矩阵法对工程建设期间、运营期和退役期产生的影响进行识别，具体见表2.4-1。</w:t>
      </w:r>
    </w:p>
    <w:p w14:paraId="6505312A">
      <w:pPr>
        <w:widowControl w:val="0"/>
        <w:spacing w:line="440" w:lineRule="exact"/>
        <w:ind w:firstLine="482" w:firstLineChars="200"/>
        <w:jc w:val="both"/>
        <w:rPr>
          <w:rFonts w:ascii="Times New Roman" w:hAnsi="Times New Roman" w:cs="Times New Roman" w:eastAsiaTheme="minorEastAsia"/>
          <w:b/>
          <w:caps w:val="0"/>
          <w:smallCaps w:val="0"/>
          <w:color w:val="auto"/>
          <w:spacing w:val="0"/>
          <w:w w:val="100"/>
          <w:position w:val="0"/>
          <w:highlight w:val="none"/>
        </w:rPr>
      </w:pPr>
    </w:p>
    <w:p w14:paraId="1857C65F">
      <w:pPr>
        <w:pStyle w:val="66"/>
        <w:rPr>
          <w:caps w:val="0"/>
          <w:smallCaps w:val="0"/>
          <w:color w:val="auto"/>
          <w:spacing w:val="0"/>
          <w:w w:val="100"/>
          <w:position w:val="0"/>
          <w:highlight w:val="none"/>
        </w:rPr>
      </w:pPr>
    </w:p>
    <w:p w14:paraId="179C537E">
      <w:pPr>
        <w:rPr>
          <w:caps w:val="0"/>
          <w:smallCaps w:val="0"/>
          <w:color w:val="auto"/>
          <w:spacing w:val="0"/>
          <w:w w:val="100"/>
          <w:position w:val="0"/>
          <w:highlight w:val="none"/>
        </w:rPr>
      </w:pPr>
    </w:p>
    <w:p w14:paraId="1C37449B">
      <w:pPr>
        <w:widowControl w:val="0"/>
        <w:spacing w:line="440" w:lineRule="exact"/>
        <w:ind w:firstLine="482" w:firstLineChars="200"/>
        <w:jc w:val="both"/>
        <w:rPr>
          <w:rFonts w:ascii="Times New Roman" w:hAnsi="Times New Roman" w:cs="Times New Roman" w:eastAsiaTheme="minorEastAsia"/>
          <w:b/>
          <w:caps w:val="0"/>
          <w:smallCaps w:val="0"/>
          <w:color w:val="auto"/>
          <w:spacing w:val="0"/>
          <w:w w:val="100"/>
          <w:position w:val="0"/>
          <w:highlight w:val="none"/>
        </w:rPr>
      </w:pPr>
    </w:p>
    <w:p w14:paraId="348B21FD">
      <w:pPr>
        <w:widowControl w:val="0"/>
        <w:spacing w:line="440" w:lineRule="exact"/>
        <w:ind w:firstLine="482" w:firstLineChars="200"/>
        <w:jc w:val="both"/>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表2.4-1    环境影响因素矩阵识别表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713"/>
        <w:gridCol w:w="1389"/>
        <w:gridCol w:w="2034"/>
        <w:gridCol w:w="1742"/>
        <w:gridCol w:w="1163"/>
        <w:gridCol w:w="865"/>
      </w:tblGrid>
      <w:tr w14:paraId="42BC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Merge w:val="restart"/>
            <w:tcBorders>
              <w:tl2br w:val="single" w:color="auto" w:sz="4" w:space="0"/>
            </w:tcBorders>
            <w:vAlign w:val="center"/>
          </w:tcPr>
          <w:p w14:paraId="20089526">
            <w:pPr>
              <w:pStyle w:val="153"/>
              <w:widowControl w:val="0"/>
              <w:spacing w:line="360" w:lineRule="exact"/>
              <w:ind w:firstLine="210" w:firstLineChars="100"/>
              <w:jc w:val="righ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影响因素</w:t>
            </w:r>
          </w:p>
          <w:p w14:paraId="68652CC3">
            <w:pPr>
              <w:pStyle w:val="153"/>
              <w:widowControl w:val="0"/>
              <w:spacing w:line="360" w:lineRule="exact"/>
              <w:ind w:firstLine="210" w:firstLineChars="100"/>
              <w:jc w:val="left"/>
              <w:rPr>
                <w:rFonts w:ascii="Times New Roman" w:hAnsi="Times New Roman" w:eastAsiaTheme="minorEastAsia"/>
                <w:caps w:val="0"/>
                <w:smallCaps w:val="0"/>
                <w:snapToGrid w:val="0"/>
                <w:color w:val="auto"/>
                <w:spacing w:val="0"/>
                <w:w w:val="100"/>
                <w:kern w:val="0"/>
                <w:position w:val="0"/>
                <w:szCs w:val="21"/>
                <w:highlight w:val="none"/>
              </w:rPr>
            </w:pPr>
          </w:p>
          <w:p w14:paraId="29B292BF">
            <w:pPr>
              <w:pStyle w:val="153"/>
              <w:widowControl w:val="0"/>
              <w:spacing w:line="360" w:lineRule="exact"/>
              <w:jc w:val="left"/>
              <w:rPr>
                <w:rFonts w:ascii="Times New Roman" w:hAnsi="Times New Roman" w:eastAsiaTheme="minorEastAsia"/>
                <w:caps w:val="0"/>
                <w:smallCaps w:val="0"/>
                <w:snapToGrid w:val="0"/>
                <w:color w:val="auto"/>
                <w:spacing w:val="0"/>
                <w:w w:val="100"/>
                <w:kern w:val="0"/>
                <w:position w:val="0"/>
                <w:szCs w:val="21"/>
                <w:highlight w:val="none"/>
              </w:rPr>
            </w:pPr>
          </w:p>
          <w:p w14:paraId="7572E873">
            <w:pPr>
              <w:pStyle w:val="153"/>
              <w:widowControl w:val="0"/>
              <w:spacing w:line="360" w:lineRule="exact"/>
              <w:jc w:val="lef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环境因素</w:t>
            </w:r>
          </w:p>
        </w:tc>
        <w:tc>
          <w:tcPr>
            <w:tcW w:w="384" w:type="pct"/>
            <w:vMerge w:val="restart"/>
            <w:vAlign w:val="center"/>
          </w:tcPr>
          <w:p w14:paraId="21B53B8F">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工程占地</w:t>
            </w:r>
          </w:p>
        </w:tc>
        <w:tc>
          <w:tcPr>
            <w:tcW w:w="3407" w:type="pct"/>
            <w:gridSpan w:val="4"/>
            <w:vAlign w:val="center"/>
          </w:tcPr>
          <w:p w14:paraId="2F2994EC">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施工期</w:t>
            </w:r>
          </w:p>
        </w:tc>
        <w:tc>
          <w:tcPr>
            <w:tcW w:w="466" w:type="pct"/>
            <w:vAlign w:val="center"/>
          </w:tcPr>
          <w:p w14:paraId="047276A6">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运营期</w:t>
            </w:r>
          </w:p>
        </w:tc>
      </w:tr>
      <w:tr w14:paraId="4514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Merge w:val="continue"/>
            <w:tcBorders>
              <w:tl2br w:val="single" w:color="auto" w:sz="4" w:space="0"/>
            </w:tcBorders>
            <w:vAlign w:val="center"/>
          </w:tcPr>
          <w:p w14:paraId="2E58F670">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p>
        </w:tc>
        <w:tc>
          <w:tcPr>
            <w:tcW w:w="384" w:type="pct"/>
            <w:vMerge w:val="continue"/>
            <w:vAlign w:val="center"/>
          </w:tcPr>
          <w:p w14:paraId="6C9C626D">
            <w:pPr>
              <w:pStyle w:val="153"/>
              <w:widowControl w:val="0"/>
              <w:spacing w:line="360" w:lineRule="exact"/>
              <w:jc w:val="both"/>
              <w:rPr>
                <w:rFonts w:ascii="Times New Roman" w:hAnsi="Times New Roman" w:eastAsiaTheme="minorEastAsia"/>
                <w:caps w:val="0"/>
                <w:smallCaps w:val="0"/>
                <w:snapToGrid w:val="0"/>
                <w:color w:val="auto"/>
                <w:spacing w:val="0"/>
                <w:w w:val="100"/>
                <w:kern w:val="0"/>
                <w:position w:val="0"/>
                <w:szCs w:val="21"/>
                <w:highlight w:val="none"/>
              </w:rPr>
            </w:pPr>
          </w:p>
        </w:tc>
        <w:tc>
          <w:tcPr>
            <w:tcW w:w="748" w:type="pct"/>
            <w:vAlign w:val="center"/>
          </w:tcPr>
          <w:p w14:paraId="6302D08D">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废气</w:t>
            </w:r>
          </w:p>
        </w:tc>
        <w:tc>
          <w:tcPr>
            <w:tcW w:w="1095" w:type="pct"/>
            <w:vAlign w:val="center"/>
          </w:tcPr>
          <w:p w14:paraId="1F5410A0">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废水</w:t>
            </w:r>
          </w:p>
        </w:tc>
        <w:tc>
          <w:tcPr>
            <w:tcW w:w="938" w:type="pct"/>
            <w:vAlign w:val="center"/>
          </w:tcPr>
          <w:p w14:paraId="1BC18405">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固体废物</w:t>
            </w:r>
          </w:p>
        </w:tc>
        <w:tc>
          <w:tcPr>
            <w:tcW w:w="626" w:type="pct"/>
            <w:vAlign w:val="center"/>
          </w:tcPr>
          <w:p w14:paraId="7368F3C3">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噪声</w:t>
            </w:r>
          </w:p>
        </w:tc>
        <w:tc>
          <w:tcPr>
            <w:tcW w:w="466" w:type="pct"/>
            <w:vAlign w:val="center"/>
          </w:tcPr>
          <w:p w14:paraId="798B5FAA">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风险</w:t>
            </w:r>
          </w:p>
        </w:tc>
      </w:tr>
      <w:tr w14:paraId="0018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Merge w:val="continue"/>
            <w:tcBorders>
              <w:tl2br w:val="single" w:color="auto" w:sz="4" w:space="0"/>
            </w:tcBorders>
            <w:vAlign w:val="center"/>
          </w:tcPr>
          <w:p w14:paraId="547A9A19">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p>
        </w:tc>
        <w:tc>
          <w:tcPr>
            <w:tcW w:w="384" w:type="pct"/>
            <w:vMerge w:val="continue"/>
            <w:vAlign w:val="center"/>
          </w:tcPr>
          <w:p w14:paraId="3DFB703F">
            <w:pPr>
              <w:pStyle w:val="153"/>
              <w:widowControl w:val="0"/>
              <w:spacing w:line="360" w:lineRule="exact"/>
              <w:jc w:val="both"/>
              <w:rPr>
                <w:rFonts w:ascii="Times New Roman" w:hAnsi="Times New Roman" w:eastAsiaTheme="minorEastAsia"/>
                <w:caps w:val="0"/>
                <w:smallCaps w:val="0"/>
                <w:snapToGrid w:val="0"/>
                <w:color w:val="auto"/>
                <w:spacing w:val="0"/>
                <w:w w:val="100"/>
                <w:kern w:val="0"/>
                <w:position w:val="0"/>
                <w:szCs w:val="21"/>
                <w:highlight w:val="none"/>
              </w:rPr>
            </w:pPr>
          </w:p>
        </w:tc>
        <w:tc>
          <w:tcPr>
            <w:tcW w:w="748" w:type="pct"/>
            <w:vAlign w:val="center"/>
          </w:tcPr>
          <w:p w14:paraId="049DA2D2">
            <w:pPr>
              <w:pStyle w:val="153"/>
              <w:widowControl w:val="0"/>
              <w:kinsoku w:val="0"/>
              <w:overflowPunct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position w:val="0"/>
                <w:szCs w:val="21"/>
                <w:highlight w:val="none"/>
              </w:rPr>
              <w:t>施工扬尘、车辆尾气、焊接烟尘、防腐废气</w:t>
            </w:r>
          </w:p>
        </w:tc>
        <w:tc>
          <w:tcPr>
            <w:tcW w:w="1095" w:type="pct"/>
            <w:vAlign w:val="center"/>
          </w:tcPr>
          <w:p w14:paraId="3A23F881">
            <w:pPr>
              <w:pStyle w:val="153"/>
              <w:widowControl w:val="0"/>
              <w:kinsoku w:val="0"/>
              <w:overflowPunct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hint="eastAsia" w:ascii="Times New Roman" w:hAnsi="Times New Roman" w:eastAsiaTheme="minorEastAsia"/>
                <w:caps w:val="0"/>
                <w:smallCaps w:val="0"/>
                <w:color w:val="auto"/>
                <w:spacing w:val="0"/>
                <w:w w:val="100"/>
                <w:position w:val="0"/>
                <w:szCs w:val="21"/>
                <w:highlight w:val="none"/>
              </w:rPr>
              <w:t>新建管线试压废水、</w:t>
            </w:r>
            <w:r>
              <w:rPr>
                <w:rFonts w:hint="eastAsia" w:ascii="Times New Roman" w:hAnsi="Times New Roman" w:eastAsiaTheme="minorEastAsia"/>
                <w:caps w:val="0"/>
                <w:smallCaps w:val="0"/>
                <w:color w:val="auto"/>
                <w:spacing w:val="0"/>
                <w:w w:val="100"/>
                <w:position w:val="0"/>
                <w:szCs w:val="21"/>
                <w:highlight w:val="none"/>
                <w:lang w:val="en-US" w:eastAsia="zh-CN"/>
              </w:rPr>
              <w:t>废弃</w:t>
            </w:r>
            <w:r>
              <w:rPr>
                <w:rFonts w:hint="eastAsia" w:ascii="Times New Roman" w:hAnsi="Times New Roman" w:eastAsiaTheme="minorEastAsia"/>
                <w:caps w:val="0"/>
                <w:smallCaps w:val="0"/>
                <w:color w:val="auto"/>
                <w:spacing w:val="0"/>
                <w:w w:val="100"/>
                <w:position w:val="0"/>
                <w:szCs w:val="21"/>
                <w:highlight w:val="none"/>
              </w:rPr>
              <w:t>管线清洗废水、</w:t>
            </w:r>
            <w:r>
              <w:rPr>
                <w:rFonts w:ascii="Times New Roman" w:hAnsi="Times New Roman" w:eastAsiaTheme="minorEastAsia"/>
                <w:caps w:val="0"/>
                <w:smallCaps w:val="0"/>
                <w:color w:val="auto"/>
                <w:spacing w:val="0"/>
                <w:w w:val="100"/>
                <w:position w:val="0"/>
                <w:szCs w:val="21"/>
                <w:highlight w:val="none"/>
              </w:rPr>
              <w:t>生活污水</w:t>
            </w:r>
          </w:p>
        </w:tc>
        <w:tc>
          <w:tcPr>
            <w:tcW w:w="938" w:type="pct"/>
            <w:vAlign w:val="center"/>
          </w:tcPr>
          <w:p w14:paraId="6A0F46D1">
            <w:pPr>
              <w:pStyle w:val="153"/>
              <w:widowControl w:val="0"/>
              <w:kinsoku w:val="0"/>
              <w:overflowPunct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position w:val="0"/>
                <w:szCs w:val="21"/>
                <w:highlight w:val="none"/>
              </w:rPr>
              <w:t>施工废料</w:t>
            </w:r>
            <w:r>
              <w:rPr>
                <w:rFonts w:ascii="Times New Roman" w:hAnsi="Times New Roman" w:eastAsiaTheme="minorEastAsia"/>
                <w:caps w:val="0"/>
                <w:smallCaps w:val="0"/>
                <w:color w:val="auto"/>
                <w:spacing w:val="0"/>
                <w:w w:val="100"/>
                <w:position w:val="0"/>
                <w:highlight w:val="none"/>
              </w:rPr>
              <w:t>、</w:t>
            </w:r>
            <w:r>
              <w:rPr>
                <w:rFonts w:hint="eastAsia" w:ascii="Times New Roman" w:hAnsi="Times New Roman" w:eastAsiaTheme="minorEastAsia"/>
                <w:caps w:val="0"/>
                <w:smallCaps w:val="0"/>
                <w:color w:val="auto"/>
                <w:spacing w:val="0"/>
                <w:w w:val="100"/>
                <w:position w:val="0"/>
                <w:highlight w:val="none"/>
                <w:lang w:val="en-US" w:eastAsia="zh-CN"/>
              </w:rPr>
              <w:t>废弃泥浆、</w:t>
            </w:r>
            <w:r>
              <w:rPr>
                <w:rFonts w:ascii="Times New Roman" w:hAnsi="Times New Roman" w:eastAsiaTheme="minorEastAsia"/>
                <w:caps w:val="0"/>
                <w:smallCaps w:val="0"/>
                <w:color w:val="auto"/>
                <w:spacing w:val="0"/>
                <w:w w:val="100"/>
                <w:position w:val="0"/>
                <w:szCs w:val="21"/>
                <w:highlight w:val="none"/>
              </w:rPr>
              <w:t>生活垃圾</w:t>
            </w:r>
          </w:p>
        </w:tc>
        <w:tc>
          <w:tcPr>
            <w:tcW w:w="626" w:type="pct"/>
            <w:vAlign w:val="center"/>
          </w:tcPr>
          <w:p w14:paraId="7171786B">
            <w:pPr>
              <w:pStyle w:val="153"/>
              <w:widowControl w:val="0"/>
              <w:kinsoku w:val="0"/>
              <w:overflowPunct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施工机械、运输车辆噪声</w:t>
            </w:r>
          </w:p>
        </w:tc>
        <w:tc>
          <w:tcPr>
            <w:tcW w:w="466" w:type="pct"/>
            <w:vAlign w:val="center"/>
          </w:tcPr>
          <w:p w14:paraId="19735410">
            <w:pPr>
              <w:pStyle w:val="153"/>
              <w:widowControl w:val="0"/>
              <w:kinsoku w:val="0"/>
              <w:overflowPunct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管线泄漏</w:t>
            </w:r>
          </w:p>
        </w:tc>
      </w:tr>
      <w:tr w14:paraId="5341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01CAEA27">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环境空气</w:t>
            </w:r>
          </w:p>
        </w:tc>
        <w:tc>
          <w:tcPr>
            <w:tcW w:w="384" w:type="pct"/>
            <w:vAlign w:val="center"/>
          </w:tcPr>
          <w:p w14:paraId="7A25B65B">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748" w:type="pct"/>
            <w:vAlign w:val="center"/>
          </w:tcPr>
          <w:p w14:paraId="748C98FA">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1095" w:type="pct"/>
            <w:vAlign w:val="center"/>
          </w:tcPr>
          <w:p w14:paraId="15DB3624">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38" w:type="pct"/>
            <w:vAlign w:val="center"/>
          </w:tcPr>
          <w:p w14:paraId="28EAE5A6">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626" w:type="pct"/>
            <w:vAlign w:val="center"/>
          </w:tcPr>
          <w:p w14:paraId="4010DCCE">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466" w:type="pct"/>
            <w:vAlign w:val="center"/>
          </w:tcPr>
          <w:p w14:paraId="35ADA8BA">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r>
      <w:tr w14:paraId="29A6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14BCE25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地表水</w:t>
            </w:r>
          </w:p>
        </w:tc>
        <w:tc>
          <w:tcPr>
            <w:tcW w:w="384" w:type="pct"/>
            <w:vAlign w:val="center"/>
          </w:tcPr>
          <w:p w14:paraId="7B9FF25A">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748" w:type="pct"/>
            <w:vAlign w:val="center"/>
          </w:tcPr>
          <w:p w14:paraId="56256DDD">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1095" w:type="pct"/>
            <w:vAlign w:val="center"/>
          </w:tcPr>
          <w:p w14:paraId="6479E2AE">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c>
          <w:tcPr>
            <w:tcW w:w="938" w:type="pct"/>
            <w:vAlign w:val="center"/>
          </w:tcPr>
          <w:p w14:paraId="11096E9F">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626" w:type="pct"/>
            <w:vAlign w:val="center"/>
          </w:tcPr>
          <w:p w14:paraId="418CD436">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466" w:type="pct"/>
            <w:vAlign w:val="center"/>
          </w:tcPr>
          <w:p w14:paraId="353B3E7E">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-SA</w:t>
            </w:r>
          </w:p>
        </w:tc>
      </w:tr>
      <w:tr w14:paraId="0099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6388ACFB">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地下水</w:t>
            </w:r>
          </w:p>
        </w:tc>
        <w:tc>
          <w:tcPr>
            <w:tcW w:w="384" w:type="pct"/>
            <w:vAlign w:val="center"/>
          </w:tcPr>
          <w:p w14:paraId="06023C62">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748" w:type="pct"/>
            <w:vAlign w:val="center"/>
          </w:tcPr>
          <w:p w14:paraId="4A2D7A45">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1095" w:type="pct"/>
            <w:vAlign w:val="center"/>
          </w:tcPr>
          <w:p w14:paraId="33D5EF9C">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c>
          <w:tcPr>
            <w:tcW w:w="938" w:type="pct"/>
            <w:vAlign w:val="center"/>
          </w:tcPr>
          <w:p w14:paraId="0D586EB9">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626" w:type="pct"/>
            <w:vAlign w:val="center"/>
          </w:tcPr>
          <w:p w14:paraId="6E66D3DA">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466" w:type="pct"/>
            <w:vAlign w:val="center"/>
          </w:tcPr>
          <w:p w14:paraId="5F0DE64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-SA</w:t>
            </w:r>
          </w:p>
        </w:tc>
      </w:tr>
      <w:tr w14:paraId="1C63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121E28C2">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声环境</w:t>
            </w:r>
          </w:p>
        </w:tc>
        <w:tc>
          <w:tcPr>
            <w:tcW w:w="384" w:type="pct"/>
            <w:vAlign w:val="center"/>
          </w:tcPr>
          <w:p w14:paraId="56784257">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748" w:type="pct"/>
            <w:vAlign w:val="center"/>
          </w:tcPr>
          <w:p w14:paraId="08D912C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1095" w:type="pct"/>
            <w:vAlign w:val="center"/>
          </w:tcPr>
          <w:p w14:paraId="79C7FC3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38" w:type="pct"/>
            <w:vAlign w:val="center"/>
          </w:tcPr>
          <w:p w14:paraId="30BA9D61">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626" w:type="pct"/>
            <w:vAlign w:val="center"/>
          </w:tcPr>
          <w:p w14:paraId="090732AC">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466" w:type="pct"/>
            <w:vAlign w:val="center"/>
          </w:tcPr>
          <w:p w14:paraId="7285BE19">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r>
      <w:tr w14:paraId="33CF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6C5C62BA">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土壤</w:t>
            </w:r>
          </w:p>
        </w:tc>
        <w:tc>
          <w:tcPr>
            <w:tcW w:w="384" w:type="pct"/>
            <w:vAlign w:val="center"/>
          </w:tcPr>
          <w:p w14:paraId="5BEF9B8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748" w:type="pct"/>
            <w:vAlign w:val="center"/>
          </w:tcPr>
          <w:p w14:paraId="2E83EDB5">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1095" w:type="pct"/>
            <w:vAlign w:val="center"/>
          </w:tcPr>
          <w:p w14:paraId="4A20FDC9">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38" w:type="pct"/>
            <w:vAlign w:val="center"/>
          </w:tcPr>
          <w:p w14:paraId="34C5AA87">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626" w:type="pct"/>
            <w:vAlign w:val="center"/>
          </w:tcPr>
          <w:p w14:paraId="1204317D">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466" w:type="pct"/>
            <w:vAlign w:val="center"/>
          </w:tcPr>
          <w:p w14:paraId="5D2EA469">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-SA</w:t>
            </w:r>
          </w:p>
        </w:tc>
      </w:tr>
      <w:tr w14:paraId="5B26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1B2BBAC5">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植被</w:t>
            </w:r>
          </w:p>
        </w:tc>
        <w:tc>
          <w:tcPr>
            <w:tcW w:w="384" w:type="pct"/>
            <w:vAlign w:val="center"/>
          </w:tcPr>
          <w:p w14:paraId="0D089163">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748" w:type="pct"/>
            <w:vAlign w:val="center"/>
          </w:tcPr>
          <w:p w14:paraId="3DE7AAB4">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1095" w:type="pct"/>
            <w:vAlign w:val="center"/>
          </w:tcPr>
          <w:p w14:paraId="3CD34340">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38" w:type="pct"/>
            <w:vAlign w:val="center"/>
          </w:tcPr>
          <w:p w14:paraId="55879A27">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626" w:type="pct"/>
            <w:vAlign w:val="center"/>
          </w:tcPr>
          <w:p w14:paraId="19A7F8F0">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466" w:type="pct"/>
            <w:vAlign w:val="center"/>
          </w:tcPr>
          <w:p w14:paraId="28ECA71D">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-SA</w:t>
            </w:r>
          </w:p>
        </w:tc>
      </w:tr>
      <w:tr w14:paraId="2448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10A6BB2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动物</w:t>
            </w:r>
          </w:p>
        </w:tc>
        <w:tc>
          <w:tcPr>
            <w:tcW w:w="384" w:type="pct"/>
            <w:vAlign w:val="center"/>
          </w:tcPr>
          <w:p w14:paraId="4CDD960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-S</w:t>
            </w:r>
          </w:p>
        </w:tc>
        <w:tc>
          <w:tcPr>
            <w:tcW w:w="748" w:type="pct"/>
            <w:vAlign w:val="center"/>
          </w:tcPr>
          <w:p w14:paraId="50E58909">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1095" w:type="pct"/>
            <w:vAlign w:val="center"/>
          </w:tcPr>
          <w:p w14:paraId="60802317">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38" w:type="pct"/>
            <w:vAlign w:val="center"/>
          </w:tcPr>
          <w:p w14:paraId="21DCFCD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626" w:type="pct"/>
            <w:vAlign w:val="center"/>
          </w:tcPr>
          <w:p w14:paraId="4BFA7988">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466" w:type="pct"/>
            <w:vAlign w:val="center"/>
          </w:tcPr>
          <w:p w14:paraId="525490C7">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-SA</w:t>
            </w:r>
          </w:p>
        </w:tc>
      </w:tr>
      <w:tr w14:paraId="3A07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7"/>
            <w:vAlign w:val="center"/>
          </w:tcPr>
          <w:p w14:paraId="60E7A380">
            <w:pPr>
              <w:pStyle w:val="153"/>
              <w:spacing w:line="360" w:lineRule="exact"/>
              <w:jc w:val="left"/>
              <w:rPr>
                <w:rFonts w:ascii="Times New Roman" w:hAnsi="Times New Roman" w:eastAsiaTheme="minorEastAsia"/>
                <w:caps w:val="0"/>
                <w:smallCaps w:val="0"/>
                <w:snapToGrid w:val="0"/>
                <w:color w:val="auto"/>
                <w:spacing w:val="0"/>
                <w:w w:val="100"/>
                <w:position w:val="0"/>
                <w:szCs w:val="21"/>
                <w:highlight w:val="none"/>
                <w:lang w:val="en-US"/>
              </w:rPr>
            </w:pPr>
            <w:r>
              <w:rPr>
                <w:rFonts w:ascii="Times New Roman" w:hAnsi="Times New Roman" w:eastAsiaTheme="minorEastAsia"/>
                <w:caps w:val="0"/>
                <w:smallCaps w:val="0"/>
                <w:snapToGrid w:val="0"/>
                <w:color w:val="auto"/>
                <w:spacing w:val="0"/>
                <w:w w:val="100"/>
                <w:position w:val="0"/>
                <w:szCs w:val="21"/>
                <w:highlight w:val="none"/>
                <w:lang w:val="en-US"/>
              </w:rPr>
              <w:t>注：-：不利影响   +：有利影响   L：长期影响   S：短期影响   A：显著影响    /：表示此项环境因子不存在或与工程活动无关</w:t>
            </w:r>
          </w:p>
        </w:tc>
      </w:tr>
    </w:tbl>
    <w:p w14:paraId="63832CBA">
      <w:pPr>
        <w:widowControl w:val="0"/>
        <w:spacing w:line="440" w:lineRule="exact"/>
        <w:ind w:firstLine="482" w:firstLineChars="200"/>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续表2.4-1    环境影响因素矩阵识别表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3"/>
        <w:gridCol w:w="882"/>
        <w:gridCol w:w="1748"/>
        <w:gridCol w:w="1597"/>
        <w:gridCol w:w="1597"/>
        <w:gridCol w:w="1731"/>
        <w:gridCol w:w="8"/>
      </w:tblGrid>
      <w:tr w14:paraId="62E1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Merge w:val="restart"/>
            <w:tcBorders>
              <w:tl2br w:val="single" w:color="auto" w:sz="4" w:space="0"/>
            </w:tcBorders>
            <w:vAlign w:val="center"/>
          </w:tcPr>
          <w:p w14:paraId="48AD2CE2">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 xml:space="preserve">      影响因素</w:t>
            </w:r>
          </w:p>
          <w:p w14:paraId="2D2003A1">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p>
          <w:p w14:paraId="220EFF67">
            <w:pPr>
              <w:pStyle w:val="153"/>
              <w:widowControl w:val="0"/>
              <w:spacing w:line="320" w:lineRule="exact"/>
              <w:jc w:val="lef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环境因素</w:t>
            </w:r>
          </w:p>
        </w:tc>
        <w:tc>
          <w:tcPr>
            <w:tcW w:w="475" w:type="pct"/>
            <w:vMerge w:val="restart"/>
            <w:vAlign w:val="center"/>
          </w:tcPr>
          <w:p w14:paraId="5714FDF7">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工程占地</w:t>
            </w:r>
          </w:p>
        </w:tc>
        <w:tc>
          <w:tcPr>
            <w:tcW w:w="3593" w:type="pct"/>
            <w:gridSpan w:val="4"/>
            <w:vAlign w:val="center"/>
          </w:tcPr>
          <w:p w14:paraId="680D41C8">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退役期</w:t>
            </w:r>
          </w:p>
        </w:tc>
      </w:tr>
      <w:tr w14:paraId="7AFA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Merge w:val="continue"/>
            <w:tcBorders>
              <w:tl2br w:val="single" w:color="auto" w:sz="4" w:space="0"/>
            </w:tcBorders>
            <w:vAlign w:val="center"/>
          </w:tcPr>
          <w:p w14:paraId="2672430F">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p>
        </w:tc>
        <w:tc>
          <w:tcPr>
            <w:tcW w:w="475" w:type="pct"/>
            <w:vMerge w:val="continue"/>
            <w:vAlign w:val="center"/>
          </w:tcPr>
          <w:p w14:paraId="1B77EA55">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p>
        </w:tc>
        <w:tc>
          <w:tcPr>
            <w:tcW w:w="941" w:type="pct"/>
            <w:vAlign w:val="center"/>
          </w:tcPr>
          <w:p w14:paraId="4B903F62">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废气</w:t>
            </w:r>
          </w:p>
        </w:tc>
        <w:tc>
          <w:tcPr>
            <w:tcW w:w="860" w:type="pct"/>
            <w:vAlign w:val="center"/>
          </w:tcPr>
          <w:p w14:paraId="42DD00BD">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废水</w:t>
            </w:r>
          </w:p>
        </w:tc>
        <w:tc>
          <w:tcPr>
            <w:tcW w:w="860" w:type="pct"/>
            <w:vAlign w:val="center"/>
          </w:tcPr>
          <w:p w14:paraId="32D19EEF">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固体废物</w:t>
            </w:r>
          </w:p>
        </w:tc>
        <w:tc>
          <w:tcPr>
            <w:tcW w:w="932" w:type="pct"/>
            <w:vAlign w:val="center"/>
          </w:tcPr>
          <w:p w14:paraId="51194146">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噪声</w:t>
            </w:r>
          </w:p>
        </w:tc>
      </w:tr>
      <w:tr w14:paraId="53AF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Merge w:val="continue"/>
            <w:tcBorders>
              <w:tl2br w:val="single" w:color="auto" w:sz="4" w:space="0"/>
            </w:tcBorders>
            <w:vAlign w:val="center"/>
          </w:tcPr>
          <w:p w14:paraId="48E1F3C4">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p>
        </w:tc>
        <w:tc>
          <w:tcPr>
            <w:tcW w:w="475" w:type="pct"/>
            <w:vMerge w:val="continue"/>
            <w:vAlign w:val="center"/>
          </w:tcPr>
          <w:p w14:paraId="0CB6703E">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p>
        </w:tc>
        <w:tc>
          <w:tcPr>
            <w:tcW w:w="941" w:type="pct"/>
            <w:vAlign w:val="center"/>
          </w:tcPr>
          <w:p w14:paraId="22E3AAC4">
            <w:pPr>
              <w:pStyle w:val="153"/>
              <w:widowControl w:val="0"/>
              <w:kinsoku w:val="0"/>
              <w:overflowPunct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position w:val="0"/>
                <w:szCs w:val="21"/>
                <w:highlight w:val="none"/>
              </w:rPr>
              <w:t>施工扬尘、车辆尾气</w:t>
            </w:r>
          </w:p>
        </w:tc>
        <w:tc>
          <w:tcPr>
            <w:tcW w:w="860" w:type="pct"/>
            <w:vAlign w:val="center"/>
          </w:tcPr>
          <w:p w14:paraId="53909A9B">
            <w:pPr>
              <w:pStyle w:val="153"/>
              <w:widowControl w:val="0"/>
              <w:kinsoku w:val="0"/>
              <w:overflowPunct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position w:val="0"/>
                <w:szCs w:val="21"/>
                <w:highlight w:val="none"/>
              </w:rPr>
              <w:t>退役管线清洗废水、生活污水</w:t>
            </w:r>
          </w:p>
        </w:tc>
        <w:tc>
          <w:tcPr>
            <w:tcW w:w="860" w:type="pct"/>
            <w:vAlign w:val="center"/>
          </w:tcPr>
          <w:p w14:paraId="37EB8747">
            <w:pPr>
              <w:pStyle w:val="153"/>
              <w:widowControl w:val="0"/>
              <w:kinsoku w:val="0"/>
              <w:overflowPunct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position w:val="0"/>
                <w:szCs w:val="21"/>
                <w:highlight w:val="none"/>
              </w:rPr>
              <w:t>生活垃圾</w:t>
            </w:r>
          </w:p>
        </w:tc>
        <w:tc>
          <w:tcPr>
            <w:tcW w:w="932" w:type="pct"/>
            <w:vAlign w:val="center"/>
          </w:tcPr>
          <w:p w14:paraId="0C8A67A3">
            <w:pPr>
              <w:pStyle w:val="153"/>
              <w:widowControl w:val="0"/>
              <w:kinsoku w:val="0"/>
              <w:overflowPunct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施工机械和车辆</w:t>
            </w:r>
            <w:r>
              <w:rPr>
                <w:rFonts w:ascii="Times New Roman" w:hAnsi="Times New Roman" w:eastAsiaTheme="minorEastAsia"/>
                <w:caps w:val="0"/>
                <w:smallCaps w:val="0"/>
                <w:snapToGrid w:val="0"/>
                <w:color w:val="auto"/>
                <w:spacing w:val="0"/>
                <w:w w:val="100"/>
                <w:kern w:val="0"/>
                <w:position w:val="0"/>
                <w:szCs w:val="21"/>
                <w:highlight w:val="none"/>
                <w:lang w:val="en-US"/>
              </w:rPr>
              <w:t>噪声</w:t>
            </w:r>
          </w:p>
        </w:tc>
      </w:tr>
      <w:tr w14:paraId="12BF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6E5D6AA0">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环境空气</w:t>
            </w:r>
          </w:p>
        </w:tc>
        <w:tc>
          <w:tcPr>
            <w:tcW w:w="475" w:type="pct"/>
            <w:vAlign w:val="center"/>
          </w:tcPr>
          <w:p w14:paraId="57577971">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41" w:type="pct"/>
            <w:vAlign w:val="center"/>
          </w:tcPr>
          <w:p w14:paraId="6F38C051">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c>
          <w:tcPr>
            <w:tcW w:w="860" w:type="pct"/>
            <w:vAlign w:val="center"/>
          </w:tcPr>
          <w:p w14:paraId="5CE3B7BB">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4429E3E8">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32" w:type="pct"/>
            <w:vAlign w:val="center"/>
          </w:tcPr>
          <w:p w14:paraId="44667FD6">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w:t>
            </w:r>
          </w:p>
        </w:tc>
      </w:tr>
      <w:tr w14:paraId="71D1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4E05EBC1">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地表水</w:t>
            </w:r>
          </w:p>
        </w:tc>
        <w:tc>
          <w:tcPr>
            <w:tcW w:w="475" w:type="pct"/>
            <w:vAlign w:val="center"/>
          </w:tcPr>
          <w:p w14:paraId="2047D229">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41" w:type="pct"/>
            <w:vAlign w:val="center"/>
          </w:tcPr>
          <w:p w14:paraId="369A39AA">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4E497B2D">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c>
          <w:tcPr>
            <w:tcW w:w="860" w:type="pct"/>
            <w:vAlign w:val="center"/>
          </w:tcPr>
          <w:p w14:paraId="7E198D91">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c>
          <w:tcPr>
            <w:tcW w:w="932" w:type="pct"/>
            <w:vAlign w:val="center"/>
          </w:tcPr>
          <w:p w14:paraId="08E09315">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w:t>
            </w:r>
          </w:p>
        </w:tc>
      </w:tr>
      <w:tr w14:paraId="54E8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4B44EEE9">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地下水</w:t>
            </w:r>
          </w:p>
        </w:tc>
        <w:tc>
          <w:tcPr>
            <w:tcW w:w="475" w:type="pct"/>
            <w:vAlign w:val="center"/>
          </w:tcPr>
          <w:p w14:paraId="762C8D78">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41" w:type="pct"/>
            <w:vAlign w:val="center"/>
          </w:tcPr>
          <w:p w14:paraId="1AB38B3E">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367B841B">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c>
          <w:tcPr>
            <w:tcW w:w="860" w:type="pct"/>
            <w:vAlign w:val="center"/>
          </w:tcPr>
          <w:p w14:paraId="6F065D0B">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c>
          <w:tcPr>
            <w:tcW w:w="932" w:type="pct"/>
            <w:vAlign w:val="center"/>
          </w:tcPr>
          <w:p w14:paraId="18FC9170">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w:t>
            </w:r>
          </w:p>
        </w:tc>
      </w:tr>
      <w:tr w14:paraId="0765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72AD1192">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声环境</w:t>
            </w:r>
          </w:p>
        </w:tc>
        <w:tc>
          <w:tcPr>
            <w:tcW w:w="475" w:type="pct"/>
            <w:vAlign w:val="center"/>
          </w:tcPr>
          <w:p w14:paraId="752A6447">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41" w:type="pct"/>
            <w:vAlign w:val="center"/>
          </w:tcPr>
          <w:p w14:paraId="23E43C1C">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0D0C5A8E">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334D4C2D">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32" w:type="pct"/>
            <w:vAlign w:val="center"/>
          </w:tcPr>
          <w:p w14:paraId="13EDD696">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r>
      <w:tr w14:paraId="598F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14860314">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土壤</w:t>
            </w:r>
          </w:p>
        </w:tc>
        <w:tc>
          <w:tcPr>
            <w:tcW w:w="475" w:type="pct"/>
            <w:vAlign w:val="center"/>
          </w:tcPr>
          <w:p w14:paraId="1B78F603">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941" w:type="pct"/>
            <w:vAlign w:val="center"/>
          </w:tcPr>
          <w:p w14:paraId="6D72847A">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085EA07A">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145CD144">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-S</w:t>
            </w:r>
          </w:p>
        </w:tc>
        <w:tc>
          <w:tcPr>
            <w:tcW w:w="932" w:type="pct"/>
            <w:vAlign w:val="center"/>
          </w:tcPr>
          <w:p w14:paraId="702DB1BF">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w:t>
            </w:r>
          </w:p>
        </w:tc>
      </w:tr>
      <w:tr w14:paraId="0AB3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345B0D21">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植被</w:t>
            </w:r>
          </w:p>
        </w:tc>
        <w:tc>
          <w:tcPr>
            <w:tcW w:w="475" w:type="pct"/>
            <w:vAlign w:val="center"/>
          </w:tcPr>
          <w:p w14:paraId="536E187B">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941" w:type="pct"/>
            <w:vAlign w:val="center"/>
          </w:tcPr>
          <w:p w14:paraId="0723EC95">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860" w:type="pct"/>
            <w:vAlign w:val="center"/>
          </w:tcPr>
          <w:p w14:paraId="5E42D010">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620FF162">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-S</w:t>
            </w:r>
          </w:p>
        </w:tc>
        <w:tc>
          <w:tcPr>
            <w:tcW w:w="932" w:type="pct"/>
            <w:vAlign w:val="center"/>
          </w:tcPr>
          <w:p w14:paraId="267BB1FB">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w:t>
            </w:r>
          </w:p>
        </w:tc>
      </w:tr>
      <w:tr w14:paraId="1A1C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227423B1">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动物</w:t>
            </w:r>
          </w:p>
        </w:tc>
        <w:tc>
          <w:tcPr>
            <w:tcW w:w="475" w:type="pct"/>
            <w:vAlign w:val="center"/>
          </w:tcPr>
          <w:p w14:paraId="0FB199C5">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941" w:type="pct"/>
            <w:vAlign w:val="center"/>
          </w:tcPr>
          <w:p w14:paraId="2AD2A3F6">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r>
              <w:rPr>
                <w:rFonts w:ascii="Times New Roman" w:hAnsi="Times New Roman"/>
                <w:caps w:val="0"/>
                <w:smallCaps w:val="0"/>
                <w:color w:val="auto"/>
                <w:spacing w:val="0"/>
                <w:w w:val="100"/>
                <w:position w:val="0"/>
                <w:szCs w:val="21"/>
                <w:highlight w:val="none"/>
              </w:rPr>
              <w:t>S</w:t>
            </w:r>
          </w:p>
        </w:tc>
        <w:tc>
          <w:tcPr>
            <w:tcW w:w="860" w:type="pct"/>
            <w:vAlign w:val="center"/>
          </w:tcPr>
          <w:p w14:paraId="217A9FB1">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860" w:type="pct"/>
            <w:vAlign w:val="center"/>
          </w:tcPr>
          <w:p w14:paraId="4E4BA2A9">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w:t>
            </w:r>
          </w:p>
        </w:tc>
        <w:tc>
          <w:tcPr>
            <w:tcW w:w="932" w:type="pct"/>
            <w:vAlign w:val="center"/>
          </w:tcPr>
          <w:p w14:paraId="40E53D95">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-S</w:t>
            </w:r>
          </w:p>
        </w:tc>
      </w:tr>
      <w:tr w14:paraId="4877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7"/>
            <w:vAlign w:val="center"/>
          </w:tcPr>
          <w:p w14:paraId="38559A79">
            <w:pPr>
              <w:pStyle w:val="153"/>
              <w:widowControl w:val="0"/>
              <w:spacing w:line="320" w:lineRule="exact"/>
              <w:jc w:val="left"/>
              <w:rPr>
                <w:rFonts w:ascii="Times New Roman" w:hAnsi="Times New Roman" w:eastAsiaTheme="minorEastAsia"/>
                <w:caps w:val="0"/>
                <w:smallCaps w:val="0"/>
                <w:snapToGrid w:val="0"/>
                <w:color w:val="auto"/>
                <w:spacing w:val="0"/>
                <w:w w:val="100"/>
                <w:kern w:val="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lang w:val="en-US"/>
              </w:rPr>
              <w:t>注：-：不利影响   +：有利影响   L：长期影响   S：短期影响   A：显著影响    /：表示此项环境因子不存在或与工程活动无关</w:t>
            </w:r>
          </w:p>
        </w:tc>
      </w:tr>
    </w:tbl>
    <w:p w14:paraId="56742693">
      <w:pPr>
        <w:pStyle w:val="149"/>
        <w:widowControl w:val="0"/>
        <w:spacing w:line="440" w:lineRule="exact"/>
        <w:ind w:firstLine="473"/>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从上表可知，本项目的主要环境影响表现在生态环境、地下水环境、环境风险、环境空气、土壤环境、声环境等方面，这些影响大部分是短期局部可逆影响，项目服务期满影响基本可以消除。</w:t>
      </w:r>
    </w:p>
    <w:p w14:paraId="09B5B580">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224" w:name="_Toc57976645"/>
      <w:bookmarkStart w:id="225" w:name="_Toc21320"/>
      <w:bookmarkStart w:id="226" w:name="_Toc76976214"/>
      <w:bookmarkStart w:id="227" w:name="_Toc84929199"/>
      <w:bookmarkStart w:id="228" w:name="_Toc110438450"/>
      <w:bookmarkStart w:id="229" w:name="_Toc17898135"/>
      <w:bookmarkStart w:id="230" w:name="_Toc57707890"/>
      <w:bookmarkStart w:id="231" w:name="_Toc80971348"/>
      <w:bookmarkStart w:id="232" w:name="_Toc83209443"/>
      <w:bookmarkStart w:id="233" w:name="_Toc77067630"/>
      <w:bookmarkStart w:id="234" w:name="_Toc67860099"/>
      <w:bookmarkStart w:id="235" w:name="_Toc70050146"/>
      <w:bookmarkStart w:id="236" w:name="_Toc78816431"/>
      <w:bookmarkStart w:id="237" w:name="_Toc85640723"/>
      <w:bookmarkStart w:id="238" w:name="_Toc80588226"/>
      <w:bookmarkStart w:id="239" w:name="_Toc86141906"/>
      <w:bookmarkStart w:id="240" w:name="_Toc61597192"/>
      <w:bookmarkStart w:id="241" w:name="_Toc57203220"/>
      <w:r>
        <w:rPr>
          <w:rFonts w:eastAsiaTheme="minorEastAsia"/>
          <w:b/>
          <w:caps w:val="0"/>
          <w:smallCaps w:val="0"/>
          <w:color w:val="auto"/>
          <w:spacing w:val="0"/>
          <w:w w:val="100"/>
          <w:kern w:val="2"/>
          <w:position w:val="0"/>
          <w:sz w:val="24"/>
          <w:szCs w:val="24"/>
          <w:highlight w:val="none"/>
        </w:rPr>
        <w:t>2.4.3评价因子筛选</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6A04D3F9">
      <w:pPr>
        <w:pStyle w:val="149"/>
        <w:widowControl w:val="0"/>
        <w:spacing w:line="440" w:lineRule="exact"/>
        <w:ind w:firstLine="473"/>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rPr>
        <w:t>经过对本项目产生污染物排放特点及周围环境情况进行分析后，确定本工程评价因子详见表2.4-2~表2.4-4。</w:t>
      </w:r>
    </w:p>
    <w:p w14:paraId="654DE777">
      <w:pPr>
        <w:pStyle w:val="149"/>
        <w:widowControl w:val="0"/>
        <w:spacing w:line="440" w:lineRule="exact"/>
        <w:ind w:firstLine="478"/>
        <w:rPr>
          <w:rFonts w:ascii="Times New Roman" w:hAnsi="Times New Roman"/>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表2.4-2    污染影响评价因子表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579"/>
        <w:gridCol w:w="726"/>
        <w:gridCol w:w="1163"/>
        <w:gridCol w:w="6239"/>
      </w:tblGrid>
      <w:tr w14:paraId="4A03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pct"/>
            <w:gridSpan w:val="3"/>
            <w:vAlign w:val="center"/>
          </w:tcPr>
          <w:p w14:paraId="4203092B">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序号</w:t>
            </w:r>
          </w:p>
        </w:tc>
        <w:tc>
          <w:tcPr>
            <w:tcW w:w="626" w:type="pct"/>
            <w:vAlign w:val="center"/>
          </w:tcPr>
          <w:p w14:paraId="646172F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评价内容</w:t>
            </w:r>
          </w:p>
        </w:tc>
        <w:tc>
          <w:tcPr>
            <w:tcW w:w="3359" w:type="pct"/>
            <w:vAlign w:val="center"/>
          </w:tcPr>
          <w:p w14:paraId="3CE29B2C">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评价因子名称</w:t>
            </w:r>
          </w:p>
        </w:tc>
      </w:tr>
      <w:tr w14:paraId="08A9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restart"/>
            <w:vAlign w:val="center"/>
          </w:tcPr>
          <w:p w14:paraId="504ABE32">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现状调查因子</w:t>
            </w:r>
          </w:p>
        </w:tc>
        <w:tc>
          <w:tcPr>
            <w:tcW w:w="391" w:type="pct"/>
            <w:vAlign w:val="center"/>
          </w:tcPr>
          <w:p w14:paraId="0227DF4F">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1</w:t>
            </w:r>
          </w:p>
        </w:tc>
        <w:tc>
          <w:tcPr>
            <w:tcW w:w="626" w:type="pct"/>
            <w:vAlign w:val="center"/>
          </w:tcPr>
          <w:p w14:paraId="5D39B60C">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空气</w:t>
            </w:r>
          </w:p>
        </w:tc>
        <w:tc>
          <w:tcPr>
            <w:tcW w:w="3359" w:type="pct"/>
            <w:vAlign w:val="center"/>
          </w:tcPr>
          <w:p w14:paraId="3B567708">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NO</w:t>
            </w:r>
            <w:r>
              <w:rPr>
                <w:rFonts w:ascii="Times New Roman" w:hAnsi="Times New Roman" w:eastAsiaTheme="minorEastAsia"/>
                <w:caps w:val="0"/>
                <w:smallCaps w:val="0"/>
                <w:color w:val="auto"/>
                <w:spacing w:val="0"/>
                <w:w w:val="100"/>
                <w:position w:val="0"/>
                <w:szCs w:val="21"/>
                <w:highlight w:val="none"/>
                <w:vertAlign w:val="subscript"/>
              </w:rPr>
              <w:t>2</w:t>
            </w:r>
            <w:r>
              <w:rPr>
                <w:rFonts w:ascii="Times New Roman" w:hAnsi="Times New Roman" w:eastAsiaTheme="minorEastAsia"/>
                <w:caps w:val="0"/>
                <w:smallCaps w:val="0"/>
                <w:color w:val="auto"/>
                <w:spacing w:val="0"/>
                <w:w w:val="100"/>
                <w:position w:val="0"/>
                <w:szCs w:val="21"/>
                <w:highlight w:val="none"/>
              </w:rPr>
              <w:t>、SO</w:t>
            </w:r>
            <w:r>
              <w:rPr>
                <w:rFonts w:ascii="Times New Roman" w:hAnsi="Times New Roman" w:eastAsiaTheme="minorEastAsia"/>
                <w:caps w:val="0"/>
                <w:smallCaps w:val="0"/>
                <w:color w:val="auto"/>
                <w:spacing w:val="0"/>
                <w:w w:val="100"/>
                <w:position w:val="0"/>
                <w:szCs w:val="21"/>
                <w:highlight w:val="none"/>
                <w:vertAlign w:val="subscript"/>
              </w:rPr>
              <w:t>2</w:t>
            </w:r>
            <w:r>
              <w:rPr>
                <w:rFonts w:ascii="Times New Roman" w:hAnsi="Times New Roman" w:eastAsiaTheme="minorEastAsia"/>
                <w:caps w:val="0"/>
                <w:smallCaps w:val="0"/>
                <w:color w:val="auto"/>
                <w:spacing w:val="0"/>
                <w:w w:val="100"/>
                <w:position w:val="0"/>
                <w:szCs w:val="21"/>
                <w:highlight w:val="none"/>
              </w:rPr>
              <w:t>、O</w:t>
            </w:r>
            <w:r>
              <w:rPr>
                <w:rFonts w:ascii="Times New Roman" w:hAnsi="Times New Roman" w:eastAsiaTheme="minorEastAsia"/>
                <w:caps w:val="0"/>
                <w:smallCaps w:val="0"/>
                <w:color w:val="auto"/>
                <w:spacing w:val="0"/>
                <w:w w:val="100"/>
                <w:position w:val="0"/>
                <w:szCs w:val="21"/>
                <w:highlight w:val="none"/>
                <w:vertAlign w:val="subscript"/>
              </w:rPr>
              <w:t>3</w:t>
            </w:r>
            <w:r>
              <w:rPr>
                <w:rFonts w:ascii="Times New Roman" w:hAnsi="Times New Roman" w:eastAsiaTheme="minorEastAsia"/>
                <w:caps w:val="0"/>
                <w:smallCaps w:val="0"/>
                <w:color w:val="auto"/>
                <w:spacing w:val="0"/>
                <w:w w:val="100"/>
                <w:position w:val="0"/>
                <w:szCs w:val="21"/>
                <w:highlight w:val="none"/>
              </w:rPr>
              <w:t>、CO、PM</w:t>
            </w:r>
            <w:r>
              <w:rPr>
                <w:rFonts w:ascii="Times New Roman" w:hAnsi="Times New Roman" w:eastAsiaTheme="minorEastAsia"/>
                <w:caps w:val="0"/>
                <w:smallCaps w:val="0"/>
                <w:color w:val="auto"/>
                <w:spacing w:val="0"/>
                <w:w w:val="100"/>
                <w:position w:val="0"/>
                <w:szCs w:val="21"/>
                <w:highlight w:val="none"/>
                <w:vertAlign w:val="subscript"/>
              </w:rPr>
              <w:t>10</w:t>
            </w:r>
            <w:r>
              <w:rPr>
                <w:rFonts w:ascii="Times New Roman" w:hAnsi="Times New Roman" w:eastAsiaTheme="minorEastAsia"/>
                <w:caps w:val="0"/>
                <w:smallCaps w:val="0"/>
                <w:color w:val="auto"/>
                <w:spacing w:val="0"/>
                <w:w w:val="100"/>
                <w:position w:val="0"/>
                <w:szCs w:val="21"/>
                <w:highlight w:val="none"/>
              </w:rPr>
              <w:t>、PM</w:t>
            </w:r>
            <w:r>
              <w:rPr>
                <w:rFonts w:ascii="Times New Roman" w:hAnsi="Times New Roman" w:eastAsiaTheme="minorEastAsia"/>
                <w:caps w:val="0"/>
                <w:smallCaps w:val="0"/>
                <w:color w:val="auto"/>
                <w:spacing w:val="0"/>
                <w:w w:val="100"/>
                <w:position w:val="0"/>
                <w:szCs w:val="21"/>
                <w:highlight w:val="none"/>
                <w:vertAlign w:val="subscript"/>
              </w:rPr>
              <w:t>2.5</w:t>
            </w:r>
            <w:r>
              <w:rPr>
                <w:rFonts w:ascii="Times New Roman" w:hAnsi="Times New Roman" w:eastAsiaTheme="minorEastAsia"/>
                <w:caps w:val="0"/>
                <w:smallCaps w:val="0"/>
                <w:color w:val="auto"/>
                <w:spacing w:val="0"/>
                <w:w w:val="100"/>
                <w:position w:val="0"/>
                <w:szCs w:val="21"/>
                <w:highlight w:val="none"/>
              </w:rPr>
              <w:t>、</w:t>
            </w:r>
            <w:r>
              <w:rPr>
                <w:rFonts w:ascii="Times New Roman" w:hAnsi="Times New Roman" w:eastAsiaTheme="minorEastAsia"/>
                <w:bCs/>
                <w:caps w:val="0"/>
                <w:smallCaps w:val="0"/>
                <w:color w:val="auto"/>
                <w:spacing w:val="0"/>
                <w:w w:val="100"/>
                <w:position w:val="0"/>
                <w:szCs w:val="21"/>
                <w:highlight w:val="none"/>
              </w:rPr>
              <w:t>非甲烷总烃、TSP</w:t>
            </w:r>
            <w:r>
              <w:rPr>
                <w:rFonts w:ascii="Times New Roman" w:hAnsi="Times New Roman" w:eastAsiaTheme="minorEastAsia"/>
                <w:caps w:val="0"/>
                <w:smallCaps w:val="0"/>
                <w:color w:val="auto"/>
                <w:spacing w:val="0"/>
                <w:w w:val="100"/>
                <w:position w:val="0"/>
                <w:szCs w:val="21"/>
                <w:highlight w:val="none"/>
              </w:rPr>
              <w:t xml:space="preserve"> </w:t>
            </w:r>
          </w:p>
        </w:tc>
      </w:tr>
      <w:tr w14:paraId="6516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33DEAD0E">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Align w:val="center"/>
          </w:tcPr>
          <w:p w14:paraId="457A5020">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2</w:t>
            </w:r>
          </w:p>
        </w:tc>
        <w:tc>
          <w:tcPr>
            <w:tcW w:w="626" w:type="pct"/>
            <w:vAlign w:val="center"/>
          </w:tcPr>
          <w:p w14:paraId="3812081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地下水</w:t>
            </w:r>
          </w:p>
        </w:tc>
        <w:tc>
          <w:tcPr>
            <w:tcW w:w="3359" w:type="pct"/>
            <w:vAlign w:val="center"/>
          </w:tcPr>
          <w:p w14:paraId="29763923">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K</w:t>
            </w:r>
            <w:r>
              <w:rPr>
                <w:rFonts w:ascii="Times New Roman" w:hAnsi="Times New Roman" w:eastAsiaTheme="minorEastAsia"/>
                <w:caps w:val="0"/>
                <w:smallCaps w:val="0"/>
                <w:color w:val="auto"/>
                <w:spacing w:val="0"/>
                <w:w w:val="100"/>
                <w:position w:val="0"/>
                <w:szCs w:val="21"/>
                <w:highlight w:val="none"/>
                <w:vertAlign w:val="superscript"/>
              </w:rPr>
              <w:t>+</w:t>
            </w:r>
            <w:r>
              <w:rPr>
                <w:rFonts w:ascii="Times New Roman" w:hAnsi="Times New Roman" w:eastAsiaTheme="minorEastAsia"/>
                <w:caps w:val="0"/>
                <w:smallCaps w:val="0"/>
                <w:color w:val="auto"/>
                <w:spacing w:val="0"/>
                <w:w w:val="100"/>
                <w:position w:val="0"/>
                <w:szCs w:val="21"/>
                <w:highlight w:val="none"/>
              </w:rPr>
              <w:t>、Na</w:t>
            </w:r>
            <w:r>
              <w:rPr>
                <w:rFonts w:ascii="Times New Roman" w:hAnsi="Times New Roman" w:eastAsiaTheme="minorEastAsia"/>
                <w:caps w:val="0"/>
                <w:smallCaps w:val="0"/>
                <w:color w:val="auto"/>
                <w:spacing w:val="0"/>
                <w:w w:val="100"/>
                <w:position w:val="0"/>
                <w:szCs w:val="21"/>
                <w:highlight w:val="none"/>
                <w:vertAlign w:val="superscript"/>
              </w:rPr>
              <w:t>+</w:t>
            </w:r>
            <w:r>
              <w:rPr>
                <w:rFonts w:ascii="Times New Roman" w:hAnsi="Times New Roman" w:eastAsiaTheme="minorEastAsia"/>
                <w:caps w:val="0"/>
                <w:smallCaps w:val="0"/>
                <w:color w:val="auto"/>
                <w:spacing w:val="0"/>
                <w:w w:val="100"/>
                <w:position w:val="0"/>
                <w:szCs w:val="21"/>
                <w:highlight w:val="none"/>
              </w:rPr>
              <w:t>、Ca</w:t>
            </w:r>
            <w:r>
              <w:rPr>
                <w:rFonts w:ascii="Times New Roman" w:hAnsi="Times New Roman" w:eastAsiaTheme="minorEastAsia"/>
                <w:caps w:val="0"/>
                <w:smallCaps w:val="0"/>
                <w:color w:val="auto"/>
                <w:spacing w:val="0"/>
                <w:w w:val="100"/>
                <w:position w:val="0"/>
                <w:szCs w:val="21"/>
                <w:highlight w:val="none"/>
                <w:vertAlign w:val="superscript"/>
              </w:rPr>
              <w:t>2+</w:t>
            </w:r>
            <w:r>
              <w:rPr>
                <w:rFonts w:ascii="Times New Roman" w:hAnsi="Times New Roman" w:eastAsiaTheme="minorEastAsia"/>
                <w:caps w:val="0"/>
                <w:smallCaps w:val="0"/>
                <w:color w:val="auto"/>
                <w:spacing w:val="0"/>
                <w:w w:val="100"/>
                <w:position w:val="0"/>
                <w:szCs w:val="21"/>
                <w:highlight w:val="none"/>
              </w:rPr>
              <w:t>、Mg</w:t>
            </w:r>
            <w:r>
              <w:rPr>
                <w:rFonts w:ascii="Times New Roman" w:hAnsi="Times New Roman" w:eastAsiaTheme="minorEastAsia"/>
                <w:caps w:val="0"/>
                <w:smallCaps w:val="0"/>
                <w:color w:val="auto"/>
                <w:spacing w:val="0"/>
                <w:w w:val="100"/>
                <w:position w:val="0"/>
                <w:szCs w:val="21"/>
                <w:highlight w:val="none"/>
                <w:vertAlign w:val="superscript"/>
              </w:rPr>
              <w:t>2+</w:t>
            </w:r>
            <w:r>
              <w:rPr>
                <w:rFonts w:ascii="Times New Roman" w:hAnsi="Times New Roman" w:eastAsiaTheme="minorEastAsia"/>
                <w:caps w:val="0"/>
                <w:smallCaps w:val="0"/>
                <w:color w:val="auto"/>
                <w:spacing w:val="0"/>
                <w:w w:val="100"/>
                <w:position w:val="0"/>
                <w:szCs w:val="21"/>
                <w:highlight w:val="none"/>
              </w:rPr>
              <w:t>、CO</w:t>
            </w:r>
            <w:r>
              <w:rPr>
                <w:rFonts w:ascii="Times New Roman" w:hAnsi="Times New Roman" w:eastAsiaTheme="minorEastAsia"/>
                <w:caps w:val="0"/>
                <w:smallCaps w:val="0"/>
                <w:color w:val="auto"/>
                <w:spacing w:val="0"/>
                <w:w w:val="100"/>
                <w:position w:val="0"/>
                <w:szCs w:val="21"/>
                <w:highlight w:val="none"/>
                <w:vertAlign w:val="subscript"/>
              </w:rPr>
              <w:t>3</w:t>
            </w:r>
            <w:r>
              <w:rPr>
                <w:rFonts w:ascii="Times New Roman" w:hAnsi="Times New Roman" w:eastAsiaTheme="minorEastAsia"/>
                <w:caps w:val="0"/>
                <w:smallCaps w:val="0"/>
                <w:color w:val="auto"/>
                <w:spacing w:val="0"/>
                <w:w w:val="100"/>
                <w:position w:val="0"/>
                <w:szCs w:val="21"/>
                <w:highlight w:val="none"/>
                <w:vertAlign w:val="superscript"/>
              </w:rPr>
              <w:t>2-</w:t>
            </w:r>
            <w:r>
              <w:rPr>
                <w:rFonts w:ascii="Times New Roman" w:hAnsi="Times New Roman" w:eastAsiaTheme="minorEastAsia"/>
                <w:caps w:val="0"/>
                <w:smallCaps w:val="0"/>
                <w:color w:val="auto"/>
                <w:spacing w:val="0"/>
                <w:w w:val="100"/>
                <w:position w:val="0"/>
                <w:szCs w:val="21"/>
                <w:highlight w:val="none"/>
              </w:rPr>
              <w:t>、HCO</w:t>
            </w:r>
            <w:r>
              <w:rPr>
                <w:rFonts w:ascii="Times New Roman" w:hAnsi="Times New Roman" w:eastAsiaTheme="minorEastAsia"/>
                <w:caps w:val="0"/>
                <w:smallCaps w:val="0"/>
                <w:color w:val="auto"/>
                <w:spacing w:val="0"/>
                <w:w w:val="100"/>
                <w:position w:val="0"/>
                <w:szCs w:val="21"/>
                <w:highlight w:val="none"/>
                <w:vertAlign w:val="subscript"/>
              </w:rPr>
              <w:t>3</w:t>
            </w:r>
            <w:r>
              <w:rPr>
                <w:rFonts w:ascii="Times New Roman" w:hAnsi="Times New Roman" w:eastAsiaTheme="minorEastAsia"/>
                <w:caps w:val="0"/>
                <w:smallCaps w:val="0"/>
                <w:color w:val="auto"/>
                <w:spacing w:val="0"/>
                <w:w w:val="100"/>
                <w:position w:val="0"/>
                <w:szCs w:val="21"/>
                <w:highlight w:val="none"/>
                <w:vertAlign w:val="superscript"/>
              </w:rPr>
              <w:t>-</w:t>
            </w:r>
            <w:r>
              <w:rPr>
                <w:rFonts w:ascii="Times New Roman" w:hAnsi="Times New Roman" w:eastAsiaTheme="minorEastAsia"/>
                <w:caps w:val="0"/>
                <w:smallCaps w:val="0"/>
                <w:color w:val="auto"/>
                <w:spacing w:val="0"/>
                <w:w w:val="100"/>
                <w:position w:val="0"/>
                <w:szCs w:val="21"/>
                <w:highlight w:val="none"/>
              </w:rPr>
              <w:t>、Cl</w:t>
            </w:r>
            <w:r>
              <w:rPr>
                <w:rFonts w:ascii="Times New Roman" w:hAnsi="Times New Roman" w:eastAsiaTheme="minorEastAsia"/>
                <w:caps w:val="0"/>
                <w:smallCaps w:val="0"/>
                <w:color w:val="auto"/>
                <w:spacing w:val="0"/>
                <w:w w:val="100"/>
                <w:position w:val="0"/>
                <w:szCs w:val="21"/>
                <w:highlight w:val="none"/>
                <w:vertAlign w:val="superscript"/>
              </w:rPr>
              <w:t>-</w:t>
            </w:r>
            <w:r>
              <w:rPr>
                <w:rFonts w:ascii="Times New Roman" w:hAnsi="Times New Roman" w:eastAsiaTheme="minorEastAsia"/>
                <w:caps w:val="0"/>
                <w:smallCaps w:val="0"/>
                <w:color w:val="auto"/>
                <w:spacing w:val="0"/>
                <w:w w:val="100"/>
                <w:position w:val="0"/>
                <w:szCs w:val="21"/>
                <w:highlight w:val="none"/>
              </w:rPr>
              <w:t>、SO</w:t>
            </w:r>
            <w:r>
              <w:rPr>
                <w:rFonts w:ascii="Times New Roman" w:hAnsi="Times New Roman" w:eastAsiaTheme="minorEastAsia"/>
                <w:caps w:val="0"/>
                <w:smallCaps w:val="0"/>
                <w:color w:val="auto"/>
                <w:spacing w:val="0"/>
                <w:w w:val="100"/>
                <w:position w:val="0"/>
                <w:szCs w:val="21"/>
                <w:highlight w:val="none"/>
                <w:vertAlign w:val="subscript"/>
              </w:rPr>
              <w:t>4</w:t>
            </w:r>
            <w:r>
              <w:rPr>
                <w:rFonts w:ascii="Times New Roman" w:hAnsi="Times New Roman" w:eastAsiaTheme="minorEastAsia"/>
                <w:caps w:val="0"/>
                <w:smallCaps w:val="0"/>
                <w:color w:val="auto"/>
                <w:spacing w:val="0"/>
                <w:w w:val="100"/>
                <w:position w:val="0"/>
                <w:szCs w:val="21"/>
                <w:highlight w:val="none"/>
                <w:vertAlign w:val="superscript"/>
              </w:rPr>
              <w:t>2-</w:t>
            </w:r>
            <w:r>
              <w:rPr>
                <w:rFonts w:ascii="Times New Roman" w:hAnsi="Times New Roman" w:eastAsiaTheme="minorEastAsia"/>
                <w:caps w:val="0"/>
                <w:smallCaps w:val="0"/>
                <w:color w:val="auto"/>
                <w:spacing w:val="0"/>
                <w:w w:val="100"/>
                <w:position w:val="0"/>
                <w:szCs w:val="21"/>
                <w:highlight w:val="none"/>
              </w:rPr>
              <w:t>、pH、氨氮、硝酸盐、亚硝酸盐、挥发性酚类、氰化物、砷、汞、六价铬、总硬度、铅、氟化物、镉、铁、锰、溶解性总固体、耗氧量、总大肠菌群、菌落总数、石油类、硫化物、钡</w:t>
            </w:r>
          </w:p>
        </w:tc>
      </w:tr>
      <w:tr w14:paraId="24B2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1414DE58">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Align w:val="center"/>
          </w:tcPr>
          <w:p w14:paraId="4351BF81">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3</w:t>
            </w:r>
          </w:p>
        </w:tc>
        <w:tc>
          <w:tcPr>
            <w:tcW w:w="626" w:type="pct"/>
            <w:vAlign w:val="center"/>
          </w:tcPr>
          <w:p w14:paraId="73B5E84B">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噪声</w:t>
            </w:r>
          </w:p>
        </w:tc>
        <w:tc>
          <w:tcPr>
            <w:tcW w:w="3359" w:type="pct"/>
            <w:vAlign w:val="center"/>
          </w:tcPr>
          <w:p w14:paraId="3A41EE0F">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等效连续 A 声级</w:t>
            </w:r>
          </w:p>
        </w:tc>
      </w:tr>
      <w:tr w14:paraId="2300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7CA1DFBD">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Merge w:val="restart"/>
            <w:vAlign w:val="center"/>
          </w:tcPr>
          <w:p w14:paraId="0C72A9EE">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4</w:t>
            </w:r>
          </w:p>
        </w:tc>
        <w:tc>
          <w:tcPr>
            <w:tcW w:w="626" w:type="pct"/>
            <w:vMerge w:val="restart"/>
            <w:vAlign w:val="center"/>
          </w:tcPr>
          <w:p w14:paraId="592823C9">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土壤</w:t>
            </w:r>
          </w:p>
        </w:tc>
        <w:tc>
          <w:tcPr>
            <w:tcW w:w="3359" w:type="pct"/>
            <w:vAlign w:val="center"/>
          </w:tcPr>
          <w:p w14:paraId="2DF49122">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1"/>
                <w:highlight w:val="none"/>
                <w:lang w:val="en-US"/>
              </w:rPr>
            </w:pPr>
            <w:r>
              <w:rPr>
                <w:rFonts w:ascii="Times New Roman" w:hAnsi="Times New Roman" w:eastAsiaTheme="minorEastAsia"/>
                <w:caps w:val="0"/>
                <w:smallCaps w:val="0"/>
                <w:snapToGrid w:val="0"/>
                <w:color w:val="auto"/>
                <w:spacing w:val="0"/>
                <w:w w:val="100"/>
                <w:kern w:val="0"/>
                <w:position w:val="0"/>
                <w:szCs w:val="21"/>
                <w:highlight w:val="none"/>
                <w:lang w:val="en-US"/>
              </w:rPr>
              <w:t>建设用地：pH、Cd、Hg、As、Pb、Cr（六价）、Cu、Ni、苯、甲苯、乙苯、氯苯、苯乙烯、间二甲苯+对二甲苯、邻二甲苯、氯乙烯、1,2-二氯苯、1,4-二氯苯、四氯化碳、氯仿、氯甲烷、1,1-二氯乙烷、1,2-二氯乙烷、1,1-二氯乙烯、顺-1,2-二氯乙烯、反-1,2-二氯乙烯、二氯甲烷、1,2-二氯丙烷、1,1,1,2-四氯乙烷、1,1,2,2-四氯乙烷、四氯乙烯、1,1,1-三氯乙烷、1,1,2-三氯乙烷、三氯乙烯、1,2,3- 三氯丙烷、硝基苯、苯胺、2-氯酚、䓛、萘、苯并（a）蒽、苯并（b）荧蒽、苯并（k）荧蒽、苯并(a)芘、茚并（1，2，3-cd）芘、二苯并（a,h）蒽、石油烃（C</w:t>
            </w:r>
            <w:r>
              <w:rPr>
                <w:rFonts w:ascii="Times New Roman" w:hAnsi="Times New Roman" w:eastAsiaTheme="minorEastAsia"/>
                <w:caps w:val="0"/>
                <w:smallCaps w:val="0"/>
                <w:snapToGrid w:val="0"/>
                <w:color w:val="auto"/>
                <w:spacing w:val="0"/>
                <w:w w:val="100"/>
                <w:kern w:val="0"/>
                <w:position w:val="0"/>
                <w:szCs w:val="21"/>
                <w:highlight w:val="none"/>
                <w:vertAlign w:val="subscript"/>
                <w:lang w:val="en-US"/>
              </w:rPr>
              <w:t>10</w:t>
            </w:r>
            <w:r>
              <w:rPr>
                <w:rFonts w:ascii="Times New Roman" w:hAnsi="Times New Roman" w:eastAsiaTheme="minorEastAsia"/>
                <w:caps w:val="0"/>
                <w:smallCaps w:val="0"/>
                <w:snapToGrid w:val="0"/>
                <w:color w:val="auto"/>
                <w:spacing w:val="0"/>
                <w:w w:val="100"/>
                <w:kern w:val="0"/>
                <w:position w:val="0"/>
                <w:szCs w:val="21"/>
                <w:highlight w:val="none"/>
                <w:lang w:val="en-US"/>
              </w:rPr>
              <w:t xml:space="preserve"> -C</w:t>
            </w:r>
            <w:r>
              <w:rPr>
                <w:rFonts w:ascii="Times New Roman" w:hAnsi="Times New Roman" w:eastAsiaTheme="minorEastAsia"/>
                <w:caps w:val="0"/>
                <w:smallCaps w:val="0"/>
                <w:snapToGrid w:val="0"/>
                <w:color w:val="auto"/>
                <w:spacing w:val="0"/>
                <w:w w:val="100"/>
                <w:kern w:val="0"/>
                <w:position w:val="0"/>
                <w:szCs w:val="21"/>
                <w:highlight w:val="none"/>
                <w:vertAlign w:val="subscript"/>
                <w:lang w:val="en-US"/>
              </w:rPr>
              <w:t>40</w:t>
            </w:r>
            <w:r>
              <w:rPr>
                <w:rFonts w:ascii="Times New Roman" w:hAnsi="Times New Roman" w:eastAsiaTheme="minorEastAsia"/>
                <w:caps w:val="0"/>
                <w:smallCaps w:val="0"/>
                <w:snapToGrid w:val="0"/>
                <w:color w:val="auto"/>
                <w:spacing w:val="0"/>
                <w:w w:val="100"/>
                <w:kern w:val="0"/>
                <w:position w:val="0"/>
                <w:szCs w:val="21"/>
                <w:highlight w:val="none"/>
                <w:lang w:val="en-US"/>
              </w:rPr>
              <w:t>）、石油类、石油烃（C</w:t>
            </w:r>
            <w:r>
              <w:rPr>
                <w:rFonts w:ascii="Times New Roman" w:hAnsi="Times New Roman" w:eastAsiaTheme="minorEastAsia"/>
                <w:caps w:val="0"/>
                <w:smallCaps w:val="0"/>
                <w:snapToGrid w:val="0"/>
                <w:color w:val="auto"/>
                <w:spacing w:val="0"/>
                <w:w w:val="100"/>
                <w:kern w:val="0"/>
                <w:position w:val="0"/>
                <w:szCs w:val="21"/>
                <w:highlight w:val="none"/>
                <w:vertAlign w:val="subscript"/>
                <w:lang w:val="en-US"/>
              </w:rPr>
              <w:t>6</w:t>
            </w:r>
            <w:r>
              <w:rPr>
                <w:rFonts w:ascii="Times New Roman" w:hAnsi="Times New Roman" w:eastAsiaTheme="minorEastAsia"/>
                <w:caps w:val="0"/>
                <w:smallCaps w:val="0"/>
                <w:snapToGrid w:val="0"/>
                <w:color w:val="auto"/>
                <w:spacing w:val="0"/>
                <w:w w:val="100"/>
                <w:kern w:val="0"/>
                <w:position w:val="0"/>
                <w:szCs w:val="21"/>
                <w:highlight w:val="none"/>
                <w:lang w:val="en-US"/>
              </w:rPr>
              <w:t>-C</w:t>
            </w:r>
            <w:r>
              <w:rPr>
                <w:rFonts w:ascii="Times New Roman" w:hAnsi="Times New Roman" w:eastAsiaTheme="minorEastAsia"/>
                <w:caps w:val="0"/>
                <w:smallCaps w:val="0"/>
                <w:snapToGrid w:val="0"/>
                <w:color w:val="auto"/>
                <w:spacing w:val="0"/>
                <w:w w:val="100"/>
                <w:kern w:val="0"/>
                <w:position w:val="0"/>
                <w:szCs w:val="21"/>
                <w:highlight w:val="none"/>
                <w:vertAlign w:val="subscript"/>
                <w:lang w:val="en-US"/>
              </w:rPr>
              <w:t>9</w:t>
            </w:r>
            <w:r>
              <w:rPr>
                <w:rFonts w:ascii="Times New Roman" w:hAnsi="Times New Roman" w:eastAsiaTheme="minorEastAsia"/>
                <w:caps w:val="0"/>
                <w:smallCaps w:val="0"/>
                <w:snapToGrid w:val="0"/>
                <w:color w:val="auto"/>
                <w:spacing w:val="0"/>
                <w:w w:val="100"/>
                <w:kern w:val="0"/>
                <w:position w:val="0"/>
                <w:szCs w:val="21"/>
                <w:highlight w:val="none"/>
                <w:lang w:val="en-US"/>
              </w:rPr>
              <w:t>）、水溶性盐总量</w:t>
            </w:r>
          </w:p>
        </w:tc>
      </w:tr>
      <w:tr w14:paraId="2FFD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714D2DFA">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Merge w:val="continue"/>
            <w:vAlign w:val="center"/>
          </w:tcPr>
          <w:p w14:paraId="1C8D3680">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626" w:type="pct"/>
            <w:vMerge w:val="continue"/>
            <w:vAlign w:val="center"/>
          </w:tcPr>
          <w:p w14:paraId="0DF95419">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359" w:type="pct"/>
            <w:vAlign w:val="center"/>
          </w:tcPr>
          <w:p w14:paraId="7DEE71B5">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1"/>
                <w:highlight w:val="none"/>
                <w:lang w:val="en-US"/>
              </w:rPr>
            </w:pPr>
            <w:r>
              <w:rPr>
                <w:rFonts w:ascii="Times New Roman" w:hAnsi="Times New Roman" w:eastAsiaTheme="minorEastAsia"/>
                <w:caps w:val="0"/>
                <w:smallCaps w:val="0"/>
                <w:snapToGrid w:val="0"/>
                <w:color w:val="auto"/>
                <w:spacing w:val="0"/>
                <w:w w:val="100"/>
                <w:kern w:val="0"/>
                <w:position w:val="0"/>
                <w:szCs w:val="21"/>
                <w:highlight w:val="none"/>
                <w:lang w:val="en-US"/>
              </w:rPr>
              <w:t>农用地：pH、镉、汞、砷、铅、铬、铜、镍、锌、石油烃（C</w:t>
            </w:r>
            <w:r>
              <w:rPr>
                <w:rFonts w:ascii="Times New Roman" w:hAnsi="Times New Roman" w:eastAsiaTheme="minorEastAsia"/>
                <w:caps w:val="0"/>
                <w:smallCaps w:val="0"/>
                <w:snapToGrid w:val="0"/>
                <w:color w:val="auto"/>
                <w:spacing w:val="0"/>
                <w:w w:val="100"/>
                <w:kern w:val="0"/>
                <w:position w:val="0"/>
                <w:szCs w:val="21"/>
                <w:highlight w:val="none"/>
                <w:vertAlign w:val="subscript"/>
                <w:lang w:val="en-US"/>
              </w:rPr>
              <w:t>10</w:t>
            </w:r>
            <w:r>
              <w:rPr>
                <w:rFonts w:ascii="Times New Roman" w:hAnsi="Times New Roman" w:eastAsiaTheme="minorEastAsia"/>
                <w:caps w:val="0"/>
                <w:smallCaps w:val="0"/>
                <w:snapToGrid w:val="0"/>
                <w:color w:val="auto"/>
                <w:spacing w:val="0"/>
                <w:w w:val="100"/>
                <w:kern w:val="0"/>
                <w:position w:val="0"/>
                <w:szCs w:val="21"/>
                <w:highlight w:val="none"/>
                <w:lang w:val="en-US"/>
              </w:rPr>
              <w:t xml:space="preserve"> -C</w:t>
            </w:r>
            <w:r>
              <w:rPr>
                <w:rFonts w:ascii="Times New Roman" w:hAnsi="Times New Roman" w:eastAsiaTheme="minorEastAsia"/>
                <w:caps w:val="0"/>
                <w:smallCaps w:val="0"/>
                <w:snapToGrid w:val="0"/>
                <w:color w:val="auto"/>
                <w:spacing w:val="0"/>
                <w:w w:val="100"/>
                <w:kern w:val="0"/>
                <w:position w:val="0"/>
                <w:szCs w:val="21"/>
                <w:highlight w:val="none"/>
                <w:vertAlign w:val="subscript"/>
                <w:lang w:val="en-US"/>
              </w:rPr>
              <w:t>40</w:t>
            </w:r>
            <w:r>
              <w:rPr>
                <w:rFonts w:ascii="Times New Roman" w:hAnsi="Times New Roman" w:eastAsiaTheme="minorEastAsia"/>
                <w:caps w:val="0"/>
                <w:smallCaps w:val="0"/>
                <w:snapToGrid w:val="0"/>
                <w:color w:val="auto"/>
                <w:spacing w:val="0"/>
                <w:w w:val="100"/>
                <w:kern w:val="0"/>
                <w:position w:val="0"/>
                <w:szCs w:val="21"/>
                <w:highlight w:val="none"/>
                <w:lang w:val="en-US"/>
              </w:rPr>
              <w:t>）、石油类、石油烃（C</w:t>
            </w:r>
            <w:r>
              <w:rPr>
                <w:rFonts w:ascii="Times New Roman" w:hAnsi="Times New Roman" w:eastAsiaTheme="minorEastAsia"/>
                <w:caps w:val="0"/>
                <w:smallCaps w:val="0"/>
                <w:snapToGrid w:val="0"/>
                <w:color w:val="auto"/>
                <w:spacing w:val="0"/>
                <w:w w:val="100"/>
                <w:kern w:val="0"/>
                <w:position w:val="0"/>
                <w:szCs w:val="21"/>
                <w:highlight w:val="none"/>
                <w:vertAlign w:val="subscript"/>
                <w:lang w:val="en-US"/>
              </w:rPr>
              <w:t>6</w:t>
            </w:r>
            <w:r>
              <w:rPr>
                <w:rFonts w:ascii="Times New Roman" w:hAnsi="Times New Roman" w:eastAsiaTheme="minorEastAsia"/>
                <w:caps w:val="0"/>
                <w:smallCaps w:val="0"/>
                <w:snapToGrid w:val="0"/>
                <w:color w:val="auto"/>
                <w:spacing w:val="0"/>
                <w:w w:val="100"/>
                <w:kern w:val="0"/>
                <w:position w:val="0"/>
                <w:szCs w:val="21"/>
                <w:highlight w:val="none"/>
                <w:lang w:val="en-US"/>
              </w:rPr>
              <w:t>-C</w:t>
            </w:r>
            <w:r>
              <w:rPr>
                <w:rFonts w:ascii="Times New Roman" w:hAnsi="Times New Roman" w:eastAsiaTheme="minorEastAsia"/>
                <w:caps w:val="0"/>
                <w:smallCaps w:val="0"/>
                <w:snapToGrid w:val="0"/>
                <w:color w:val="auto"/>
                <w:spacing w:val="0"/>
                <w:w w:val="100"/>
                <w:kern w:val="0"/>
                <w:position w:val="0"/>
                <w:szCs w:val="21"/>
                <w:highlight w:val="none"/>
                <w:vertAlign w:val="subscript"/>
                <w:lang w:val="en-US"/>
              </w:rPr>
              <w:t>9</w:t>
            </w:r>
            <w:r>
              <w:rPr>
                <w:rFonts w:ascii="Times New Roman" w:hAnsi="Times New Roman" w:eastAsiaTheme="minorEastAsia"/>
                <w:caps w:val="0"/>
                <w:smallCaps w:val="0"/>
                <w:snapToGrid w:val="0"/>
                <w:color w:val="auto"/>
                <w:spacing w:val="0"/>
                <w:w w:val="100"/>
                <w:kern w:val="0"/>
                <w:position w:val="0"/>
                <w:szCs w:val="21"/>
                <w:highlight w:val="none"/>
                <w:lang w:val="en-US"/>
              </w:rPr>
              <w:t>）、水溶性盐总量</w:t>
            </w:r>
          </w:p>
        </w:tc>
      </w:tr>
      <w:tr w14:paraId="4889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10001055">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Align w:val="center"/>
          </w:tcPr>
          <w:p w14:paraId="2D85715F">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5</w:t>
            </w:r>
          </w:p>
        </w:tc>
        <w:tc>
          <w:tcPr>
            <w:tcW w:w="626" w:type="pct"/>
            <w:vAlign w:val="center"/>
          </w:tcPr>
          <w:p w14:paraId="32DF22D8">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生态</w:t>
            </w:r>
          </w:p>
        </w:tc>
        <w:tc>
          <w:tcPr>
            <w:tcW w:w="3359" w:type="pct"/>
            <w:vAlign w:val="center"/>
          </w:tcPr>
          <w:p w14:paraId="3EE2FE00">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1"/>
                <w:highlight w:val="none"/>
                <w:lang w:val="en-US"/>
              </w:rPr>
            </w:pPr>
            <w:r>
              <w:rPr>
                <w:rFonts w:ascii="Times New Roman" w:hAnsi="Times New Roman" w:eastAsiaTheme="minorEastAsia"/>
                <w:caps w:val="0"/>
                <w:smallCaps w:val="0"/>
                <w:snapToGrid w:val="0"/>
                <w:color w:val="auto"/>
                <w:spacing w:val="0"/>
                <w:w w:val="100"/>
                <w:kern w:val="0"/>
                <w:position w:val="0"/>
                <w:szCs w:val="21"/>
                <w:highlight w:val="none"/>
                <w:lang w:val="en-US"/>
              </w:rPr>
              <w:t>地表扰动面积及类型、物种分布范围、生物群落结构和组成等、水土流失、防沙治沙等；土壤类型、特征、组成和分布，土地利用状况、土壤状况等</w:t>
            </w:r>
          </w:p>
        </w:tc>
      </w:tr>
      <w:tr w14:paraId="62D0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restart"/>
            <w:vAlign w:val="center"/>
          </w:tcPr>
          <w:p w14:paraId="437EDA02">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影响预测因子</w:t>
            </w:r>
          </w:p>
        </w:tc>
        <w:tc>
          <w:tcPr>
            <w:tcW w:w="312" w:type="pct"/>
            <w:vMerge w:val="restart"/>
            <w:vAlign w:val="center"/>
          </w:tcPr>
          <w:p w14:paraId="4F294254">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施工期</w:t>
            </w:r>
          </w:p>
        </w:tc>
        <w:tc>
          <w:tcPr>
            <w:tcW w:w="391" w:type="pct"/>
            <w:vAlign w:val="center"/>
          </w:tcPr>
          <w:p w14:paraId="6BAAE45B">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1</w:t>
            </w:r>
          </w:p>
        </w:tc>
        <w:tc>
          <w:tcPr>
            <w:tcW w:w="626" w:type="pct"/>
            <w:vAlign w:val="center"/>
          </w:tcPr>
          <w:p w14:paraId="2D159C5F">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大气</w:t>
            </w:r>
          </w:p>
        </w:tc>
        <w:tc>
          <w:tcPr>
            <w:tcW w:w="3359" w:type="pct"/>
            <w:vAlign w:val="center"/>
          </w:tcPr>
          <w:p w14:paraId="2B76922F">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snapToGrid w:val="0"/>
                <w:color w:val="auto"/>
                <w:spacing w:val="0"/>
                <w:w w:val="100"/>
                <w:kern w:val="0"/>
                <w:position w:val="0"/>
                <w:szCs w:val="21"/>
                <w:highlight w:val="none"/>
              </w:rPr>
              <w:t>非甲烷总烃、TSP</w:t>
            </w:r>
          </w:p>
        </w:tc>
      </w:tr>
      <w:tr w14:paraId="6ACA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085FA8F">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12" w:type="pct"/>
            <w:vMerge w:val="continue"/>
            <w:vAlign w:val="center"/>
          </w:tcPr>
          <w:p w14:paraId="2166666B">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Align w:val="center"/>
          </w:tcPr>
          <w:p w14:paraId="20103576">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2</w:t>
            </w:r>
          </w:p>
        </w:tc>
        <w:tc>
          <w:tcPr>
            <w:tcW w:w="626" w:type="pct"/>
            <w:vAlign w:val="center"/>
          </w:tcPr>
          <w:p w14:paraId="4ABDD9E0">
            <w:pPr>
              <w:pStyle w:val="41"/>
              <w:spacing w:line="320" w:lineRule="exact"/>
              <w:jc w:val="center"/>
              <w:rPr>
                <w:rFonts w:ascii="Times New Roman" w:hAnsi="Times New Roman" w:eastAsiaTheme="minorEastAsia"/>
                <w:caps w:val="0"/>
                <w:smallCaps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kern w:val="0"/>
                <w:position w:val="0"/>
                <w:szCs w:val="21"/>
                <w:highlight w:val="none"/>
              </w:rPr>
              <w:t>生态</w:t>
            </w:r>
          </w:p>
        </w:tc>
        <w:tc>
          <w:tcPr>
            <w:tcW w:w="3359" w:type="pct"/>
            <w:vAlign w:val="center"/>
          </w:tcPr>
          <w:p w14:paraId="20BC10E8">
            <w:pPr>
              <w:pStyle w:val="41"/>
              <w:spacing w:line="320" w:lineRule="exact"/>
              <w:jc w:val="both"/>
              <w:rPr>
                <w:rFonts w:ascii="Times New Roman" w:hAnsi="Times New Roman" w:eastAsiaTheme="minorEastAsia"/>
                <w:caps w:val="0"/>
                <w:smallCaps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kern w:val="0"/>
                <w:position w:val="0"/>
                <w:szCs w:val="21"/>
                <w:highlight w:val="none"/>
              </w:rPr>
              <w:t>地表扰动面积及类型、生物量损失、物种多样性等</w:t>
            </w:r>
          </w:p>
        </w:tc>
      </w:tr>
      <w:tr w14:paraId="131A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AD6EEEB">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12" w:type="pct"/>
            <w:vMerge w:val="continue"/>
            <w:vAlign w:val="center"/>
          </w:tcPr>
          <w:p w14:paraId="598B50A5">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Align w:val="center"/>
          </w:tcPr>
          <w:p w14:paraId="059987C1">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3</w:t>
            </w:r>
          </w:p>
        </w:tc>
        <w:tc>
          <w:tcPr>
            <w:tcW w:w="626" w:type="pct"/>
            <w:vAlign w:val="center"/>
          </w:tcPr>
          <w:p w14:paraId="6A97AF8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噪声</w:t>
            </w:r>
          </w:p>
        </w:tc>
        <w:tc>
          <w:tcPr>
            <w:tcW w:w="3359" w:type="pct"/>
            <w:vAlign w:val="center"/>
          </w:tcPr>
          <w:p w14:paraId="13305217">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等效连续A声级</w:t>
            </w:r>
          </w:p>
        </w:tc>
      </w:tr>
      <w:tr w14:paraId="4192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13B63078">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12" w:type="pct"/>
            <w:vMerge w:val="restart"/>
            <w:vAlign w:val="center"/>
          </w:tcPr>
          <w:p w14:paraId="22526A02">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运营期</w:t>
            </w:r>
          </w:p>
        </w:tc>
        <w:tc>
          <w:tcPr>
            <w:tcW w:w="391" w:type="pct"/>
            <w:vAlign w:val="center"/>
          </w:tcPr>
          <w:p w14:paraId="7CA1DB60">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4</w:t>
            </w:r>
          </w:p>
        </w:tc>
        <w:tc>
          <w:tcPr>
            <w:tcW w:w="626" w:type="pct"/>
            <w:vAlign w:val="center"/>
          </w:tcPr>
          <w:p w14:paraId="71548398">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kern w:val="0"/>
                <w:position w:val="0"/>
                <w:szCs w:val="21"/>
                <w:highlight w:val="none"/>
              </w:rPr>
              <w:t>土壤</w:t>
            </w:r>
          </w:p>
        </w:tc>
        <w:tc>
          <w:tcPr>
            <w:tcW w:w="3359" w:type="pct"/>
            <w:vAlign w:val="center"/>
          </w:tcPr>
          <w:p w14:paraId="65FF54A1">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kern w:val="0"/>
                <w:position w:val="0"/>
                <w:szCs w:val="21"/>
                <w:highlight w:val="none"/>
              </w:rPr>
              <w:t>石油烃（C</w:t>
            </w:r>
            <w:r>
              <w:rPr>
                <w:rFonts w:ascii="Times New Roman" w:hAnsi="Times New Roman" w:eastAsiaTheme="minorEastAsia"/>
                <w:caps w:val="0"/>
                <w:smallCaps w:val="0"/>
                <w:color w:val="auto"/>
                <w:spacing w:val="0"/>
                <w:w w:val="100"/>
                <w:kern w:val="0"/>
                <w:position w:val="0"/>
                <w:szCs w:val="21"/>
                <w:highlight w:val="none"/>
                <w:vertAlign w:val="subscript"/>
              </w:rPr>
              <w:t>10</w:t>
            </w:r>
            <w:r>
              <w:rPr>
                <w:rFonts w:ascii="Times New Roman" w:hAnsi="Times New Roman" w:eastAsiaTheme="minorEastAsia"/>
                <w:caps w:val="0"/>
                <w:smallCaps w:val="0"/>
                <w:color w:val="auto"/>
                <w:spacing w:val="0"/>
                <w:w w:val="100"/>
                <w:kern w:val="0"/>
                <w:position w:val="0"/>
                <w:szCs w:val="21"/>
                <w:highlight w:val="none"/>
              </w:rPr>
              <w:t>-C</w:t>
            </w:r>
            <w:r>
              <w:rPr>
                <w:rFonts w:ascii="Times New Roman" w:hAnsi="Times New Roman" w:eastAsiaTheme="minorEastAsia"/>
                <w:caps w:val="0"/>
                <w:smallCaps w:val="0"/>
                <w:color w:val="auto"/>
                <w:spacing w:val="0"/>
                <w:w w:val="100"/>
                <w:kern w:val="0"/>
                <w:position w:val="0"/>
                <w:szCs w:val="21"/>
                <w:highlight w:val="none"/>
                <w:vertAlign w:val="subscript"/>
              </w:rPr>
              <w:t>40</w:t>
            </w:r>
            <w:r>
              <w:rPr>
                <w:rFonts w:ascii="Times New Roman" w:hAnsi="Times New Roman" w:eastAsiaTheme="minorEastAsia"/>
                <w:caps w:val="0"/>
                <w:smallCaps w:val="0"/>
                <w:color w:val="auto"/>
                <w:spacing w:val="0"/>
                <w:w w:val="100"/>
                <w:kern w:val="0"/>
                <w:position w:val="0"/>
                <w:szCs w:val="21"/>
                <w:highlight w:val="none"/>
              </w:rPr>
              <w:t>）</w:t>
            </w:r>
          </w:p>
        </w:tc>
      </w:tr>
      <w:tr w14:paraId="30F9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045180F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12" w:type="pct"/>
            <w:vMerge w:val="continue"/>
            <w:vAlign w:val="center"/>
          </w:tcPr>
          <w:p w14:paraId="767339FF">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Align w:val="center"/>
          </w:tcPr>
          <w:p w14:paraId="4ECE42BA">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5</w:t>
            </w:r>
          </w:p>
        </w:tc>
        <w:tc>
          <w:tcPr>
            <w:tcW w:w="626" w:type="pct"/>
            <w:vAlign w:val="center"/>
          </w:tcPr>
          <w:p w14:paraId="70393755">
            <w:pPr>
              <w:pStyle w:val="41"/>
              <w:spacing w:line="320" w:lineRule="exact"/>
              <w:jc w:val="center"/>
              <w:rPr>
                <w:rFonts w:ascii="Times New Roman" w:hAnsi="Times New Roman" w:eastAsiaTheme="minorEastAsia"/>
                <w:caps w:val="0"/>
                <w:smallCaps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kern w:val="0"/>
                <w:position w:val="0"/>
                <w:szCs w:val="21"/>
                <w:highlight w:val="none"/>
              </w:rPr>
              <w:t>环境风险</w:t>
            </w:r>
          </w:p>
        </w:tc>
        <w:tc>
          <w:tcPr>
            <w:tcW w:w="3359" w:type="pct"/>
            <w:vAlign w:val="center"/>
          </w:tcPr>
          <w:p w14:paraId="6BEDB579">
            <w:pPr>
              <w:pStyle w:val="41"/>
              <w:spacing w:line="320" w:lineRule="exact"/>
              <w:jc w:val="both"/>
              <w:rPr>
                <w:rFonts w:hint="eastAsia" w:ascii="Times New Roman" w:hAnsi="Times New Roman" w:eastAsiaTheme="minorEastAsia"/>
                <w:caps w:val="0"/>
                <w:smallCaps w:val="0"/>
                <w:color w:val="auto"/>
                <w:spacing w:val="0"/>
                <w:w w:val="100"/>
                <w:kern w:val="0"/>
                <w:position w:val="0"/>
                <w:szCs w:val="21"/>
                <w:highlight w:val="none"/>
                <w:lang w:eastAsia="zh-CN"/>
              </w:rPr>
            </w:pPr>
            <w:r>
              <w:rPr>
                <w:rFonts w:ascii="Times New Roman" w:hAnsi="Times New Roman" w:eastAsiaTheme="minorEastAsia"/>
                <w:caps w:val="0"/>
                <w:smallCaps w:val="0"/>
                <w:color w:val="auto"/>
                <w:spacing w:val="0"/>
                <w:w w:val="100"/>
                <w:kern w:val="0"/>
                <w:position w:val="0"/>
                <w:szCs w:val="21"/>
                <w:highlight w:val="none"/>
              </w:rPr>
              <w:t>危险物质泄漏：</w:t>
            </w:r>
            <w:r>
              <w:rPr>
                <w:rFonts w:hint="eastAsia" w:ascii="Times New Roman" w:hAnsi="Times New Roman" w:eastAsiaTheme="minorEastAsia"/>
                <w:caps w:val="0"/>
                <w:smallCaps w:val="0"/>
                <w:color w:val="auto"/>
                <w:spacing w:val="0"/>
                <w:w w:val="100"/>
                <w:kern w:val="0"/>
                <w:position w:val="0"/>
                <w:szCs w:val="21"/>
                <w:highlight w:val="none"/>
              </w:rPr>
              <w:t>原油</w:t>
            </w:r>
            <w:r>
              <w:rPr>
                <w:rFonts w:ascii="Times New Roman" w:hAnsi="Times New Roman" w:eastAsiaTheme="minorEastAsia"/>
                <w:caps w:val="0"/>
                <w:smallCaps w:val="0"/>
                <w:color w:val="auto"/>
                <w:spacing w:val="0"/>
                <w:w w:val="100"/>
                <w:kern w:val="0"/>
                <w:position w:val="0"/>
                <w:szCs w:val="21"/>
                <w:highlight w:val="none"/>
              </w:rPr>
              <w:t>、</w:t>
            </w:r>
            <w:r>
              <w:rPr>
                <w:rFonts w:hint="eastAsia" w:ascii="Times New Roman" w:hAnsi="Times New Roman" w:eastAsiaTheme="minorEastAsia"/>
                <w:caps w:val="0"/>
                <w:smallCaps w:val="0"/>
                <w:color w:val="auto"/>
                <w:spacing w:val="0"/>
                <w:w w:val="100"/>
                <w:kern w:val="0"/>
                <w:position w:val="0"/>
                <w:szCs w:val="21"/>
                <w:highlight w:val="none"/>
                <w:lang w:eastAsia="zh-CN"/>
              </w:rPr>
              <w:t>含油污水</w:t>
            </w:r>
          </w:p>
          <w:p w14:paraId="51E28B5B">
            <w:pPr>
              <w:pStyle w:val="41"/>
              <w:spacing w:line="320" w:lineRule="exact"/>
              <w:jc w:val="both"/>
              <w:rPr>
                <w:rFonts w:ascii="Times New Roman" w:hAnsi="Times New Roman" w:eastAsiaTheme="minorEastAsia"/>
                <w:caps w:val="0"/>
                <w:smallCaps w:val="0"/>
                <w:color w:val="auto"/>
                <w:spacing w:val="0"/>
                <w:w w:val="100"/>
                <w:kern w:val="0"/>
                <w:position w:val="0"/>
                <w:szCs w:val="21"/>
                <w:highlight w:val="none"/>
              </w:rPr>
            </w:pPr>
            <w:r>
              <w:rPr>
                <w:rFonts w:ascii="Times New Roman" w:hAnsi="Times New Roman" w:eastAsiaTheme="minorEastAsia"/>
                <w:caps w:val="0"/>
                <w:smallCaps w:val="0"/>
                <w:color w:val="auto"/>
                <w:spacing w:val="0"/>
                <w:w w:val="100"/>
                <w:kern w:val="0"/>
                <w:position w:val="0"/>
                <w:szCs w:val="21"/>
                <w:highlight w:val="none"/>
              </w:rPr>
              <w:t>火灾、爆炸：一氧化碳</w:t>
            </w:r>
          </w:p>
        </w:tc>
      </w:tr>
      <w:tr w14:paraId="6F31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C33D7A2">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12" w:type="pct"/>
            <w:vMerge w:val="continue"/>
            <w:vAlign w:val="center"/>
          </w:tcPr>
          <w:p w14:paraId="73E44A24">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p>
        </w:tc>
        <w:tc>
          <w:tcPr>
            <w:tcW w:w="391" w:type="pct"/>
            <w:vAlign w:val="center"/>
          </w:tcPr>
          <w:p w14:paraId="6F119EF7">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hint="eastAsia" w:ascii="Times New Roman" w:hAnsi="Times New Roman" w:eastAsiaTheme="minorEastAsia"/>
                <w:caps w:val="0"/>
                <w:smallCaps w:val="0"/>
                <w:color w:val="auto"/>
                <w:spacing w:val="0"/>
                <w:w w:val="100"/>
                <w:position w:val="0"/>
                <w:szCs w:val="21"/>
                <w:highlight w:val="none"/>
              </w:rPr>
              <w:t>6</w:t>
            </w:r>
          </w:p>
        </w:tc>
        <w:tc>
          <w:tcPr>
            <w:tcW w:w="626" w:type="pct"/>
            <w:vAlign w:val="center"/>
          </w:tcPr>
          <w:p w14:paraId="2678BD2D">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地下水</w:t>
            </w:r>
          </w:p>
        </w:tc>
        <w:tc>
          <w:tcPr>
            <w:tcW w:w="3359" w:type="pct"/>
            <w:vAlign w:val="center"/>
          </w:tcPr>
          <w:p w14:paraId="0200D61D">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石油类</w:t>
            </w:r>
          </w:p>
        </w:tc>
      </w:tr>
    </w:tbl>
    <w:p w14:paraId="33431CBF">
      <w:pPr>
        <w:pStyle w:val="149"/>
        <w:widowControl w:val="0"/>
        <w:spacing w:line="440" w:lineRule="exact"/>
        <w:ind w:firstLine="478"/>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表2.4-3    施工期生态影响评价因子筛选表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2"/>
        <w:gridCol w:w="2325"/>
        <w:gridCol w:w="2760"/>
        <w:gridCol w:w="1744"/>
        <w:gridCol w:w="1155"/>
      </w:tblGrid>
      <w:tr w14:paraId="5C83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2E802328">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受影响对象</w:t>
            </w:r>
          </w:p>
        </w:tc>
        <w:tc>
          <w:tcPr>
            <w:tcW w:w="1252" w:type="pct"/>
            <w:vAlign w:val="center"/>
          </w:tcPr>
          <w:p w14:paraId="6C065DFD">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评价因子</w:t>
            </w:r>
          </w:p>
        </w:tc>
        <w:tc>
          <w:tcPr>
            <w:tcW w:w="1486" w:type="pct"/>
            <w:vAlign w:val="center"/>
          </w:tcPr>
          <w:p w14:paraId="24B32F12">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工程内容及影响方式</w:t>
            </w:r>
          </w:p>
        </w:tc>
        <w:tc>
          <w:tcPr>
            <w:tcW w:w="939" w:type="pct"/>
            <w:vAlign w:val="center"/>
          </w:tcPr>
          <w:p w14:paraId="323B3661">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影响性质</w:t>
            </w:r>
          </w:p>
        </w:tc>
        <w:tc>
          <w:tcPr>
            <w:tcW w:w="622" w:type="pct"/>
            <w:vAlign w:val="center"/>
          </w:tcPr>
          <w:p w14:paraId="3885D319">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影响程度</w:t>
            </w:r>
          </w:p>
        </w:tc>
      </w:tr>
      <w:tr w14:paraId="4E84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0C8720DD">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物种</w:t>
            </w:r>
          </w:p>
        </w:tc>
        <w:tc>
          <w:tcPr>
            <w:tcW w:w="1252" w:type="pct"/>
            <w:vAlign w:val="center"/>
          </w:tcPr>
          <w:p w14:paraId="502CD591">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分布范围、种群数量、种群结构、行为</w:t>
            </w:r>
          </w:p>
        </w:tc>
        <w:tc>
          <w:tcPr>
            <w:tcW w:w="1486" w:type="pct"/>
            <w:vAlign w:val="center"/>
          </w:tcPr>
          <w:p w14:paraId="2B8591DA">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管线敷设临时占地产生的直接影响</w:t>
            </w:r>
          </w:p>
        </w:tc>
        <w:tc>
          <w:tcPr>
            <w:tcW w:w="939" w:type="pct"/>
            <w:vAlign w:val="center"/>
          </w:tcPr>
          <w:p w14:paraId="0C7619FC">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w:t>
            </w:r>
            <w:r>
              <w:rPr>
                <w:rFonts w:hint="eastAsia" w:ascii="Times New Roman" w:hAnsi="Times New Roman" w:eastAsiaTheme="minorEastAsia"/>
                <w:caps w:val="0"/>
                <w:smallCaps w:val="0"/>
                <w:color w:val="auto"/>
                <w:spacing w:val="0"/>
                <w:w w:val="100"/>
                <w:position w:val="0"/>
                <w:szCs w:val="21"/>
                <w:highlight w:val="none"/>
              </w:rPr>
              <w:t>可逆</w:t>
            </w:r>
          </w:p>
        </w:tc>
        <w:tc>
          <w:tcPr>
            <w:tcW w:w="622" w:type="pct"/>
            <w:vAlign w:val="center"/>
          </w:tcPr>
          <w:p w14:paraId="46F07DCA">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r w14:paraId="471A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0EC255BD">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生境</w:t>
            </w:r>
          </w:p>
        </w:tc>
        <w:tc>
          <w:tcPr>
            <w:tcW w:w="1252" w:type="pct"/>
            <w:vAlign w:val="center"/>
          </w:tcPr>
          <w:p w14:paraId="775C11B3">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生境面积、质量、连通性</w:t>
            </w:r>
          </w:p>
        </w:tc>
        <w:tc>
          <w:tcPr>
            <w:tcW w:w="1486" w:type="pct"/>
            <w:vAlign w:val="center"/>
          </w:tcPr>
          <w:p w14:paraId="5524B739">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管线敷设临时占地产生的直接影响</w:t>
            </w:r>
          </w:p>
        </w:tc>
        <w:tc>
          <w:tcPr>
            <w:tcW w:w="939" w:type="pct"/>
            <w:vAlign w:val="center"/>
          </w:tcPr>
          <w:p w14:paraId="19D013A9">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690886D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r w14:paraId="53AB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6755980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生物群落</w:t>
            </w:r>
          </w:p>
        </w:tc>
        <w:tc>
          <w:tcPr>
            <w:tcW w:w="1252" w:type="pct"/>
            <w:vAlign w:val="center"/>
          </w:tcPr>
          <w:p w14:paraId="6A9C258E">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物种组成、群落结构</w:t>
            </w:r>
          </w:p>
        </w:tc>
        <w:tc>
          <w:tcPr>
            <w:tcW w:w="1486" w:type="pct"/>
            <w:vAlign w:val="center"/>
          </w:tcPr>
          <w:p w14:paraId="33016E93">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管线敷设临时占地产生的直接影响</w:t>
            </w:r>
          </w:p>
        </w:tc>
        <w:tc>
          <w:tcPr>
            <w:tcW w:w="939" w:type="pct"/>
            <w:vAlign w:val="center"/>
          </w:tcPr>
          <w:p w14:paraId="6D6D0D86">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553551C1">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r w14:paraId="40E4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55DF3578">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生态系统</w:t>
            </w:r>
          </w:p>
        </w:tc>
        <w:tc>
          <w:tcPr>
            <w:tcW w:w="1252" w:type="pct"/>
            <w:vAlign w:val="center"/>
          </w:tcPr>
          <w:p w14:paraId="006864F1">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植被覆盖度、生产力、生物量、生态系统功能</w:t>
            </w:r>
          </w:p>
        </w:tc>
        <w:tc>
          <w:tcPr>
            <w:tcW w:w="1486" w:type="pct"/>
            <w:vAlign w:val="center"/>
          </w:tcPr>
          <w:p w14:paraId="29F26FE2">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管线敷设临时占地产生的直接影响</w:t>
            </w:r>
          </w:p>
        </w:tc>
        <w:tc>
          <w:tcPr>
            <w:tcW w:w="939" w:type="pct"/>
            <w:vAlign w:val="center"/>
          </w:tcPr>
          <w:p w14:paraId="658A8F41">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16B36CC1">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r w14:paraId="1B4A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6477BA72">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生物多样性</w:t>
            </w:r>
          </w:p>
        </w:tc>
        <w:tc>
          <w:tcPr>
            <w:tcW w:w="1252" w:type="pct"/>
            <w:vAlign w:val="center"/>
          </w:tcPr>
          <w:p w14:paraId="16DE3D0C">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物种丰富度、均匀度、优势度</w:t>
            </w:r>
          </w:p>
        </w:tc>
        <w:tc>
          <w:tcPr>
            <w:tcW w:w="1486" w:type="pct"/>
            <w:vAlign w:val="center"/>
          </w:tcPr>
          <w:p w14:paraId="56DCE368">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管线敷设临时占地产生的直接影响</w:t>
            </w:r>
          </w:p>
        </w:tc>
        <w:tc>
          <w:tcPr>
            <w:tcW w:w="939" w:type="pct"/>
            <w:vAlign w:val="center"/>
          </w:tcPr>
          <w:p w14:paraId="69359299">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659DD0FE">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bl>
    <w:p w14:paraId="2E49AD55">
      <w:pPr>
        <w:pStyle w:val="149"/>
        <w:widowControl w:val="0"/>
        <w:spacing w:line="440" w:lineRule="exact"/>
        <w:ind w:firstLine="478"/>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表2.4-4    运营期生态影响评价因子筛选表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2"/>
        <w:gridCol w:w="2617"/>
        <w:gridCol w:w="2323"/>
        <w:gridCol w:w="1889"/>
        <w:gridCol w:w="1155"/>
      </w:tblGrid>
      <w:tr w14:paraId="1E9D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038E37E6">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受影响对象</w:t>
            </w:r>
          </w:p>
        </w:tc>
        <w:tc>
          <w:tcPr>
            <w:tcW w:w="1409" w:type="pct"/>
            <w:vAlign w:val="center"/>
          </w:tcPr>
          <w:p w14:paraId="2DC4F20A">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评价因子</w:t>
            </w:r>
          </w:p>
        </w:tc>
        <w:tc>
          <w:tcPr>
            <w:tcW w:w="1251" w:type="pct"/>
            <w:vAlign w:val="center"/>
          </w:tcPr>
          <w:p w14:paraId="016F534F">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工程内容及影响方式</w:t>
            </w:r>
          </w:p>
        </w:tc>
        <w:tc>
          <w:tcPr>
            <w:tcW w:w="1017" w:type="pct"/>
            <w:vAlign w:val="center"/>
          </w:tcPr>
          <w:p w14:paraId="6E90836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影响性质</w:t>
            </w:r>
          </w:p>
        </w:tc>
        <w:tc>
          <w:tcPr>
            <w:tcW w:w="622" w:type="pct"/>
            <w:vAlign w:val="center"/>
          </w:tcPr>
          <w:p w14:paraId="6FE69FA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影响程度</w:t>
            </w:r>
          </w:p>
        </w:tc>
      </w:tr>
      <w:tr w14:paraId="42D6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44F7F17B">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物种</w:t>
            </w:r>
          </w:p>
        </w:tc>
        <w:tc>
          <w:tcPr>
            <w:tcW w:w="1409" w:type="pct"/>
            <w:vAlign w:val="center"/>
          </w:tcPr>
          <w:p w14:paraId="4E81DAA8">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分布范围、种群数量、种群结构、行为</w:t>
            </w:r>
          </w:p>
        </w:tc>
        <w:tc>
          <w:tcPr>
            <w:tcW w:w="1251" w:type="pct"/>
            <w:vAlign w:val="center"/>
          </w:tcPr>
          <w:p w14:paraId="34CAEAD2">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管线泄漏产生的直接生态影响</w:t>
            </w:r>
          </w:p>
        </w:tc>
        <w:tc>
          <w:tcPr>
            <w:tcW w:w="1017" w:type="pct"/>
            <w:vAlign w:val="center"/>
          </w:tcPr>
          <w:p w14:paraId="4D0810F5">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07E57FC5">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r w14:paraId="6BD7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7D5EC151">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生境</w:t>
            </w:r>
          </w:p>
        </w:tc>
        <w:tc>
          <w:tcPr>
            <w:tcW w:w="1409" w:type="pct"/>
            <w:vAlign w:val="center"/>
          </w:tcPr>
          <w:p w14:paraId="2814AD5B">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生境面积、质量、连通性</w:t>
            </w:r>
          </w:p>
        </w:tc>
        <w:tc>
          <w:tcPr>
            <w:tcW w:w="1251" w:type="pct"/>
            <w:vAlign w:val="center"/>
          </w:tcPr>
          <w:p w14:paraId="17663DA6">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管线泄漏产生的直接生态影响</w:t>
            </w:r>
          </w:p>
        </w:tc>
        <w:tc>
          <w:tcPr>
            <w:tcW w:w="1017" w:type="pct"/>
            <w:vAlign w:val="center"/>
          </w:tcPr>
          <w:p w14:paraId="7BECF1CD">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48F52305">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r w14:paraId="7B83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5BD7D257">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生物群落</w:t>
            </w:r>
          </w:p>
        </w:tc>
        <w:tc>
          <w:tcPr>
            <w:tcW w:w="1409" w:type="pct"/>
            <w:vAlign w:val="center"/>
          </w:tcPr>
          <w:p w14:paraId="43A27A7F">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物种组成、群落结构</w:t>
            </w:r>
          </w:p>
        </w:tc>
        <w:tc>
          <w:tcPr>
            <w:tcW w:w="1251" w:type="pct"/>
            <w:vAlign w:val="center"/>
          </w:tcPr>
          <w:p w14:paraId="3754FCBF">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管线泄漏产生的直接生态影响</w:t>
            </w:r>
          </w:p>
        </w:tc>
        <w:tc>
          <w:tcPr>
            <w:tcW w:w="1017" w:type="pct"/>
            <w:vAlign w:val="center"/>
          </w:tcPr>
          <w:p w14:paraId="0A61C6B3">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5BF8C517">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r w14:paraId="0346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55023D42">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生态系统</w:t>
            </w:r>
          </w:p>
        </w:tc>
        <w:tc>
          <w:tcPr>
            <w:tcW w:w="1409" w:type="pct"/>
            <w:vAlign w:val="center"/>
          </w:tcPr>
          <w:p w14:paraId="115CFFAA">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植被覆盖度、生产力、生物量、生态系统功能</w:t>
            </w:r>
          </w:p>
        </w:tc>
        <w:tc>
          <w:tcPr>
            <w:tcW w:w="1251" w:type="pct"/>
            <w:vAlign w:val="center"/>
          </w:tcPr>
          <w:p w14:paraId="78556C97">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管线泄漏产生的直接生态影响</w:t>
            </w:r>
          </w:p>
        </w:tc>
        <w:tc>
          <w:tcPr>
            <w:tcW w:w="1017" w:type="pct"/>
            <w:vAlign w:val="center"/>
          </w:tcPr>
          <w:p w14:paraId="5A0BC92C">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6AAB1D07">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r w14:paraId="26F9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3459B434">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生物多样性</w:t>
            </w:r>
          </w:p>
        </w:tc>
        <w:tc>
          <w:tcPr>
            <w:tcW w:w="1409" w:type="pct"/>
            <w:vAlign w:val="center"/>
          </w:tcPr>
          <w:p w14:paraId="15314082">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物种丰富度、均匀度、优势度</w:t>
            </w:r>
          </w:p>
        </w:tc>
        <w:tc>
          <w:tcPr>
            <w:tcW w:w="1251" w:type="pct"/>
            <w:vAlign w:val="center"/>
          </w:tcPr>
          <w:p w14:paraId="4131BCC7">
            <w:pPr>
              <w:pStyle w:val="41"/>
              <w:spacing w:line="320" w:lineRule="exact"/>
              <w:jc w:val="both"/>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管线泄漏产生的直接生态影响</w:t>
            </w:r>
          </w:p>
        </w:tc>
        <w:tc>
          <w:tcPr>
            <w:tcW w:w="1017" w:type="pct"/>
            <w:vAlign w:val="center"/>
          </w:tcPr>
          <w:p w14:paraId="6C89D4FE">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短期、可逆</w:t>
            </w:r>
          </w:p>
        </w:tc>
        <w:tc>
          <w:tcPr>
            <w:tcW w:w="622" w:type="pct"/>
            <w:vAlign w:val="center"/>
          </w:tcPr>
          <w:p w14:paraId="3F275E88">
            <w:pPr>
              <w:pStyle w:val="41"/>
              <w:spacing w:line="320" w:lineRule="exact"/>
              <w:jc w:val="center"/>
              <w:rPr>
                <w:rFonts w:ascii="Times New Roman" w:hAnsi="Times New Roman" w:eastAsiaTheme="minorEastAsia"/>
                <w:caps w:val="0"/>
                <w:smallCaps w:val="0"/>
                <w:color w:val="auto"/>
                <w:spacing w:val="0"/>
                <w:w w:val="100"/>
                <w:position w:val="0"/>
                <w:szCs w:val="21"/>
                <w:highlight w:val="none"/>
              </w:rPr>
            </w:pPr>
            <w:r>
              <w:rPr>
                <w:rFonts w:ascii="Times New Roman" w:hAnsi="Times New Roman" w:eastAsiaTheme="minorEastAsia"/>
                <w:caps w:val="0"/>
                <w:smallCaps w:val="0"/>
                <w:color w:val="auto"/>
                <w:spacing w:val="0"/>
                <w:w w:val="100"/>
                <w:position w:val="0"/>
                <w:szCs w:val="21"/>
                <w:highlight w:val="none"/>
              </w:rPr>
              <w:t>弱</w:t>
            </w:r>
          </w:p>
        </w:tc>
      </w:tr>
    </w:tbl>
    <w:p w14:paraId="5A245CE1">
      <w:pPr>
        <w:pStyle w:val="4"/>
        <w:keepNext w:val="0"/>
        <w:keepLines w:val="0"/>
        <w:widowControl w:val="0"/>
        <w:spacing w:before="120" w:after="120" w:line="440" w:lineRule="exact"/>
        <w:rPr>
          <w:rFonts w:ascii="Times New Roman" w:hAnsi="Times New Roman" w:eastAsia="宋体"/>
          <w:b/>
          <w:caps w:val="0"/>
          <w:smallCaps w:val="0"/>
          <w:snapToGrid w:val="0"/>
          <w:color w:val="auto"/>
          <w:spacing w:val="0"/>
          <w:w w:val="100"/>
          <w:position w:val="0"/>
          <w:highlight w:val="none"/>
        </w:rPr>
      </w:pPr>
      <w:bookmarkStart w:id="242" w:name="_Toc219900375"/>
      <w:bookmarkStart w:id="243" w:name="_Toc186444247"/>
      <w:r>
        <w:rPr>
          <w:rFonts w:ascii="Times New Roman" w:hAnsi="Times New Roman" w:eastAsia="宋体"/>
          <w:b/>
          <w:caps w:val="0"/>
          <w:smallCaps w:val="0"/>
          <w:snapToGrid w:val="0"/>
          <w:color w:val="auto"/>
          <w:spacing w:val="0"/>
          <w:w w:val="100"/>
          <w:position w:val="0"/>
          <w:highlight w:val="none"/>
        </w:rPr>
        <w:t>2.5评价标准</w:t>
      </w:r>
      <w:bookmarkEnd w:id="242"/>
      <w:bookmarkEnd w:id="243"/>
    </w:p>
    <w:p w14:paraId="1FC850F7">
      <w:pPr>
        <w:pStyle w:val="6"/>
        <w:widowControl w:val="0"/>
        <w:spacing w:before="60" w:after="60" w:line="440" w:lineRule="exact"/>
        <w:jc w:val="both"/>
        <w:rPr>
          <w:rFonts w:eastAsia="宋体"/>
          <w:b/>
          <w:caps w:val="0"/>
          <w:smallCaps w:val="0"/>
          <w:color w:val="auto"/>
          <w:spacing w:val="0"/>
          <w:w w:val="100"/>
          <w:kern w:val="2"/>
          <w:position w:val="0"/>
          <w:sz w:val="24"/>
          <w:szCs w:val="24"/>
          <w:highlight w:val="none"/>
        </w:rPr>
      </w:pPr>
      <w:bookmarkStart w:id="244" w:name="_Toc186444248"/>
      <w:r>
        <w:rPr>
          <w:rFonts w:eastAsia="宋体"/>
          <w:b/>
          <w:caps w:val="0"/>
          <w:smallCaps w:val="0"/>
          <w:color w:val="auto"/>
          <w:spacing w:val="0"/>
          <w:w w:val="100"/>
          <w:kern w:val="2"/>
          <w:position w:val="0"/>
          <w:sz w:val="24"/>
          <w:szCs w:val="24"/>
          <w:highlight w:val="none"/>
        </w:rPr>
        <w:t>2.5.1环境质量标准</w:t>
      </w:r>
      <w:r>
        <w:rPr>
          <w:rFonts w:eastAsiaTheme="minorEastAsia"/>
          <w:b/>
          <w:caps w:val="0"/>
          <w:smallCaps w:val="0"/>
          <w:color w:val="auto"/>
          <w:spacing w:val="0"/>
          <w:w w:val="100"/>
          <w:kern w:val="2"/>
          <w:position w:val="0"/>
          <w:sz w:val="24"/>
          <w:szCs w:val="24"/>
          <w:highlight w:val="none"/>
        </w:rPr>
        <w:t>及环境功能区划</w:t>
      </w:r>
      <w:bookmarkEnd w:id="244"/>
    </w:p>
    <w:p w14:paraId="1E7A9A99">
      <w:pPr>
        <w:pStyle w:val="149"/>
        <w:widowControl w:val="0"/>
        <w:spacing w:line="440" w:lineRule="exact"/>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2.5.1.1环境空气质量标准</w:t>
      </w:r>
    </w:p>
    <w:p w14:paraId="7D14C97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根据《大庆市人民政府关于印发大庆市声环境功能区划分、大庆市环境空气质量功能区划分、大庆市地表水环境功能区划分的通知》（庆政发[2019]11号），本项目所在地环境空气属于二类功能区，其环境空气质量执行</w:t>
      </w:r>
      <w:r>
        <w:rPr>
          <w:rFonts w:hint="eastAsia" w:ascii="Times New Roman" w:hAnsi="Times New Roman" w:cs="Times New Roman" w:eastAsiaTheme="minorEastAsia"/>
          <w:caps w:val="0"/>
          <w:smallCaps w:val="0"/>
          <w:color w:val="auto"/>
          <w:spacing w:val="0"/>
          <w:w w:val="100"/>
          <w:kern w:val="2"/>
          <w:position w:val="0"/>
          <w:szCs w:val="20"/>
          <w:highlight w:val="none"/>
        </w:rPr>
        <w:t>《环境空气质量标准》（</w:t>
      </w:r>
      <w:r>
        <w:rPr>
          <w:rFonts w:ascii="Times New Roman" w:hAnsi="Times New Roman" w:cs="Times New Roman" w:eastAsiaTheme="minorEastAsia"/>
          <w:caps w:val="0"/>
          <w:smallCaps w:val="0"/>
          <w:color w:val="auto"/>
          <w:spacing w:val="0"/>
          <w:w w:val="100"/>
          <w:kern w:val="2"/>
          <w:position w:val="0"/>
          <w:szCs w:val="20"/>
          <w:highlight w:val="none"/>
        </w:rPr>
        <w:t>GB3095-2026）中过渡阶段二级浓度限值要求，具体见表2.5-1。</w:t>
      </w:r>
    </w:p>
    <w:p w14:paraId="69216C86">
      <w:pPr>
        <w:widowControl w:val="0"/>
        <w:spacing w:line="440" w:lineRule="exact"/>
        <w:ind w:firstLine="482" w:firstLineChars="200"/>
        <w:rPr>
          <w:rFonts w:ascii="Times New Roman" w:hAnsi="Times New Roman" w:cs="Times New Roman" w:eastAsiaTheme="minorEastAsia"/>
          <w:b/>
          <w:caps w:val="0"/>
          <w:smallCaps w:val="0"/>
          <w:color w:val="auto"/>
          <w:spacing w:val="0"/>
          <w:w w:val="100"/>
          <w:kern w:val="2"/>
          <w:position w:val="0"/>
          <w:szCs w:val="20"/>
          <w:highlight w:val="none"/>
        </w:rPr>
      </w:pPr>
      <w:r>
        <w:rPr>
          <w:rFonts w:ascii="Times New Roman" w:hAnsi="Times New Roman" w:cs="Times New Roman" w:eastAsiaTheme="minorEastAsia"/>
          <w:b/>
          <w:caps w:val="0"/>
          <w:smallCaps w:val="0"/>
          <w:color w:val="auto"/>
          <w:spacing w:val="0"/>
          <w:w w:val="100"/>
          <w:kern w:val="2"/>
          <w:position w:val="0"/>
          <w:szCs w:val="20"/>
          <w:highlight w:val="none"/>
        </w:rPr>
        <w:t>表2.5-1    评价区域内各项污染物的浓度限值</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601"/>
        <w:gridCol w:w="724"/>
        <w:gridCol w:w="724"/>
        <w:gridCol w:w="724"/>
        <w:gridCol w:w="724"/>
        <w:gridCol w:w="725"/>
        <w:gridCol w:w="776"/>
        <w:gridCol w:w="725"/>
        <w:gridCol w:w="725"/>
      </w:tblGrid>
      <w:tr w14:paraId="7416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8" w:type="pct"/>
            <w:gridSpan w:val="2"/>
            <w:vAlign w:val="center"/>
          </w:tcPr>
          <w:p w14:paraId="0A148AA0">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污染物名称</w:t>
            </w:r>
          </w:p>
        </w:tc>
        <w:tc>
          <w:tcPr>
            <w:tcW w:w="406" w:type="pct"/>
            <w:vAlign w:val="center"/>
          </w:tcPr>
          <w:p w14:paraId="08E1272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TSP</w:t>
            </w:r>
          </w:p>
        </w:tc>
        <w:tc>
          <w:tcPr>
            <w:tcW w:w="407" w:type="pct"/>
            <w:vAlign w:val="center"/>
          </w:tcPr>
          <w:p w14:paraId="578D70EF">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PM</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10</w:t>
            </w:r>
          </w:p>
        </w:tc>
        <w:tc>
          <w:tcPr>
            <w:tcW w:w="407" w:type="pct"/>
            <w:vAlign w:val="center"/>
          </w:tcPr>
          <w:p w14:paraId="6D6565D4">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PM</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2.5</w:t>
            </w:r>
          </w:p>
        </w:tc>
        <w:tc>
          <w:tcPr>
            <w:tcW w:w="407" w:type="pct"/>
            <w:vAlign w:val="center"/>
          </w:tcPr>
          <w:p w14:paraId="74C274AE">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w:t>
            </w:r>
          </w:p>
        </w:tc>
        <w:tc>
          <w:tcPr>
            <w:tcW w:w="407" w:type="pct"/>
            <w:vAlign w:val="center"/>
          </w:tcPr>
          <w:p w14:paraId="46D12B23">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w:t>
            </w:r>
          </w:p>
        </w:tc>
        <w:tc>
          <w:tcPr>
            <w:tcW w:w="435" w:type="pct"/>
            <w:vAlign w:val="center"/>
          </w:tcPr>
          <w:p w14:paraId="7DE86472">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CO</w:t>
            </w:r>
          </w:p>
        </w:tc>
        <w:tc>
          <w:tcPr>
            <w:tcW w:w="406" w:type="pct"/>
            <w:vAlign w:val="center"/>
          </w:tcPr>
          <w:p w14:paraId="0FAD6BB7">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p>
        </w:tc>
        <w:tc>
          <w:tcPr>
            <w:tcW w:w="398" w:type="pct"/>
          </w:tcPr>
          <w:p w14:paraId="597B7F8A">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X</w:t>
            </w:r>
          </w:p>
        </w:tc>
      </w:tr>
      <w:tr w14:paraId="33A5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8" w:type="pct"/>
            <w:gridSpan w:val="2"/>
            <w:vAlign w:val="center"/>
          </w:tcPr>
          <w:p w14:paraId="1EF4FA18">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单位</w:t>
            </w:r>
          </w:p>
        </w:tc>
        <w:tc>
          <w:tcPr>
            <w:tcW w:w="406" w:type="pct"/>
            <w:vAlign w:val="center"/>
          </w:tcPr>
          <w:p w14:paraId="0E9192C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μg/m</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3</w:t>
            </w:r>
          </w:p>
        </w:tc>
        <w:tc>
          <w:tcPr>
            <w:tcW w:w="407" w:type="pct"/>
            <w:vAlign w:val="center"/>
          </w:tcPr>
          <w:p w14:paraId="55453633">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μg/m</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3</w:t>
            </w:r>
          </w:p>
        </w:tc>
        <w:tc>
          <w:tcPr>
            <w:tcW w:w="407" w:type="pct"/>
            <w:vAlign w:val="center"/>
          </w:tcPr>
          <w:p w14:paraId="1967F4CF">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μg/m</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3</w:t>
            </w:r>
          </w:p>
        </w:tc>
        <w:tc>
          <w:tcPr>
            <w:tcW w:w="407" w:type="pct"/>
            <w:vAlign w:val="center"/>
          </w:tcPr>
          <w:p w14:paraId="12B98210">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μg/m</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3</w:t>
            </w:r>
          </w:p>
        </w:tc>
        <w:tc>
          <w:tcPr>
            <w:tcW w:w="407" w:type="pct"/>
            <w:vAlign w:val="center"/>
          </w:tcPr>
          <w:p w14:paraId="7176517F">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μg/m</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3</w:t>
            </w:r>
          </w:p>
        </w:tc>
        <w:tc>
          <w:tcPr>
            <w:tcW w:w="435" w:type="pct"/>
            <w:vAlign w:val="center"/>
          </w:tcPr>
          <w:p w14:paraId="78C81AA3">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mg/m</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3</w:t>
            </w:r>
          </w:p>
        </w:tc>
        <w:tc>
          <w:tcPr>
            <w:tcW w:w="406" w:type="pct"/>
            <w:vAlign w:val="center"/>
          </w:tcPr>
          <w:p w14:paraId="7D231FD1">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μg/m</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3</w:t>
            </w:r>
          </w:p>
        </w:tc>
        <w:tc>
          <w:tcPr>
            <w:tcW w:w="398" w:type="pct"/>
          </w:tcPr>
          <w:p w14:paraId="54FDB67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μg/m</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3</w:t>
            </w:r>
          </w:p>
        </w:tc>
      </w:tr>
      <w:tr w14:paraId="5245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1" w:type="pct"/>
            <w:vMerge w:val="restart"/>
            <w:vAlign w:val="center"/>
          </w:tcPr>
          <w:p w14:paraId="0A08266D">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（GB3095-2026）中过渡阶段二级浓度限值</w:t>
            </w:r>
          </w:p>
        </w:tc>
        <w:tc>
          <w:tcPr>
            <w:tcW w:w="1026" w:type="pct"/>
            <w:vAlign w:val="center"/>
          </w:tcPr>
          <w:p w14:paraId="41593BBF">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年平均</w:t>
            </w:r>
          </w:p>
        </w:tc>
        <w:tc>
          <w:tcPr>
            <w:tcW w:w="406" w:type="pct"/>
            <w:vAlign w:val="center"/>
          </w:tcPr>
          <w:p w14:paraId="413D69E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200</w:t>
            </w:r>
          </w:p>
        </w:tc>
        <w:tc>
          <w:tcPr>
            <w:tcW w:w="407" w:type="pct"/>
            <w:vAlign w:val="center"/>
          </w:tcPr>
          <w:p w14:paraId="6258265F">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60</w:t>
            </w:r>
          </w:p>
        </w:tc>
        <w:tc>
          <w:tcPr>
            <w:tcW w:w="407" w:type="pct"/>
            <w:vAlign w:val="center"/>
          </w:tcPr>
          <w:p w14:paraId="506BFD1A">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30</w:t>
            </w:r>
          </w:p>
        </w:tc>
        <w:tc>
          <w:tcPr>
            <w:tcW w:w="407" w:type="pct"/>
            <w:vAlign w:val="center"/>
          </w:tcPr>
          <w:p w14:paraId="0D1BC2E3">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60</w:t>
            </w:r>
          </w:p>
        </w:tc>
        <w:tc>
          <w:tcPr>
            <w:tcW w:w="407" w:type="pct"/>
            <w:vAlign w:val="center"/>
          </w:tcPr>
          <w:p w14:paraId="72C7A131">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40</w:t>
            </w:r>
          </w:p>
        </w:tc>
        <w:tc>
          <w:tcPr>
            <w:tcW w:w="435" w:type="pct"/>
            <w:vAlign w:val="center"/>
          </w:tcPr>
          <w:p w14:paraId="2FC21F23">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6" w:type="pct"/>
            <w:vAlign w:val="center"/>
          </w:tcPr>
          <w:p w14:paraId="4D55C24A">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398" w:type="pct"/>
          </w:tcPr>
          <w:p w14:paraId="2DE383F2">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50</w:t>
            </w:r>
          </w:p>
        </w:tc>
      </w:tr>
      <w:tr w14:paraId="4367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1" w:type="pct"/>
            <w:vMerge w:val="continue"/>
            <w:vAlign w:val="center"/>
          </w:tcPr>
          <w:p w14:paraId="4A9BC9F9">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026" w:type="pct"/>
            <w:vAlign w:val="center"/>
          </w:tcPr>
          <w:p w14:paraId="60A08598">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日</w:t>
            </w:r>
            <w:r>
              <w:rPr>
                <w:rFonts w:ascii="Times New Roman" w:hAnsi="Times New Roman" w:cs="Times New Roman" w:eastAsiaTheme="minorEastAsia"/>
                <w:caps w:val="0"/>
                <w:smallCaps w:val="0"/>
                <w:color w:val="auto"/>
                <w:spacing w:val="0"/>
                <w:w w:val="100"/>
                <w:kern w:val="2"/>
                <w:position w:val="0"/>
                <w:sz w:val="21"/>
                <w:szCs w:val="21"/>
                <w:highlight w:val="none"/>
              </w:rPr>
              <w:t>平均</w:t>
            </w:r>
          </w:p>
        </w:tc>
        <w:tc>
          <w:tcPr>
            <w:tcW w:w="406" w:type="pct"/>
            <w:vAlign w:val="center"/>
          </w:tcPr>
          <w:p w14:paraId="75BA7DF7">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300</w:t>
            </w:r>
          </w:p>
        </w:tc>
        <w:tc>
          <w:tcPr>
            <w:tcW w:w="407" w:type="pct"/>
            <w:vAlign w:val="center"/>
          </w:tcPr>
          <w:p w14:paraId="79E4D1BF">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120</w:t>
            </w:r>
          </w:p>
        </w:tc>
        <w:tc>
          <w:tcPr>
            <w:tcW w:w="407" w:type="pct"/>
            <w:vAlign w:val="center"/>
          </w:tcPr>
          <w:p w14:paraId="05CC6FD4">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60</w:t>
            </w:r>
          </w:p>
        </w:tc>
        <w:tc>
          <w:tcPr>
            <w:tcW w:w="407" w:type="pct"/>
            <w:vAlign w:val="center"/>
          </w:tcPr>
          <w:p w14:paraId="3224B6E8">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150</w:t>
            </w:r>
          </w:p>
        </w:tc>
        <w:tc>
          <w:tcPr>
            <w:tcW w:w="407" w:type="pct"/>
            <w:vAlign w:val="center"/>
          </w:tcPr>
          <w:p w14:paraId="7C65086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80</w:t>
            </w:r>
          </w:p>
        </w:tc>
        <w:tc>
          <w:tcPr>
            <w:tcW w:w="435" w:type="pct"/>
            <w:vAlign w:val="center"/>
          </w:tcPr>
          <w:p w14:paraId="56EFB9F4">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4</w:t>
            </w:r>
          </w:p>
        </w:tc>
        <w:tc>
          <w:tcPr>
            <w:tcW w:w="406" w:type="pct"/>
            <w:vAlign w:val="center"/>
          </w:tcPr>
          <w:p w14:paraId="25E22FF4">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398" w:type="pct"/>
          </w:tcPr>
          <w:p w14:paraId="7CE06F9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100</w:t>
            </w:r>
          </w:p>
        </w:tc>
      </w:tr>
      <w:tr w14:paraId="17FD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1" w:type="pct"/>
            <w:vMerge w:val="continue"/>
            <w:vAlign w:val="center"/>
          </w:tcPr>
          <w:p w14:paraId="2BD202E2">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026" w:type="pct"/>
            <w:vAlign w:val="center"/>
          </w:tcPr>
          <w:p w14:paraId="4C2E3789">
            <w:pPr>
              <w:widowControl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日最大8小时平均</w:t>
            </w:r>
          </w:p>
        </w:tc>
        <w:tc>
          <w:tcPr>
            <w:tcW w:w="406" w:type="pct"/>
            <w:vAlign w:val="center"/>
          </w:tcPr>
          <w:p w14:paraId="3F8E3073">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7" w:type="pct"/>
            <w:vAlign w:val="center"/>
          </w:tcPr>
          <w:p w14:paraId="66EA9C94">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7" w:type="pct"/>
            <w:vAlign w:val="center"/>
          </w:tcPr>
          <w:p w14:paraId="663A7313">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7" w:type="pct"/>
            <w:vAlign w:val="center"/>
          </w:tcPr>
          <w:p w14:paraId="33D836E7">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7" w:type="pct"/>
            <w:vAlign w:val="center"/>
          </w:tcPr>
          <w:p w14:paraId="43DA430A">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35" w:type="pct"/>
            <w:vAlign w:val="center"/>
          </w:tcPr>
          <w:p w14:paraId="4569A3D8">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6" w:type="pct"/>
            <w:vAlign w:val="center"/>
          </w:tcPr>
          <w:p w14:paraId="5E8DF5C1">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160</w:t>
            </w:r>
          </w:p>
        </w:tc>
        <w:tc>
          <w:tcPr>
            <w:tcW w:w="398" w:type="pct"/>
          </w:tcPr>
          <w:p w14:paraId="5BA7A468">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1282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1" w:type="pct"/>
            <w:vMerge w:val="continue"/>
            <w:vAlign w:val="center"/>
          </w:tcPr>
          <w:p w14:paraId="2F324B2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026" w:type="pct"/>
            <w:vAlign w:val="center"/>
          </w:tcPr>
          <w:p w14:paraId="66A2BF82">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1小时平均</w:t>
            </w:r>
          </w:p>
        </w:tc>
        <w:tc>
          <w:tcPr>
            <w:tcW w:w="406" w:type="pct"/>
            <w:vAlign w:val="center"/>
          </w:tcPr>
          <w:p w14:paraId="5B5C8B2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7" w:type="pct"/>
            <w:vAlign w:val="center"/>
          </w:tcPr>
          <w:p w14:paraId="57019BC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7" w:type="pct"/>
            <w:vAlign w:val="center"/>
          </w:tcPr>
          <w:p w14:paraId="5315507C">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407" w:type="pct"/>
            <w:vAlign w:val="center"/>
          </w:tcPr>
          <w:p w14:paraId="6326CCA9">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500</w:t>
            </w:r>
          </w:p>
        </w:tc>
        <w:tc>
          <w:tcPr>
            <w:tcW w:w="407" w:type="pct"/>
            <w:vAlign w:val="center"/>
          </w:tcPr>
          <w:p w14:paraId="15FDD38C">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200</w:t>
            </w:r>
          </w:p>
        </w:tc>
        <w:tc>
          <w:tcPr>
            <w:tcW w:w="435" w:type="pct"/>
            <w:vAlign w:val="center"/>
          </w:tcPr>
          <w:p w14:paraId="14642671">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10</w:t>
            </w:r>
          </w:p>
        </w:tc>
        <w:tc>
          <w:tcPr>
            <w:tcW w:w="406" w:type="pct"/>
            <w:vAlign w:val="center"/>
          </w:tcPr>
          <w:p w14:paraId="08BE1B34">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200</w:t>
            </w:r>
          </w:p>
        </w:tc>
        <w:tc>
          <w:tcPr>
            <w:tcW w:w="398" w:type="pct"/>
          </w:tcPr>
          <w:p w14:paraId="69D3594D">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250</w:t>
            </w:r>
          </w:p>
        </w:tc>
      </w:tr>
    </w:tbl>
    <w:p w14:paraId="72C12101">
      <w:pPr>
        <w:widowControl w:val="0"/>
        <w:spacing w:line="440" w:lineRule="exact"/>
        <w:ind w:firstLine="480" w:firstLineChars="200"/>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环境空气中非甲烷总烃允许浓度参考执行</w:t>
      </w:r>
      <w:bookmarkStart w:id="245" w:name="OLE_LINK114"/>
      <w:bookmarkStart w:id="246" w:name="OLE_LINK113"/>
      <w:r>
        <w:rPr>
          <w:rFonts w:ascii="Times New Roman" w:hAnsi="Times New Roman" w:cs="Times New Roman"/>
          <w:caps w:val="0"/>
          <w:smallCaps w:val="0"/>
          <w:color w:val="auto"/>
          <w:spacing w:val="0"/>
          <w:w w:val="100"/>
          <w:kern w:val="2"/>
          <w:position w:val="0"/>
          <w:szCs w:val="20"/>
          <w:highlight w:val="none"/>
        </w:rPr>
        <w:t>《大气污染物综合排放标准详解》中非甲烷总烃浓度限值</w:t>
      </w:r>
      <w:bookmarkEnd w:id="245"/>
      <w:bookmarkEnd w:id="246"/>
      <w:r>
        <w:rPr>
          <w:rFonts w:ascii="Times New Roman" w:hAnsi="Times New Roman" w:cs="Times New Roman"/>
          <w:caps w:val="0"/>
          <w:smallCaps w:val="0"/>
          <w:color w:val="auto"/>
          <w:spacing w:val="0"/>
          <w:w w:val="100"/>
          <w:kern w:val="2"/>
          <w:position w:val="0"/>
          <w:szCs w:val="20"/>
          <w:highlight w:val="none"/>
        </w:rPr>
        <w:t>，具体见表2.5-2。</w:t>
      </w:r>
    </w:p>
    <w:p w14:paraId="55E8D6F2">
      <w:pPr>
        <w:widowControl w:val="0"/>
        <w:spacing w:line="440" w:lineRule="exact"/>
        <w:ind w:firstLine="482" w:firstLineChars="200"/>
        <w:rPr>
          <w:rFonts w:ascii="Times New Roman" w:hAnsi="Times New Roman" w:cs="Times New Roman"/>
          <w:b/>
          <w:bCs/>
          <w:caps w:val="0"/>
          <w:smallCaps w:val="0"/>
          <w:color w:val="auto"/>
          <w:spacing w:val="0"/>
          <w:w w:val="100"/>
          <w:kern w:val="2"/>
          <w:position w:val="0"/>
          <w:szCs w:val="21"/>
          <w:highlight w:val="none"/>
        </w:rPr>
      </w:pPr>
      <w:r>
        <w:rPr>
          <w:rFonts w:ascii="Times New Roman" w:hAnsi="Times New Roman" w:cs="Times New Roman"/>
          <w:b/>
          <w:bCs/>
          <w:caps w:val="0"/>
          <w:smallCaps w:val="0"/>
          <w:color w:val="auto"/>
          <w:spacing w:val="0"/>
          <w:w w:val="100"/>
          <w:kern w:val="2"/>
          <w:position w:val="0"/>
          <w:szCs w:val="20"/>
          <w:highlight w:val="none"/>
        </w:rPr>
        <w:t>表2.5-2    评价区域内其他污染物的浓度限值    单位：</w:t>
      </w:r>
      <w:r>
        <w:rPr>
          <w:rFonts w:ascii="Times New Roman" w:hAnsi="Times New Roman" w:cs="Times New Roman"/>
          <w:b/>
          <w:bCs/>
          <w:caps w:val="0"/>
          <w:smallCaps w:val="0"/>
          <w:color w:val="auto"/>
          <w:spacing w:val="0"/>
          <w:w w:val="100"/>
          <w:kern w:val="2"/>
          <w:position w:val="0"/>
          <w:szCs w:val="21"/>
          <w:highlight w:val="none"/>
        </w:rPr>
        <w:t>mg/m</w:t>
      </w:r>
      <w:r>
        <w:rPr>
          <w:rFonts w:ascii="Times New Roman" w:hAnsi="Times New Roman" w:cs="Times New Roman"/>
          <w:b/>
          <w:bCs/>
          <w:caps w:val="0"/>
          <w:smallCaps w:val="0"/>
          <w:color w:val="auto"/>
          <w:spacing w:val="0"/>
          <w:w w:val="100"/>
          <w:kern w:val="2"/>
          <w:position w:val="0"/>
          <w:szCs w:val="21"/>
          <w:highlight w:val="none"/>
          <w:vertAlign w:val="superscript"/>
        </w:rPr>
        <w:t>3</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72"/>
        <w:gridCol w:w="2472"/>
        <w:gridCol w:w="3042"/>
      </w:tblGrid>
      <w:tr w14:paraId="7858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31" w:type="pct"/>
            <w:vAlign w:val="center"/>
          </w:tcPr>
          <w:p w14:paraId="6A2EBACC">
            <w:pPr>
              <w:widowControl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标准</w:t>
            </w:r>
          </w:p>
        </w:tc>
        <w:tc>
          <w:tcPr>
            <w:tcW w:w="1331" w:type="pct"/>
            <w:vAlign w:val="center"/>
          </w:tcPr>
          <w:p w14:paraId="1AFCB624">
            <w:pPr>
              <w:widowControl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污染物名称</w:t>
            </w:r>
          </w:p>
        </w:tc>
        <w:tc>
          <w:tcPr>
            <w:tcW w:w="1638" w:type="pct"/>
            <w:vAlign w:val="center"/>
          </w:tcPr>
          <w:p w14:paraId="50C7B293">
            <w:pPr>
              <w:widowControl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1h平均浓度参考限值</w:t>
            </w:r>
          </w:p>
        </w:tc>
      </w:tr>
      <w:tr w14:paraId="66CC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31" w:type="pct"/>
            <w:vAlign w:val="center"/>
          </w:tcPr>
          <w:p w14:paraId="5B2D5C82">
            <w:pPr>
              <w:widowControl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《大气污染物综合排放标准详解》</w:t>
            </w:r>
          </w:p>
        </w:tc>
        <w:tc>
          <w:tcPr>
            <w:tcW w:w="1331" w:type="pct"/>
            <w:vAlign w:val="center"/>
          </w:tcPr>
          <w:p w14:paraId="6D639898">
            <w:pPr>
              <w:widowControl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非甲烷总烃</w:t>
            </w:r>
          </w:p>
        </w:tc>
        <w:tc>
          <w:tcPr>
            <w:tcW w:w="1638" w:type="pct"/>
            <w:vAlign w:val="center"/>
          </w:tcPr>
          <w:p w14:paraId="0FD73F34">
            <w:pPr>
              <w:widowControl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2.0</w:t>
            </w:r>
          </w:p>
        </w:tc>
      </w:tr>
    </w:tbl>
    <w:p w14:paraId="1A538D1B">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2.5.1.2地下水质量标准</w:t>
      </w:r>
    </w:p>
    <w:p w14:paraId="04FC94B1">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根据调查，评价区域地下水使用功能为农业灌溉用水、牲畜用水，地下水质量执行《地下水质量标准》（GB/T14848-2017）III类标准，石油类参考执行《地表水环境质量标准》（GB3838-2002）表1中的II类标准限值要求，具体见表2.5-3。</w:t>
      </w:r>
    </w:p>
    <w:p w14:paraId="609D15A0">
      <w:pPr>
        <w:widowControl w:val="0"/>
        <w:spacing w:line="440" w:lineRule="exact"/>
        <w:ind w:firstLine="482"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kern w:val="2"/>
          <w:position w:val="0"/>
          <w:szCs w:val="20"/>
          <w:highlight w:val="none"/>
        </w:rPr>
        <w:t>表2.5-3</w:t>
      </w:r>
      <w:r>
        <w:rPr>
          <w:rFonts w:ascii="Times New Roman" w:hAnsi="Times New Roman" w:cs="Times New Roman" w:eastAsiaTheme="minorEastAsia"/>
          <w:b/>
          <w:caps w:val="0"/>
          <w:smallCaps w:val="0"/>
          <w:color w:val="auto"/>
          <w:spacing w:val="0"/>
          <w:w w:val="100"/>
          <w:kern w:val="2"/>
          <w:position w:val="0"/>
          <w:highlight w:val="none"/>
        </w:rPr>
        <w:t xml:space="preserve">    地下水质量标准</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5"/>
        <w:gridCol w:w="2457"/>
        <w:gridCol w:w="3694"/>
      </w:tblGrid>
      <w:tr w14:paraId="00B2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tcBorders>
              <w:tl2br w:val="single" w:color="auto" w:sz="4" w:space="0"/>
            </w:tcBorders>
            <w:vAlign w:val="center"/>
          </w:tcPr>
          <w:p w14:paraId="319F526C">
            <w:pPr>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 xml:space="preserve">          类别</w:t>
            </w:r>
          </w:p>
          <w:p w14:paraId="13D3E860">
            <w:pPr>
              <w:spacing w:line="360" w:lineRule="exact"/>
              <w:ind w:firstLine="840" w:firstLineChars="400"/>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项目</w:t>
            </w:r>
          </w:p>
        </w:tc>
        <w:tc>
          <w:tcPr>
            <w:tcW w:w="1323" w:type="pct"/>
            <w:vAlign w:val="center"/>
          </w:tcPr>
          <w:p w14:paraId="56D09526">
            <w:pPr>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标准</w:t>
            </w:r>
          </w:p>
        </w:tc>
        <w:tc>
          <w:tcPr>
            <w:tcW w:w="1989" w:type="pct"/>
            <w:vAlign w:val="center"/>
          </w:tcPr>
          <w:p w14:paraId="08EDD4F8">
            <w:pPr>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标准来源</w:t>
            </w:r>
          </w:p>
        </w:tc>
      </w:tr>
      <w:tr w14:paraId="1852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05C22BD">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pH</w:t>
            </w:r>
          </w:p>
        </w:tc>
        <w:tc>
          <w:tcPr>
            <w:tcW w:w="1323" w:type="pct"/>
            <w:vAlign w:val="center"/>
          </w:tcPr>
          <w:p w14:paraId="3BDDEB66">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6.5～8.5（无纲量）</w:t>
            </w:r>
          </w:p>
        </w:tc>
        <w:tc>
          <w:tcPr>
            <w:tcW w:w="1989" w:type="pct"/>
            <w:vMerge w:val="restart"/>
            <w:vAlign w:val="center"/>
          </w:tcPr>
          <w:p w14:paraId="5C655755">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《地下水质量标准》（GB/T14848-2017）中Ⅲ类标准</w:t>
            </w:r>
          </w:p>
        </w:tc>
      </w:tr>
      <w:tr w14:paraId="1553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B73B085">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氨氮（mg/L）</w:t>
            </w:r>
          </w:p>
        </w:tc>
        <w:tc>
          <w:tcPr>
            <w:tcW w:w="1323" w:type="pct"/>
            <w:vAlign w:val="center"/>
          </w:tcPr>
          <w:p w14:paraId="58362669">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0.5</w:t>
            </w:r>
          </w:p>
        </w:tc>
        <w:tc>
          <w:tcPr>
            <w:tcW w:w="1989" w:type="pct"/>
            <w:vMerge w:val="continue"/>
            <w:vAlign w:val="center"/>
          </w:tcPr>
          <w:p w14:paraId="4DDCA760">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6E1C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23357004">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硝酸盐(以N计)（mg/L）</w:t>
            </w:r>
          </w:p>
        </w:tc>
        <w:tc>
          <w:tcPr>
            <w:tcW w:w="1323" w:type="pct"/>
            <w:vAlign w:val="center"/>
          </w:tcPr>
          <w:p w14:paraId="205F1DDF">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20</w:t>
            </w:r>
          </w:p>
        </w:tc>
        <w:tc>
          <w:tcPr>
            <w:tcW w:w="1989" w:type="pct"/>
            <w:vMerge w:val="continue"/>
            <w:vAlign w:val="center"/>
          </w:tcPr>
          <w:p w14:paraId="66E3CA12">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5DD3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D066ACF">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亚硝酸盐(以N计)（mg/L）</w:t>
            </w:r>
          </w:p>
        </w:tc>
        <w:tc>
          <w:tcPr>
            <w:tcW w:w="1323" w:type="pct"/>
            <w:vAlign w:val="center"/>
          </w:tcPr>
          <w:p w14:paraId="1D6A8D3E">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1.0</w:t>
            </w:r>
          </w:p>
        </w:tc>
        <w:tc>
          <w:tcPr>
            <w:tcW w:w="1989" w:type="pct"/>
            <w:vMerge w:val="continue"/>
            <w:vAlign w:val="center"/>
          </w:tcPr>
          <w:p w14:paraId="3D887395">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3057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F3ABF61">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挥发性酚类（mg/L）</w:t>
            </w:r>
          </w:p>
        </w:tc>
        <w:tc>
          <w:tcPr>
            <w:tcW w:w="1323" w:type="pct"/>
            <w:vAlign w:val="center"/>
          </w:tcPr>
          <w:p w14:paraId="04B12781">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0.002</w:t>
            </w:r>
          </w:p>
        </w:tc>
        <w:tc>
          <w:tcPr>
            <w:tcW w:w="1989" w:type="pct"/>
            <w:vMerge w:val="continue"/>
            <w:vAlign w:val="center"/>
          </w:tcPr>
          <w:p w14:paraId="1AEEBDA3">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6742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48F3D04">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氰化物（mg/L）</w:t>
            </w:r>
          </w:p>
        </w:tc>
        <w:tc>
          <w:tcPr>
            <w:tcW w:w="1323" w:type="pct"/>
            <w:vAlign w:val="center"/>
          </w:tcPr>
          <w:p w14:paraId="044FFC54">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0.05</w:t>
            </w:r>
          </w:p>
        </w:tc>
        <w:tc>
          <w:tcPr>
            <w:tcW w:w="1989" w:type="pct"/>
            <w:vMerge w:val="continue"/>
            <w:vAlign w:val="center"/>
          </w:tcPr>
          <w:p w14:paraId="73B9AAE6">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4AA0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BF90155">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砷（mg/L）</w:t>
            </w:r>
          </w:p>
        </w:tc>
        <w:tc>
          <w:tcPr>
            <w:tcW w:w="1323" w:type="pct"/>
            <w:vAlign w:val="center"/>
          </w:tcPr>
          <w:p w14:paraId="3F2E0513">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0.01</w:t>
            </w:r>
          </w:p>
        </w:tc>
        <w:tc>
          <w:tcPr>
            <w:tcW w:w="1989" w:type="pct"/>
            <w:vMerge w:val="continue"/>
            <w:vAlign w:val="center"/>
          </w:tcPr>
          <w:p w14:paraId="1CED8DB9">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7E63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92E3DEA">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汞（mg/L）</w:t>
            </w:r>
          </w:p>
        </w:tc>
        <w:tc>
          <w:tcPr>
            <w:tcW w:w="1323" w:type="pct"/>
            <w:vAlign w:val="center"/>
          </w:tcPr>
          <w:p w14:paraId="37B69AF6">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0.001</w:t>
            </w:r>
          </w:p>
        </w:tc>
        <w:tc>
          <w:tcPr>
            <w:tcW w:w="1989" w:type="pct"/>
            <w:vMerge w:val="continue"/>
            <w:vAlign w:val="center"/>
          </w:tcPr>
          <w:p w14:paraId="4B09CAB3">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4CAF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2303281A">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铬（六价）（mg/L）</w:t>
            </w:r>
          </w:p>
        </w:tc>
        <w:tc>
          <w:tcPr>
            <w:tcW w:w="1323" w:type="pct"/>
            <w:vAlign w:val="center"/>
          </w:tcPr>
          <w:p w14:paraId="31A2BC77">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0.05</w:t>
            </w:r>
          </w:p>
        </w:tc>
        <w:tc>
          <w:tcPr>
            <w:tcW w:w="1989" w:type="pct"/>
            <w:vMerge w:val="continue"/>
            <w:vAlign w:val="center"/>
          </w:tcPr>
          <w:p w14:paraId="46C1C11D">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281E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3D62341">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总硬度（mg/L）</w:t>
            </w:r>
          </w:p>
        </w:tc>
        <w:tc>
          <w:tcPr>
            <w:tcW w:w="1323" w:type="pct"/>
            <w:vAlign w:val="center"/>
          </w:tcPr>
          <w:p w14:paraId="78A76A0C">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450</w:t>
            </w:r>
          </w:p>
        </w:tc>
        <w:tc>
          <w:tcPr>
            <w:tcW w:w="1989" w:type="pct"/>
            <w:vMerge w:val="continue"/>
            <w:vAlign w:val="center"/>
          </w:tcPr>
          <w:p w14:paraId="09E9B1E0">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6DDB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B26EDF3">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铅（mg/L）</w:t>
            </w:r>
          </w:p>
        </w:tc>
        <w:tc>
          <w:tcPr>
            <w:tcW w:w="1323" w:type="pct"/>
            <w:vAlign w:val="center"/>
          </w:tcPr>
          <w:p w14:paraId="41DEC2CA">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0.01</w:t>
            </w:r>
          </w:p>
        </w:tc>
        <w:tc>
          <w:tcPr>
            <w:tcW w:w="1989" w:type="pct"/>
            <w:vMerge w:val="continue"/>
            <w:vAlign w:val="center"/>
          </w:tcPr>
          <w:p w14:paraId="1067FB63">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70F8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48867E9">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氟化物（mg/L）</w:t>
            </w:r>
          </w:p>
        </w:tc>
        <w:tc>
          <w:tcPr>
            <w:tcW w:w="1323" w:type="pct"/>
            <w:vAlign w:val="center"/>
          </w:tcPr>
          <w:p w14:paraId="3085C5D0">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1.0</w:t>
            </w:r>
          </w:p>
        </w:tc>
        <w:tc>
          <w:tcPr>
            <w:tcW w:w="1989" w:type="pct"/>
            <w:vMerge w:val="continue"/>
            <w:vAlign w:val="center"/>
          </w:tcPr>
          <w:p w14:paraId="0122CD37">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41CD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4E97CE8">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镉（mg/L）</w:t>
            </w:r>
          </w:p>
        </w:tc>
        <w:tc>
          <w:tcPr>
            <w:tcW w:w="1323" w:type="pct"/>
            <w:vAlign w:val="center"/>
          </w:tcPr>
          <w:p w14:paraId="491887B6">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0.005</w:t>
            </w:r>
          </w:p>
        </w:tc>
        <w:tc>
          <w:tcPr>
            <w:tcW w:w="1989" w:type="pct"/>
            <w:vMerge w:val="continue"/>
            <w:vAlign w:val="center"/>
          </w:tcPr>
          <w:p w14:paraId="742BFC53">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2AEA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929862D">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钠（mg/L）</w:t>
            </w:r>
          </w:p>
        </w:tc>
        <w:tc>
          <w:tcPr>
            <w:tcW w:w="1323" w:type="pct"/>
            <w:vAlign w:val="center"/>
          </w:tcPr>
          <w:p w14:paraId="0F6EFA47">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200</w:t>
            </w:r>
          </w:p>
        </w:tc>
        <w:tc>
          <w:tcPr>
            <w:tcW w:w="1989" w:type="pct"/>
            <w:vMerge w:val="continue"/>
            <w:vAlign w:val="center"/>
          </w:tcPr>
          <w:p w14:paraId="5B7BCAF5">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6691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D7F35E6">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铁（mg/L）</w:t>
            </w:r>
          </w:p>
        </w:tc>
        <w:tc>
          <w:tcPr>
            <w:tcW w:w="1323" w:type="pct"/>
            <w:vAlign w:val="center"/>
          </w:tcPr>
          <w:p w14:paraId="7AE11235">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0.3</w:t>
            </w:r>
          </w:p>
        </w:tc>
        <w:tc>
          <w:tcPr>
            <w:tcW w:w="1989" w:type="pct"/>
            <w:vMerge w:val="continue"/>
            <w:vAlign w:val="center"/>
          </w:tcPr>
          <w:p w14:paraId="0EA539DD">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7A5C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F2D5040">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锰（mg/L）</w:t>
            </w:r>
          </w:p>
        </w:tc>
        <w:tc>
          <w:tcPr>
            <w:tcW w:w="1323" w:type="pct"/>
            <w:vAlign w:val="center"/>
          </w:tcPr>
          <w:p w14:paraId="4650DA30">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0.1</w:t>
            </w:r>
          </w:p>
        </w:tc>
        <w:tc>
          <w:tcPr>
            <w:tcW w:w="1989" w:type="pct"/>
            <w:vMerge w:val="continue"/>
            <w:vAlign w:val="center"/>
          </w:tcPr>
          <w:p w14:paraId="1736442A">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6314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97ABFE5">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溶解性总固体（mg/L）</w:t>
            </w:r>
          </w:p>
        </w:tc>
        <w:tc>
          <w:tcPr>
            <w:tcW w:w="1323" w:type="pct"/>
            <w:vAlign w:val="center"/>
          </w:tcPr>
          <w:p w14:paraId="42E76CAC">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1000</w:t>
            </w:r>
          </w:p>
        </w:tc>
        <w:tc>
          <w:tcPr>
            <w:tcW w:w="1989" w:type="pct"/>
            <w:vMerge w:val="continue"/>
            <w:vAlign w:val="center"/>
          </w:tcPr>
          <w:p w14:paraId="52E532E9">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1ED2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EBEAB00">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耗氧量（mg/L）</w:t>
            </w:r>
          </w:p>
        </w:tc>
        <w:tc>
          <w:tcPr>
            <w:tcW w:w="1323" w:type="pct"/>
            <w:vAlign w:val="center"/>
          </w:tcPr>
          <w:p w14:paraId="00929439">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3.0</w:t>
            </w:r>
          </w:p>
        </w:tc>
        <w:tc>
          <w:tcPr>
            <w:tcW w:w="1989" w:type="pct"/>
            <w:vMerge w:val="continue"/>
            <w:vAlign w:val="center"/>
          </w:tcPr>
          <w:p w14:paraId="56DC5E6D">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48A7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99AF09F">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硫酸盐（mg/L）</w:t>
            </w:r>
          </w:p>
        </w:tc>
        <w:tc>
          <w:tcPr>
            <w:tcW w:w="1323" w:type="pct"/>
            <w:vAlign w:val="center"/>
          </w:tcPr>
          <w:p w14:paraId="6D3A7328">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250</w:t>
            </w:r>
          </w:p>
        </w:tc>
        <w:tc>
          <w:tcPr>
            <w:tcW w:w="1989" w:type="pct"/>
            <w:vMerge w:val="continue"/>
            <w:vAlign w:val="center"/>
          </w:tcPr>
          <w:p w14:paraId="07196482">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127A6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9F04404">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氯化物（mg/L）</w:t>
            </w:r>
          </w:p>
        </w:tc>
        <w:tc>
          <w:tcPr>
            <w:tcW w:w="1323" w:type="pct"/>
            <w:vAlign w:val="center"/>
          </w:tcPr>
          <w:p w14:paraId="2FE065AB">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250</w:t>
            </w:r>
          </w:p>
        </w:tc>
        <w:tc>
          <w:tcPr>
            <w:tcW w:w="1989" w:type="pct"/>
            <w:vMerge w:val="continue"/>
            <w:vAlign w:val="center"/>
          </w:tcPr>
          <w:p w14:paraId="76E1C8C7">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56BE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D54522C">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总大肠菌群（MPN/100mL）</w:t>
            </w:r>
          </w:p>
        </w:tc>
        <w:tc>
          <w:tcPr>
            <w:tcW w:w="1323" w:type="pct"/>
            <w:vAlign w:val="center"/>
          </w:tcPr>
          <w:p w14:paraId="7DF07363">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3.0</w:t>
            </w:r>
          </w:p>
        </w:tc>
        <w:tc>
          <w:tcPr>
            <w:tcW w:w="1989" w:type="pct"/>
            <w:vMerge w:val="continue"/>
            <w:vAlign w:val="center"/>
          </w:tcPr>
          <w:p w14:paraId="13123802">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5E99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0334FD9">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菌落总数（CFU/mL）</w:t>
            </w:r>
          </w:p>
        </w:tc>
        <w:tc>
          <w:tcPr>
            <w:tcW w:w="1323" w:type="pct"/>
            <w:vAlign w:val="center"/>
          </w:tcPr>
          <w:p w14:paraId="33DA2A5B">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100</w:t>
            </w:r>
          </w:p>
        </w:tc>
        <w:tc>
          <w:tcPr>
            <w:tcW w:w="1989" w:type="pct"/>
            <w:vMerge w:val="continue"/>
            <w:vAlign w:val="center"/>
          </w:tcPr>
          <w:p w14:paraId="3E00EBDE">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00EF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5543F1A">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硫化物（mg/L）</w:t>
            </w:r>
          </w:p>
        </w:tc>
        <w:tc>
          <w:tcPr>
            <w:tcW w:w="1323" w:type="pct"/>
            <w:vAlign w:val="center"/>
          </w:tcPr>
          <w:p w14:paraId="7DF0AF67">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≤0.02</w:t>
            </w:r>
          </w:p>
        </w:tc>
        <w:tc>
          <w:tcPr>
            <w:tcW w:w="1989" w:type="pct"/>
            <w:vMerge w:val="continue"/>
            <w:vAlign w:val="center"/>
          </w:tcPr>
          <w:p w14:paraId="68AFE45E">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1354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7650C8D7">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钡（mg/L）</w:t>
            </w:r>
          </w:p>
        </w:tc>
        <w:tc>
          <w:tcPr>
            <w:tcW w:w="1323" w:type="pct"/>
            <w:vAlign w:val="center"/>
          </w:tcPr>
          <w:p w14:paraId="0E839190">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≤0.70</w:t>
            </w:r>
          </w:p>
        </w:tc>
        <w:tc>
          <w:tcPr>
            <w:tcW w:w="1989" w:type="pct"/>
            <w:vMerge w:val="continue"/>
            <w:vAlign w:val="center"/>
          </w:tcPr>
          <w:p w14:paraId="52BC0A0D">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03AD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07C8377">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石油类</w:t>
            </w:r>
          </w:p>
        </w:tc>
        <w:tc>
          <w:tcPr>
            <w:tcW w:w="1323" w:type="pct"/>
            <w:vAlign w:val="center"/>
          </w:tcPr>
          <w:p w14:paraId="79F4CE6C">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caps w:val="0"/>
                <w:smallCaps w:val="0"/>
                <w:color w:val="auto"/>
                <w:spacing w:val="0"/>
                <w:w w:val="100"/>
                <w:kern w:val="2"/>
                <w:position w:val="0"/>
                <w:sz w:val="21"/>
                <w:szCs w:val="21"/>
                <w:highlight w:val="none"/>
              </w:rPr>
              <w:t>0.05</w:t>
            </w:r>
          </w:p>
        </w:tc>
        <w:tc>
          <w:tcPr>
            <w:tcW w:w="1989" w:type="pct"/>
            <w:vAlign w:val="center"/>
          </w:tcPr>
          <w:p w14:paraId="3428E399">
            <w:pPr>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《地表水环境质量标准》（GB3838-2002）表1中的II类标准限值要求</w:t>
            </w:r>
          </w:p>
        </w:tc>
      </w:tr>
    </w:tbl>
    <w:p w14:paraId="716DFBB9">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2.5.1.3声环境</w:t>
      </w:r>
    </w:p>
    <w:p w14:paraId="4F9DAC86">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position w:val="0"/>
          <w:szCs w:val="21"/>
          <w:highlight w:val="none"/>
        </w:rPr>
        <w:t>根据《大庆市人民政府关于印发大庆市声环境功能区划分、大庆市环境空气质量功能区划分、大庆市地表水环境功能区划分的通知》（庆政发[2019]11号），无关于本项目区域的声环境功能区划分，本项目位于居住、工业混杂区域，</w:t>
      </w:r>
      <w:r>
        <w:rPr>
          <w:rFonts w:ascii="Times New Roman" w:hAnsi="Times New Roman" w:cs="Times New Roman" w:eastAsiaTheme="minorEastAsia"/>
          <w:caps w:val="0"/>
          <w:smallCaps w:val="0"/>
          <w:color w:val="auto"/>
          <w:spacing w:val="0"/>
          <w:w w:val="100"/>
          <w:kern w:val="2"/>
          <w:position w:val="0"/>
          <w:highlight w:val="none"/>
          <w:lang w:bidi="zh-CN"/>
        </w:rPr>
        <w:t>根据《声环境质量标准》（GB3096-2008），项目所在区域为2类声环境功能区，声环境执行《声环境质量标准》（GB3096-2008）中2类区标准。</w:t>
      </w:r>
      <w:r>
        <w:rPr>
          <w:rFonts w:ascii="Times New Roman" w:hAnsi="Times New Roman" w:cs="Times New Roman" w:eastAsiaTheme="minorEastAsia"/>
          <w:caps w:val="0"/>
          <w:smallCaps w:val="0"/>
          <w:color w:val="auto"/>
          <w:spacing w:val="0"/>
          <w:w w:val="100"/>
          <w:kern w:val="2"/>
          <w:position w:val="0"/>
          <w:highlight w:val="none"/>
        </w:rPr>
        <w:t>项目周边村屯等居住区为1类声环境功能区，</w:t>
      </w:r>
      <w:r>
        <w:rPr>
          <w:rFonts w:ascii="Times New Roman" w:hAnsi="Times New Roman" w:cs="Times New Roman" w:eastAsiaTheme="minorEastAsia"/>
          <w:caps w:val="0"/>
          <w:smallCaps w:val="0"/>
          <w:color w:val="auto"/>
          <w:spacing w:val="0"/>
          <w:w w:val="100"/>
          <w:kern w:val="2"/>
          <w:position w:val="0"/>
          <w:highlight w:val="none"/>
          <w:lang w:bidi="zh-CN"/>
        </w:rPr>
        <w:t>声环境执行《声环境质量标准》（GB3096-2008）中1类区标准，</w:t>
      </w:r>
      <w:r>
        <w:rPr>
          <w:rFonts w:ascii="Times New Roman" w:hAnsi="Times New Roman" w:cs="Times New Roman" w:eastAsiaTheme="minorEastAsia"/>
          <w:caps w:val="0"/>
          <w:smallCaps w:val="0"/>
          <w:color w:val="auto"/>
          <w:spacing w:val="0"/>
          <w:w w:val="100"/>
          <w:kern w:val="2"/>
          <w:position w:val="0"/>
          <w:highlight w:val="none"/>
        </w:rPr>
        <w:t>具体见表2.5-4。</w:t>
      </w:r>
    </w:p>
    <w:p w14:paraId="45EE4C34">
      <w:pPr>
        <w:widowControl w:val="0"/>
        <w:spacing w:line="440" w:lineRule="exact"/>
        <w:ind w:firstLine="482" w:firstLineChars="200"/>
        <w:jc w:val="both"/>
        <w:rPr>
          <w:rFonts w:ascii="Times New Roman" w:hAnsi="Times New Roman" w:cs="Times New Roman" w:eastAsiaTheme="minorEastAsia"/>
          <w:b/>
          <w:bCs/>
          <w:caps w:val="0"/>
          <w:smallCaps w:val="0"/>
          <w:color w:val="auto"/>
          <w:spacing w:val="0"/>
          <w:w w:val="100"/>
          <w:kern w:val="2"/>
          <w:position w:val="0"/>
          <w:highlight w:val="none"/>
        </w:rPr>
      </w:pPr>
      <w:r>
        <w:rPr>
          <w:rFonts w:ascii="Times New Roman" w:hAnsi="Times New Roman" w:cs="Times New Roman" w:eastAsiaTheme="minorEastAsia"/>
          <w:b/>
          <w:bCs/>
          <w:caps w:val="0"/>
          <w:smallCaps w:val="0"/>
          <w:color w:val="auto"/>
          <w:spacing w:val="0"/>
          <w:w w:val="100"/>
          <w:kern w:val="2"/>
          <w:position w:val="0"/>
          <w:highlight w:val="none"/>
        </w:rPr>
        <w:t>表2.5-4    声环境质量标准    单位：dB（A）</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5"/>
        <w:gridCol w:w="2179"/>
        <w:gridCol w:w="2172"/>
      </w:tblGrid>
      <w:tr w14:paraId="7E8F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206F0D1A">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项目</w:t>
            </w:r>
          </w:p>
        </w:tc>
        <w:tc>
          <w:tcPr>
            <w:tcW w:w="1173" w:type="pct"/>
            <w:vAlign w:val="center"/>
          </w:tcPr>
          <w:p w14:paraId="43FFAFEA">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昼  间</w:t>
            </w:r>
          </w:p>
        </w:tc>
        <w:tc>
          <w:tcPr>
            <w:tcW w:w="1169" w:type="pct"/>
            <w:vAlign w:val="center"/>
          </w:tcPr>
          <w:p w14:paraId="4A3CA5D6">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夜  间</w:t>
            </w:r>
          </w:p>
        </w:tc>
      </w:tr>
      <w:tr w14:paraId="499A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66D0AFE9">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《声环境质量标准》（GB3096-2008）中1类标准</w:t>
            </w:r>
          </w:p>
        </w:tc>
        <w:tc>
          <w:tcPr>
            <w:tcW w:w="1173" w:type="pct"/>
            <w:vAlign w:val="center"/>
          </w:tcPr>
          <w:p w14:paraId="2F50F0C0">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55</w:t>
            </w:r>
          </w:p>
        </w:tc>
        <w:tc>
          <w:tcPr>
            <w:tcW w:w="1169" w:type="pct"/>
            <w:vAlign w:val="center"/>
          </w:tcPr>
          <w:p w14:paraId="2C1F0A92">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45</w:t>
            </w:r>
          </w:p>
        </w:tc>
      </w:tr>
      <w:tr w14:paraId="5202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57E88F6C">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《声环境质量标准》（GB3096-2008）中2类标准</w:t>
            </w:r>
          </w:p>
        </w:tc>
        <w:tc>
          <w:tcPr>
            <w:tcW w:w="1173" w:type="pct"/>
            <w:vAlign w:val="center"/>
          </w:tcPr>
          <w:p w14:paraId="19D1C9F5">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60</w:t>
            </w:r>
          </w:p>
        </w:tc>
        <w:tc>
          <w:tcPr>
            <w:tcW w:w="1169" w:type="pct"/>
            <w:vAlign w:val="center"/>
          </w:tcPr>
          <w:p w14:paraId="78D3B5F3">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50</w:t>
            </w:r>
          </w:p>
        </w:tc>
      </w:tr>
    </w:tbl>
    <w:p w14:paraId="6225A498">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2.5.1.4土壤环境</w:t>
      </w:r>
    </w:p>
    <w:p w14:paraId="41E8B90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本项目现有井场及场站永久占地内土壤执行《土壤环境质量 建设用地土壤污染风险管控标准（试行）》（GB36600-2018）中第二类用地筛选值，居民区内土壤执行《土壤环境质量 建设用地土壤污染风险管控标准（试行）》（GB36600-2018）中第一类用地筛选值，具体见表2.5-5。</w:t>
      </w:r>
    </w:p>
    <w:p w14:paraId="24A3D188">
      <w:pPr>
        <w:widowControl w:val="0"/>
        <w:spacing w:line="440" w:lineRule="exact"/>
        <w:ind w:firstLine="482"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b/>
          <w:caps w:val="0"/>
          <w:smallCaps w:val="0"/>
          <w:color w:val="auto"/>
          <w:spacing w:val="0"/>
          <w:w w:val="100"/>
          <w:kern w:val="2"/>
          <w:position w:val="0"/>
          <w:szCs w:val="20"/>
          <w:highlight w:val="none"/>
        </w:rPr>
        <w:t>表2.5-5</w:t>
      </w:r>
      <w:r>
        <w:rPr>
          <w:rFonts w:ascii="Times New Roman" w:hAnsi="Times New Roman" w:cs="Times New Roman" w:eastAsiaTheme="minorEastAsia"/>
          <w:b/>
          <w:bCs/>
          <w:caps w:val="0"/>
          <w:smallCaps w:val="0"/>
          <w:color w:val="auto"/>
          <w:spacing w:val="0"/>
          <w:w w:val="100"/>
          <w:kern w:val="2"/>
          <w:position w:val="0"/>
          <w:highlight w:val="none"/>
        </w:rPr>
        <w:t xml:space="preserve">    土壤环境执行标准    单位：mg/kg</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2099"/>
        <w:gridCol w:w="1306"/>
        <w:gridCol w:w="1307"/>
        <w:gridCol w:w="3770"/>
      </w:tblGrid>
      <w:tr w14:paraId="1DD75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Merge w:val="restart"/>
            <w:vAlign w:val="center"/>
          </w:tcPr>
          <w:p w14:paraId="6CED319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序号</w:t>
            </w:r>
          </w:p>
        </w:tc>
        <w:tc>
          <w:tcPr>
            <w:tcW w:w="1130" w:type="pct"/>
            <w:vMerge w:val="restart"/>
            <w:vAlign w:val="center"/>
          </w:tcPr>
          <w:p w14:paraId="41D224B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监测项目</w:t>
            </w:r>
          </w:p>
        </w:tc>
        <w:tc>
          <w:tcPr>
            <w:tcW w:w="1407" w:type="pct"/>
            <w:gridSpan w:val="2"/>
            <w:vAlign w:val="center"/>
          </w:tcPr>
          <w:p w14:paraId="7C588CB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筛选值</w:t>
            </w:r>
          </w:p>
        </w:tc>
        <w:tc>
          <w:tcPr>
            <w:tcW w:w="2030" w:type="pct"/>
            <w:vMerge w:val="restart"/>
            <w:vAlign w:val="center"/>
          </w:tcPr>
          <w:p w14:paraId="3F9A7BB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标准名称</w:t>
            </w:r>
          </w:p>
        </w:tc>
      </w:tr>
      <w:tr w14:paraId="5282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Merge w:val="continue"/>
            <w:vAlign w:val="center"/>
          </w:tcPr>
          <w:p w14:paraId="59335B9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c>
          <w:tcPr>
            <w:tcW w:w="1130" w:type="pct"/>
            <w:vMerge w:val="continue"/>
            <w:vAlign w:val="center"/>
          </w:tcPr>
          <w:p w14:paraId="2C0C978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c>
          <w:tcPr>
            <w:tcW w:w="703" w:type="pct"/>
            <w:vAlign w:val="center"/>
          </w:tcPr>
          <w:p w14:paraId="0365DC5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第一类用地</w:t>
            </w:r>
          </w:p>
        </w:tc>
        <w:tc>
          <w:tcPr>
            <w:tcW w:w="704" w:type="pct"/>
            <w:vAlign w:val="center"/>
          </w:tcPr>
          <w:p w14:paraId="6E4BAE1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第二类用地</w:t>
            </w:r>
          </w:p>
        </w:tc>
        <w:tc>
          <w:tcPr>
            <w:tcW w:w="2030" w:type="pct"/>
            <w:vMerge w:val="continue"/>
            <w:vAlign w:val="center"/>
          </w:tcPr>
          <w:p w14:paraId="16152D0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53EE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F6D2F0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w:t>
            </w:r>
          </w:p>
        </w:tc>
        <w:tc>
          <w:tcPr>
            <w:tcW w:w="1130" w:type="pct"/>
            <w:vAlign w:val="center"/>
          </w:tcPr>
          <w:p w14:paraId="3A8794C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As</w:t>
            </w:r>
          </w:p>
        </w:tc>
        <w:tc>
          <w:tcPr>
            <w:tcW w:w="703" w:type="pct"/>
            <w:vAlign w:val="center"/>
          </w:tcPr>
          <w:p w14:paraId="14A24E0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20</w:t>
            </w:r>
          </w:p>
        </w:tc>
        <w:tc>
          <w:tcPr>
            <w:tcW w:w="704" w:type="pct"/>
            <w:vAlign w:val="center"/>
          </w:tcPr>
          <w:p w14:paraId="1726B2E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60</w:t>
            </w:r>
          </w:p>
        </w:tc>
        <w:tc>
          <w:tcPr>
            <w:tcW w:w="2030" w:type="pct"/>
            <w:vMerge w:val="restart"/>
            <w:vAlign w:val="center"/>
          </w:tcPr>
          <w:p w14:paraId="05CD750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《土壤环境质量 建设用地土壤污染风险管控标准（试行）》（GB36600-2018）基本项目</w:t>
            </w:r>
          </w:p>
        </w:tc>
      </w:tr>
      <w:tr w14:paraId="10F1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B03619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w:t>
            </w:r>
          </w:p>
        </w:tc>
        <w:tc>
          <w:tcPr>
            <w:tcW w:w="1130" w:type="pct"/>
            <w:vAlign w:val="center"/>
          </w:tcPr>
          <w:p w14:paraId="7A7AB6C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Cd</w:t>
            </w:r>
          </w:p>
        </w:tc>
        <w:tc>
          <w:tcPr>
            <w:tcW w:w="703" w:type="pct"/>
            <w:vAlign w:val="center"/>
          </w:tcPr>
          <w:p w14:paraId="329E019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20</w:t>
            </w:r>
          </w:p>
        </w:tc>
        <w:tc>
          <w:tcPr>
            <w:tcW w:w="704" w:type="pct"/>
            <w:vAlign w:val="center"/>
          </w:tcPr>
          <w:p w14:paraId="370F3F4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65</w:t>
            </w:r>
          </w:p>
        </w:tc>
        <w:tc>
          <w:tcPr>
            <w:tcW w:w="2030" w:type="pct"/>
            <w:vMerge w:val="continue"/>
            <w:vAlign w:val="center"/>
          </w:tcPr>
          <w:p w14:paraId="6C0B705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75FB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AA068D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w:t>
            </w:r>
          </w:p>
        </w:tc>
        <w:tc>
          <w:tcPr>
            <w:tcW w:w="1130" w:type="pct"/>
            <w:vAlign w:val="center"/>
          </w:tcPr>
          <w:p w14:paraId="272CE95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Cr（六价）</w:t>
            </w:r>
          </w:p>
        </w:tc>
        <w:tc>
          <w:tcPr>
            <w:tcW w:w="703" w:type="pct"/>
            <w:vAlign w:val="center"/>
          </w:tcPr>
          <w:p w14:paraId="0EE6FCC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3.0</w:t>
            </w:r>
          </w:p>
        </w:tc>
        <w:tc>
          <w:tcPr>
            <w:tcW w:w="704" w:type="pct"/>
            <w:vAlign w:val="center"/>
          </w:tcPr>
          <w:p w14:paraId="67BECB5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5.7</w:t>
            </w:r>
          </w:p>
        </w:tc>
        <w:tc>
          <w:tcPr>
            <w:tcW w:w="2030" w:type="pct"/>
            <w:vMerge w:val="continue"/>
            <w:vAlign w:val="center"/>
          </w:tcPr>
          <w:p w14:paraId="2A7DEF8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3690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00F846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w:t>
            </w:r>
          </w:p>
        </w:tc>
        <w:tc>
          <w:tcPr>
            <w:tcW w:w="1130" w:type="pct"/>
            <w:vAlign w:val="center"/>
          </w:tcPr>
          <w:p w14:paraId="3E81CDB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Cu</w:t>
            </w:r>
          </w:p>
        </w:tc>
        <w:tc>
          <w:tcPr>
            <w:tcW w:w="703" w:type="pct"/>
            <w:vAlign w:val="center"/>
          </w:tcPr>
          <w:p w14:paraId="43B3718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2000</w:t>
            </w:r>
          </w:p>
        </w:tc>
        <w:tc>
          <w:tcPr>
            <w:tcW w:w="704" w:type="pct"/>
            <w:vAlign w:val="center"/>
          </w:tcPr>
          <w:p w14:paraId="781B484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18000</w:t>
            </w:r>
          </w:p>
        </w:tc>
        <w:tc>
          <w:tcPr>
            <w:tcW w:w="2030" w:type="pct"/>
            <w:vMerge w:val="continue"/>
            <w:vAlign w:val="center"/>
          </w:tcPr>
          <w:p w14:paraId="76F5424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2F79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7092D6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w:t>
            </w:r>
          </w:p>
        </w:tc>
        <w:tc>
          <w:tcPr>
            <w:tcW w:w="1130" w:type="pct"/>
            <w:vAlign w:val="center"/>
          </w:tcPr>
          <w:p w14:paraId="79FCF73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Pb</w:t>
            </w:r>
          </w:p>
        </w:tc>
        <w:tc>
          <w:tcPr>
            <w:tcW w:w="703" w:type="pct"/>
            <w:vAlign w:val="center"/>
          </w:tcPr>
          <w:p w14:paraId="0305EB8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400</w:t>
            </w:r>
          </w:p>
        </w:tc>
        <w:tc>
          <w:tcPr>
            <w:tcW w:w="704" w:type="pct"/>
            <w:vAlign w:val="center"/>
          </w:tcPr>
          <w:p w14:paraId="316D808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800</w:t>
            </w:r>
          </w:p>
        </w:tc>
        <w:tc>
          <w:tcPr>
            <w:tcW w:w="2030" w:type="pct"/>
            <w:vMerge w:val="continue"/>
            <w:vAlign w:val="center"/>
          </w:tcPr>
          <w:p w14:paraId="56C7C8C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2DBE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1CA8DB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w:t>
            </w:r>
          </w:p>
        </w:tc>
        <w:tc>
          <w:tcPr>
            <w:tcW w:w="1130" w:type="pct"/>
            <w:vAlign w:val="center"/>
          </w:tcPr>
          <w:p w14:paraId="1768036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Hg</w:t>
            </w:r>
          </w:p>
        </w:tc>
        <w:tc>
          <w:tcPr>
            <w:tcW w:w="703" w:type="pct"/>
            <w:vAlign w:val="center"/>
          </w:tcPr>
          <w:p w14:paraId="51D475C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8</w:t>
            </w:r>
          </w:p>
        </w:tc>
        <w:tc>
          <w:tcPr>
            <w:tcW w:w="704" w:type="pct"/>
            <w:vAlign w:val="center"/>
          </w:tcPr>
          <w:p w14:paraId="760AFB7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38</w:t>
            </w:r>
          </w:p>
        </w:tc>
        <w:tc>
          <w:tcPr>
            <w:tcW w:w="2030" w:type="pct"/>
            <w:vMerge w:val="continue"/>
            <w:vAlign w:val="center"/>
          </w:tcPr>
          <w:p w14:paraId="48B7FF3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47E8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D51277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7</w:t>
            </w:r>
          </w:p>
        </w:tc>
        <w:tc>
          <w:tcPr>
            <w:tcW w:w="1130" w:type="pct"/>
            <w:vAlign w:val="center"/>
          </w:tcPr>
          <w:p w14:paraId="590E651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Ni</w:t>
            </w:r>
          </w:p>
        </w:tc>
        <w:tc>
          <w:tcPr>
            <w:tcW w:w="703" w:type="pct"/>
            <w:vAlign w:val="center"/>
          </w:tcPr>
          <w:p w14:paraId="1C30E35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150</w:t>
            </w:r>
          </w:p>
        </w:tc>
        <w:tc>
          <w:tcPr>
            <w:tcW w:w="704" w:type="pct"/>
            <w:vAlign w:val="center"/>
          </w:tcPr>
          <w:p w14:paraId="2B5EEDA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900</w:t>
            </w:r>
          </w:p>
        </w:tc>
        <w:tc>
          <w:tcPr>
            <w:tcW w:w="2030" w:type="pct"/>
            <w:vMerge w:val="continue"/>
            <w:vAlign w:val="center"/>
          </w:tcPr>
          <w:p w14:paraId="7751F6E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2AF7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E97E40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8</w:t>
            </w:r>
          </w:p>
        </w:tc>
        <w:tc>
          <w:tcPr>
            <w:tcW w:w="1130" w:type="pct"/>
            <w:vAlign w:val="center"/>
          </w:tcPr>
          <w:p w14:paraId="769DD39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四氯化碳</w:t>
            </w:r>
          </w:p>
        </w:tc>
        <w:tc>
          <w:tcPr>
            <w:tcW w:w="703" w:type="pct"/>
            <w:vAlign w:val="center"/>
          </w:tcPr>
          <w:p w14:paraId="17F11B0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0.9</w:t>
            </w:r>
          </w:p>
        </w:tc>
        <w:tc>
          <w:tcPr>
            <w:tcW w:w="704" w:type="pct"/>
            <w:vAlign w:val="center"/>
          </w:tcPr>
          <w:p w14:paraId="3796F29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2.8</w:t>
            </w:r>
          </w:p>
        </w:tc>
        <w:tc>
          <w:tcPr>
            <w:tcW w:w="2030" w:type="pct"/>
            <w:vMerge w:val="continue"/>
            <w:vAlign w:val="center"/>
          </w:tcPr>
          <w:p w14:paraId="5ADF6D7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0F98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073FD6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9</w:t>
            </w:r>
          </w:p>
        </w:tc>
        <w:tc>
          <w:tcPr>
            <w:tcW w:w="1130" w:type="pct"/>
            <w:vAlign w:val="center"/>
          </w:tcPr>
          <w:p w14:paraId="2ADEA41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氯仿</w:t>
            </w:r>
          </w:p>
        </w:tc>
        <w:tc>
          <w:tcPr>
            <w:tcW w:w="703" w:type="pct"/>
            <w:vAlign w:val="center"/>
          </w:tcPr>
          <w:p w14:paraId="511DCAB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0.3</w:t>
            </w:r>
          </w:p>
        </w:tc>
        <w:tc>
          <w:tcPr>
            <w:tcW w:w="704" w:type="pct"/>
            <w:vAlign w:val="center"/>
          </w:tcPr>
          <w:p w14:paraId="246241D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0.9</w:t>
            </w:r>
          </w:p>
        </w:tc>
        <w:tc>
          <w:tcPr>
            <w:tcW w:w="2030" w:type="pct"/>
            <w:vMerge w:val="continue"/>
            <w:vAlign w:val="center"/>
          </w:tcPr>
          <w:p w14:paraId="5698FF6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73C2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34600B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10</w:t>
            </w:r>
          </w:p>
        </w:tc>
        <w:tc>
          <w:tcPr>
            <w:tcW w:w="1130" w:type="pct"/>
            <w:vAlign w:val="center"/>
          </w:tcPr>
          <w:p w14:paraId="5433EA4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氯甲烷</w:t>
            </w:r>
          </w:p>
        </w:tc>
        <w:tc>
          <w:tcPr>
            <w:tcW w:w="703" w:type="pct"/>
            <w:vAlign w:val="center"/>
          </w:tcPr>
          <w:p w14:paraId="0CD1299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w:t>
            </w:r>
          </w:p>
        </w:tc>
        <w:tc>
          <w:tcPr>
            <w:tcW w:w="704" w:type="pct"/>
            <w:vAlign w:val="center"/>
          </w:tcPr>
          <w:p w14:paraId="4699FAD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37</w:t>
            </w:r>
          </w:p>
        </w:tc>
        <w:tc>
          <w:tcPr>
            <w:tcW w:w="2030" w:type="pct"/>
            <w:vMerge w:val="continue"/>
            <w:vAlign w:val="center"/>
          </w:tcPr>
          <w:p w14:paraId="077B728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29DD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B041A9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11</w:t>
            </w:r>
          </w:p>
        </w:tc>
        <w:tc>
          <w:tcPr>
            <w:tcW w:w="1130" w:type="pct"/>
            <w:vAlign w:val="center"/>
          </w:tcPr>
          <w:p w14:paraId="28F3F04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1,1-二氯乙烷</w:t>
            </w:r>
          </w:p>
        </w:tc>
        <w:tc>
          <w:tcPr>
            <w:tcW w:w="703" w:type="pct"/>
            <w:vAlign w:val="center"/>
          </w:tcPr>
          <w:p w14:paraId="2F47292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w:t>
            </w:r>
          </w:p>
        </w:tc>
        <w:tc>
          <w:tcPr>
            <w:tcW w:w="704" w:type="pct"/>
            <w:vAlign w:val="center"/>
          </w:tcPr>
          <w:p w14:paraId="0BB1A01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9</w:t>
            </w:r>
          </w:p>
        </w:tc>
        <w:tc>
          <w:tcPr>
            <w:tcW w:w="2030" w:type="pct"/>
            <w:vMerge w:val="continue"/>
            <w:vAlign w:val="center"/>
          </w:tcPr>
          <w:p w14:paraId="6EC5F91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2F85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9DA774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w:t>
            </w:r>
          </w:p>
        </w:tc>
        <w:tc>
          <w:tcPr>
            <w:tcW w:w="1130" w:type="pct"/>
            <w:vAlign w:val="center"/>
          </w:tcPr>
          <w:p w14:paraId="679E620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1,2-二氯乙烷</w:t>
            </w:r>
          </w:p>
        </w:tc>
        <w:tc>
          <w:tcPr>
            <w:tcW w:w="703" w:type="pct"/>
            <w:vAlign w:val="center"/>
          </w:tcPr>
          <w:p w14:paraId="43FB6DE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0.52</w:t>
            </w:r>
          </w:p>
        </w:tc>
        <w:tc>
          <w:tcPr>
            <w:tcW w:w="704" w:type="pct"/>
            <w:vAlign w:val="center"/>
          </w:tcPr>
          <w:p w14:paraId="4AFF585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w:t>
            </w:r>
          </w:p>
        </w:tc>
        <w:tc>
          <w:tcPr>
            <w:tcW w:w="2030" w:type="pct"/>
            <w:vMerge w:val="continue"/>
            <w:vAlign w:val="center"/>
          </w:tcPr>
          <w:p w14:paraId="5B0B2ED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6390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AE9D5D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13</w:t>
            </w:r>
          </w:p>
        </w:tc>
        <w:tc>
          <w:tcPr>
            <w:tcW w:w="1130" w:type="pct"/>
            <w:vAlign w:val="center"/>
          </w:tcPr>
          <w:p w14:paraId="24F3569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1,1-二氯乙烯</w:t>
            </w:r>
          </w:p>
        </w:tc>
        <w:tc>
          <w:tcPr>
            <w:tcW w:w="703" w:type="pct"/>
            <w:vAlign w:val="center"/>
          </w:tcPr>
          <w:p w14:paraId="30CDCF5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w:t>
            </w:r>
          </w:p>
        </w:tc>
        <w:tc>
          <w:tcPr>
            <w:tcW w:w="704" w:type="pct"/>
            <w:vAlign w:val="center"/>
          </w:tcPr>
          <w:p w14:paraId="495C364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66</w:t>
            </w:r>
          </w:p>
        </w:tc>
        <w:tc>
          <w:tcPr>
            <w:tcW w:w="2030" w:type="pct"/>
            <w:vMerge w:val="continue"/>
            <w:vAlign w:val="center"/>
          </w:tcPr>
          <w:p w14:paraId="55AC540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0D7A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14E995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14</w:t>
            </w:r>
          </w:p>
        </w:tc>
        <w:tc>
          <w:tcPr>
            <w:tcW w:w="1130" w:type="pct"/>
            <w:vAlign w:val="center"/>
          </w:tcPr>
          <w:p w14:paraId="68F7396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顺-1,2-二氯乙烯</w:t>
            </w:r>
          </w:p>
        </w:tc>
        <w:tc>
          <w:tcPr>
            <w:tcW w:w="703" w:type="pct"/>
            <w:vAlign w:val="center"/>
          </w:tcPr>
          <w:p w14:paraId="28DA2BD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66</w:t>
            </w:r>
          </w:p>
        </w:tc>
        <w:tc>
          <w:tcPr>
            <w:tcW w:w="704" w:type="pct"/>
            <w:vAlign w:val="center"/>
          </w:tcPr>
          <w:p w14:paraId="03EDA76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596</w:t>
            </w:r>
          </w:p>
        </w:tc>
        <w:tc>
          <w:tcPr>
            <w:tcW w:w="2030" w:type="pct"/>
            <w:vMerge w:val="continue"/>
            <w:vAlign w:val="center"/>
          </w:tcPr>
          <w:p w14:paraId="6088B87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1D63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54716A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15</w:t>
            </w:r>
          </w:p>
        </w:tc>
        <w:tc>
          <w:tcPr>
            <w:tcW w:w="1130" w:type="pct"/>
            <w:vAlign w:val="center"/>
          </w:tcPr>
          <w:p w14:paraId="5680B2E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反-1,2-二氯乙烯</w:t>
            </w:r>
          </w:p>
        </w:tc>
        <w:tc>
          <w:tcPr>
            <w:tcW w:w="703" w:type="pct"/>
            <w:vAlign w:val="center"/>
          </w:tcPr>
          <w:p w14:paraId="2472138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10</w:t>
            </w:r>
          </w:p>
        </w:tc>
        <w:tc>
          <w:tcPr>
            <w:tcW w:w="704" w:type="pct"/>
            <w:vAlign w:val="center"/>
          </w:tcPr>
          <w:p w14:paraId="2DA3127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54</w:t>
            </w:r>
          </w:p>
        </w:tc>
        <w:tc>
          <w:tcPr>
            <w:tcW w:w="2030" w:type="pct"/>
            <w:vMerge w:val="continue"/>
            <w:vAlign w:val="center"/>
          </w:tcPr>
          <w:p w14:paraId="7F864F3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4099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818CFF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16</w:t>
            </w:r>
          </w:p>
        </w:tc>
        <w:tc>
          <w:tcPr>
            <w:tcW w:w="1130" w:type="pct"/>
            <w:vAlign w:val="center"/>
          </w:tcPr>
          <w:p w14:paraId="5177DFB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二氯甲烷</w:t>
            </w:r>
          </w:p>
        </w:tc>
        <w:tc>
          <w:tcPr>
            <w:tcW w:w="703" w:type="pct"/>
            <w:vAlign w:val="center"/>
          </w:tcPr>
          <w:p w14:paraId="641419C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94</w:t>
            </w:r>
          </w:p>
        </w:tc>
        <w:tc>
          <w:tcPr>
            <w:tcW w:w="704" w:type="pct"/>
            <w:vAlign w:val="center"/>
          </w:tcPr>
          <w:p w14:paraId="2E911C5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616</w:t>
            </w:r>
          </w:p>
        </w:tc>
        <w:tc>
          <w:tcPr>
            <w:tcW w:w="2030" w:type="pct"/>
            <w:vMerge w:val="continue"/>
            <w:vAlign w:val="center"/>
          </w:tcPr>
          <w:p w14:paraId="7F7C402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5A7F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2EB6DD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17</w:t>
            </w:r>
          </w:p>
        </w:tc>
        <w:tc>
          <w:tcPr>
            <w:tcW w:w="1130" w:type="pct"/>
            <w:vAlign w:val="center"/>
          </w:tcPr>
          <w:p w14:paraId="7A200B1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1,2-二氯丙烷</w:t>
            </w:r>
          </w:p>
        </w:tc>
        <w:tc>
          <w:tcPr>
            <w:tcW w:w="703" w:type="pct"/>
            <w:vAlign w:val="center"/>
          </w:tcPr>
          <w:p w14:paraId="547C7F9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w:t>
            </w:r>
          </w:p>
        </w:tc>
        <w:tc>
          <w:tcPr>
            <w:tcW w:w="704" w:type="pct"/>
            <w:vAlign w:val="center"/>
          </w:tcPr>
          <w:p w14:paraId="1450658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w:t>
            </w:r>
          </w:p>
        </w:tc>
        <w:tc>
          <w:tcPr>
            <w:tcW w:w="2030" w:type="pct"/>
            <w:vMerge w:val="continue"/>
            <w:vAlign w:val="center"/>
          </w:tcPr>
          <w:p w14:paraId="374354C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0E62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19FBBB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18</w:t>
            </w:r>
          </w:p>
        </w:tc>
        <w:tc>
          <w:tcPr>
            <w:tcW w:w="1130" w:type="pct"/>
            <w:vAlign w:val="center"/>
          </w:tcPr>
          <w:p w14:paraId="29DC977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1,1,1,2-四氯乙烷</w:t>
            </w:r>
          </w:p>
        </w:tc>
        <w:tc>
          <w:tcPr>
            <w:tcW w:w="703" w:type="pct"/>
            <w:vAlign w:val="center"/>
          </w:tcPr>
          <w:p w14:paraId="0F54F83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2.6</w:t>
            </w:r>
          </w:p>
        </w:tc>
        <w:tc>
          <w:tcPr>
            <w:tcW w:w="704" w:type="pct"/>
            <w:vAlign w:val="center"/>
          </w:tcPr>
          <w:p w14:paraId="78E6C84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10</w:t>
            </w:r>
          </w:p>
        </w:tc>
        <w:tc>
          <w:tcPr>
            <w:tcW w:w="2030" w:type="pct"/>
            <w:vMerge w:val="continue"/>
            <w:vAlign w:val="center"/>
          </w:tcPr>
          <w:p w14:paraId="4BEB617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5E8B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BFEDC5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19</w:t>
            </w:r>
          </w:p>
        </w:tc>
        <w:tc>
          <w:tcPr>
            <w:tcW w:w="1130" w:type="pct"/>
            <w:vAlign w:val="center"/>
          </w:tcPr>
          <w:p w14:paraId="435DA22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1,1,2,2-四氯乙烷</w:t>
            </w:r>
          </w:p>
        </w:tc>
        <w:tc>
          <w:tcPr>
            <w:tcW w:w="703" w:type="pct"/>
            <w:vAlign w:val="center"/>
          </w:tcPr>
          <w:p w14:paraId="50AA433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1.6</w:t>
            </w:r>
          </w:p>
        </w:tc>
        <w:tc>
          <w:tcPr>
            <w:tcW w:w="704" w:type="pct"/>
            <w:vAlign w:val="center"/>
          </w:tcPr>
          <w:p w14:paraId="28A585B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6.8</w:t>
            </w:r>
          </w:p>
        </w:tc>
        <w:tc>
          <w:tcPr>
            <w:tcW w:w="2030" w:type="pct"/>
            <w:vMerge w:val="continue"/>
            <w:vAlign w:val="center"/>
          </w:tcPr>
          <w:p w14:paraId="174DD6E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560E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53054A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20</w:t>
            </w:r>
          </w:p>
        </w:tc>
        <w:tc>
          <w:tcPr>
            <w:tcW w:w="1130" w:type="pct"/>
            <w:vAlign w:val="center"/>
          </w:tcPr>
          <w:p w14:paraId="579E8BA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四氯乙烯</w:t>
            </w:r>
          </w:p>
        </w:tc>
        <w:tc>
          <w:tcPr>
            <w:tcW w:w="703" w:type="pct"/>
            <w:vAlign w:val="center"/>
          </w:tcPr>
          <w:p w14:paraId="5BFF181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11</w:t>
            </w:r>
          </w:p>
        </w:tc>
        <w:tc>
          <w:tcPr>
            <w:tcW w:w="704" w:type="pct"/>
            <w:vAlign w:val="center"/>
          </w:tcPr>
          <w:p w14:paraId="25531FE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53</w:t>
            </w:r>
          </w:p>
        </w:tc>
        <w:tc>
          <w:tcPr>
            <w:tcW w:w="2030" w:type="pct"/>
            <w:vMerge w:val="continue"/>
            <w:vAlign w:val="center"/>
          </w:tcPr>
          <w:p w14:paraId="4C5938A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5147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B8EA85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21</w:t>
            </w:r>
          </w:p>
        </w:tc>
        <w:tc>
          <w:tcPr>
            <w:tcW w:w="1130" w:type="pct"/>
            <w:vAlign w:val="center"/>
          </w:tcPr>
          <w:p w14:paraId="5A9DD07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1,1,1-三氯乙烷</w:t>
            </w:r>
          </w:p>
        </w:tc>
        <w:tc>
          <w:tcPr>
            <w:tcW w:w="703" w:type="pct"/>
            <w:vAlign w:val="center"/>
          </w:tcPr>
          <w:p w14:paraId="630275F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701</w:t>
            </w:r>
          </w:p>
        </w:tc>
        <w:tc>
          <w:tcPr>
            <w:tcW w:w="704" w:type="pct"/>
            <w:vAlign w:val="center"/>
          </w:tcPr>
          <w:p w14:paraId="7ADB896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840</w:t>
            </w:r>
          </w:p>
        </w:tc>
        <w:tc>
          <w:tcPr>
            <w:tcW w:w="2030" w:type="pct"/>
            <w:vMerge w:val="continue"/>
            <w:vAlign w:val="center"/>
          </w:tcPr>
          <w:p w14:paraId="79025AA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373B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653411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22</w:t>
            </w:r>
          </w:p>
        </w:tc>
        <w:tc>
          <w:tcPr>
            <w:tcW w:w="1130" w:type="pct"/>
            <w:vAlign w:val="center"/>
          </w:tcPr>
          <w:p w14:paraId="6A49190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1,1,2-三氯乙烷</w:t>
            </w:r>
          </w:p>
        </w:tc>
        <w:tc>
          <w:tcPr>
            <w:tcW w:w="703" w:type="pct"/>
            <w:vAlign w:val="center"/>
          </w:tcPr>
          <w:p w14:paraId="6F3CD47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0.6</w:t>
            </w:r>
          </w:p>
        </w:tc>
        <w:tc>
          <w:tcPr>
            <w:tcW w:w="704" w:type="pct"/>
            <w:vAlign w:val="center"/>
          </w:tcPr>
          <w:p w14:paraId="0E56A19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2.8</w:t>
            </w:r>
          </w:p>
        </w:tc>
        <w:tc>
          <w:tcPr>
            <w:tcW w:w="2030" w:type="pct"/>
            <w:vMerge w:val="continue"/>
            <w:vAlign w:val="center"/>
          </w:tcPr>
          <w:p w14:paraId="2374858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38D2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660CF5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23</w:t>
            </w:r>
          </w:p>
        </w:tc>
        <w:tc>
          <w:tcPr>
            <w:tcW w:w="1130" w:type="pct"/>
            <w:vAlign w:val="center"/>
          </w:tcPr>
          <w:p w14:paraId="0AD695D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三氯乙烯</w:t>
            </w:r>
          </w:p>
        </w:tc>
        <w:tc>
          <w:tcPr>
            <w:tcW w:w="703" w:type="pct"/>
            <w:vAlign w:val="center"/>
          </w:tcPr>
          <w:p w14:paraId="024A198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0.7</w:t>
            </w:r>
          </w:p>
        </w:tc>
        <w:tc>
          <w:tcPr>
            <w:tcW w:w="704" w:type="pct"/>
            <w:vAlign w:val="center"/>
          </w:tcPr>
          <w:p w14:paraId="59290C7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2.8</w:t>
            </w:r>
          </w:p>
        </w:tc>
        <w:tc>
          <w:tcPr>
            <w:tcW w:w="2030" w:type="pct"/>
            <w:vMerge w:val="continue"/>
            <w:vAlign w:val="center"/>
          </w:tcPr>
          <w:p w14:paraId="754C752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1694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777730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24</w:t>
            </w:r>
          </w:p>
        </w:tc>
        <w:tc>
          <w:tcPr>
            <w:tcW w:w="1130" w:type="pct"/>
            <w:vAlign w:val="center"/>
          </w:tcPr>
          <w:p w14:paraId="2441902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1,2,3-三氯丙烷</w:t>
            </w:r>
          </w:p>
        </w:tc>
        <w:tc>
          <w:tcPr>
            <w:tcW w:w="703" w:type="pct"/>
            <w:vAlign w:val="center"/>
          </w:tcPr>
          <w:p w14:paraId="0BEAA27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0.05</w:t>
            </w:r>
          </w:p>
        </w:tc>
        <w:tc>
          <w:tcPr>
            <w:tcW w:w="704" w:type="pct"/>
            <w:vAlign w:val="center"/>
          </w:tcPr>
          <w:p w14:paraId="6FC5C63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0.5</w:t>
            </w:r>
          </w:p>
        </w:tc>
        <w:tc>
          <w:tcPr>
            <w:tcW w:w="2030" w:type="pct"/>
            <w:vMerge w:val="continue"/>
            <w:vAlign w:val="center"/>
          </w:tcPr>
          <w:p w14:paraId="4FC6AE1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1ED8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306D484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25</w:t>
            </w:r>
          </w:p>
        </w:tc>
        <w:tc>
          <w:tcPr>
            <w:tcW w:w="1130" w:type="pct"/>
            <w:vAlign w:val="center"/>
          </w:tcPr>
          <w:p w14:paraId="65699ED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氯乙烯</w:t>
            </w:r>
          </w:p>
        </w:tc>
        <w:tc>
          <w:tcPr>
            <w:tcW w:w="703" w:type="pct"/>
            <w:vAlign w:val="center"/>
          </w:tcPr>
          <w:p w14:paraId="3C08CE7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0.12</w:t>
            </w:r>
          </w:p>
        </w:tc>
        <w:tc>
          <w:tcPr>
            <w:tcW w:w="704" w:type="pct"/>
            <w:vAlign w:val="center"/>
          </w:tcPr>
          <w:p w14:paraId="36F87E5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0.43</w:t>
            </w:r>
          </w:p>
        </w:tc>
        <w:tc>
          <w:tcPr>
            <w:tcW w:w="2030" w:type="pct"/>
            <w:vMerge w:val="continue"/>
            <w:vAlign w:val="center"/>
          </w:tcPr>
          <w:p w14:paraId="5D11F62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6B7B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8A07AC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26</w:t>
            </w:r>
          </w:p>
        </w:tc>
        <w:tc>
          <w:tcPr>
            <w:tcW w:w="1130" w:type="pct"/>
            <w:vAlign w:val="center"/>
          </w:tcPr>
          <w:p w14:paraId="2465EDA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苯</w:t>
            </w:r>
          </w:p>
        </w:tc>
        <w:tc>
          <w:tcPr>
            <w:tcW w:w="703" w:type="pct"/>
            <w:vAlign w:val="center"/>
          </w:tcPr>
          <w:p w14:paraId="6238331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w:t>
            </w:r>
          </w:p>
        </w:tc>
        <w:tc>
          <w:tcPr>
            <w:tcW w:w="704" w:type="pct"/>
            <w:vAlign w:val="center"/>
          </w:tcPr>
          <w:p w14:paraId="2004DEC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w:t>
            </w:r>
          </w:p>
        </w:tc>
        <w:tc>
          <w:tcPr>
            <w:tcW w:w="2030" w:type="pct"/>
            <w:vMerge w:val="continue"/>
            <w:vAlign w:val="center"/>
          </w:tcPr>
          <w:p w14:paraId="7BF8802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4476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502691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27</w:t>
            </w:r>
          </w:p>
        </w:tc>
        <w:tc>
          <w:tcPr>
            <w:tcW w:w="1130" w:type="pct"/>
            <w:vAlign w:val="center"/>
          </w:tcPr>
          <w:p w14:paraId="5F7BDF5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氯苯</w:t>
            </w:r>
          </w:p>
        </w:tc>
        <w:tc>
          <w:tcPr>
            <w:tcW w:w="703" w:type="pct"/>
            <w:vAlign w:val="center"/>
          </w:tcPr>
          <w:p w14:paraId="6BEF2A7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68</w:t>
            </w:r>
          </w:p>
        </w:tc>
        <w:tc>
          <w:tcPr>
            <w:tcW w:w="704" w:type="pct"/>
            <w:vAlign w:val="center"/>
          </w:tcPr>
          <w:p w14:paraId="5ABBD3F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270</w:t>
            </w:r>
          </w:p>
        </w:tc>
        <w:tc>
          <w:tcPr>
            <w:tcW w:w="2030" w:type="pct"/>
            <w:vMerge w:val="continue"/>
            <w:vAlign w:val="center"/>
          </w:tcPr>
          <w:p w14:paraId="7FA7A05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3303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2CA67A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28</w:t>
            </w:r>
          </w:p>
        </w:tc>
        <w:tc>
          <w:tcPr>
            <w:tcW w:w="1130" w:type="pct"/>
            <w:vAlign w:val="center"/>
          </w:tcPr>
          <w:p w14:paraId="4CD5960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1,2-二氯苯</w:t>
            </w:r>
          </w:p>
        </w:tc>
        <w:tc>
          <w:tcPr>
            <w:tcW w:w="703" w:type="pct"/>
            <w:vAlign w:val="center"/>
          </w:tcPr>
          <w:p w14:paraId="6754929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560</w:t>
            </w:r>
          </w:p>
        </w:tc>
        <w:tc>
          <w:tcPr>
            <w:tcW w:w="704" w:type="pct"/>
            <w:vAlign w:val="center"/>
          </w:tcPr>
          <w:p w14:paraId="787E49F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560</w:t>
            </w:r>
          </w:p>
        </w:tc>
        <w:tc>
          <w:tcPr>
            <w:tcW w:w="2030" w:type="pct"/>
            <w:vMerge w:val="continue"/>
            <w:vAlign w:val="center"/>
          </w:tcPr>
          <w:p w14:paraId="3C33230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1CD8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C48B54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29</w:t>
            </w:r>
          </w:p>
        </w:tc>
        <w:tc>
          <w:tcPr>
            <w:tcW w:w="1130" w:type="pct"/>
            <w:vAlign w:val="center"/>
          </w:tcPr>
          <w:p w14:paraId="43C8D14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1,4-二氯苯</w:t>
            </w:r>
          </w:p>
        </w:tc>
        <w:tc>
          <w:tcPr>
            <w:tcW w:w="703" w:type="pct"/>
            <w:vAlign w:val="center"/>
          </w:tcPr>
          <w:p w14:paraId="4892BBE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5.6</w:t>
            </w:r>
          </w:p>
        </w:tc>
        <w:tc>
          <w:tcPr>
            <w:tcW w:w="704" w:type="pct"/>
            <w:vAlign w:val="center"/>
          </w:tcPr>
          <w:p w14:paraId="70F117F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20</w:t>
            </w:r>
          </w:p>
        </w:tc>
        <w:tc>
          <w:tcPr>
            <w:tcW w:w="2030" w:type="pct"/>
            <w:vMerge w:val="continue"/>
            <w:vAlign w:val="center"/>
          </w:tcPr>
          <w:p w14:paraId="2BF0266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53FF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688A69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30</w:t>
            </w:r>
          </w:p>
        </w:tc>
        <w:tc>
          <w:tcPr>
            <w:tcW w:w="1130" w:type="pct"/>
            <w:vAlign w:val="center"/>
          </w:tcPr>
          <w:p w14:paraId="44C4930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乙苯</w:t>
            </w:r>
          </w:p>
        </w:tc>
        <w:tc>
          <w:tcPr>
            <w:tcW w:w="703" w:type="pct"/>
            <w:vAlign w:val="center"/>
          </w:tcPr>
          <w:p w14:paraId="276C249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7.2</w:t>
            </w:r>
          </w:p>
        </w:tc>
        <w:tc>
          <w:tcPr>
            <w:tcW w:w="704" w:type="pct"/>
            <w:vAlign w:val="center"/>
          </w:tcPr>
          <w:p w14:paraId="28C4BAA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28</w:t>
            </w:r>
          </w:p>
        </w:tc>
        <w:tc>
          <w:tcPr>
            <w:tcW w:w="2030" w:type="pct"/>
            <w:vMerge w:val="continue"/>
            <w:vAlign w:val="center"/>
          </w:tcPr>
          <w:p w14:paraId="327DFE0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2188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F2F12D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31</w:t>
            </w:r>
          </w:p>
        </w:tc>
        <w:tc>
          <w:tcPr>
            <w:tcW w:w="1130" w:type="pct"/>
            <w:vAlign w:val="center"/>
          </w:tcPr>
          <w:p w14:paraId="3695920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苯乙烯</w:t>
            </w:r>
          </w:p>
        </w:tc>
        <w:tc>
          <w:tcPr>
            <w:tcW w:w="703" w:type="pct"/>
            <w:vAlign w:val="center"/>
          </w:tcPr>
          <w:p w14:paraId="6481677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1290</w:t>
            </w:r>
          </w:p>
        </w:tc>
        <w:tc>
          <w:tcPr>
            <w:tcW w:w="704" w:type="pct"/>
            <w:vAlign w:val="center"/>
          </w:tcPr>
          <w:p w14:paraId="4C8091F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1290</w:t>
            </w:r>
          </w:p>
        </w:tc>
        <w:tc>
          <w:tcPr>
            <w:tcW w:w="2030" w:type="pct"/>
            <w:vMerge w:val="continue"/>
            <w:vAlign w:val="center"/>
          </w:tcPr>
          <w:p w14:paraId="4F9CC5C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1A10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717AF2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32</w:t>
            </w:r>
          </w:p>
        </w:tc>
        <w:tc>
          <w:tcPr>
            <w:tcW w:w="1130" w:type="pct"/>
            <w:vAlign w:val="center"/>
          </w:tcPr>
          <w:p w14:paraId="1565AFB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甲苯</w:t>
            </w:r>
          </w:p>
        </w:tc>
        <w:tc>
          <w:tcPr>
            <w:tcW w:w="703" w:type="pct"/>
            <w:vAlign w:val="center"/>
          </w:tcPr>
          <w:p w14:paraId="768CA33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1200</w:t>
            </w:r>
          </w:p>
        </w:tc>
        <w:tc>
          <w:tcPr>
            <w:tcW w:w="704" w:type="pct"/>
            <w:vAlign w:val="center"/>
          </w:tcPr>
          <w:p w14:paraId="3BB7FDD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1200</w:t>
            </w:r>
          </w:p>
        </w:tc>
        <w:tc>
          <w:tcPr>
            <w:tcW w:w="2030" w:type="pct"/>
            <w:vMerge w:val="continue"/>
            <w:vAlign w:val="center"/>
          </w:tcPr>
          <w:p w14:paraId="4568030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725F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6F4B30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33</w:t>
            </w:r>
          </w:p>
        </w:tc>
        <w:tc>
          <w:tcPr>
            <w:tcW w:w="1130" w:type="pct"/>
            <w:vAlign w:val="center"/>
          </w:tcPr>
          <w:p w14:paraId="0E7E1F7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间二甲苯+对二甲苯</w:t>
            </w:r>
          </w:p>
        </w:tc>
        <w:tc>
          <w:tcPr>
            <w:tcW w:w="703" w:type="pct"/>
            <w:vAlign w:val="center"/>
          </w:tcPr>
          <w:p w14:paraId="37CB2A2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163</w:t>
            </w:r>
          </w:p>
        </w:tc>
        <w:tc>
          <w:tcPr>
            <w:tcW w:w="704" w:type="pct"/>
            <w:vAlign w:val="center"/>
          </w:tcPr>
          <w:p w14:paraId="4ED3CD2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570</w:t>
            </w:r>
          </w:p>
        </w:tc>
        <w:tc>
          <w:tcPr>
            <w:tcW w:w="2030" w:type="pct"/>
            <w:vMerge w:val="continue"/>
            <w:vAlign w:val="center"/>
          </w:tcPr>
          <w:p w14:paraId="6DC9A47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4391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0A7925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34</w:t>
            </w:r>
          </w:p>
        </w:tc>
        <w:tc>
          <w:tcPr>
            <w:tcW w:w="1130" w:type="pct"/>
            <w:vAlign w:val="center"/>
          </w:tcPr>
          <w:p w14:paraId="629719C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邻二甲苯</w:t>
            </w:r>
          </w:p>
        </w:tc>
        <w:tc>
          <w:tcPr>
            <w:tcW w:w="703" w:type="pct"/>
            <w:vAlign w:val="center"/>
          </w:tcPr>
          <w:p w14:paraId="10798FC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222</w:t>
            </w:r>
          </w:p>
        </w:tc>
        <w:tc>
          <w:tcPr>
            <w:tcW w:w="704" w:type="pct"/>
            <w:vAlign w:val="center"/>
          </w:tcPr>
          <w:p w14:paraId="63DF524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640</w:t>
            </w:r>
          </w:p>
        </w:tc>
        <w:tc>
          <w:tcPr>
            <w:tcW w:w="2030" w:type="pct"/>
            <w:vMerge w:val="continue"/>
            <w:vAlign w:val="center"/>
          </w:tcPr>
          <w:p w14:paraId="5F90483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72C4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F12CF4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35</w:t>
            </w:r>
          </w:p>
        </w:tc>
        <w:tc>
          <w:tcPr>
            <w:tcW w:w="1130" w:type="pct"/>
            <w:vAlign w:val="center"/>
          </w:tcPr>
          <w:p w14:paraId="177421F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硝基苯</w:t>
            </w:r>
          </w:p>
        </w:tc>
        <w:tc>
          <w:tcPr>
            <w:tcW w:w="703" w:type="pct"/>
            <w:vAlign w:val="center"/>
          </w:tcPr>
          <w:p w14:paraId="46C5AFC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34</w:t>
            </w:r>
          </w:p>
        </w:tc>
        <w:tc>
          <w:tcPr>
            <w:tcW w:w="704" w:type="pct"/>
            <w:vAlign w:val="center"/>
          </w:tcPr>
          <w:p w14:paraId="24A9D11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76</w:t>
            </w:r>
          </w:p>
        </w:tc>
        <w:tc>
          <w:tcPr>
            <w:tcW w:w="2030" w:type="pct"/>
            <w:vMerge w:val="continue"/>
            <w:vAlign w:val="center"/>
          </w:tcPr>
          <w:p w14:paraId="3EAE7A1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0218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ADE2E1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36</w:t>
            </w:r>
          </w:p>
        </w:tc>
        <w:tc>
          <w:tcPr>
            <w:tcW w:w="1130" w:type="pct"/>
            <w:vAlign w:val="center"/>
          </w:tcPr>
          <w:p w14:paraId="6B60A15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苯胺</w:t>
            </w:r>
          </w:p>
        </w:tc>
        <w:tc>
          <w:tcPr>
            <w:tcW w:w="703" w:type="pct"/>
            <w:vAlign w:val="center"/>
          </w:tcPr>
          <w:p w14:paraId="7508F4E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92</w:t>
            </w:r>
          </w:p>
        </w:tc>
        <w:tc>
          <w:tcPr>
            <w:tcW w:w="704" w:type="pct"/>
            <w:vAlign w:val="center"/>
          </w:tcPr>
          <w:p w14:paraId="34A6394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260</w:t>
            </w:r>
          </w:p>
        </w:tc>
        <w:tc>
          <w:tcPr>
            <w:tcW w:w="2030" w:type="pct"/>
            <w:vMerge w:val="continue"/>
            <w:vAlign w:val="center"/>
          </w:tcPr>
          <w:p w14:paraId="7D0E30F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4F47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64B2DA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37</w:t>
            </w:r>
          </w:p>
        </w:tc>
        <w:tc>
          <w:tcPr>
            <w:tcW w:w="1130" w:type="pct"/>
            <w:vAlign w:val="center"/>
          </w:tcPr>
          <w:p w14:paraId="6C4A54E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2-氯酚</w:t>
            </w:r>
          </w:p>
        </w:tc>
        <w:tc>
          <w:tcPr>
            <w:tcW w:w="703" w:type="pct"/>
            <w:vAlign w:val="center"/>
          </w:tcPr>
          <w:p w14:paraId="56CADA1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250</w:t>
            </w:r>
          </w:p>
        </w:tc>
        <w:tc>
          <w:tcPr>
            <w:tcW w:w="704" w:type="pct"/>
            <w:vAlign w:val="center"/>
          </w:tcPr>
          <w:p w14:paraId="5D5E553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2256</w:t>
            </w:r>
          </w:p>
        </w:tc>
        <w:tc>
          <w:tcPr>
            <w:tcW w:w="2030" w:type="pct"/>
            <w:vMerge w:val="continue"/>
            <w:vAlign w:val="center"/>
          </w:tcPr>
          <w:p w14:paraId="352386A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351F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8D9FAF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38</w:t>
            </w:r>
          </w:p>
        </w:tc>
        <w:tc>
          <w:tcPr>
            <w:tcW w:w="1130" w:type="pct"/>
            <w:vAlign w:val="center"/>
          </w:tcPr>
          <w:p w14:paraId="55BEFF8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苯并［a］蒽</w:t>
            </w:r>
          </w:p>
        </w:tc>
        <w:tc>
          <w:tcPr>
            <w:tcW w:w="703" w:type="pct"/>
            <w:vAlign w:val="center"/>
          </w:tcPr>
          <w:p w14:paraId="7706DC1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5.5</w:t>
            </w:r>
          </w:p>
        </w:tc>
        <w:tc>
          <w:tcPr>
            <w:tcW w:w="704" w:type="pct"/>
            <w:vAlign w:val="center"/>
          </w:tcPr>
          <w:p w14:paraId="46F6516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15</w:t>
            </w:r>
          </w:p>
        </w:tc>
        <w:tc>
          <w:tcPr>
            <w:tcW w:w="2030" w:type="pct"/>
            <w:vMerge w:val="continue"/>
            <w:vAlign w:val="center"/>
          </w:tcPr>
          <w:p w14:paraId="5BF58BB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0715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B5DA72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39</w:t>
            </w:r>
          </w:p>
        </w:tc>
        <w:tc>
          <w:tcPr>
            <w:tcW w:w="1130" w:type="pct"/>
            <w:vAlign w:val="center"/>
          </w:tcPr>
          <w:p w14:paraId="0EE4C33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苯并［a］芘</w:t>
            </w:r>
          </w:p>
        </w:tc>
        <w:tc>
          <w:tcPr>
            <w:tcW w:w="703" w:type="pct"/>
            <w:vAlign w:val="center"/>
          </w:tcPr>
          <w:p w14:paraId="0FD57C6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0.55</w:t>
            </w:r>
          </w:p>
        </w:tc>
        <w:tc>
          <w:tcPr>
            <w:tcW w:w="704" w:type="pct"/>
            <w:vAlign w:val="center"/>
          </w:tcPr>
          <w:p w14:paraId="48DA763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1.5</w:t>
            </w:r>
          </w:p>
        </w:tc>
        <w:tc>
          <w:tcPr>
            <w:tcW w:w="2030" w:type="pct"/>
            <w:vMerge w:val="continue"/>
            <w:vAlign w:val="center"/>
          </w:tcPr>
          <w:p w14:paraId="497628C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73B3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92401B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40</w:t>
            </w:r>
          </w:p>
        </w:tc>
        <w:tc>
          <w:tcPr>
            <w:tcW w:w="1130" w:type="pct"/>
            <w:vAlign w:val="center"/>
          </w:tcPr>
          <w:p w14:paraId="6249762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苯并［b］荧蒽</w:t>
            </w:r>
          </w:p>
        </w:tc>
        <w:tc>
          <w:tcPr>
            <w:tcW w:w="703" w:type="pct"/>
            <w:vAlign w:val="center"/>
          </w:tcPr>
          <w:p w14:paraId="3CE5447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5.5</w:t>
            </w:r>
          </w:p>
        </w:tc>
        <w:tc>
          <w:tcPr>
            <w:tcW w:w="704" w:type="pct"/>
            <w:vAlign w:val="center"/>
          </w:tcPr>
          <w:p w14:paraId="20DB899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15</w:t>
            </w:r>
          </w:p>
        </w:tc>
        <w:tc>
          <w:tcPr>
            <w:tcW w:w="2030" w:type="pct"/>
            <w:vMerge w:val="continue"/>
            <w:vAlign w:val="center"/>
          </w:tcPr>
          <w:p w14:paraId="337817F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4E0A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DE1173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41</w:t>
            </w:r>
          </w:p>
        </w:tc>
        <w:tc>
          <w:tcPr>
            <w:tcW w:w="1130" w:type="pct"/>
            <w:vAlign w:val="center"/>
          </w:tcPr>
          <w:p w14:paraId="2C4F5B7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苯并［k］荧蒽</w:t>
            </w:r>
          </w:p>
        </w:tc>
        <w:tc>
          <w:tcPr>
            <w:tcW w:w="703" w:type="pct"/>
            <w:vAlign w:val="center"/>
          </w:tcPr>
          <w:p w14:paraId="742FF32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55</w:t>
            </w:r>
          </w:p>
        </w:tc>
        <w:tc>
          <w:tcPr>
            <w:tcW w:w="704" w:type="pct"/>
            <w:vAlign w:val="center"/>
          </w:tcPr>
          <w:p w14:paraId="4DA6D59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151</w:t>
            </w:r>
          </w:p>
        </w:tc>
        <w:tc>
          <w:tcPr>
            <w:tcW w:w="2030" w:type="pct"/>
            <w:vMerge w:val="continue"/>
            <w:vAlign w:val="center"/>
          </w:tcPr>
          <w:p w14:paraId="1786AE3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2D39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CC18B1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42</w:t>
            </w:r>
          </w:p>
        </w:tc>
        <w:tc>
          <w:tcPr>
            <w:tcW w:w="1130" w:type="pct"/>
            <w:vAlign w:val="center"/>
          </w:tcPr>
          <w:p w14:paraId="23E0C2B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䓛</w:t>
            </w:r>
          </w:p>
        </w:tc>
        <w:tc>
          <w:tcPr>
            <w:tcW w:w="703" w:type="pct"/>
            <w:vAlign w:val="center"/>
          </w:tcPr>
          <w:p w14:paraId="3457F21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490</w:t>
            </w:r>
          </w:p>
        </w:tc>
        <w:tc>
          <w:tcPr>
            <w:tcW w:w="704" w:type="pct"/>
            <w:vAlign w:val="center"/>
          </w:tcPr>
          <w:p w14:paraId="577FBAA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1293</w:t>
            </w:r>
          </w:p>
        </w:tc>
        <w:tc>
          <w:tcPr>
            <w:tcW w:w="2030" w:type="pct"/>
            <w:vMerge w:val="continue"/>
            <w:vAlign w:val="center"/>
          </w:tcPr>
          <w:p w14:paraId="46D38C4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0484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E99959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43</w:t>
            </w:r>
          </w:p>
        </w:tc>
        <w:tc>
          <w:tcPr>
            <w:tcW w:w="1130" w:type="pct"/>
            <w:vAlign w:val="center"/>
          </w:tcPr>
          <w:p w14:paraId="312FA52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二苯并［a,h］蒽</w:t>
            </w:r>
          </w:p>
        </w:tc>
        <w:tc>
          <w:tcPr>
            <w:tcW w:w="703" w:type="pct"/>
            <w:vAlign w:val="center"/>
          </w:tcPr>
          <w:p w14:paraId="16235B3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0.55</w:t>
            </w:r>
          </w:p>
        </w:tc>
        <w:tc>
          <w:tcPr>
            <w:tcW w:w="704" w:type="pct"/>
            <w:vAlign w:val="center"/>
          </w:tcPr>
          <w:p w14:paraId="104CEAF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1.5</w:t>
            </w:r>
          </w:p>
        </w:tc>
        <w:tc>
          <w:tcPr>
            <w:tcW w:w="2030" w:type="pct"/>
            <w:vMerge w:val="continue"/>
            <w:vAlign w:val="center"/>
          </w:tcPr>
          <w:p w14:paraId="7F4F695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627E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0223FB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44</w:t>
            </w:r>
          </w:p>
        </w:tc>
        <w:tc>
          <w:tcPr>
            <w:tcW w:w="1130" w:type="pct"/>
            <w:vAlign w:val="center"/>
          </w:tcPr>
          <w:p w14:paraId="1E1555D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茚并［1,2,3-cd］芘</w:t>
            </w:r>
          </w:p>
        </w:tc>
        <w:tc>
          <w:tcPr>
            <w:tcW w:w="703" w:type="pct"/>
            <w:vAlign w:val="center"/>
          </w:tcPr>
          <w:p w14:paraId="3CCD97E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5.5</w:t>
            </w:r>
          </w:p>
        </w:tc>
        <w:tc>
          <w:tcPr>
            <w:tcW w:w="704" w:type="pct"/>
            <w:vAlign w:val="center"/>
          </w:tcPr>
          <w:p w14:paraId="2E418BF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15</w:t>
            </w:r>
          </w:p>
        </w:tc>
        <w:tc>
          <w:tcPr>
            <w:tcW w:w="2030" w:type="pct"/>
            <w:vMerge w:val="continue"/>
            <w:vAlign w:val="center"/>
          </w:tcPr>
          <w:p w14:paraId="4482FFF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1C8D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9E3D04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45</w:t>
            </w:r>
          </w:p>
        </w:tc>
        <w:tc>
          <w:tcPr>
            <w:tcW w:w="1130" w:type="pct"/>
            <w:vAlign w:val="center"/>
          </w:tcPr>
          <w:p w14:paraId="5DDDE8C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萘</w:t>
            </w:r>
          </w:p>
        </w:tc>
        <w:tc>
          <w:tcPr>
            <w:tcW w:w="703" w:type="pct"/>
            <w:vAlign w:val="center"/>
          </w:tcPr>
          <w:p w14:paraId="30F75B1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25</w:t>
            </w:r>
          </w:p>
        </w:tc>
        <w:tc>
          <w:tcPr>
            <w:tcW w:w="704" w:type="pct"/>
            <w:vAlign w:val="center"/>
          </w:tcPr>
          <w:p w14:paraId="6225FAB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70</w:t>
            </w:r>
          </w:p>
        </w:tc>
        <w:tc>
          <w:tcPr>
            <w:tcW w:w="2030" w:type="pct"/>
            <w:vMerge w:val="continue"/>
            <w:vAlign w:val="center"/>
          </w:tcPr>
          <w:p w14:paraId="5AAA088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p>
        </w:tc>
      </w:tr>
      <w:tr w14:paraId="2289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361706D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46</w:t>
            </w:r>
          </w:p>
        </w:tc>
        <w:tc>
          <w:tcPr>
            <w:tcW w:w="1130" w:type="pct"/>
            <w:vAlign w:val="center"/>
          </w:tcPr>
          <w:p w14:paraId="1048FA5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石油烃（C</w:t>
            </w:r>
            <w:r>
              <w:rPr>
                <w:rFonts w:ascii="Times New Roman" w:hAnsi="Times New Roman" w:cs="Times New Roman" w:eastAsiaTheme="minorEastAsia"/>
                <w:caps w:val="0"/>
                <w:smallCaps w:val="0"/>
                <w:color w:val="auto"/>
                <w:spacing w:val="0"/>
                <w:w w:val="100"/>
                <w:kern w:val="2"/>
                <w:position w:val="0"/>
                <w:sz w:val="21"/>
                <w:szCs w:val="22"/>
                <w:highlight w:val="none"/>
                <w:vertAlign w:val="subscript"/>
                <w:lang w:bidi="ar"/>
              </w:rPr>
              <w:t>10</w:t>
            </w:r>
            <w:r>
              <w:rPr>
                <w:rFonts w:ascii="Times New Roman" w:hAnsi="Times New Roman" w:cs="Times New Roman" w:eastAsiaTheme="minorEastAsia"/>
                <w:caps w:val="0"/>
                <w:smallCaps w:val="0"/>
                <w:color w:val="auto"/>
                <w:spacing w:val="0"/>
                <w:w w:val="100"/>
                <w:kern w:val="2"/>
                <w:position w:val="0"/>
                <w:sz w:val="21"/>
                <w:szCs w:val="22"/>
                <w:highlight w:val="none"/>
                <w:lang w:bidi="ar"/>
              </w:rPr>
              <w:t>-C</w:t>
            </w:r>
            <w:r>
              <w:rPr>
                <w:rFonts w:ascii="Times New Roman" w:hAnsi="Times New Roman" w:cs="Times New Roman" w:eastAsiaTheme="minorEastAsia"/>
                <w:caps w:val="0"/>
                <w:smallCaps w:val="0"/>
                <w:color w:val="auto"/>
                <w:spacing w:val="0"/>
                <w:w w:val="100"/>
                <w:kern w:val="2"/>
                <w:position w:val="0"/>
                <w:sz w:val="21"/>
                <w:szCs w:val="22"/>
                <w:highlight w:val="none"/>
                <w:vertAlign w:val="subscript"/>
                <w:lang w:bidi="ar"/>
              </w:rPr>
              <w:t>40</w:t>
            </w:r>
            <w:r>
              <w:rPr>
                <w:rFonts w:ascii="Times New Roman" w:hAnsi="Times New Roman" w:cs="Times New Roman" w:eastAsiaTheme="minorEastAsia"/>
                <w:caps w:val="0"/>
                <w:smallCaps w:val="0"/>
                <w:color w:val="auto"/>
                <w:spacing w:val="0"/>
                <w:w w:val="100"/>
                <w:kern w:val="2"/>
                <w:position w:val="0"/>
                <w:sz w:val="21"/>
                <w:szCs w:val="22"/>
                <w:highlight w:val="none"/>
                <w:lang w:bidi="ar"/>
              </w:rPr>
              <w:t>）</w:t>
            </w:r>
          </w:p>
        </w:tc>
        <w:tc>
          <w:tcPr>
            <w:tcW w:w="703" w:type="pct"/>
            <w:vAlign w:val="center"/>
          </w:tcPr>
          <w:p w14:paraId="275E1E9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826</w:t>
            </w:r>
          </w:p>
        </w:tc>
        <w:tc>
          <w:tcPr>
            <w:tcW w:w="704" w:type="pct"/>
            <w:vAlign w:val="center"/>
          </w:tcPr>
          <w:p w14:paraId="25D6FC7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4500</w:t>
            </w:r>
          </w:p>
        </w:tc>
        <w:tc>
          <w:tcPr>
            <w:tcW w:w="2030" w:type="pct"/>
            <w:vAlign w:val="center"/>
          </w:tcPr>
          <w:p w14:paraId="036AF68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2"/>
                <w:highlight w:val="none"/>
                <w:lang w:bidi="ar"/>
              </w:rPr>
            </w:pPr>
            <w:r>
              <w:rPr>
                <w:rFonts w:ascii="Times New Roman" w:hAnsi="Times New Roman" w:cs="Times New Roman" w:eastAsiaTheme="minorEastAsia"/>
                <w:caps w:val="0"/>
                <w:smallCaps w:val="0"/>
                <w:color w:val="auto"/>
                <w:spacing w:val="0"/>
                <w:w w:val="100"/>
                <w:kern w:val="2"/>
                <w:position w:val="0"/>
                <w:sz w:val="21"/>
                <w:szCs w:val="22"/>
                <w:highlight w:val="none"/>
                <w:lang w:bidi="ar"/>
              </w:rPr>
              <w:t>《土壤环境质量 建设用地土壤污染风险管控标准（试行）》（GB36600-2018）其他项目</w:t>
            </w:r>
          </w:p>
        </w:tc>
      </w:tr>
    </w:tbl>
    <w:p w14:paraId="7F3DA00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本项目管线临时占地及周边农用地土壤执行《土壤环境质量 农用地土壤污染风险管控标准（试行）》（GB15618-2018）表1基本项目筛选值标准，石油烃（C</w:t>
      </w:r>
      <w:r>
        <w:rPr>
          <w:rFonts w:ascii="Times New Roman" w:hAnsi="Times New Roman" w:cs="Times New Roman" w:eastAsiaTheme="minorEastAsia"/>
          <w:caps w:val="0"/>
          <w:smallCaps w:val="0"/>
          <w:color w:val="auto"/>
          <w:spacing w:val="0"/>
          <w:w w:val="100"/>
          <w:kern w:val="2"/>
          <w:position w:val="0"/>
          <w:szCs w:val="20"/>
          <w:highlight w:val="none"/>
          <w:vertAlign w:val="subscript"/>
        </w:rPr>
        <w:t>10</w:t>
      </w:r>
      <w:r>
        <w:rPr>
          <w:rFonts w:ascii="Times New Roman" w:hAnsi="Times New Roman" w:cs="Times New Roman" w:eastAsiaTheme="minorEastAsia"/>
          <w:caps w:val="0"/>
          <w:smallCaps w:val="0"/>
          <w:color w:val="auto"/>
          <w:spacing w:val="0"/>
          <w:w w:val="100"/>
          <w:kern w:val="2"/>
          <w:position w:val="0"/>
          <w:szCs w:val="20"/>
          <w:highlight w:val="none"/>
        </w:rPr>
        <w:t>-C</w:t>
      </w:r>
      <w:r>
        <w:rPr>
          <w:rFonts w:ascii="Times New Roman" w:hAnsi="Times New Roman" w:cs="Times New Roman" w:eastAsiaTheme="minorEastAsia"/>
          <w:caps w:val="0"/>
          <w:smallCaps w:val="0"/>
          <w:color w:val="auto"/>
          <w:spacing w:val="0"/>
          <w:w w:val="100"/>
          <w:kern w:val="2"/>
          <w:position w:val="0"/>
          <w:szCs w:val="20"/>
          <w:highlight w:val="none"/>
          <w:vertAlign w:val="subscript"/>
        </w:rPr>
        <w:t>40</w:t>
      </w:r>
      <w:r>
        <w:rPr>
          <w:rFonts w:ascii="Times New Roman" w:hAnsi="Times New Roman" w:cs="Times New Roman" w:eastAsiaTheme="minorEastAsia"/>
          <w:caps w:val="0"/>
          <w:smallCaps w:val="0"/>
          <w:color w:val="auto"/>
          <w:spacing w:val="0"/>
          <w:w w:val="100"/>
          <w:kern w:val="2"/>
          <w:position w:val="0"/>
          <w:szCs w:val="20"/>
          <w:highlight w:val="none"/>
        </w:rPr>
        <w:t>）参照执行《土壤环境质量 建设用地土壤污染风险管控标准（试行）》（GB36600-2018）表2中第一类用地风险筛选值（826mg/kg）。具体标准详见表2.5-6。</w:t>
      </w:r>
    </w:p>
    <w:p w14:paraId="510668E3">
      <w:pPr>
        <w:widowControl w:val="0"/>
        <w:spacing w:line="440" w:lineRule="exact"/>
        <w:ind w:firstLine="482"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hint="eastAsia" w:ascii="Times New Roman" w:hAnsi="Times New Roman" w:cs="Times New Roman" w:eastAsiaTheme="minorEastAsia"/>
          <w:b/>
          <w:caps w:val="0"/>
          <w:smallCaps w:val="0"/>
          <w:color w:val="auto"/>
          <w:spacing w:val="0"/>
          <w:w w:val="100"/>
          <w:kern w:val="2"/>
          <w:position w:val="0"/>
          <w:szCs w:val="20"/>
          <w:highlight w:val="none"/>
        </w:rPr>
        <w:t>表</w:t>
      </w:r>
      <w:r>
        <w:rPr>
          <w:rFonts w:ascii="Times New Roman" w:hAnsi="Times New Roman" w:cs="Times New Roman" w:eastAsiaTheme="minorEastAsia"/>
          <w:b/>
          <w:caps w:val="0"/>
          <w:smallCaps w:val="0"/>
          <w:color w:val="auto"/>
          <w:spacing w:val="0"/>
          <w:w w:val="100"/>
          <w:kern w:val="2"/>
          <w:position w:val="0"/>
          <w:szCs w:val="20"/>
          <w:highlight w:val="none"/>
        </w:rPr>
        <w:t>2.5-6    农用地土壤环境执行标准    单位：mg/kg</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2032"/>
        <w:gridCol w:w="2466"/>
        <w:gridCol w:w="3627"/>
      </w:tblGrid>
      <w:tr w14:paraId="3F1D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vAlign w:val="center"/>
          </w:tcPr>
          <w:p w14:paraId="712E6511">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序号</w:t>
            </w:r>
          </w:p>
        </w:tc>
        <w:tc>
          <w:tcPr>
            <w:tcW w:w="2422" w:type="pct"/>
            <w:gridSpan w:val="2"/>
            <w:vMerge w:val="restart"/>
            <w:vAlign w:val="center"/>
          </w:tcPr>
          <w:p w14:paraId="119B7739">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污染物项目</w:t>
            </w:r>
          </w:p>
        </w:tc>
        <w:tc>
          <w:tcPr>
            <w:tcW w:w="1953" w:type="pct"/>
            <w:vAlign w:val="center"/>
          </w:tcPr>
          <w:p w14:paraId="09494AF4">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筛选值</w:t>
            </w:r>
          </w:p>
        </w:tc>
      </w:tr>
      <w:tr w14:paraId="47E7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Merge w:val="continue"/>
            <w:vAlign w:val="center"/>
          </w:tcPr>
          <w:p w14:paraId="0F7628EF">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p>
        </w:tc>
        <w:tc>
          <w:tcPr>
            <w:tcW w:w="2422" w:type="pct"/>
            <w:gridSpan w:val="2"/>
            <w:vMerge w:val="continue"/>
            <w:vAlign w:val="center"/>
          </w:tcPr>
          <w:p w14:paraId="4BC06AD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p>
        </w:tc>
        <w:tc>
          <w:tcPr>
            <w:tcW w:w="1953" w:type="pct"/>
            <w:vAlign w:val="center"/>
          </w:tcPr>
          <w:p w14:paraId="50D5761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pH&gt;7.5</w:t>
            </w:r>
          </w:p>
        </w:tc>
      </w:tr>
      <w:tr w14:paraId="4770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23927CB5">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1</w:t>
            </w:r>
          </w:p>
        </w:tc>
        <w:tc>
          <w:tcPr>
            <w:tcW w:w="1094" w:type="pct"/>
            <w:vAlign w:val="center"/>
          </w:tcPr>
          <w:p w14:paraId="66B0A7CF">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镉</w:t>
            </w:r>
          </w:p>
        </w:tc>
        <w:tc>
          <w:tcPr>
            <w:tcW w:w="1328" w:type="pct"/>
            <w:vAlign w:val="center"/>
          </w:tcPr>
          <w:p w14:paraId="0980746E">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其它</w:t>
            </w:r>
          </w:p>
        </w:tc>
        <w:tc>
          <w:tcPr>
            <w:tcW w:w="1953" w:type="pct"/>
            <w:vAlign w:val="center"/>
          </w:tcPr>
          <w:p w14:paraId="75AD6A97">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0.6</w:t>
            </w:r>
          </w:p>
        </w:tc>
      </w:tr>
      <w:tr w14:paraId="7352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30155E16">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2</w:t>
            </w:r>
          </w:p>
        </w:tc>
        <w:tc>
          <w:tcPr>
            <w:tcW w:w="1094" w:type="pct"/>
            <w:vAlign w:val="center"/>
          </w:tcPr>
          <w:p w14:paraId="31AEA936">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汞</w:t>
            </w:r>
          </w:p>
        </w:tc>
        <w:tc>
          <w:tcPr>
            <w:tcW w:w="1328" w:type="pct"/>
            <w:vAlign w:val="center"/>
          </w:tcPr>
          <w:p w14:paraId="7D05A5AA">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其它</w:t>
            </w:r>
          </w:p>
        </w:tc>
        <w:tc>
          <w:tcPr>
            <w:tcW w:w="1953" w:type="pct"/>
            <w:vAlign w:val="center"/>
          </w:tcPr>
          <w:p w14:paraId="74D51DD0">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3.4</w:t>
            </w:r>
          </w:p>
        </w:tc>
      </w:tr>
      <w:tr w14:paraId="18ED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6FA433F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3</w:t>
            </w:r>
          </w:p>
        </w:tc>
        <w:tc>
          <w:tcPr>
            <w:tcW w:w="1094" w:type="pct"/>
            <w:vAlign w:val="center"/>
          </w:tcPr>
          <w:p w14:paraId="677A123D">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砷</w:t>
            </w:r>
          </w:p>
        </w:tc>
        <w:tc>
          <w:tcPr>
            <w:tcW w:w="1328" w:type="pct"/>
            <w:vAlign w:val="center"/>
          </w:tcPr>
          <w:p w14:paraId="7577852E">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其它</w:t>
            </w:r>
          </w:p>
        </w:tc>
        <w:tc>
          <w:tcPr>
            <w:tcW w:w="1953" w:type="pct"/>
            <w:vAlign w:val="center"/>
          </w:tcPr>
          <w:p w14:paraId="5289E127">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25</w:t>
            </w:r>
          </w:p>
        </w:tc>
      </w:tr>
      <w:tr w14:paraId="239F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39DE3E25">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4</w:t>
            </w:r>
          </w:p>
        </w:tc>
        <w:tc>
          <w:tcPr>
            <w:tcW w:w="1094" w:type="pct"/>
            <w:vAlign w:val="center"/>
          </w:tcPr>
          <w:p w14:paraId="1D31BF2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铅</w:t>
            </w:r>
          </w:p>
        </w:tc>
        <w:tc>
          <w:tcPr>
            <w:tcW w:w="1328" w:type="pct"/>
            <w:vAlign w:val="center"/>
          </w:tcPr>
          <w:p w14:paraId="24CB20FF">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其它</w:t>
            </w:r>
          </w:p>
        </w:tc>
        <w:tc>
          <w:tcPr>
            <w:tcW w:w="1953" w:type="pct"/>
            <w:vAlign w:val="center"/>
          </w:tcPr>
          <w:p w14:paraId="0B4DFF1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170</w:t>
            </w:r>
          </w:p>
        </w:tc>
      </w:tr>
      <w:tr w14:paraId="7631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38616644">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5</w:t>
            </w:r>
          </w:p>
        </w:tc>
        <w:tc>
          <w:tcPr>
            <w:tcW w:w="1094" w:type="pct"/>
            <w:vAlign w:val="center"/>
          </w:tcPr>
          <w:p w14:paraId="0E30EAD8">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铬</w:t>
            </w:r>
          </w:p>
        </w:tc>
        <w:tc>
          <w:tcPr>
            <w:tcW w:w="1328" w:type="pct"/>
            <w:vAlign w:val="center"/>
          </w:tcPr>
          <w:p w14:paraId="1E0E52FA">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其它</w:t>
            </w:r>
          </w:p>
        </w:tc>
        <w:tc>
          <w:tcPr>
            <w:tcW w:w="1953" w:type="pct"/>
            <w:vAlign w:val="center"/>
          </w:tcPr>
          <w:p w14:paraId="0AE58ED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250</w:t>
            </w:r>
          </w:p>
        </w:tc>
      </w:tr>
      <w:tr w14:paraId="20FD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6FE7595F">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6</w:t>
            </w:r>
          </w:p>
        </w:tc>
        <w:tc>
          <w:tcPr>
            <w:tcW w:w="1094" w:type="pct"/>
            <w:vAlign w:val="center"/>
          </w:tcPr>
          <w:p w14:paraId="3171125A">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铜</w:t>
            </w:r>
          </w:p>
        </w:tc>
        <w:tc>
          <w:tcPr>
            <w:tcW w:w="1328" w:type="pct"/>
            <w:vAlign w:val="center"/>
          </w:tcPr>
          <w:p w14:paraId="1FEB6030">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其它</w:t>
            </w:r>
          </w:p>
        </w:tc>
        <w:tc>
          <w:tcPr>
            <w:tcW w:w="1953" w:type="pct"/>
            <w:vAlign w:val="center"/>
          </w:tcPr>
          <w:p w14:paraId="04105D52">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100</w:t>
            </w:r>
          </w:p>
        </w:tc>
      </w:tr>
      <w:tr w14:paraId="3FD9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0942C6D4">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7</w:t>
            </w:r>
          </w:p>
        </w:tc>
        <w:tc>
          <w:tcPr>
            <w:tcW w:w="2422" w:type="pct"/>
            <w:gridSpan w:val="2"/>
            <w:vAlign w:val="center"/>
          </w:tcPr>
          <w:p w14:paraId="6294B947">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镍</w:t>
            </w:r>
          </w:p>
        </w:tc>
        <w:tc>
          <w:tcPr>
            <w:tcW w:w="1953" w:type="pct"/>
            <w:vAlign w:val="center"/>
          </w:tcPr>
          <w:p w14:paraId="4B479400">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190</w:t>
            </w:r>
          </w:p>
        </w:tc>
      </w:tr>
      <w:tr w14:paraId="5877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19CC28AE">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8</w:t>
            </w:r>
          </w:p>
        </w:tc>
        <w:tc>
          <w:tcPr>
            <w:tcW w:w="2422" w:type="pct"/>
            <w:gridSpan w:val="2"/>
            <w:vAlign w:val="center"/>
          </w:tcPr>
          <w:p w14:paraId="2B48CEBD">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锌</w:t>
            </w:r>
          </w:p>
        </w:tc>
        <w:tc>
          <w:tcPr>
            <w:tcW w:w="1953" w:type="pct"/>
            <w:vAlign w:val="center"/>
          </w:tcPr>
          <w:p w14:paraId="36566079">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300</w:t>
            </w:r>
          </w:p>
        </w:tc>
      </w:tr>
      <w:tr w14:paraId="25B5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 w:type="pct"/>
            <w:gridSpan w:val="4"/>
            <w:vAlign w:val="center"/>
          </w:tcPr>
          <w:p w14:paraId="22128E1B">
            <w:pPr>
              <w:widowControl w:val="0"/>
              <w:adjustRightInd w:val="0"/>
              <w:snapToGrid w:val="0"/>
              <w:spacing w:line="320" w:lineRule="exact"/>
              <w:textAlignment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注：石油烃（C</w:t>
            </w:r>
            <w:r>
              <w:rPr>
                <w:rFonts w:ascii="Times New Roman" w:hAnsi="Times New Roman" w:cs="Times New Roman" w:eastAsiaTheme="minorEastAsia"/>
                <w:bCs/>
                <w:caps w:val="0"/>
                <w:smallCaps w:val="0"/>
                <w:color w:val="auto"/>
                <w:spacing w:val="0"/>
                <w:w w:val="100"/>
                <w:position w:val="0"/>
                <w:sz w:val="21"/>
                <w:szCs w:val="21"/>
                <w:highlight w:val="none"/>
                <w:vertAlign w:val="subscript"/>
              </w:rPr>
              <w:t>10</w:t>
            </w:r>
            <w:r>
              <w:rPr>
                <w:rFonts w:ascii="Times New Roman" w:hAnsi="Times New Roman" w:cs="Times New Roman" w:eastAsiaTheme="minorEastAsia"/>
                <w:bCs/>
                <w:caps w:val="0"/>
                <w:smallCaps w:val="0"/>
                <w:color w:val="auto"/>
                <w:spacing w:val="0"/>
                <w:w w:val="100"/>
                <w:position w:val="0"/>
                <w:sz w:val="21"/>
                <w:szCs w:val="21"/>
                <w:highlight w:val="none"/>
              </w:rPr>
              <w:t>-C</w:t>
            </w:r>
            <w:r>
              <w:rPr>
                <w:rFonts w:ascii="Times New Roman" w:hAnsi="Times New Roman" w:cs="Times New Roman" w:eastAsiaTheme="minorEastAsia"/>
                <w:bCs/>
                <w:caps w:val="0"/>
                <w:smallCaps w:val="0"/>
                <w:color w:val="auto"/>
                <w:spacing w:val="0"/>
                <w:w w:val="100"/>
                <w:position w:val="0"/>
                <w:sz w:val="21"/>
                <w:szCs w:val="21"/>
                <w:highlight w:val="none"/>
                <w:vertAlign w:val="subscript"/>
              </w:rPr>
              <w:t>40</w:t>
            </w:r>
            <w:r>
              <w:rPr>
                <w:rFonts w:ascii="Times New Roman" w:hAnsi="Times New Roman" w:cs="Times New Roman" w:eastAsiaTheme="minorEastAsia"/>
                <w:bCs/>
                <w:caps w:val="0"/>
                <w:smallCaps w:val="0"/>
                <w:color w:val="auto"/>
                <w:spacing w:val="0"/>
                <w:w w:val="100"/>
                <w:position w:val="0"/>
                <w:sz w:val="21"/>
                <w:szCs w:val="21"/>
                <w:highlight w:val="none"/>
              </w:rPr>
              <w:t>）参照执行《土壤环境质量 建设用地土壤污染风险管控标准（试行）》（GB36600-2018）表2中第一类用地风险筛选值（826mg/kg）。</w:t>
            </w:r>
          </w:p>
        </w:tc>
      </w:tr>
    </w:tbl>
    <w:p w14:paraId="5D2F9B1A">
      <w:pPr>
        <w:pStyle w:val="6"/>
        <w:widowControl w:val="0"/>
        <w:spacing w:before="60" w:after="60" w:line="440" w:lineRule="exact"/>
        <w:jc w:val="both"/>
        <w:rPr>
          <w:rFonts w:eastAsia="宋体"/>
          <w:b/>
          <w:caps w:val="0"/>
          <w:smallCaps w:val="0"/>
          <w:color w:val="auto"/>
          <w:spacing w:val="0"/>
          <w:w w:val="100"/>
          <w:kern w:val="2"/>
          <w:position w:val="0"/>
          <w:sz w:val="24"/>
          <w:szCs w:val="24"/>
          <w:highlight w:val="none"/>
        </w:rPr>
      </w:pPr>
      <w:bookmarkStart w:id="247" w:name="_Toc186444249"/>
      <w:r>
        <w:rPr>
          <w:rFonts w:eastAsia="宋体"/>
          <w:b/>
          <w:caps w:val="0"/>
          <w:smallCaps w:val="0"/>
          <w:color w:val="auto"/>
          <w:spacing w:val="0"/>
          <w:w w:val="100"/>
          <w:kern w:val="2"/>
          <w:position w:val="0"/>
          <w:sz w:val="24"/>
          <w:szCs w:val="24"/>
          <w:highlight w:val="none"/>
        </w:rPr>
        <w:t>2.5.2污染物排放标准</w:t>
      </w:r>
      <w:bookmarkEnd w:id="247"/>
    </w:p>
    <w:p w14:paraId="1955AF86">
      <w:pPr>
        <w:pStyle w:val="149"/>
        <w:widowControl w:val="0"/>
        <w:spacing w:line="440" w:lineRule="exact"/>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2.5.2.1废气</w:t>
      </w:r>
    </w:p>
    <w:p w14:paraId="3C967ED0">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bCs/>
          <w:caps w:val="0"/>
          <w:smallCaps w:val="0"/>
          <w:color w:val="auto"/>
          <w:spacing w:val="0"/>
          <w:w w:val="100"/>
          <w:kern w:val="21"/>
          <w:position w:val="0"/>
          <w:highlight w:val="none"/>
        </w:rPr>
        <w:t>（1）项目施工期扬尘（颗粒物）、非甲烷总烃执行《大气污染物综合排放标准》（GB 16297-1996）表2中</w:t>
      </w:r>
      <w:r>
        <w:rPr>
          <w:rFonts w:ascii="Times New Roman" w:hAnsi="Times New Roman" w:cs="Times New Roman" w:eastAsiaTheme="minorEastAsia"/>
          <w:bCs/>
          <w:caps w:val="0"/>
          <w:smallCaps w:val="0"/>
          <w:color w:val="auto"/>
          <w:spacing w:val="0"/>
          <w:w w:val="100"/>
          <w:kern w:val="21"/>
          <w:position w:val="0"/>
          <w:highlight w:val="none"/>
          <w:lang w:bidi="zh-CN"/>
        </w:rPr>
        <w:t>无组织排放监控浓度限值</w:t>
      </w:r>
      <w:r>
        <w:rPr>
          <w:rFonts w:ascii="Times New Roman" w:hAnsi="Times New Roman" w:cs="Times New Roman" w:eastAsiaTheme="minorEastAsia"/>
          <w:bCs/>
          <w:caps w:val="0"/>
          <w:smallCaps w:val="0"/>
          <w:color w:val="auto"/>
          <w:spacing w:val="0"/>
          <w:w w:val="100"/>
          <w:kern w:val="21"/>
          <w:position w:val="0"/>
          <w:highlight w:val="none"/>
        </w:rPr>
        <w:t>，见</w:t>
      </w:r>
      <w:r>
        <w:rPr>
          <w:rFonts w:ascii="Times New Roman" w:hAnsi="Times New Roman" w:cs="Times New Roman" w:eastAsiaTheme="minorEastAsia"/>
          <w:caps w:val="0"/>
          <w:smallCaps w:val="0"/>
          <w:color w:val="auto"/>
          <w:spacing w:val="0"/>
          <w:w w:val="100"/>
          <w:kern w:val="2"/>
          <w:position w:val="0"/>
          <w:szCs w:val="20"/>
          <w:highlight w:val="none"/>
        </w:rPr>
        <w:t>表2.5-7。</w:t>
      </w:r>
    </w:p>
    <w:p w14:paraId="09274847">
      <w:pPr>
        <w:widowControl w:val="0"/>
        <w:tabs>
          <w:tab w:val="left" w:pos="5262"/>
        </w:tabs>
        <w:spacing w:line="440" w:lineRule="exact"/>
        <w:ind w:firstLine="482"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b/>
          <w:caps w:val="0"/>
          <w:smallCaps w:val="0"/>
          <w:color w:val="auto"/>
          <w:spacing w:val="0"/>
          <w:w w:val="100"/>
          <w:kern w:val="2"/>
          <w:position w:val="0"/>
          <w:szCs w:val="20"/>
          <w:highlight w:val="none"/>
        </w:rPr>
        <w:t>表2.5-7</w:t>
      </w:r>
      <w:r>
        <w:rPr>
          <w:rFonts w:ascii="Times New Roman" w:hAnsi="Times New Roman" w:cs="Times New Roman" w:eastAsiaTheme="minorEastAsia"/>
          <w:b/>
          <w:bCs/>
          <w:caps w:val="0"/>
          <w:smallCaps w:val="0"/>
          <w:color w:val="auto"/>
          <w:spacing w:val="0"/>
          <w:w w:val="100"/>
          <w:kern w:val="21"/>
          <w:position w:val="0"/>
          <w:highlight w:val="none"/>
        </w:rPr>
        <w:t xml:space="preserve">    大气污染物综合排放标准    单位：mg/m</w:t>
      </w:r>
      <w:r>
        <w:rPr>
          <w:rFonts w:ascii="Times New Roman" w:hAnsi="Times New Roman" w:cs="Times New Roman" w:eastAsiaTheme="minorEastAsia"/>
          <w:b/>
          <w:bCs/>
          <w:caps w:val="0"/>
          <w:smallCaps w:val="0"/>
          <w:color w:val="auto"/>
          <w:spacing w:val="0"/>
          <w:w w:val="100"/>
          <w:kern w:val="21"/>
          <w:position w:val="0"/>
          <w:highlight w:val="none"/>
          <w:vertAlign w:val="superscript"/>
        </w:rPr>
        <w:t>3</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4"/>
        <w:gridCol w:w="3035"/>
        <w:gridCol w:w="3297"/>
      </w:tblGrid>
      <w:tr w14:paraId="769A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1" w:type="pct"/>
            <w:vMerge w:val="restart"/>
            <w:vAlign w:val="center"/>
          </w:tcPr>
          <w:p w14:paraId="1961329E">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污染物</w:t>
            </w:r>
          </w:p>
        </w:tc>
        <w:tc>
          <w:tcPr>
            <w:tcW w:w="3409" w:type="pct"/>
            <w:gridSpan w:val="2"/>
            <w:vAlign w:val="center"/>
          </w:tcPr>
          <w:p w14:paraId="4061FCD8">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无组织排放监控浓度限值</w:t>
            </w:r>
          </w:p>
        </w:tc>
      </w:tr>
      <w:tr w14:paraId="0FEE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1" w:type="pct"/>
            <w:vMerge w:val="continue"/>
            <w:vAlign w:val="center"/>
          </w:tcPr>
          <w:p w14:paraId="7B0BD4D1">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p>
        </w:tc>
        <w:tc>
          <w:tcPr>
            <w:tcW w:w="1634" w:type="pct"/>
            <w:vAlign w:val="center"/>
          </w:tcPr>
          <w:p w14:paraId="2739FB23">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监控点</w:t>
            </w:r>
          </w:p>
        </w:tc>
        <w:tc>
          <w:tcPr>
            <w:tcW w:w="1775" w:type="pct"/>
            <w:vAlign w:val="center"/>
          </w:tcPr>
          <w:p w14:paraId="5D36F9BE">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浓度</w:t>
            </w:r>
          </w:p>
        </w:tc>
      </w:tr>
      <w:tr w14:paraId="212D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1" w:type="pct"/>
            <w:vAlign w:val="center"/>
          </w:tcPr>
          <w:p w14:paraId="3E60BE41">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颗粒物</w:t>
            </w:r>
          </w:p>
        </w:tc>
        <w:tc>
          <w:tcPr>
            <w:tcW w:w="1634" w:type="pct"/>
            <w:vAlign w:val="center"/>
          </w:tcPr>
          <w:p w14:paraId="578939E1">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bookmarkStart w:id="248" w:name="OLE_LINK161"/>
            <w:bookmarkStart w:id="249" w:name="OLE_LINK162"/>
            <w:r>
              <w:rPr>
                <w:rFonts w:ascii="Times New Roman" w:hAnsi="Times New Roman" w:cs="Times New Roman" w:eastAsiaTheme="minorEastAsia"/>
                <w:bCs/>
                <w:caps w:val="0"/>
                <w:smallCaps w:val="0"/>
                <w:color w:val="auto"/>
                <w:spacing w:val="0"/>
                <w:w w:val="100"/>
                <w:kern w:val="21"/>
                <w:position w:val="0"/>
                <w:sz w:val="21"/>
                <w:szCs w:val="21"/>
                <w:highlight w:val="none"/>
              </w:rPr>
              <w:t>周界外浓度最高点</w:t>
            </w:r>
            <w:bookmarkEnd w:id="248"/>
            <w:bookmarkEnd w:id="249"/>
          </w:p>
        </w:tc>
        <w:tc>
          <w:tcPr>
            <w:tcW w:w="1775" w:type="pct"/>
            <w:vAlign w:val="center"/>
          </w:tcPr>
          <w:p w14:paraId="776A2750">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1.0</w:t>
            </w:r>
          </w:p>
        </w:tc>
      </w:tr>
      <w:tr w14:paraId="40AB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1" w:type="pct"/>
            <w:vAlign w:val="center"/>
          </w:tcPr>
          <w:p w14:paraId="7BF52A3E">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非甲烷总烃</w:t>
            </w:r>
          </w:p>
        </w:tc>
        <w:tc>
          <w:tcPr>
            <w:tcW w:w="1634" w:type="pct"/>
            <w:vAlign w:val="center"/>
          </w:tcPr>
          <w:p w14:paraId="12CFDC8A">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周界外浓度最高点</w:t>
            </w:r>
          </w:p>
        </w:tc>
        <w:tc>
          <w:tcPr>
            <w:tcW w:w="1775" w:type="pct"/>
            <w:vAlign w:val="center"/>
          </w:tcPr>
          <w:p w14:paraId="7F15DF5C">
            <w:pPr>
              <w:widowControl w:val="0"/>
              <w:tabs>
                <w:tab w:val="left" w:pos="5262"/>
              </w:tabs>
              <w:spacing w:line="36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hint="eastAsia" w:ascii="Times New Roman" w:hAnsi="Times New Roman" w:cs="Times New Roman" w:eastAsiaTheme="minorEastAsia"/>
                <w:bCs/>
                <w:caps w:val="0"/>
                <w:smallCaps w:val="0"/>
                <w:color w:val="auto"/>
                <w:spacing w:val="0"/>
                <w:w w:val="100"/>
                <w:kern w:val="21"/>
                <w:position w:val="0"/>
                <w:sz w:val="21"/>
                <w:szCs w:val="21"/>
                <w:highlight w:val="none"/>
              </w:rPr>
              <w:t>4</w:t>
            </w:r>
            <w:r>
              <w:rPr>
                <w:rFonts w:ascii="Times New Roman" w:hAnsi="Times New Roman" w:cs="Times New Roman" w:eastAsiaTheme="minorEastAsia"/>
                <w:bCs/>
                <w:caps w:val="0"/>
                <w:smallCaps w:val="0"/>
                <w:color w:val="auto"/>
                <w:spacing w:val="0"/>
                <w:w w:val="100"/>
                <w:kern w:val="21"/>
                <w:position w:val="0"/>
                <w:sz w:val="21"/>
                <w:szCs w:val="21"/>
                <w:highlight w:val="none"/>
              </w:rPr>
              <w:t>.0</w:t>
            </w:r>
          </w:p>
        </w:tc>
      </w:tr>
    </w:tbl>
    <w:p w14:paraId="74AB39BE">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kern w:val="2"/>
          <w:position w:val="0"/>
          <w:szCs w:val="20"/>
          <w:highlight w:val="none"/>
        </w:rPr>
        <w:t>（3）本项目</w:t>
      </w:r>
      <w:r>
        <w:rPr>
          <w:rFonts w:hint="eastAsia" w:ascii="Times New Roman" w:hAnsi="Times New Roman" w:cs="Times New Roman" w:eastAsiaTheme="minorEastAsia"/>
          <w:caps w:val="0"/>
          <w:smallCaps w:val="0"/>
          <w:color w:val="auto"/>
          <w:spacing w:val="0"/>
          <w:w w:val="100"/>
          <w:kern w:val="2"/>
          <w:position w:val="0"/>
          <w:szCs w:val="20"/>
          <w:highlight w:val="none"/>
        </w:rPr>
        <w:t>依</w:t>
      </w:r>
      <w:r>
        <w:rPr>
          <w:rFonts w:hint="eastAsia" w:ascii="Times New Roman" w:hAnsi="Times New Roman" w:cs="Times New Roman" w:eastAsiaTheme="minorEastAsia"/>
          <w:caps w:val="0"/>
          <w:smallCaps w:val="0"/>
          <w:color w:val="auto"/>
          <w:spacing w:val="0"/>
          <w:w w:val="100"/>
          <w:kern w:val="2"/>
          <w:position w:val="0"/>
          <w:szCs w:val="20"/>
          <w:highlight w:val="none"/>
        </w:rPr>
        <w:t>托</w:t>
      </w:r>
      <w:r>
        <w:rPr>
          <w:rFonts w:ascii="Times New Roman" w:hAnsi="Times New Roman" w:cs="Times New Roman" w:eastAsiaTheme="minorEastAsia"/>
          <w:caps w:val="0"/>
          <w:smallCaps w:val="0"/>
          <w:color w:val="auto"/>
          <w:spacing w:val="0"/>
          <w:w w:val="100"/>
          <w:kern w:val="2"/>
          <w:position w:val="0"/>
          <w:szCs w:val="20"/>
          <w:highlight w:val="none"/>
        </w:rPr>
        <w:t>的</w:t>
      </w:r>
      <w:r>
        <w:rPr>
          <w:rFonts w:hint="eastAsia" w:ascii="Times New Roman" w:hAnsi="Times New Roman" w:cs="Times New Roman" w:eastAsiaTheme="minorEastAsia"/>
          <w:bCs/>
          <w:caps w:val="0"/>
          <w:smallCaps w:val="0"/>
          <w:color w:val="auto"/>
          <w:spacing w:val="0"/>
          <w:w w:val="100"/>
          <w:kern w:val="2"/>
          <w:position w:val="0"/>
          <w:szCs w:val="20"/>
          <w:highlight w:val="none"/>
          <w:lang w:val="en-US" w:eastAsia="zh-CN"/>
        </w:rPr>
        <w:t>卫一联合站</w:t>
      </w:r>
      <w:r>
        <w:rPr>
          <w:rFonts w:ascii="Times New Roman" w:hAnsi="Times New Roman" w:cs="Times New Roman" w:eastAsiaTheme="minorEastAsia"/>
          <w:caps w:val="0"/>
          <w:smallCaps w:val="0"/>
          <w:color w:val="auto"/>
          <w:spacing w:val="0"/>
          <w:w w:val="100"/>
          <w:position w:val="0"/>
          <w:highlight w:val="none"/>
        </w:rPr>
        <w:t>排放的VOCs（以非甲烷总烃计）边界执行《陆上石油天然气开采工业大气污染物排放标准》（GB3</w:t>
      </w:r>
      <w:r>
        <w:rPr>
          <w:rFonts w:ascii="Times New Roman" w:hAnsi="Times New Roman" w:cs="Times New Roman" w:eastAsiaTheme="minorEastAsia"/>
          <w:caps w:val="0"/>
          <w:smallCaps w:val="0"/>
          <w:color w:val="auto"/>
          <w:spacing w:val="0"/>
          <w:w w:val="100"/>
          <w:position w:val="0"/>
          <w:highlight w:val="none"/>
        </w:rPr>
        <w:t>9728-2020）5.9中规定要求</w:t>
      </w:r>
      <w:r>
        <w:rPr>
          <w:rFonts w:ascii="Times New Roman" w:hAnsi="Times New Roman" w:cs="Times New Roman" w:eastAsiaTheme="minorEastAsia"/>
          <w:bCs/>
          <w:caps w:val="0"/>
          <w:smallCaps w:val="0"/>
          <w:color w:val="auto"/>
          <w:spacing w:val="0"/>
          <w:w w:val="100"/>
          <w:kern w:val="21"/>
          <w:position w:val="0"/>
          <w:highlight w:val="none"/>
        </w:rPr>
        <w:t>，见</w:t>
      </w:r>
      <w:r>
        <w:rPr>
          <w:rFonts w:ascii="Times New Roman" w:hAnsi="Times New Roman" w:cs="Times New Roman" w:eastAsiaTheme="minorEastAsia"/>
          <w:caps w:val="0"/>
          <w:smallCaps w:val="0"/>
          <w:color w:val="auto"/>
          <w:spacing w:val="0"/>
          <w:w w:val="100"/>
          <w:kern w:val="2"/>
          <w:position w:val="0"/>
          <w:szCs w:val="20"/>
          <w:highlight w:val="none"/>
        </w:rPr>
        <w:t>表2.5-8</w:t>
      </w:r>
      <w:r>
        <w:rPr>
          <w:rFonts w:ascii="Times New Roman" w:hAnsi="Times New Roman" w:cs="Times New Roman" w:eastAsiaTheme="minorEastAsia"/>
          <w:caps w:val="0"/>
          <w:smallCaps w:val="0"/>
          <w:color w:val="auto"/>
          <w:spacing w:val="0"/>
          <w:w w:val="100"/>
          <w:position w:val="0"/>
          <w:highlight w:val="none"/>
        </w:rPr>
        <w:t>。废水集输和处理系统排放控制符合标准中5.4要求；设备与管线组件泄漏排放控制符合标准中5.5要求。</w:t>
      </w:r>
    </w:p>
    <w:p w14:paraId="1D2C9D2E">
      <w:pPr>
        <w:widowControl w:val="0"/>
        <w:tabs>
          <w:tab w:val="left" w:pos="5262"/>
        </w:tabs>
        <w:spacing w:line="440" w:lineRule="exact"/>
        <w:ind w:firstLine="482"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kern w:val="2"/>
          <w:position w:val="0"/>
          <w:szCs w:val="20"/>
          <w:highlight w:val="none"/>
        </w:rPr>
        <w:t>表2.5-8    陆上石油天然气开采工业大气污染物排放标准</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6"/>
        <w:gridCol w:w="6450"/>
      </w:tblGrid>
      <w:tr w14:paraId="67B8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7" w:type="pct"/>
            <w:vAlign w:val="center"/>
          </w:tcPr>
          <w:p w14:paraId="03C1D8F6">
            <w:pPr>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标准</w:t>
            </w:r>
          </w:p>
        </w:tc>
        <w:tc>
          <w:tcPr>
            <w:tcW w:w="3473" w:type="pct"/>
            <w:vAlign w:val="center"/>
          </w:tcPr>
          <w:p w14:paraId="0CC3ABB3">
            <w:pPr>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规定要求</w:t>
            </w:r>
          </w:p>
        </w:tc>
      </w:tr>
      <w:tr w14:paraId="772C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7" w:type="pct"/>
            <w:vAlign w:val="center"/>
          </w:tcPr>
          <w:p w14:paraId="7EB32150">
            <w:pPr>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《陆上石油天然气开采工业大气污染物排放标准》（GB39728-2020）</w:t>
            </w:r>
          </w:p>
        </w:tc>
        <w:tc>
          <w:tcPr>
            <w:tcW w:w="3473" w:type="pct"/>
            <w:vAlign w:val="center"/>
          </w:tcPr>
          <w:p w14:paraId="52FED0DA">
            <w:pPr>
              <w:snapToGrid w:val="0"/>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油气集中处理站、涉及凝析油或天然气凝液的天然气处理厂、储油库边界非甲烷总烃浓度不应超过4.0 mg/m</w:t>
            </w:r>
            <w:r>
              <w:rPr>
                <w:rFonts w:ascii="Times New Roman" w:hAnsi="Times New Roman" w:cs="Times New Roman"/>
                <w:caps w:val="0"/>
                <w:smallCaps w:val="0"/>
                <w:color w:val="auto"/>
                <w:spacing w:val="0"/>
                <w:w w:val="100"/>
                <w:position w:val="0"/>
                <w:sz w:val="21"/>
                <w:szCs w:val="21"/>
                <w:highlight w:val="none"/>
                <w:vertAlign w:val="superscript"/>
              </w:rPr>
              <w:t>3</w:t>
            </w:r>
            <w:r>
              <w:rPr>
                <w:rFonts w:ascii="Times New Roman" w:hAnsi="Times New Roman" w:cs="Times New Roman"/>
                <w:caps w:val="0"/>
                <w:smallCaps w:val="0"/>
                <w:color w:val="auto"/>
                <w:spacing w:val="0"/>
                <w:w w:val="100"/>
                <w:position w:val="0"/>
                <w:sz w:val="21"/>
                <w:szCs w:val="21"/>
                <w:highlight w:val="none"/>
              </w:rPr>
              <w:t>。</w:t>
            </w:r>
          </w:p>
        </w:tc>
      </w:tr>
    </w:tbl>
    <w:p w14:paraId="03A97241">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2.5.2.2 废水</w:t>
      </w:r>
    </w:p>
    <w:p w14:paraId="3E3A728B">
      <w:pPr>
        <w:widowControl w:val="0"/>
        <w:tabs>
          <w:tab w:val="left" w:pos="5262"/>
        </w:tabs>
        <w:spacing w:line="440" w:lineRule="exact"/>
        <w:ind w:firstLine="480"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bCs/>
          <w:caps w:val="0"/>
          <w:smallCaps w:val="0"/>
          <w:color w:val="auto"/>
          <w:spacing w:val="0"/>
          <w:w w:val="100"/>
          <w:kern w:val="21"/>
          <w:position w:val="0"/>
          <w:highlight w:val="none"/>
          <w:lang w:bidi="zh-CN"/>
        </w:rPr>
        <w:t>（1）本项目</w:t>
      </w:r>
      <w:r>
        <w:rPr>
          <w:rFonts w:hint="eastAsia" w:ascii="Times New Roman" w:hAnsi="Times New Roman" w:cs="Times New Roman" w:eastAsiaTheme="minorEastAsia"/>
          <w:bCs/>
          <w:caps w:val="0"/>
          <w:smallCaps w:val="0"/>
          <w:color w:val="auto"/>
          <w:spacing w:val="0"/>
          <w:w w:val="100"/>
          <w:kern w:val="21"/>
          <w:position w:val="0"/>
          <w:highlight w:val="none"/>
          <w:lang w:bidi="zh-CN"/>
        </w:rPr>
        <w:t>新建管线试压废水及</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bidi="zh-CN"/>
        </w:rPr>
        <w:t>废弃</w:t>
      </w:r>
      <w:r>
        <w:rPr>
          <w:rFonts w:hint="eastAsia" w:ascii="Times New Roman" w:hAnsi="Times New Roman" w:cs="Times New Roman" w:eastAsiaTheme="minorEastAsia"/>
          <w:bCs/>
          <w:caps w:val="0"/>
          <w:smallCaps w:val="0"/>
          <w:color w:val="auto"/>
          <w:spacing w:val="0"/>
          <w:w w:val="100"/>
          <w:kern w:val="21"/>
          <w:position w:val="0"/>
          <w:highlight w:val="none"/>
          <w:lang w:bidi="zh-CN"/>
        </w:rPr>
        <w:t>管线清洗废水</w:t>
      </w:r>
      <w:r>
        <w:rPr>
          <w:rFonts w:ascii="Times New Roman" w:hAnsi="Times New Roman" w:cs="Times New Roman" w:eastAsiaTheme="minorEastAsia"/>
          <w:caps w:val="0"/>
          <w:smallCaps w:val="0"/>
          <w:color w:val="auto"/>
          <w:spacing w:val="0"/>
          <w:w w:val="100"/>
          <w:position w:val="0"/>
          <w:highlight w:val="none"/>
        </w:rPr>
        <w:t>依托</w:t>
      </w:r>
      <w:r>
        <w:rPr>
          <w:rFonts w:hint="eastAsia" w:ascii="Times New Roman" w:hAnsi="Times New Roman" w:eastAsiaTheme="minorEastAsia"/>
          <w:caps w:val="0"/>
          <w:smallCaps w:val="0"/>
          <w:color w:val="auto"/>
          <w:spacing w:val="0"/>
          <w:w w:val="100"/>
          <w:position w:val="0"/>
          <w:highlight w:val="none"/>
          <w:lang w:val="en-US" w:eastAsia="zh-CN"/>
        </w:rPr>
        <w:t>卫一联含油污水深度处理站</w:t>
      </w:r>
      <w:r>
        <w:rPr>
          <w:rFonts w:ascii="Times New Roman" w:hAnsi="Times New Roman" w:cs="Times New Roman" w:eastAsiaTheme="minorEastAsia"/>
          <w:caps w:val="0"/>
          <w:smallCaps w:val="0"/>
          <w:color w:val="auto"/>
          <w:spacing w:val="0"/>
          <w:w w:val="100"/>
          <w:position w:val="0"/>
          <w:highlight w:val="none"/>
        </w:rPr>
        <w:t>处理达标后回注油层</w:t>
      </w:r>
      <w:r>
        <w:rPr>
          <w:rFonts w:hint="eastAsia" w:ascii="Times New Roman" w:hAnsi="Times New Roman" w:cs="Times New Roman" w:eastAsiaTheme="minorEastAsia"/>
          <w:caps w:val="0"/>
          <w:smallCaps w:val="0"/>
          <w:color w:val="auto"/>
          <w:spacing w:val="0"/>
          <w:w w:val="100"/>
          <w:position w:val="0"/>
          <w:highlight w:val="none"/>
          <w:lang w:eastAsia="zh-CN"/>
        </w:rPr>
        <w:t>。</w:t>
      </w:r>
      <w:r>
        <w:rPr>
          <w:rFonts w:hint="eastAsia" w:ascii="Times New Roman" w:hAnsi="Times New Roman" w:cs="Times New Roman" w:eastAsiaTheme="minorEastAsia"/>
          <w:bCs/>
          <w:color w:val="auto"/>
          <w:highlight w:val="none"/>
        </w:rPr>
        <w:t>卫一联含油污水深度处理站</w:t>
      </w:r>
      <w:r>
        <w:rPr>
          <w:rFonts w:ascii="Times New Roman" w:hAnsi="Times New Roman" w:cs="Times New Roman" w:eastAsiaTheme="minorEastAsia"/>
          <w:bCs/>
          <w:color w:val="auto"/>
          <w:highlight w:val="none"/>
        </w:rPr>
        <w:t>出水指标为含油量≤8mg/L、悬浮固体含量≤3mg/L、悬浮物颗粒直径中值≤2μm。回注污水需同时满足</w:t>
      </w:r>
      <w:r>
        <w:rPr>
          <w:rFonts w:ascii="Times New Roman" w:hAnsi="Times New Roman" w:cs="Times New Roman" w:eastAsiaTheme="minorEastAsia"/>
          <w:color w:val="auto"/>
          <w:highlight w:val="none"/>
        </w:rPr>
        <w:t>《大庆油田地面工程建设设计规定》（Q/SYDQ0639-2015）、《碎屑岩油藏注水水质指标技术要求及分析方法》（SY/T5329-2022）限值要求。《大庆油田地面工程建设设计规定》（Q/SYDQ0639-2015）标准限值见表2.5-10，《碎屑岩油藏注水水质指标技术</w:t>
      </w:r>
      <w:r>
        <w:rPr>
          <w:rFonts w:ascii="Times New Roman" w:hAnsi="Times New Roman" w:cs="Times New Roman" w:eastAsiaTheme="minorEastAsia"/>
          <w:color w:val="auto"/>
          <w:highlight w:val="none"/>
        </w:rPr>
        <w:t>要求及分析方法》（SY/T5329-2022）标准限值见表2.5-11。</w:t>
      </w:r>
    </w:p>
    <w:p w14:paraId="63490899">
      <w:pPr>
        <w:widowControl w:val="0"/>
        <w:tabs>
          <w:tab w:val="left" w:pos="5262"/>
        </w:tabs>
        <w:spacing w:line="440" w:lineRule="exact"/>
        <w:ind w:firstLine="482"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b/>
          <w:snapToGrid w:val="0"/>
          <w:color w:val="auto"/>
          <w:highlight w:val="none"/>
        </w:rPr>
        <w:t>表2.5-10    大庆油田水驱注水水质主要控制指标</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66"/>
        <w:gridCol w:w="1285"/>
        <w:gridCol w:w="1283"/>
        <w:gridCol w:w="1287"/>
        <w:gridCol w:w="1285"/>
        <w:gridCol w:w="1420"/>
      </w:tblGrid>
      <w:tr w14:paraId="43E6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Merge w:val="restart"/>
            <w:vAlign w:val="center"/>
          </w:tcPr>
          <w:p w14:paraId="03DBC814">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项目</w:t>
            </w:r>
          </w:p>
        </w:tc>
        <w:tc>
          <w:tcPr>
            <w:tcW w:w="3594" w:type="pct"/>
            <w:gridSpan w:val="5"/>
            <w:vAlign w:val="center"/>
          </w:tcPr>
          <w:p w14:paraId="2197495C">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空气渗透率μm</w:t>
            </w:r>
            <w:r>
              <w:rPr>
                <w:rFonts w:ascii="Times New Roman" w:hAnsi="Times New Roman" w:cs="Times New Roman" w:eastAsiaTheme="minorEastAsia"/>
                <w:color w:val="auto"/>
                <w:kern w:val="2"/>
                <w:sz w:val="21"/>
                <w:szCs w:val="21"/>
                <w:highlight w:val="none"/>
                <w:vertAlign w:val="superscript"/>
              </w:rPr>
              <w:t>2</w:t>
            </w:r>
          </w:p>
        </w:tc>
      </w:tr>
      <w:tr w14:paraId="2E3E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Merge w:val="continue"/>
            <w:vAlign w:val="center"/>
          </w:tcPr>
          <w:p w14:paraId="6D9B1B6B">
            <w:pPr>
              <w:spacing w:line="360" w:lineRule="exact"/>
              <w:jc w:val="center"/>
              <w:rPr>
                <w:rFonts w:ascii="Times New Roman" w:hAnsi="Times New Roman" w:cs="Times New Roman" w:eastAsiaTheme="minorEastAsia"/>
                <w:color w:val="auto"/>
                <w:kern w:val="2"/>
                <w:sz w:val="21"/>
                <w:szCs w:val="21"/>
                <w:highlight w:val="none"/>
              </w:rPr>
            </w:pPr>
          </w:p>
        </w:tc>
        <w:tc>
          <w:tcPr>
            <w:tcW w:w="704" w:type="pct"/>
            <w:vAlign w:val="center"/>
          </w:tcPr>
          <w:p w14:paraId="7277C244">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＜0.02</w:t>
            </w:r>
          </w:p>
        </w:tc>
        <w:tc>
          <w:tcPr>
            <w:tcW w:w="703" w:type="pct"/>
            <w:vAlign w:val="center"/>
          </w:tcPr>
          <w:p w14:paraId="7764A834">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0.02-0.1</w:t>
            </w:r>
          </w:p>
        </w:tc>
        <w:tc>
          <w:tcPr>
            <w:tcW w:w="705" w:type="pct"/>
            <w:vAlign w:val="center"/>
          </w:tcPr>
          <w:p w14:paraId="6B95DCAE">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0.1-0.3</w:t>
            </w:r>
          </w:p>
        </w:tc>
        <w:tc>
          <w:tcPr>
            <w:tcW w:w="704" w:type="pct"/>
            <w:vAlign w:val="center"/>
          </w:tcPr>
          <w:p w14:paraId="6F4000E9">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0.3-0.6</w:t>
            </w:r>
          </w:p>
        </w:tc>
        <w:tc>
          <w:tcPr>
            <w:tcW w:w="778" w:type="pct"/>
            <w:vAlign w:val="center"/>
          </w:tcPr>
          <w:p w14:paraId="056FD4AC">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＞0.6</w:t>
            </w:r>
          </w:p>
        </w:tc>
      </w:tr>
      <w:tr w14:paraId="53AB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2E95967D">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含油量，mg/L</w:t>
            </w:r>
          </w:p>
        </w:tc>
        <w:tc>
          <w:tcPr>
            <w:tcW w:w="704" w:type="pct"/>
            <w:vAlign w:val="center"/>
          </w:tcPr>
          <w:p w14:paraId="3BBB07B6">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≤5.0</w:t>
            </w:r>
          </w:p>
        </w:tc>
        <w:tc>
          <w:tcPr>
            <w:tcW w:w="703" w:type="pct"/>
            <w:vAlign w:val="center"/>
          </w:tcPr>
          <w:p w14:paraId="1123A3D7">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≤8.0</w:t>
            </w:r>
          </w:p>
        </w:tc>
        <w:tc>
          <w:tcPr>
            <w:tcW w:w="705" w:type="pct"/>
            <w:vAlign w:val="center"/>
          </w:tcPr>
          <w:p w14:paraId="1F5136F7">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≤10.0</w:t>
            </w:r>
          </w:p>
        </w:tc>
        <w:tc>
          <w:tcPr>
            <w:tcW w:w="704" w:type="pct"/>
            <w:vAlign w:val="center"/>
          </w:tcPr>
          <w:p w14:paraId="09B65CA1">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≤15.0</w:t>
            </w:r>
          </w:p>
        </w:tc>
        <w:tc>
          <w:tcPr>
            <w:tcW w:w="778" w:type="pct"/>
            <w:vAlign w:val="center"/>
          </w:tcPr>
          <w:p w14:paraId="340C3720">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≤20.0</w:t>
            </w:r>
          </w:p>
        </w:tc>
      </w:tr>
      <w:tr w14:paraId="7806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768051B5">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悬浮固体含量，mg/L</w:t>
            </w:r>
          </w:p>
        </w:tc>
        <w:tc>
          <w:tcPr>
            <w:tcW w:w="704" w:type="pct"/>
            <w:vAlign w:val="center"/>
          </w:tcPr>
          <w:p w14:paraId="33CB7B80">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≤1.0</w:t>
            </w:r>
          </w:p>
        </w:tc>
        <w:tc>
          <w:tcPr>
            <w:tcW w:w="703" w:type="pct"/>
            <w:vAlign w:val="center"/>
          </w:tcPr>
          <w:p w14:paraId="204DA2F6">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≤3.0</w:t>
            </w:r>
          </w:p>
        </w:tc>
        <w:tc>
          <w:tcPr>
            <w:tcW w:w="705" w:type="pct"/>
            <w:vAlign w:val="center"/>
          </w:tcPr>
          <w:p w14:paraId="5D717974">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≤5.0</w:t>
            </w:r>
          </w:p>
        </w:tc>
        <w:tc>
          <w:tcPr>
            <w:tcW w:w="704" w:type="pct"/>
            <w:vAlign w:val="center"/>
          </w:tcPr>
          <w:p w14:paraId="654D38EC">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≤5.0</w:t>
            </w:r>
          </w:p>
        </w:tc>
        <w:tc>
          <w:tcPr>
            <w:tcW w:w="778" w:type="pct"/>
            <w:vAlign w:val="center"/>
          </w:tcPr>
          <w:p w14:paraId="5E8D9125">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≤10.0</w:t>
            </w:r>
          </w:p>
        </w:tc>
      </w:tr>
      <w:tr w14:paraId="1DBC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1F6D7E00">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悬浮物颗粒直径中值，μm</w:t>
            </w:r>
          </w:p>
        </w:tc>
        <w:tc>
          <w:tcPr>
            <w:tcW w:w="704" w:type="pct"/>
            <w:vAlign w:val="center"/>
          </w:tcPr>
          <w:p w14:paraId="468775E1">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≤1.0</w:t>
            </w:r>
          </w:p>
        </w:tc>
        <w:tc>
          <w:tcPr>
            <w:tcW w:w="703" w:type="pct"/>
            <w:vAlign w:val="center"/>
          </w:tcPr>
          <w:p w14:paraId="55C21533">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≤2.0</w:t>
            </w:r>
          </w:p>
        </w:tc>
        <w:tc>
          <w:tcPr>
            <w:tcW w:w="705" w:type="pct"/>
            <w:vAlign w:val="center"/>
          </w:tcPr>
          <w:p w14:paraId="11B424EA">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≤2.0</w:t>
            </w:r>
          </w:p>
        </w:tc>
        <w:tc>
          <w:tcPr>
            <w:tcW w:w="704" w:type="pct"/>
            <w:vAlign w:val="center"/>
          </w:tcPr>
          <w:p w14:paraId="46F8E140">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≤3.0</w:t>
            </w:r>
          </w:p>
        </w:tc>
        <w:tc>
          <w:tcPr>
            <w:tcW w:w="778" w:type="pct"/>
            <w:vAlign w:val="center"/>
          </w:tcPr>
          <w:p w14:paraId="54E62F96">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≤3.0</w:t>
            </w:r>
          </w:p>
        </w:tc>
      </w:tr>
    </w:tbl>
    <w:p w14:paraId="623EFDBE">
      <w:pPr>
        <w:pStyle w:val="149"/>
        <w:widowControl w:val="0"/>
        <w:spacing w:line="440" w:lineRule="exact"/>
        <w:ind w:firstLine="482"/>
        <w:rPr>
          <w:rFonts w:ascii="Times New Roman" w:hAnsi="Times New Roman" w:eastAsiaTheme="minorEastAsia"/>
          <w:b/>
          <w:snapToGrid w:val="0"/>
          <w:color w:val="auto"/>
          <w:highlight w:val="none"/>
        </w:rPr>
      </w:pPr>
      <w:r>
        <w:rPr>
          <w:rFonts w:ascii="Times New Roman" w:hAnsi="Times New Roman" w:eastAsiaTheme="minorEastAsia"/>
          <w:b/>
          <w:snapToGrid w:val="0"/>
          <w:color w:val="auto"/>
          <w:highlight w:val="none"/>
        </w:rPr>
        <w:t>表2.5-11    水质主要控制指标</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66"/>
        <w:gridCol w:w="1285"/>
        <w:gridCol w:w="1283"/>
        <w:gridCol w:w="1287"/>
        <w:gridCol w:w="1285"/>
        <w:gridCol w:w="1420"/>
      </w:tblGrid>
      <w:tr w14:paraId="4649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25995E1B">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储层空气渗透率，μm</w:t>
            </w:r>
            <w:r>
              <w:rPr>
                <w:rFonts w:ascii="Times New Roman" w:hAnsi="Times New Roman" w:cs="Times New Roman" w:eastAsiaTheme="minorEastAsia"/>
                <w:color w:val="auto"/>
                <w:kern w:val="2"/>
                <w:sz w:val="21"/>
                <w:szCs w:val="21"/>
                <w:highlight w:val="none"/>
                <w:vertAlign w:val="superscript"/>
              </w:rPr>
              <w:t>2</w:t>
            </w:r>
          </w:p>
        </w:tc>
        <w:tc>
          <w:tcPr>
            <w:tcW w:w="704" w:type="pct"/>
            <w:vAlign w:val="center"/>
          </w:tcPr>
          <w:p w14:paraId="07BC03DC">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＜0.01</w:t>
            </w:r>
          </w:p>
        </w:tc>
        <w:tc>
          <w:tcPr>
            <w:tcW w:w="703" w:type="pct"/>
            <w:vAlign w:val="center"/>
          </w:tcPr>
          <w:p w14:paraId="52ECBE6D">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[0.01-0.05）</w:t>
            </w:r>
          </w:p>
        </w:tc>
        <w:tc>
          <w:tcPr>
            <w:tcW w:w="705" w:type="pct"/>
            <w:vAlign w:val="center"/>
          </w:tcPr>
          <w:p w14:paraId="5F523B94">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[0.05-0.5）</w:t>
            </w:r>
          </w:p>
        </w:tc>
        <w:tc>
          <w:tcPr>
            <w:tcW w:w="704" w:type="pct"/>
            <w:vAlign w:val="center"/>
          </w:tcPr>
          <w:p w14:paraId="70C490C1">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[0.5-2.0）</w:t>
            </w:r>
          </w:p>
        </w:tc>
        <w:tc>
          <w:tcPr>
            <w:tcW w:w="778" w:type="pct"/>
            <w:vAlign w:val="center"/>
          </w:tcPr>
          <w:p w14:paraId="3FF21CD9">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≥2.0</w:t>
            </w:r>
          </w:p>
        </w:tc>
      </w:tr>
      <w:tr w14:paraId="2216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0B79DB44">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悬浮固体含量，mg/L</w:t>
            </w:r>
          </w:p>
        </w:tc>
        <w:tc>
          <w:tcPr>
            <w:tcW w:w="704" w:type="pct"/>
            <w:vAlign w:val="center"/>
          </w:tcPr>
          <w:p w14:paraId="5CDD85E9">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≤8.0</w:t>
            </w:r>
          </w:p>
        </w:tc>
        <w:tc>
          <w:tcPr>
            <w:tcW w:w="703" w:type="pct"/>
            <w:vAlign w:val="center"/>
          </w:tcPr>
          <w:p w14:paraId="39671D0D">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≤15.0</w:t>
            </w:r>
          </w:p>
        </w:tc>
        <w:tc>
          <w:tcPr>
            <w:tcW w:w="705" w:type="pct"/>
            <w:vAlign w:val="center"/>
          </w:tcPr>
          <w:p w14:paraId="43D25AA8">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≤20.0</w:t>
            </w:r>
          </w:p>
        </w:tc>
        <w:tc>
          <w:tcPr>
            <w:tcW w:w="704" w:type="pct"/>
            <w:vAlign w:val="center"/>
          </w:tcPr>
          <w:p w14:paraId="77ECBE30">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≤25.0</w:t>
            </w:r>
          </w:p>
        </w:tc>
        <w:tc>
          <w:tcPr>
            <w:tcW w:w="778" w:type="pct"/>
            <w:vAlign w:val="center"/>
          </w:tcPr>
          <w:p w14:paraId="50492B80">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≤35.0</w:t>
            </w:r>
          </w:p>
        </w:tc>
      </w:tr>
      <w:tr w14:paraId="4DEC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5C352E39">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悬浮物颗粒直径中值，μm</w:t>
            </w:r>
          </w:p>
        </w:tc>
        <w:tc>
          <w:tcPr>
            <w:tcW w:w="704" w:type="pct"/>
            <w:vAlign w:val="center"/>
          </w:tcPr>
          <w:p w14:paraId="7F3B1AD8">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≤3.0</w:t>
            </w:r>
          </w:p>
        </w:tc>
        <w:tc>
          <w:tcPr>
            <w:tcW w:w="703" w:type="pct"/>
            <w:vAlign w:val="center"/>
          </w:tcPr>
          <w:p w14:paraId="1981BE04">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≤5.0</w:t>
            </w:r>
          </w:p>
        </w:tc>
        <w:tc>
          <w:tcPr>
            <w:tcW w:w="705" w:type="pct"/>
            <w:vAlign w:val="center"/>
          </w:tcPr>
          <w:p w14:paraId="21636883">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≤5.0</w:t>
            </w:r>
          </w:p>
        </w:tc>
        <w:tc>
          <w:tcPr>
            <w:tcW w:w="704" w:type="pct"/>
            <w:vAlign w:val="center"/>
          </w:tcPr>
          <w:p w14:paraId="7DAD20E2">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≤5.0</w:t>
            </w:r>
          </w:p>
        </w:tc>
        <w:tc>
          <w:tcPr>
            <w:tcW w:w="778" w:type="pct"/>
            <w:vAlign w:val="center"/>
          </w:tcPr>
          <w:p w14:paraId="75D38040">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≤5.5</w:t>
            </w:r>
          </w:p>
        </w:tc>
      </w:tr>
      <w:tr w14:paraId="1550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727DEF37">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含油量，mg/L</w:t>
            </w:r>
          </w:p>
        </w:tc>
        <w:tc>
          <w:tcPr>
            <w:tcW w:w="704" w:type="pct"/>
            <w:vAlign w:val="center"/>
          </w:tcPr>
          <w:p w14:paraId="644F1228">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≤5.0</w:t>
            </w:r>
          </w:p>
        </w:tc>
        <w:tc>
          <w:tcPr>
            <w:tcW w:w="703" w:type="pct"/>
            <w:vAlign w:val="center"/>
          </w:tcPr>
          <w:p w14:paraId="48786811">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≤10.0</w:t>
            </w:r>
          </w:p>
        </w:tc>
        <w:tc>
          <w:tcPr>
            <w:tcW w:w="705" w:type="pct"/>
            <w:vAlign w:val="center"/>
          </w:tcPr>
          <w:p w14:paraId="4E3D1E5B">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≤15.0</w:t>
            </w:r>
          </w:p>
        </w:tc>
        <w:tc>
          <w:tcPr>
            <w:tcW w:w="704" w:type="pct"/>
            <w:vAlign w:val="center"/>
          </w:tcPr>
          <w:p w14:paraId="19C25C28">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≤30.0</w:t>
            </w:r>
          </w:p>
        </w:tc>
        <w:tc>
          <w:tcPr>
            <w:tcW w:w="778" w:type="pct"/>
            <w:vAlign w:val="center"/>
          </w:tcPr>
          <w:p w14:paraId="50562EDD">
            <w:pPr>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≤100.0</w:t>
            </w:r>
          </w:p>
        </w:tc>
      </w:tr>
    </w:tbl>
    <w:p w14:paraId="4A53F27A">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2.5.2.3噪声</w:t>
      </w:r>
    </w:p>
    <w:p w14:paraId="152F59F0">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项目施工期噪声排放执行</w:t>
      </w:r>
      <w:r>
        <w:rPr>
          <w:rFonts w:hint="eastAsia" w:ascii="Times New Roman" w:hAnsi="Times New Roman" w:eastAsiaTheme="minorEastAsia"/>
          <w:caps w:val="0"/>
          <w:smallCaps w:val="0"/>
          <w:snapToGrid w:val="0"/>
          <w:color w:val="auto"/>
          <w:spacing w:val="0"/>
          <w:w w:val="100"/>
          <w:position w:val="0"/>
          <w:highlight w:val="none"/>
        </w:rPr>
        <w:t>《建筑施工噪声排放标准》（</w:t>
      </w:r>
      <w:r>
        <w:rPr>
          <w:rFonts w:ascii="Times New Roman" w:hAnsi="Times New Roman" w:eastAsiaTheme="minorEastAsia"/>
          <w:caps w:val="0"/>
          <w:smallCaps w:val="0"/>
          <w:snapToGrid w:val="0"/>
          <w:color w:val="auto"/>
          <w:spacing w:val="0"/>
          <w:w w:val="100"/>
          <w:position w:val="0"/>
          <w:highlight w:val="none"/>
        </w:rPr>
        <w:t>GB12523-2025），见表2.5-12。</w:t>
      </w:r>
    </w:p>
    <w:p w14:paraId="28E5BB47">
      <w:pPr>
        <w:pStyle w:val="149"/>
        <w:widowControl w:val="0"/>
        <w:spacing w:line="440" w:lineRule="exact"/>
        <w:ind w:firstLine="478"/>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b/>
          <w:caps w:val="0"/>
          <w:smallCaps w:val="0"/>
          <w:snapToGrid w:val="0"/>
          <w:color w:val="auto"/>
          <w:spacing w:val="0"/>
          <w:w w:val="100"/>
          <w:position w:val="0"/>
          <w:highlight w:val="none"/>
        </w:rPr>
        <w:t xml:space="preserve">表2.5-12    </w:t>
      </w:r>
      <w:r>
        <w:rPr>
          <w:rFonts w:hint="eastAsia" w:ascii="Times New Roman" w:hAnsi="Times New Roman" w:eastAsiaTheme="minorEastAsia"/>
          <w:b/>
          <w:caps w:val="0"/>
          <w:smallCaps w:val="0"/>
          <w:snapToGrid w:val="0"/>
          <w:color w:val="auto"/>
          <w:spacing w:val="0"/>
          <w:w w:val="100"/>
          <w:position w:val="0"/>
          <w:highlight w:val="none"/>
        </w:rPr>
        <w:t>建筑施工噪声排放标准</w:t>
      </w:r>
      <w:r>
        <w:rPr>
          <w:rFonts w:ascii="Times New Roman" w:hAnsi="Times New Roman" w:eastAsiaTheme="minorEastAsia"/>
          <w:b/>
          <w:caps w:val="0"/>
          <w:smallCaps w:val="0"/>
          <w:snapToGrid w:val="0"/>
          <w:color w:val="auto"/>
          <w:spacing w:val="0"/>
          <w:w w:val="100"/>
          <w:position w:val="0"/>
          <w:highlight w:val="none"/>
        </w:rPr>
        <w:t xml:space="preserve">    单位：dB（A）</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2"/>
        <w:gridCol w:w="3081"/>
        <w:gridCol w:w="3083"/>
      </w:tblGrid>
      <w:tr w14:paraId="106A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Merge w:val="restart"/>
            <w:vAlign w:val="center"/>
          </w:tcPr>
          <w:p w14:paraId="1C53129C">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主要噪声源</w:t>
            </w:r>
          </w:p>
        </w:tc>
        <w:tc>
          <w:tcPr>
            <w:tcW w:w="3319" w:type="pct"/>
            <w:gridSpan w:val="2"/>
            <w:vAlign w:val="center"/>
          </w:tcPr>
          <w:p w14:paraId="3D11A197">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噪声限值</w:t>
            </w:r>
          </w:p>
        </w:tc>
      </w:tr>
      <w:tr w14:paraId="6152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Merge w:val="continue"/>
            <w:vAlign w:val="center"/>
          </w:tcPr>
          <w:p w14:paraId="199F2A74">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p>
        </w:tc>
        <w:tc>
          <w:tcPr>
            <w:tcW w:w="1659" w:type="pct"/>
            <w:vAlign w:val="center"/>
          </w:tcPr>
          <w:p w14:paraId="5284B5A2">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昼间</w:t>
            </w:r>
          </w:p>
        </w:tc>
        <w:tc>
          <w:tcPr>
            <w:tcW w:w="1660" w:type="pct"/>
            <w:vAlign w:val="center"/>
          </w:tcPr>
          <w:p w14:paraId="37A7CBBE">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夜间</w:t>
            </w:r>
          </w:p>
        </w:tc>
      </w:tr>
      <w:tr w14:paraId="0B31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Align w:val="center"/>
          </w:tcPr>
          <w:p w14:paraId="3C19727A">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hint="eastAsia" w:ascii="Times New Roman" w:hAnsi="Times New Roman" w:eastAsiaTheme="minorEastAsia"/>
                <w:caps w:val="0"/>
                <w:smallCaps w:val="0"/>
                <w:snapToGrid w:val="0"/>
                <w:color w:val="auto"/>
                <w:spacing w:val="0"/>
                <w:w w:val="100"/>
                <w:kern w:val="0"/>
                <w:position w:val="0"/>
                <w:szCs w:val="24"/>
                <w:highlight w:val="none"/>
              </w:rPr>
              <w:t>建筑施工过程中场界噪声</w:t>
            </w:r>
          </w:p>
        </w:tc>
        <w:tc>
          <w:tcPr>
            <w:tcW w:w="1659" w:type="pct"/>
            <w:vAlign w:val="center"/>
          </w:tcPr>
          <w:p w14:paraId="3A62C7F9">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70</w:t>
            </w:r>
          </w:p>
        </w:tc>
        <w:tc>
          <w:tcPr>
            <w:tcW w:w="1660" w:type="pct"/>
            <w:vAlign w:val="center"/>
          </w:tcPr>
          <w:p w14:paraId="5D4CB096">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55</w:t>
            </w:r>
          </w:p>
        </w:tc>
      </w:tr>
    </w:tbl>
    <w:p w14:paraId="306A6C85">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2.5.2.4固体废物</w:t>
      </w:r>
    </w:p>
    <w:p w14:paraId="137AA36E">
      <w:pPr>
        <w:widowControl w:val="0"/>
        <w:tabs>
          <w:tab w:val="left" w:pos="1571"/>
        </w:tabs>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bidi="zh-CN"/>
        </w:rPr>
      </w:pPr>
      <w:r>
        <w:rPr>
          <w:rFonts w:ascii="Times New Roman" w:hAnsi="Times New Roman" w:cs="Times New Roman" w:eastAsiaTheme="minorEastAsia"/>
          <w:caps w:val="0"/>
          <w:smallCaps w:val="0"/>
          <w:color w:val="auto"/>
          <w:spacing w:val="0"/>
          <w:w w:val="100"/>
          <w:position w:val="0"/>
          <w:highlight w:val="none"/>
          <w:lang w:val="zh-CN" w:bidi="zh-CN"/>
        </w:rPr>
        <w:t>（</w:t>
      </w:r>
      <w:r>
        <w:rPr>
          <w:rFonts w:ascii="Times New Roman" w:hAnsi="Times New Roman" w:cs="Times New Roman" w:eastAsiaTheme="minorEastAsia"/>
          <w:caps w:val="0"/>
          <w:smallCaps w:val="0"/>
          <w:color w:val="auto"/>
          <w:spacing w:val="0"/>
          <w:w w:val="100"/>
          <w:position w:val="0"/>
          <w:highlight w:val="none"/>
          <w:lang w:bidi="zh-CN"/>
        </w:rPr>
        <w:t>1</w:t>
      </w:r>
      <w:r>
        <w:rPr>
          <w:rFonts w:ascii="Times New Roman" w:hAnsi="Times New Roman" w:cs="Times New Roman" w:eastAsiaTheme="minorEastAsia"/>
          <w:caps w:val="0"/>
          <w:smallCaps w:val="0"/>
          <w:color w:val="auto"/>
          <w:spacing w:val="0"/>
          <w:w w:val="100"/>
          <w:position w:val="0"/>
          <w:highlight w:val="none"/>
          <w:lang w:val="zh-CN" w:bidi="zh-CN"/>
        </w:rPr>
        <w:t>）施工期产生的施工废料属于一般工业固体废物，执行《一般工业固体废物贮存和填埋污染控制标准》（GB18599-20</w:t>
      </w:r>
      <w:r>
        <w:rPr>
          <w:rFonts w:ascii="Times New Roman" w:hAnsi="Times New Roman" w:cs="Times New Roman" w:eastAsiaTheme="minorEastAsia"/>
          <w:caps w:val="0"/>
          <w:smallCaps w:val="0"/>
          <w:color w:val="auto"/>
          <w:spacing w:val="0"/>
          <w:w w:val="100"/>
          <w:position w:val="0"/>
          <w:highlight w:val="none"/>
          <w:lang w:bidi="zh-CN"/>
        </w:rPr>
        <w:t>20</w:t>
      </w:r>
      <w:r>
        <w:rPr>
          <w:rFonts w:ascii="Times New Roman" w:hAnsi="Times New Roman" w:cs="Times New Roman" w:eastAsiaTheme="minorEastAsia"/>
          <w:caps w:val="0"/>
          <w:smallCaps w:val="0"/>
          <w:color w:val="auto"/>
          <w:spacing w:val="0"/>
          <w:w w:val="100"/>
          <w:position w:val="0"/>
          <w:highlight w:val="none"/>
          <w:lang w:val="zh-CN" w:bidi="zh-CN"/>
        </w:rPr>
        <w:t>）中</w:t>
      </w:r>
      <w:r>
        <w:rPr>
          <w:rFonts w:ascii="Times New Roman" w:hAnsi="Times New Roman" w:cs="Times New Roman" w:eastAsiaTheme="minorEastAsia"/>
          <w:caps w:val="0"/>
          <w:smallCaps w:val="0"/>
          <w:color w:val="auto"/>
          <w:spacing w:val="0"/>
          <w:w w:val="100"/>
          <w:position w:val="0"/>
          <w:highlight w:val="none"/>
          <w:lang w:bidi="zh-CN"/>
        </w:rPr>
        <w:t>的要求</w:t>
      </w:r>
      <w:r>
        <w:rPr>
          <w:rFonts w:ascii="Times New Roman" w:hAnsi="Times New Roman" w:cs="Times New Roman" w:eastAsiaTheme="minorEastAsia"/>
          <w:caps w:val="0"/>
          <w:smallCaps w:val="0"/>
          <w:color w:val="auto"/>
          <w:spacing w:val="0"/>
          <w:w w:val="100"/>
          <w:position w:val="0"/>
          <w:highlight w:val="none"/>
          <w:lang w:val="zh-CN" w:bidi="zh-CN"/>
        </w:rPr>
        <w:t>。</w:t>
      </w:r>
    </w:p>
    <w:p w14:paraId="6BE491D8">
      <w:pPr>
        <w:widowControl w:val="0"/>
        <w:tabs>
          <w:tab w:val="left" w:pos="1571"/>
        </w:tabs>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bidi="zh-CN"/>
        </w:rPr>
      </w:pPr>
      <w:r>
        <w:rPr>
          <w:rFonts w:ascii="Times New Roman" w:hAnsi="Times New Roman" w:cs="Times New Roman" w:eastAsiaTheme="minorEastAsia"/>
          <w:caps w:val="0"/>
          <w:smallCaps w:val="0"/>
          <w:color w:val="auto"/>
          <w:spacing w:val="0"/>
          <w:w w:val="100"/>
          <w:position w:val="0"/>
          <w:highlight w:val="none"/>
          <w:lang w:val="zh-CN" w:bidi="zh-CN"/>
        </w:rPr>
        <w:t>（2）</w:t>
      </w:r>
      <w:r>
        <w:rPr>
          <w:rFonts w:ascii="Times New Roman" w:hAnsi="Times New Roman" w:cs="Times New Roman" w:eastAsiaTheme="minorEastAsia"/>
          <w:caps w:val="0"/>
          <w:smallCaps w:val="0"/>
          <w:color w:val="auto"/>
          <w:spacing w:val="0"/>
          <w:w w:val="100"/>
          <w:position w:val="0"/>
          <w:highlight w:val="none"/>
          <w:lang w:bidi="zh-CN"/>
        </w:rPr>
        <w:t>施工期产生的生活垃圾执行《城市生活垃圾管理办法》（中华人民共和国建设部令第157号令）。</w:t>
      </w:r>
    </w:p>
    <w:p w14:paraId="7353A527">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250" w:name="_Toc219900376"/>
      <w:r>
        <w:rPr>
          <w:rFonts w:ascii="Times New Roman" w:hAnsi="Times New Roman" w:eastAsiaTheme="minorEastAsia"/>
          <w:b/>
          <w:caps w:val="0"/>
          <w:smallCaps w:val="0"/>
          <w:snapToGrid w:val="0"/>
          <w:color w:val="auto"/>
          <w:spacing w:val="0"/>
          <w:w w:val="100"/>
          <w:position w:val="0"/>
          <w:highlight w:val="none"/>
        </w:rPr>
        <w:t>2.6评价等级及评价范围</w:t>
      </w:r>
      <w:bookmarkEnd w:id="250"/>
    </w:p>
    <w:p w14:paraId="4867E0F2">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251" w:name="_Toc110438455"/>
      <w:bookmarkStart w:id="252" w:name="_Toc78816436"/>
      <w:bookmarkStart w:id="253" w:name="_Toc57707895"/>
      <w:bookmarkStart w:id="254" w:name="_Toc80971353"/>
      <w:bookmarkStart w:id="255" w:name="_Toc84929204"/>
      <w:bookmarkStart w:id="256" w:name="_Toc76976219"/>
      <w:bookmarkStart w:id="257" w:name="_Toc80588231"/>
      <w:bookmarkStart w:id="258" w:name="_Toc12000"/>
      <w:bookmarkStart w:id="259" w:name="_Toc70050151"/>
      <w:bookmarkStart w:id="260" w:name="_Toc17898140"/>
      <w:bookmarkStart w:id="261" w:name="_Toc61597197"/>
      <w:bookmarkStart w:id="262" w:name="_Toc86141911"/>
      <w:bookmarkStart w:id="263" w:name="_Toc67860104"/>
      <w:bookmarkStart w:id="264" w:name="_Toc83209448"/>
      <w:bookmarkStart w:id="265" w:name="_Toc77067635"/>
      <w:bookmarkStart w:id="266" w:name="_Toc57976650"/>
      <w:bookmarkStart w:id="267" w:name="_Toc57203225"/>
      <w:bookmarkStart w:id="268" w:name="_Toc85640728"/>
      <w:r>
        <w:rPr>
          <w:rFonts w:eastAsiaTheme="minorEastAsia"/>
          <w:b/>
          <w:caps w:val="0"/>
          <w:smallCaps w:val="0"/>
          <w:color w:val="auto"/>
          <w:spacing w:val="0"/>
          <w:w w:val="100"/>
          <w:kern w:val="2"/>
          <w:position w:val="0"/>
          <w:sz w:val="24"/>
          <w:szCs w:val="24"/>
          <w:highlight w:val="none"/>
        </w:rPr>
        <w:t>2.6.1环境空气</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67389B05">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2.6.1.1评价等级</w:t>
      </w:r>
    </w:p>
    <w:p w14:paraId="522ECFD4">
      <w:pPr>
        <w:widowControl w:val="0"/>
        <w:autoSpaceDE w:val="0"/>
        <w:autoSpaceDN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bidi="zh-CN"/>
        </w:rPr>
      </w:pPr>
      <w:r>
        <w:rPr>
          <w:rFonts w:ascii="Times New Roman" w:hAnsi="Times New Roman" w:cs="Times New Roman" w:eastAsiaTheme="minorEastAsia"/>
          <w:caps w:val="0"/>
          <w:smallCaps w:val="0"/>
          <w:color w:val="auto"/>
          <w:spacing w:val="0"/>
          <w:w w:val="100"/>
          <w:position w:val="0"/>
          <w:highlight w:val="none"/>
          <w:lang w:bidi="zh-CN"/>
        </w:rPr>
        <w:t>本项目为</w:t>
      </w:r>
      <w:r>
        <w:rPr>
          <w:rFonts w:ascii="Times New Roman" w:hAnsi="Times New Roman" w:cs="Times New Roman" w:eastAsiaTheme="minorEastAsia"/>
          <w:bCs/>
          <w:caps w:val="0"/>
          <w:smallCaps w:val="0"/>
          <w:color w:val="auto"/>
          <w:spacing w:val="0"/>
          <w:w w:val="100"/>
          <w:position w:val="0"/>
          <w:highlight w:val="none"/>
          <w:lang w:bidi="zh-CN"/>
        </w:rPr>
        <w:t>油田内部</w:t>
      </w:r>
      <w:r>
        <w:rPr>
          <w:rFonts w:hint="eastAsia" w:ascii="Times New Roman" w:hAnsi="Times New Roman" w:cs="Times New Roman" w:eastAsiaTheme="minorEastAsia"/>
          <w:bCs/>
          <w:caps w:val="0"/>
          <w:smallCaps w:val="0"/>
          <w:color w:val="auto"/>
          <w:spacing w:val="0"/>
          <w:w w:val="100"/>
          <w:position w:val="0"/>
          <w:highlight w:val="none"/>
          <w:lang w:bidi="zh-CN"/>
        </w:rPr>
        <w:t>输油管道及输气管道</w:t>
      </w:r>
      <w:r>
        <w:rPr>
          <w:rFonts w:ascii="Times New Roman" w:hAnsi="Times New Roman" w:cs="Times New Roman" w:eastAsiaTheme="minorEastAsia"/>
          <w:bCs/>
          <w:caps w:val="0"/>
          <w:smallCaps w:val="0"/>
          <w:color w:val="auto"/>
          <w:spacing w:val="0"/>
          <w:w w:val="100"/>
          <w:position w:val="0"/>
          <w:highlight w:val="none"/>
          <w:lang w:bidi="zh-CN"/>
        </w:rPr>
        <w:t>建设项目</w:t>
      </w:r>
      <w:r>
        <w:rPr>
          <w:rFonts w:ascii="Times New Roman" w:hAnsi="Times New Roman" w:cs="Times New Roman" w:eastAsiaTheme="minorEastAsia"/>
          <w:caps w:val="0"/>
          <w:smallCaps w:val="0"/>
          <w:color w:val="auto"/>
          <w:spacing w:val="0"/>
          <w:w w:val="100"/>
          <w:position w:val="0"/>
          <w:highlight w:val="none"/>
          <w:lang w:bidi="zh-CN"/>
        </w:rPr>
        <w:t>，对大气环境影响主要为施工期扬尘、焊接烟尘、施工机械及运输车辆尾气等，由于施工场地周边较为空旷，有利于扬尘和烟尘的扩散，且施工期环境影响随着施工的结束随即消失，因此，施工期内不会对区域环境空气质量产生较大影响。项目运营期油田内部管线采用密闭集输工艺输送原油、</w:t>
      </w:r>
      <w:r>
        <w:rPr>
          <w:rFonts w:hint="eastAsia" w:ascii="Times New Roman" w:hAnsi="Times New Roman" w:cs="Times New Roman" w:eastAsiaTheme="minorEastAsia"/>
          <w:caps w:val="0"/>
          <w:smallCaps w:val="0"/>
          <w:color w:val="auto"/>
          <w:spacing w:val="0"/>
          <w:w w:val="100"/>
          <w:position w:val="0"/>
          <w:highlight w:val="none"/>
          <w:lang w:bidi="zh-CN"/>
        </w:rPr>
        <w:t>含油污水</w:t>
      </w:r>
      <w:r>
        <w:rPr>
          <w:rFonts w:ascii="Times New Roman" w:hAnsi="Times New Roman" w:cs="Times New Roman" w:eastAsiaTheme="minorEastAsia"/>
          <w:caps w:val="0"/>
          <w:smallCaps w:val="0"/>
          <w:color w:val="auto"/>
          <w:spacing w:val="0"/>
          <w:w w:val="100"/>
          <w:position w:val="0"/>
          <w:highlight w:val="none"/>
          <w:lang w:bidi="zh-CN"/>
        </w:rPr>
        <w:t>，不产生废气。根据《环境影响评价技术导则大气环境》（HJ2.2-2018）中评价工作分级判据进行分级，本项目大气污染物</w:t>
      </w:r>
      <w:r>
        <w:rPr>
          <w:rFonts w:ascii="Times New Roman" w:hAnsi="Times New Roman" w:cs="Times New Roman" w:eastAsiaTheme="minorEastAsia"/>
          <w:caps w:val="0"/>
          <w:smallCaps w:val="0"/>
          <w:color w:val="auto"/>
          <w:spacing w:val="0"/>
          <w:w w:val="100"/>
          <w:position w:val="0"/>
          <w:highlight w:val="none"/>
          <w:lang w:val="zh-CN" w:bidi="zh-CN"/>
        </w:rPr>
        <w:t>最大地面占标率Pmax</w:t>
      </w:r>
      <w:r>
        <w:rPr>
          <w:rFonts w:ascii="Times New Roman" w:hAnsi="Times New Roman" w:cs="Times New Roman" w:eastAsiaTheme="minorEastAsia"/>
          <w:caps w:val="0"/>
          <w:smallCaps w:val="0"/>
          <w:color w:val="auto"/>
          <w:spacing w:val="0"/>
          <w:w w:val="100"/>
          <w:position w:val="0"/>
          <w:highlight w:val="none"/>
          <w:lang w:bidi="zh-CN"/>
        </w:rPr>
        <w:t>＜1%，确定本项目大气环境影响评价工作等级为三级。</w:t>
      </w:r>
    </w:p>
    <w:p w14:paraId="760C7537">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2.6.1.2评价范围</w:t>
      </w:r>
    </w:p>
    <w:p w14:paraId="5C96D18E">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根据《环境影响评价技术导则 大气环境》（HJ2.2-2018），本项目大气环境影响评价工作等级为三级，不需设置大气影响评价范围。本项目为</w:t>
      </w:r>
      <w:r>
        <w:rPr>
          <w:rFonts w:ascii="Times New Roman" w:hAnsi="Times New Roman" w:eastAsiaTheme="minorEastAsia"/>
          <w:bCs/>
          <w:caps w:val="0"/>
          <w:smallCaps w:val="0"/>
          <w:snapToGrid w:val="0"/>
          <w:color w:val="auto"/>
          <w:spacing w:val="0"/>
          <w:w w:val="100"/>
          <w:position w:val="0"/>
          <w:highlight w:val="none"/>
        </w:rPr>
        <w:t>油田内部</w:t>
      </w:r>
      <w:r>
        <w:rPr>
          <w:rFonts w:hint="eastAsia" w:ascii="Times New Roman" w:hAnsi="Times New Roman" w:eastAsiaTheme="minorEastAsia"/>
          <w:bCs/>
          <w:caps w:val="0"/>
          <w:smallCaps w:val="0"/>
          <w:snapToGrid w:val="0"/>
          <w:color w:val="auto"/>
          <w:spacing w:val="0"/>
          <w:w w:val="100"/>
          <w:position w:val="0"/>
          <w:highlight w:val="none"/>
        </w:rPr>
        <w:t>输油管道及输气管道</w:t>
      </w:r>
      <w:r>
        <w:rPr>
          <w:rFonts w:ascii="Times New Roman" w:hAnsi="Times New Roman" w:eastAsiaTheme="minorEastAsia"/>
          <w:bCs/>
          <w:caps w:val="0"/>
          <w:smallCaps w:val="0"/>
          <w:snapToGrid w:val="0"/>
          <w:color w:val="auto"/>
          <w:spacing w:val="0"/>
          <w:w w:val="100"/>
          <w:position w:val="0"/>
          <w:highlight w:val="none"/>
        </w:rPr>
        <w:t>建设项目</w:t>
      </w:r>
      <w:r>
        <w:rPr>
          <w:rFonts w:ascii="Times New Roman" w:hAnsi="Times New Roman" w:eastAsiaTheme="minorEastAsia"/>
          <w:caps w:val="0"/>
          <w:smallCaps w:val="0"/>
          <w:snapToGrid w:val="0"/>
          <w:color w:val="auto"/>
          <w:spacing w:val="0"/>
          <w:w w:val="100"/>
          <w:position w:val="0"/>
          <w:highlight w:val="none"/>
        </w:rPr>
        <w:t>，考虑项目建设位置以及产排污特点，确定本项目大气环境评价范围为拟建管道中心线两侧各200m范围。</w:t>
      </w:r>
    </w:p>
    <w:p w14:paraId="752FCAE1">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269" w:name="_Toc83209449"/>
      <w:bookmarkStart w:id="270" w:name="_Toc61597198"/>
      <w:bookmarkStart w:id="271" w:name="_Toc84929205"/>
      <w:bookmarkStart w:id="272" w:name="_Toc57707896"/>
      <w:bookmarkStart w:id="273" w:name="_Toc24214"/>
      <w:bookmarkStart w:id="274" w:name="_Toc17898141"/>
      <w:bookmarkStart w:id="275" w:name="_Toc86141912"/>
      <w:bookmarkStart w:id="276" w:name="_Toc78816437"/>
      <w:bookmarkStart w:id="277" w:name="_Toc85640729"/>
      <w:bookmarkStart w:id="278" w:name="_Toc80588232"/>
      <w:bookmarkStart w:id="279" w:name="_Toc110438456"/>
      <w:bookmarkStart w:id="280" w:name="_Toc80971354"/>
      <w:bookmarkStart w:id="281" w:name="_Toc57976651"/>
      <w:bookmarkStart w:id="282" w:name="_Toc76976220"/>
      <w:bookmarkStart w:id="283" w:name="_Toc67860105"/>
      <w:bookmarkStart w:id="284" w:name="_Toc77067636"/>
      <w:bookmarkStart w:id="285" w:name="_Toc57203226"/>
      <w:bookmarkStart w:id="286" w:name="_Toc70050152"/>
      <w:r>
        <w:rPr>
          <w:rFonts w:eastAsiaTheme="minorEastAsia"/>
          <w:b/>
          <w:caps w:val="0"/>
          <w:smallCaps w:val="0"/>
          <w:color w:val="auto"/>
          <w:spacing w:val="0"/>
          <w:w w:val="100"/>
          <w:kern w:val="2"/>
          <w:position w:val="0"/>
          <w:sz w:val="24"/>
          <w:szCs w:val="24"/>
          <w:highlight w:val="none"/>
        </w:rPr>
        <w:t>2.6.2地表水</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1DDABAFA">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2.6.2.1评价等级</w:t>
      </w:r>
    </w:p>
    <w:p w14:paraId="02D5B815">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《环境影响评价技术导则 地表水环境》（HJ2.3-2018）规定，建设项目地表水环境影响评价等级按照影响类型、排放方式、排放量或影响情况、受纳水体环境质量现状、水环境保护目标等综合确定。</w:t>
      </w:r>
    </w:p>
    <w:p w14:paraId="5EE19933">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本项目为水污染影响型建设项目，其分级是根据排放方式和废水排放量划定排放等级。</w:t>
      </w:r>
    </w:p>
    <w:p w14:paraId="1BB59CFD">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直接排放建设项目评价等级分为一级、二级和三级A，根据废水排放量、水污染物污染当量数确定；间接排放建设项目评价等级为三级B。</w:t>
      </w:r>
    </w:p>
    <w:p w14:paraId="004BE858">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地表水环境评价等级判据见表2.6-1。</w:t>
      </w:r>
    </w:p>
    <w:p w14:paraId="7338B74E">
      <w:pPr>
        <w:pStyle w:val="149"/>
        <w:widowControl w:val="0"/>
        <w:spacing w:line="440" w:lineRule="exact"/>
        <w:ind w:firstLine="473"/>
        <w:jc w:val="both"/>
        <w:rPr>
          <w:rFonts w:ascii="Times New Roman" w:hAnsi="Times New Roman" w:eastAsiaTheme="minorEastAsia"/>
          <w:bCs/>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本项目施工期</w:t>
      </w:r>
      <w:r>
        <w:rPr>
          <w:rFonts w:hint="eastAsia" w:ascii="Times New Roman" w:hAnsi="Times New Roman" w:eastAsiaTheme="minorEastAsia"/>
          <w:caps w:val="0"/>
          <w:smallCaps w:val="0"/>
          <w:snapToGrid w:val="0"/>
          <w:color w:val="auto"/>
          <w:spacing w:val="0"/>
          <w:w w:val="100"/>
          <w:position w:val="0"/>
          <w:highlight w:val="none"/>
        </w:rPr>
        <w:t>新建管线试压废水及</w:t>
      </w:r>
      <w:r>
        <w:rPr>
          <w:rFonts w:hint="eastAsia" w:ascii="Times New Roman" w:hAnsi="Times New Roman" w:eastAsiaTheme="minorEastAsia"/>
          <w:caps w:val="0"/>
          <w:smallCaps w:val="0"/>
          <w:snapToGrid w:val="0"/>
          <w:color w:val="auto"/>
          <w:spacing w:val="0"/>
          <w:w w:val="100"/>
          <w:position w:val="0"/>
          <w:highlight w:val="none"/>
          <w:lang w:val="en-US" w:eastAsia="zh-CN"/>
        </w:rPr>
        <w:t>废弃</w:t>
      </w:r>
      <w:r>
        <w:rPr>
          <w:rFonts w:hint="eastAsia" w:ascii="Times New Roman" w:hAnsi="Times New Roman" w:eastAsiaTheme="minorEastAsia"/>
          <w:caps w:val="0"/>
          <w:smallCaps w:val="0"/>
          <w:snapToGrid w:val="0"/>
          <w:color w:val="auto"/>
          <w:spacing w:val="0"/>
          <w:w w:val="100"/>
          <w:position w:val="0"/>
          <w:highlight w:val="none"/>
        </w:rPr>
        <w:t>管线清洗废水</w:t>
      </w:r>
      <w:r>
        <w:rPr>
          <w:rFonts w:ascii="Times New Roman" w:hAnsi="Times New Roman" w:eastAsiaTheme="minorEastAsia"/>
          <w:bCs/>
          <w:caps w:val="0"/>
          <w:smallCaps w:val="0"/>
          <w:snapToGrid w:val="0"/>
          <w:color w:val="auto"/>
          <w:spacing w:val="0"/>
          <w:w w:val="100"/>
          <w:position w:val="0"/>
          <w:highlight w:val="none"/>
        </w:rPr>
        <w:t>管输至</w:t>
      </w:r>
      <w:r>
        <w:rPr>
          <w:rFonts w:hint="eastAsia" w:ascii="Times New Roman" w:hAnsi="Times New Roman" w:eastAsiaTheme="minorEastAsia"/>
          <w:caps w:val="0"/>
          <w:smallCaps w:val="0"/>
          <w:color w:val="auto"/>
          <w:spacing w:val="0"/>
          <w:w w:val="100"/>
          <w:position w:val="0"/>
          <w:highlight w:val="none"/>
          <w:lang w:val="en-US" w:eastAsia="zh-CN"/>
        </w:rPr>
        <w:t>卫一联含油污水深度处理站</w:t>
      </w:r>
      <w:r>
        <w:rPr>
          <w:rFonts w:ascii="Times New Roman" w:hAnsi="Times New Roman" w:eastAsiaTheme="minorEastAsia"/>
          <w:bCs/>
          <w:caps w:val="0"/>
          <w:smallCaps w:val="0"/>
          <w:snapToGrid w:val="0"/>
          <w:color w:val="auto"/>
          <w:spacing w:val="0"/>
          <w:w w:val="100"/>
          <w:position w:val="0"/>
          <w:highlight w:val="none"/>
        </w:rPr>
        <w:t>处理满足《大庆油田地面工程建设设计规定》（Q/SYDQ0639-2015）及《碎屑岩油藏注水水质指标技术要求及分析方法》（SY/T5329-2022）限值要求后回注油层，不外排。生活污水</w:t>
      </w:r>
      <w:r>
        <w:rPr>
          <w:rFonts w:hint="eastAsia" w:ascii="Times New Roman" w:hAnsi="Times New Roman" w:eastAsiaTheme="minorEastAsia"/>
          <w:bCs/>
          <w:caps w:val="0"/>
          <w:smallCaps w:val="0"/>
          <w:snapToGrid w:val="0"/>
          <w:color w:val="auto"/>
          <w:spacing w:val="0"/>
          <w:w w:val="100"/>
          <w:position w:val="0"/>
          <w:highlight w:val="none"/>
          <w:lang w:val="en-US" w:eastAsia="zh-CN"/>
        </w:rPr>
        <w:t>排入附近集油阀组间防渗旱厕，</w:t>
      </w:r>
      <w:r>
        <w:rPr>
          <w:rFonts w:hint="eastAsia" w:ascii="Times New Roman" w:hAnsi="Times New Roman" w:eastAsiaTheme="minorEastAsia"/>
          <w:bCs/>
          <w:caps w:val="0"/>
          <w:smallCaps w:val="0"/>
          <w:snapToGrid w:val="0"/>
          <w:color w:val="auto"/>
          <w:spacing w:val="0"/>
          <w:w w:val="100"/>
          <w:position w:val="0"/>
          <w:highlight w:val="none"/>
          <w:lang w:eastAsia="zh-CN"/>
        </w:rPr>
        <w:t>定期由安达市同昌油田工程有限公司拉运至大庆市净源环保科技有限公司进行处理</w:t>
      </w:r>
      <w:r>
        <w:rPr>
          <w:rFonts w:ascii="Times New Roman" w:hAnsi="Times New Roman" w:eastAsiaTheme="minorEastAsia"/>
          <w:bCs/>
          <w:caps w:val="0"/>
          <w:smallCaps w:val="0"/>
          <w:snapToGrid w:val="0"/>
          <w:color w:val="auto"/>
          <w:spacing w:val="0"/>
          <w:w w:val="100"/>
          <w:position w:val="0"/>
          <w:highlight w:val="none"/>
        </w:rPr>
        <w:t>。</w:t>
      </w:r>
    </w:p>
    <w:p w14:paraId="7FDA0827">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bCs/>
          <w:caps w:val="0"/>
          <w:smallCaps w:val="0"/>
          <w:snapToGrid w:val="0"/>
          <w:color w:val="auto"/>
          <w:spacing w:val="0"/>
          <w:w w:val="100"/>
          <w:position w:val="0"/>
          <w:highlight w:val="none"/>
        </w:rPr>
        <w:t>项目运行期油田内部管线采用密闭集输工艺输送原油、</w:t>
      </w:r>
      <w:r>
        <w:rPr>
          <w:rFonts w:hint="eastAsia" w:ascii="Times New Roman" w:hAnsi="Times New Roman" w:eastAsiaTheme="minorEastAsia"/>
          <w:bCs/>
          <w:caps w:val="0"/>
          <w:smallCaps w:val="0"/>
          <w:snapToGrid w:val="0"/>
          <w:color w:val="auto"/>
          <w:spacing w:val="0"/>
          <w:w w:val="100"/>
          <w:position w:val="0"/>
          <w:highlight w:val="none"/>
          <w:lang w:val="en-US" w:eastAsia="zh-CN"/>
        </w:rPr>
        <w:t>含油废水，无废水外排。</w:t>
      </w:r>
      <w:r>
        <w:rPr>
          <w:rFonts w:hint="eastAsia" w:ascii="Times New Roman" w:hAnsi="Times New Roman" w:eastAsiaTheme="minorEastAsia"/>
          <w:bCs/>
          <w:caps w:val="0"/>
          <w:smallCaps w:val="0"/>
          <w:color w:val="auto"/>
          <w:spacing w:val="0"/>
          <w:w w:val="100"/>
          <w:position w:val="0"/>
          <w:highlight w:val="none"/>
        </w:rPr>
        <w:t>退役管线</w:t>
      </w:r>
      <w:r>
        <w:rPr>
          <w:rFonts w:ascii="Times New Roman" w:hAnsi="Times New Roman" w:eastAsiaTheme="minorEastAsia"/>
          <w:bCs/>
          <w:caps w:val="0"/>
          <w:smallCaps w:val="0"/>
          <w:color w:val="auto"/>
          <w:spacing w:val="0"/>
          <w:w w:val="100"/>
          <w:position w:val="0"/>
          <w:highlight w:val="none"/>
        </w:rPr>
        <w:t>清洗废水管输至</w:t>
      </w:r>
      <w:r>
        <w:rPr>
          <w:rFonts w:hint="eastAsia" w:ascii="Times New Roman" w:hAnsi="Times New Roman" w:eastAsiaTheme="minorEastAsia"/>
          <w:caps w:val="0"/>
          <w:smallCaps w:val="0"/>
          <w:color w:val="auto"/>
          <w:spacing w:val="0"/>
          <w:w w:val="100"/>
          <w:position w:val="0"/>
          <w:highlight w:val="none"/>
          <w:lang w:val="en-US" w:eastAsia="zh-CN"/>
        </w:rPr>
        <w:t>卫一联含油污水深度处理站</w:t>
      </w:r>
      <w:r>
        <w:rPr>
          <w:rFonts w:ascii="Times New Roman" w:hAnsi="Times New Roman" w:eastAsiaTheme="minorEastAsia"/>
          <w:bCs/>
          <w:caps w:val="0"/>
          <w:smallCaps w:val="0"/>
          <w:color w:val="auto"/>
          <w:spacing w:val="0"/>
          <w:w w:val="100"/>
          <w:position w:val="0"/>
          <w:highlight w:val="none"/>
        </w:rPr>
        <w:t>处理满足《大庆油田地面工程建设设计规定》（Q/SYDQ0639-2015）及《碎屑岩油藏注水水质指标技术要求及分析方法》（SY/T5329-2022）限值要求后回注油层，生活污水排入</w:t>
      </w:r>
      <w:r>
        <w:rPr>
          <w:rFonts w:hint="eastAsia" w:ascii="Times New Roman" w:hAnsi="Times New Roman" w:eastAsiaTheme="minorEastAsia"/>
          <w:bCs/>
          <w:caps w:val="0"/>
          <w:smallCaps w:val="0"/>
          <w:snapToGrid w:val="0"/>
          <w:color w:val="auto"/>
          <w:spacing w:val="0"/>
          <w:w w:val="100"/>
          <w:position w:val="0"/>
          <w:highlight w:val="none"/>
          <w:lang w:val="en-US" w:eastAsia="zh-CN"/>
        </w:rPr>
        <w:t>附近集油阀组间防渗旱厕，</w:t>
      </w:r>
      <w:r>
        <w:rPr>
          <w:rFonts w:hint="eastAsia" w:ascii="Times New Roman" w:hAnsi="Times New Roman" w:eastAsiaTheme="minorEastAsia"/>
          <w:bCs/>
          <w:caps w:val="0"/>
          <w:smallCaps w:val="0"/>
          <w:snapToGrid w:val="0"/>
          <w:color w:val="auto"/>
          <w:spacing w:val="0"/>
          <w:w w:val="100"/>
          <w:position w:val="0"/>
          <w:highlight w:val="none"/>
          <w:lang w:eastAsia="zh-CN"/>
        </w:rPr>
        <w:t>定期由安达市同昌油田工程有限公司拉运至大庆市净源环保科技有限公司进行处理</w:t>
      </w:r>
      <w:r>
        <w:rPr>
          <w:rFonts w:ascii="Times New Roman" w:hAnsi="Times New Roman" w:eastAsiaTheme="minorEastAsia"/>
          <w:bCs/>
          <w:caps w:val="0"/>
          <w:smallCaps w:val="0"/>
          <w:color w:val="auto"/>
          <w:spacing w:val="0"/>
          <w:w w:val="100"/>
          <w:position w:val="0"/>
          <w:highlight w:val="none"/>
        </w:rPr>
        <w:t>。</w:t>
      </w:r>
    </w:p>
    <w:p w14:paraId="51E23125">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本项目排放的生活污水属于间接排放，其它废水均不外排，根据《环境影响评价技术导则 地表水环境》（HJ2.3-2018）中关于地表水环境影响评价工作分级要求，建设项目生产工艺中有废水产生，但作为回水利用，不排放到外环境的，按三级B评价，因此本项目评价等级为三级B。</w:t>
      </w:r>
    </w:p>
    <w:p w14:paraId="1112A4B2">
      <w:pPr>
        <w:pStyle w:val="149"/>
        <w:widowControl w:val="0"/>
        <w:spacing w:line="440" w:lineRule="exact"/>
        <w:ind w:firstLine="478"/>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b/>
          <w:caps w:val="0"/>
          <w:smallCaps w:val="0"/>
          <w:snapToGrid w:val="0"/>
          <w:color w:val="auto"/>
          <w:spacing w:val="0"/>
          <w:w w:val="100"/>
          <w:position w:val="0"/>
          <w:highlight w:val="none"/>
        </w:rPr>
        <w:t>表2.6-1</w:t>
      </w:r>
      <w:r>
        <w:rPr>
          <w:rFonts w:ascii="Times New Roman" w:hAnsi="Times New Roman" w:eastAsiaTheme="minorEastAsia"/>
          <w:b/>
          <w:caps w:val="0"/>
          <w:smallCaps w:val="0"/>
          <w:color w:val="auto"/>
          <w:spacing w:val="0"/>
          <w:w w:val="100"/>
          <w:kern w:val="2"/>
          <w:position w:val="0"/>
          <w:highlight w:val="none"/>
        </w:rPr>
        <w:t xml:space="preserve">    地表水环境影响评价分级判据</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9"/>
        <w:gridCol w:w="1424"/>
        <w:gridCol w:w="5223"/>
      </w:tblGrid>
      <w:tr w14:paraId="65EF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Merge w:val="restart"/>
            <w:vAlign w:val="center"/>
          </w:tcPr>
          <w:p w14:paraId="4BDA1265">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lang w:val="zh-CN"/>
              </w:rPr>
            </w:pPr>
            <w:r>
              <w:rPr>
                <w:rFonts w:ascii="Times New Roman" w:hAnsi="Times New Roman" w:cs="Times New Roman" w:eastAsiaTheme="minorEastAsia"/>
                <w:caps w:val="0"/>
                <w:smallCaps w:val="0"/>
                <w:snapToGrid w:val="0"/>
                <w:color w:val="auto"/>
                <w:spacing w:val="0"/>
                <w:w w:val="100"/>
                <w:position w:val="0"/>
                <w:sz w:val="21"/>
                <w:highlight w:val="none"/>
              </w:rPr>
              <w:t>评价等级</w:t>
            </w:r>
          </w:p>
        </w:tc>
        <w:tc>
          <w:tcPr>
            <w:tcW w:w="3579" w:type="pct"/>
            <w:gridSpan w:val="2"/>
            <w:vAlign w:val="center"/>
          </w:tcPr>
          <w:p w14:paraId="031ACFA4">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判定依据</w:t>
            </w:r>
          </w:p>
        </w:tc>
      </w:tr>
      <w:tr w14:paraId="6B0A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Merge w:val="continue"/>
            <w:vAlign w:val="center"/>
          </w:tcPr>
          <w:p w14:paraId="0D4F2AE2">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lang w:val="zh-CN"/>
              </w:rPr>
            </w:pPr>
          </w:p>
        </w:tc>
        <w:tc>
          <w:tcPr>
            <w:tcW w:w="767" w:type="pct"/>
            <w:vAlign w:val="center"/>
          </w:tcPr>
          <w:p w14:paraId="4013CBCC">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lang w:val="zh-CN"/>
              </w:rPr>
            </w:pPr>
            <w:r>
              <w:rPr>
                <w:rFonts w:ascii="Times New Roman" w:hAnsi="Times New Roman" w:cs="Times New Roman" w:eastAsiaTheme="minorEastAsia"/>
                <w:caps w:val="0"/>
                <w:smallCaps w:val="0"/>
                <w:snapToGrid w:val="0"/>
                <w:color w:val="auto"/>
                <w:spacing w:val="0"/>
                <w:w w:val="100"/>
                <w:position w:val="0"/>
                <w:sz w:val="21"/>
                <w:highlight w:val="none"/>
              </w:rPr>
              <w:t>排放方式</w:t>
            </w:r>
          </w:p>
        </w:tc>
        <w:tc>
          <w:tcPr>
            <w:tcW w:w="2812" w:type="pct"/>
            <w:vAlign w:val="center"/>
          </w:tcPr>
          <w:p w14:paraId="5EB7B51E">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废水排放量Q/（m</w:t>
            </w:r>
            <w:r>
              <w:rPr>
                <w:rFonts w:ascii="Times New Roman" w:hAnsi="Times New Roman" w:cs="Times New Roman" w:eastAsiaTheme="minorEastAsia"/>
                <w:caps w:val="0"/>
                <w:smallCaps w:val="0"/>
                <w:snapToGrid w:val="0"/>
                <w:color w:val="auto"/>
                <w:spacing w:val="0"/>
                <w:w w:val="100"/>
                <w:position w:val="0"/>
                <w:sz w:val="21"/>
                <w:highlight w:val="none"/>
                <w:vertAlign w:val="superscript"/>
              </w:rPr>
              <w:t>3</w:t>
            </w:r>
            <w:r>
              <w:rPr>
                <w:rFonts w:ascii="Times New Roman" w:hAnsi="Times New Roman" w:cs="Times New Roman" w:eastAsiaTheme="minorEastAsia"/>
                <w:caps w:val="0"/>
                <w:smallCaps w:val="0"/>
                <w:snapToGrid w:val="0"/>
                <w:color w:val="auto"/>
                <w:spacing w:val="0"/>
                <w:w w:val="100"/>
                <w:position w:val="0"/>
                <w:sz w:val="21"/>
                <w:highlight w:val="none"/>
              </w:rPr>
              <w:t>/d）;水污染物当量数W/（无量纲）</w:t>
            </w:r>
          </w:p>
        </w:tc>
      </w:tr>
      <w:tr w14:paraId="156D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71B5A966">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lang w:val="zh-CN"/>
              </w:rPr>
            </w:pPr>
            <w:r>
              <w:rPr>
                <w:rFonts w:ascii="Times New Roman" w:hAnsi="Times New Roman" w:cs="Times New Roman" w:eastAsiaTheme="minorEastAsia"/>
                <w:caps w:val="0"/>
                <w:smallCaps w:val="0"/>
                <w:snapToGrid w:val="0"/>
                <w:color w:val="auto"/>
                <w:spacing w:val="0"/>
                <w:w w:val="100"/>
                <w:position w:val="0"/>
                <w:sz w:val="21"/>
                <w:highlight w:val="none"/>
              </w:rPr>
              <w:t>一级</w:t>
            </w:r>
          </w:p>
        </w:tc>
        <w:tc>
          <w:tcPr>
            <w:tcW w:w="767" w:type="pct"/>
            <w:vAlign w:val="center"/>
          </w:tcPr>
          <w:p w14:paraId="0695308C">
            <w:pPr>
              <w:pStyle w:val="59"/>
              <w:autoSpaceDE w:val="0"/>
              <w:adjustRightInd w:val="0"/>
              <w:snapToGrid w:val="0"/>
              <w:spacing w:line="320" w:lineRule="exact"/>
              <w:ind w:left="0" w:firstLine="0"/>
              <w:jc w:val="center"/>
              <w:textAlignment w:val="center"/>
              <w:rPr>
                <w:rFonts w:hint="default" w:ascii="Times New Roman" w:eastAsiaTheme="minorEastAsia"/>
                <w:caps w:val="0"/>
                <w:smallCaps w:val="0"/>
                <w:snapToGrid w:val="0"/>
                <w:color w:val="auto"/>
                <w:spacing w:val="0"/>
                <w:w w:val="100"/>
                <w:position w:val="0"/>
                <w:sz w:val="21"/>
                <w:highlight w:val="none"/>
                <w:lang w:val="zh-CN"/>
              </w:rPr>
            </w:pPr>
            <w:r>
              <w:rPr>
                <w:rFonts w:hint="default" w:ascii="Times New Roman" w:eastAsiaTheme="minorEastAsia"/>
                <w:caps w:val="0"/>
                <w:smallCaps w:val="0"/>
                <w:snapToGrid w:val="0"/>
                <w:color w:val="auto"/>
                <w:spacing w:val="0"/>
                <w:w w:val="100"/>
                <w:position w:val="0"/>
                <w:sz w:val="21"/>
                <w:highlight w:val="none"/>
                <w:lang w:val="zh-CN"/>
              </w:rPr>
              <w:t>直接排放</w:t>
            </w:r>
          </w:p>
        </w:tc>
        <w:tc>
          <w:tcPr>
            <w:tcW w:w="2812" w:type="pct"/>
            <w:vAlign w:val="center"/>
          </w:tcPr>
          <w:p w14:paraId="1E7EFDD9">
            <w:pPr>
              <w:pStyle w:val="59"/>
              <w:autoSpaceDE w:val="0"/>
              <w:adjustRightInd w:val="0"/>
              <w:snapToGrid w:val="0"/>
              <w:spacing w:line="320" w:lineRule="exact"/>
              <w:ind w:left="0" w:firstLine="0"/>
              <w:jc w:val="center"/>
              <w:textAlignment w:val="center"/>
              <w:rPr>
                <w:rFonts w:hint="default" w:ascii="Times New Roman" w:eastAsiaTheme="minorEastAsia"/>
                <w:caps w:val="0"/>
                <w:smallCaps w:val="0"/>
                <w:snapToGrid w:val="0"/>
                <w:color w:val="auto"/>
                <w:spacing w:val="0"/>
                <w:w w:val="100"/>
                <w:position w:val="0"/>
                <w:sz w:val="21"/>
                <w:highlight w:val="none"/>
                <w:lang w:val="zh-CN"/>
              </w:rPr>
            </w:pPr>
            <w:r>
              <w:rPr>
                <w:rFonts w:hint="default" w:ascii="Times New Roman" w:eastAsiaTheme="minorEastAsia"/>
                <w:caps w:val="0"/>
                <w:smallCaps w:val="0"/>
                <w:snapToGrid w:val="0"/>
                <w:color w:val="auto"/>
                <w:spacing w:val="0"/>
                <w:w w:val="100"/>
                <w:position w:val="0"/>
                <w:sz w:val="21"/>
                <w:highlight w:val="none"/>
                <w:lang w:val="zh-CN"/>
              </w:rPr>
              <w:t>Q≥20000或W≥600000</w:t>
            </w:r>
          </w:p>
        </w:tc>
      </w:tr>
      <w:tr w14:paraId="6241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4075020F">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lang w:val="zh-CN"/>
              </w:rPr>
            </w:pPr>
            <w:r>
              <w:rPr>
                <w:rFonts w:ascii="Times New Roman" w:hAnsi="Times New Roman" w:cs="Times New Roman" w:eastAsiaTheme="minorEastAsia"/>
                <w:caps w:val="0"/>
                <w:smallCaps w:val="0"/>
                <w:snapToGrid w:val="0"/>
                <w:color w:val="auto"/>
                <w:spacing w:val="0"/>
                <w:w w:val="100"/>
                <w:position w:val="0"/>
                <w:sz w:val="21"/>
                <w:highlight w:val="none"/>
              </w:rPr>
              <w:t>二级</w:t>
            </w:r>
          </w:p>
        </w:tc>
        <w:tc>
          <w:tcPr>
            <w:tcW w:w="767" w:type="pct"/>
            <w:vAlign w:val="center"/>
          </w:tcPr>
          <w:p w14:paraId="38E9592F">
            <w:pPr>
              <w:spacing w:line="320" w:lineRule="exact"/>
              <w:jc w:val="center"/>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snapToGrid w:val="0"/>
                <w:color w:val="auto"/>
                <w:spacing w:val="0"/>
                <w:w w:val="100"/>
                <w:position w:val="0"/>
                <w:sz w:val="21"/>
                <w:highlight w:val="none"/>
                <w:lang w:val="zh-CN"/>
              </w:rPr>
              <w:t>直接排放</w:t>
            </w:r>
          </w:p>
        </w:tc>
        <w:tc>
          <w:tcPr>
            <w:tcW w:w="2812" w:type="pct"/>
            <w:vAlign w:val="center"/>
          </w:tcPr>
          <w:p w14:paraId="13AFDA0B">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其他</w:t>
            </w:r>
          </w:p>
        </w:tc>
      </w:tr>
      <w:tr w14:paraId="2F1D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6CE03398">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lang w:val="zh-CN"/>
              </w:rPr>
            </w:pPr>
            <w:r>
              <w:rPr>
                <w:rFonts w:ascii="Times New Roman" w:hAnsi="Times New Roman" w:cs="Times New Roman" w:eastAsiaTheme="minorEastAsia"/>
                <w:caps w:val="0"/>
                <w:smallCaps w:val="0"/>
                <w:snapToGrid w:val="0"/>
                <w:color w:val="auto"/>
                <w:spacing w:val="0"/>
                <w:w w:val="100"/>
                <w:position w:val="0"/>
                <w:sz w:val="21"/>
                <w:highlight w:val="none"/>
              </w:rPr>
              <w:t>三级A</w:t>
            </w:r>
          </w:p>
        </w:tc>
        <w:tc>
          <w:tcPr>
            <w:tcW w:w="767" w:type="pct"/>
            <w:vAlign w:val="center"/>
          </w:tcPr>
          <w:p w14:paraId="68F01665">
            <w:pPr>
              <w:spacing w:line="320" w:lineRule="exact"/>
              <w:jc w:val="center"/>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snapToGrid w:val="0"/>
                <w:color w:val="auto"/>
                <w:spacing w:val="0"/>
                <w:w w:val="100"/>
                <w:position w:val="0"/>
                <w:sz w:val="21"/>
                <w:highlight w:val="none"/>
                <w:lang w:val="zh-CN"/>
              </w:rPr>
              <w:t>直接排放</w:t>
            </w:r>
          </w:p>
        </w:tc>
        <w:tc>
          <w:tcPr>
            <w:tcW w:w="2812" w:type="pct"/>
            <w:vAlign w:val="center"/>
          </w:tcPr>
          <w:p w14:paraId="759C96F2">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Q＜200且W＜6000</w:t>
            </w:r>
          </w:p>
        </w:tc>
      </w:tr>
      <w:tr w14:paraId="51E1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62D92FD4">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三级B</w:t>
            </w:r>
          </w:p>
        </w:tc>
        <w:tc>
          <w:tcPr>
            <w:tcW w:w="767" w:type="pct"/>
            <w:vAlign w:val="center"/>
          </w:tcPr>
          <w:p w14:paraId="36CB15BE">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lang w:val="zh-CN"/>
              </w:rPr>
              <w:t>间接排放</w:t>
            </w:r>
          </w:p>
        </w:tc>
        <w:tc>
          <w:tcPr>
            <w:tcW w:w="2812" w:type="pct"/>
            <w:vAlign w:val="center"/>
          </w:tcPr>
          <w:p w14:paraId="1DF1892F">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w:t>
            </w:r>
          </w:p>
        </w:tc>
      </w:tr>
      <w:tr w14:paraId="280D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vAlign w:val="center"/>
          </w:tcPr>
          <w:p w14:paraId="109D85B0">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注1：水污染物当量数等于该污染物的年排放量除以该污染物的污染当量值（见附录 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2067A2BC">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2836599E">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注3：厂区存在堆积物（露天堆放的原料、燃料、废渣等以及垃圾堆放场）、降尘污染的，应将初期雨污水纳入废水排放量，相应的主要污染物纳入水污染当量计算。</w:t>
            </w:r>
          </w:p>
          <w:p w14:paraId="2B711A3A">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注4：建设项目直接排放第一类污染物的，其评价等级为一级；建设项目直接排放的污染物为受纳水体超标因子的，评价等级不低于二级。</w:t>
            </w:r>
          </w:p>
          <w:p w14:paraId="5DF3589E">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注5：直接排放受纳水体影响范围涉及饮用水水源保护区、饮用水取水口、重点保护与珍稀水生生物的栖息地、重要水生生物的自然产卵场等保护目标时，评价等级不低于二级。</w:t>
            </w:r>
          </w:p>
          <w:p w14:paraId="74FF7B40">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注6：建设项目向河流、湖库排放温排水引起受纳水体水温变化超过水环境质量标准要求，且评价范围有水温敏感目标时，评价等级为一级。</w:t>
            </w:r>
          </w:p>
          <w:p w14:paraId="4CB5D1EF">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注7：建设项目利用海水作为调节温度介质，排水量≥500万m</w:t>
            </w:r>
            <w:r>
              <w:rPr>
                <w:rFonts w:ascii="Times New Roman" w:hAnsi="Times New Roman" w:cs="Times New Roman" w:eastAsiaTheme="minorEastAsia"/>
                <w:caps w:val="0"/>
                <w:smallCaps w:val="0"/>
                <w:snapToGrid w:val="0"/>
                <w:color w:val="auto"/>
                <w:spacing w:val="0"/>
                <w:w w:val="100"/>
                <w:position w:val="0"/>
                <w:sz w:val="21"/>
                <w:highlight w:val="none"/>
                <w:vertAlign w:val="superscript"/>
              </w:rPr>
              <w:t>3</w:t>
            </w:r>
            <w:r>
              <w:rPr>
                <w:rFonts w:ascii="Times New Roman" w:hAnsi="Times New Roman" w:cs="Times New Roman" w:eastAsiaTheme="minorEastAsia"/>
                <w:caps w:val="0"/>
                <w:smallCaps w:val="0"/>
                <w:snapToGrid w:val="0"/>
                <w:color w:val="auto"/>
                <w:spacing w:val="0"/>
                <w:w w:val="100"/>
                <w:position w:val="0"/>
                <w:sz w:val="21"/>
                <w:highlight w:val="none"/>
              </w:rPr>
              <w:t>/d，评价等级为一级；排水量＜500 万m</w:t>
            </w:r>
            <w:r>
              <w:rPr>
                <w:rFonts w:ascii="Times New Roman" w:hAnsi="Times New Roman" w:cs="Times New Roman" w:eastAsiaTheme="minorEastAsia"/>
                <w:caps w:val="0"/>
                <w:smallCaps w:val="0"/>
                <w:snapToGrid w:val="0"/>
                <w:color w:val="auto"/>
                <w:spacing w:val="0"/>
                <w:w w:val="100"/>
                <w:position w:val="0"/>
                <w:sz w:val="21"/>
                <w:highlight w:val="none"/>
                <w:vertAlign w:val="superscript"/>
              </w:rPr>
              <w:t>3</w:t>
            </w:r>
            <w:r>
              <w:rPr>
                <w:rFonts w:ascii="Times New Roman" w:hAnsi="Times New Roman" w:cs="Times New Roman" w:eastAsiaTheme="minorEastAsia"/>
                <w:caps w:val="0"/>
                <w:smallCaps w:val="0"/>
                <w:snapToGrid w:val="0"/>
                <w:color w:val="auto"/>
                <w:spacing w:val="0"/>
                <w:w w:val="100"/>
                <w:position w:val="0"/>
                <w:sz w:val="21"/>
                <w:highlight w:val="none"/>
              </w:rPr>
              <w:t>/d，评价等级为二级。</w:t>
            </w:r>
          </w:p>
          <w:p w14:paraId="3A10B61E">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注8：仅涉及清净下水排放的，如其排放水质满足受纳水体水环境质量标准要求的，评价等级为三级A。</w:t>
            </w:r>
          </w:p>
          <w:p w14:paraId="3FE5B811">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注9：依托现有排放口，且对外环境未新增排放污染物的直接排放建设项目，评价等级参照间接排放，定为三级 B。</w:t>
            </w:r>
          </w:p>
          <w:p w14:paraId="44BB1E89">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auto"/>
                <w:spacing w:val="0"/>
                <w:w w:val="100"/>
                <w:position w:val="0"/>
                <w:sz w:val="21"/>
                <w:highlight w:val="none"/>
              </w:rPr>
            </w:pPr>
            <w:r>
              <w:rPr>
                <w:rFonts w:ascii="Times New Roman" w:hAnsi="Times New Roman" w:cs="Times New Roman" w:eastAsiaTheme="minorEastAsia"/>
                <w:caps w:val="0"/>
                <w:smallCaps w:val="0"/>
                <w:snapToGrid w:val="0"/>
                <w:color w:val="auto"/>
                <w:spacing w:val="0"/>
                <w:w w:val="100"/>
                <w:position w:val="0"/>
                <w:sz w:val="21"/>
                <w:highlight w:val="none"/>
              </w:rPr>
              <w:t>注10：</w:t>
            </w:r>
            <w:r>
              <w:rPr>
                <w:rFonts w:ascii="Times New Roman" w:hAnsi="Times New Roman" w:cs="Times New Roman" w:eastAsiaTheme="minorEastAsia"/>
                <w:b/>
                <w:caps w:val="0"/>
                <w:smallCaps w:val="0"/>
                <w:snapToGrid w:val="0"/>
                <w:color w:val="auto"/>
                <w:spacing w:val="0"/>
                <w:w w:val="100"/>
                <w:position w:val="0"/>
                <w:sz w:val="21"/>
                <w:highlight w:val="none"/>
              </w:rPr>
              <w:t>建设项目生产工艺中有废水产生，但作为回水利用，不排放到外环境的，按三级B评价</w:t>
            </w:r>
            <w:r>
              <w:rPr>
                <w:rFonts w:ascii="Times New Roman" w:hAnsi="Times New Roman" w:cs="Times New Roman" w:eastAsiaTheme="minorEastAsia"/>
                <w:caps w:val="0"/>
                <w:smallCaps w:val="0"/>
                <w:snapToGrid w:val="0"/>
                <w:color w:val="auto"/>
                <w:spacing w:val="0"/>
                <w:w w:val="100"/>
                <w:position w:val="0"/>
                <w:sz w:val="21"/>
                <w:highlight w:val="none"/>
              </w:rPr>
              <w:t>。</w:t>
            </w:r>
          </w:p>
        </w:tc>
      </w:tr>
    </w:tbl>
    <w:p w14:paraId="1BE94650">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287" w:name="_Toc77067637"/>
      <w:bookmarkStart w:id="288" w:name="_Toc80971355"/>
      <w:bookmarkStart w:id="289" w:name="_Toc57203227"/>
      <w:bookmarkStart w:id="290" w:name="_Toc17898142"/>
      <w:bookmarkStart w:id="291" w:name="_Toc67860106"/>
      <w:bookmarkStart w:id="292" w:name="_Toc57707897"/>
      <w:bookmarkStart w:id="293" w:name="_Toc80588233"/>
      <w:bookmarkStart w:id="294" w:name="_Toc76976221"/>
      <w:bookmarkStart w:id="295" w:name="_Toc85640730"/>
      <w:bookmarkStart w:id="296" w:name="_Toc83209450"/>
      <w:bookmarkStart w:id="297" w:name="_Toc78816438"/>
      <w:bookmarkStart w:id="298" w:name="_Toc61597199"/>
      <w:bookmarkStart w:id="299" w:name="_Toc70050153"/>
      <w:bookmarkStart w:id="300" w:name="_Toc18486"/>
      <w:bookmarkStart w:id="301" w:name="_Toc84929206"/>
      <w:bookmarkStart w:id="302" w:name="_Toc57976652"/>
      <w:r>
        <w:rPr>
          <w:rFonts w:ascii="Times New Roman" w:hAnsi="Times New Roman" w:eastAsiaTheme="minorEastAsia"/>
          <w:b/>
          <w:caps w:val="0"/>
          <w:smallCaps w:val="0"/>
          <w:color w:val="auto"/>
          <w:spacing w:val="0"/>
          <w:w w:val="100"/>
          <w:position w:val="0"/>
          <w:highlight w:val="none"/>
        </w:rPr>
        <w:t>2.6.2.2评价范围</w:t>
      </w:r>
    </w:p>
    <w:p w14:paraId="1C1A8E7F">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根据《环境影响评价技术导则 地表水环境》（HJ2.3-2018）中关于地表水评价等级为三级B的评价范围要求，涉及地表水环境风险的，其评价范围应覆盖环境风险影响范围所涉及的地表水环境保护目标水域，因此地表水评价范围为拟建</w:t>
      </w:r>
      <w:r>
        <w:rPr>
          <w:rFonts w:hint="eastAsia" w:ascii="Times New Roman" w:hAnsi="Times New Roman" w:eastAsiaTheme="minorEastAsia"/>
          <w:caps w:val="0"/>
          <w:smallCaps w:val="0"/>
          <w:snapToGrid w:val="0"/>
          <w:color w:val="auto"/>
          <w:spacing w:val="0"/>
          <w:w w:val="100"/>
          <w:position w:val="0"/>
          <w:highlight w:val="none"/>
        </w:rPr>
        <w:t>管道</w:t>
      </w:r>
      <w:r>
        <w:rPr>
          <w:rFonts w:ascii="Times New Roman" w:hAnsi="Times New Roman" w:eastAsiaTheme="minorEastAsia"/>
          <w:caps w:val="0"/>
          <w:smallCaps w:val="0"/>
          <w:snapToGrid w:val="0"/>
          <w:color w:val="auto"/>
          <w:spacing w:val="0"/>
          <w:w w:val="100"/>
          <w:position w:val="0"/>
          <w:highlight w:val="none"/>
        </w:rPr>
        <w:t>沿线两侧外扩200m范围的地表水体，该范围内</w:t>
      </w:r>
      <w:r>
        <w:rPr>
          <w:rFonts w:hint="eastAsia" w:ascii="Times New Roman" w:hAnsi="Times New Roman" w:eastAsiaTheme="minorEastAsia"/>
          <w:caps w:val="0"/>
          <w:smallCaps w:val="0"/>
          <w:snapToGrid w:val="0"/>
          <w:color w:val="auto"/>
          <w:spacing w:val="0"/>
          <w:w w:val="100"/>
          <w:position w:val="0"/>
          <w:highlight w:val="none"/>
        </w:rPr>
        <w:t>无</w:t>
      </w:r>
      <w:r>
        <w:rPr>
          <w:rFonts w:ascii="Times New Roman" w:hAnsi="Times New Roman" w:eastAsiaTheme="minorEastAsia"/>
          <w:caps w:val="0"/>
          <w:smallCaps w:val="0"/>
          <w:snapToGrid w:val="0"/>
          <w:color w:val="auto"/>
          <w:spacing w:val="0"/>
          <w:w w:val="100"/>
          <w:position w:val="0"/>
          <w:highlight w:val="none"/>
        </w:rPr>
        <w:t>地表水体。</w:t>
      </w:r>
    </w:p>
    <w:p w14:paraId="77553514">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303" w:name="_Toc86141913"/>
      <w:bookmarkStart w:id="304" w:name="_Toc110438457"/>
      <w:r>
        <w:rPr>
          <w:rFonts w:eastAsiaTheme="minorEastAsia"/>
          <w:b/>
          <w:caps w:val="0"/>
          <w:smallCaps w:val="0"/>
          <w:color w:val="auto"/>
          <w:spacing w:val="0"/>
          <w:w w:val="100"/>
          <w:kern w:val="2"/>
          <w:position w:val="0"/>
          <w:sz w:val="24"/>
          <w:szCs w:val="24"/>
          <w:highlight w:val="none"/>
        </w:rPr>
        <w:t>2.6.3地下水</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543C1305">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2.6.3.1评价等级</w:t>
      </w:r>
    </w:p>
    <w:p w14:paraId="787F38F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根据《环境影响评价技术导则 地下水环境》（HJ610-2016）中要求，评价工作等级的划分应依据建设项目行业分类和地下水环境敏感程度分级进行判定，同时满足《环境影响评价技术导则 陆地石油天然气开发建设项目》（HJ349-2023）中关于评价等级的相关要求。</w:t>
      </w:r>
    </w:p>
    <w:p w14:paraId="228F8744">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（1）地下水环境影响评价行业分类</w:t>
      </w:r>
    </w:p>
    <w:p w14:paraId="31A577E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根据《环境影响评价技术导则 陆地石油天然气开发建设项目》（HJ349-2023），项目类别判定应依据《环境影响评价技术导则 地下水环境》（HJ610-2016）附录A的规定，按照场站和内部集输管道分别判断行业类别，并分别判断项目类别。本项目仅涉及新建</w:t>
      </w:r>
      <w:r>
        <w:rPr>
          <w:rFonts w:hint="eastAsia" w:ascii="Times New Roman" w:hAnsi="Times New Roman" w:eastAsiaTheme="minorEastAsia"/>
          <w:caps w:val="0"/>
          <w:smallCaps w:val="0"/>
          <w:snapToGrid w:val="0"/>
          <w:color w:val="auto"/>
          <w:spacing w:val="0"/>
          <w:w w:val="100"/>
          <w:position w:val="0"/>
          <w:highlight w:val="none"/>
        </w:rPr>
        <w:t>输油管道及</w:t>
      </w:r>
      <w:r>
        <w:rPr>
          <w:rFonts w:hint="eastAsia" w:ascii="Times New Roman" w:hAnsi="Times New Roman" w:eastAsiaTheme="minorEastAsia"/>
          <w:caps w:val="0"/>
          <w:smallCaps w:val="0"/>
          <w:snapToGrid w:val="0"/>
          <w:color w:val="auto"/>
          <w:spacing w:val="0"/>
          <w:w w:val="100"/>
          <w:position w:val="0"/>
          <w:highlight w:val="none"/>
          <w:lang w:val="en-US" w:eastAsia="zh-CN"/>
        </w:rPr>
        <w:t>掺水</w:t>
      </w:r>
      <w:r>
        <w:rPr>
          <w:rFonts w:hint="eastAsia" w:ascii="Times New Roman" w:hAnsi="Times New Roman" w:eastAsiaTheme="minorEastAsia"/>
          <w:caps w:val="0"/>
          <w:smallCaps w:val="0"/>
          <w:snapToGrid w:val="0"/>
          <w:color w:val="auto"/>
          <w:spacing w:val="0"/>
          <w:w w:val="100"/>
          <w:position w:val="0"/>
          <w:highlight w:val="none"/>
        </w:rPr>
        <w:t>管道</w:t>
      </w:r>
      <w:r>
        <w:rPr>
          <w:rFonts w:ascii="Times New Roman" w:hAnsi="Times New Roman" w:eastAsiaTheme="minorEastAsia"/>
          <w:caps w:val="0"/>
          <w:smallCaps w:val="0"/>
          <w:snapToGrid w:val="0"/>
          <w:color w:val="auto"/>
          <w:spacing w:val="0"/>
          <w:w w:val="100"/>
          <w:position w:val="0"/>
          <w:highlight w:val="none"/>
        </w:rPr>
        <w:t>，根据《环境影响评价技术导则 陆地石油天然气开发建设项目》（HJ349-2023）中关于项目类别的要求，油类和废水等输送管道按照Ⅱ类建设项目开展地下水环境影响评价,</w:t>
      </w:r>
      <w:r>
        <w:rPr>
          <w:rFonts w:hint="eastAsia"/>
          <w:caps w:val="0"/>
          <w:smallCaps w:val="0"/>
          <w:color w:val="auto"/>
          <w:spacing w:val="0"/>
          <w:w w:val="100"/>
          <w:position w:val="0"/>
          <w:highlight w:val="none"/>
        </w:rPr>
        <w:t xml:space="preserve"> </w:t>
      </w:r>
    </w:p>
    <w:p w14:paraId="46451D6D">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（2）地下水环境敏感程度</w:t>
      </w:r>
    </w:p>
    <w:p w14:paraId="47315F9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建设项目场地的地下水环境敏感程度可分为敏感、较敏感、不敏感三级，分级原则见</w:t>
      </w:r>
      <w:r>
        <w:rPr>
          <w:rFonts w:ascii="Times New Roman" w:hAnsi="Times New Roman" w:eastAsiaTheme="minorEastAsia"/>
          <w:bCs/>
          <w:caps w:val="0"/>
          <w:smallCaps w:val="0"/>
          <w:color w:val="auto"/>
          <w:spacing w:val="0"/>
          <w:w w:val="100"/>
          <w:position w:val="0"/>
          <w:highlight w:val="none"/>
        </w:rPr>
        <w:t>表2.6-2</w:t>
      </w:r>
      <w:r>
        <w:rPr>
          <w:rFonts w:ascii="Times New Roman" w:hAnsi="Times New Roman" w:eastAsiaTheme="minorEastAsia"/>
          <w:caps w:val="0"/>
          <w:smallCaps w:val="0"/>
          <w:snapToGrid w:val="0"/>
          <w:color w:val="auto"/>
          <w:spacing w:val="0"/>
          <w:w w:val="100"/>
          <w:position w:val="0"/>
          <w:highlight w:val="none"/>
        </w:rPr>
        <w:t>。</w:t>
      </w:r>
    </w:p>
    <w:p w14:paraId="33EC8292">
      <w:pPr>
        <w:pStyle w:val="149"/>
        <w:widowControl w:val="0"/>
        <w:spacing w:line="440" w:lineRule="exact"/>
        <w:ind w:firstLine="478"/>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b/>
          <w:bCs/>
          <w:caps w:val="0"/>
          <w:smallCaps w:val="0"/>
          <w:color w:val="auto"/>
          <w:spacing w:val="0"/>
          <w:w w:val="100"/>
          <w:position w:val="0"/>
          <w:highlight w:val="none"/>
        </w:rPr>
        <w:t>表2.6-2</w:t>
      </w:r>
      <w:r>
        <w:rPr>
          <w:rFonts w:ascii="Times New Roman" w:hAnsi="Times New Roman" w:eastAsiaTheme="minorEastAsia"/>
          <w:b/>
          <w:caps w:val="0"/>
          <w:smallCaps w:val="0"/>
          <w:snapToGrid w:val="0"/>
          <w:color w:val="auto"/>
          <w:spacing w:val="0"/>
          <w:w w:val="100"/>
          <w:position w:val="0"/>
          <w:highlight w:val="none"/>
        </w:rPr>
        <w:t xml:space="preserve">    地下水环境敏感程度分级</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8129"/>
      </w:tblGrid>
      <w:tr w14:paraId="580B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2500EB09">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敏感程度</w:t>
            </w:r>
          </w:p>
        </w:tc>
        <w:tc>
          <w:tcPr>
            <w:tcW w:w="4377" w:type="pct"/>
            <w:vAlign w:val="center"/>
          </w:tcPr>
          <w:p w14:paraId="58DC6862">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地下水环境敏感特征</w:t>
            </w:r>
          </w:p>
        </w:tc>
      </w:tr>
      <w:tr w14:paraId="249F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0AA9C4DF">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敏感</w:t>
            </w:r>
          </w:p>
        </w:tc>
        <w:tc>
          <w:tcPr>
            <w:tcW w:w="4377" w:type="pct"/>
            <w:vAlign w:val="center"/>
          </w:tcPr>
          <w:p w14:paraId="52D209C0">
            <w:pPr>
              <w:pStyle w:val="153"/>
              <w:widowControl w:val="0"/>
              <w:spacing w:line="360" w:lineRule="exact"/>
              <w:jc w:val="both"/>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14:paraId="55DF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4A3762AC">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较敏感</w:t>
            </w:r>
          </w:p>
        </w:tc>
        <w:tc>
          <w:tcPr>
            <w:tcW w:w="4377" w:type="pct"/>
            <w:vAlign w:val="center"/>
          </w:tcPr>
          <w:p w14:paraId="669A4627">
            <w:pPr>
              <w:pStyle w:val="153"/>
              <w:widowControl w:val="0"/>
              <w:spacing w:line="360" w:lineRule="exact"/>
              <w:jc w:val="both"/>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w:t>
            </w:r>
            <w:r>
              <w:rPr>
                <w:rFonts w:ascii="Times New Roman" w:hAnsi="Times New Roman" w:eastAsiaTheme="minorEastAsia"/>
                <w:caps w:val="0"/>
                <w:smallCaps w:val="0"/>
                <w:snapToGrid w:val="0"/>
                <w:color w:val="auto"/>
                <w:spacing w:val="0"/>
                <w:w w:val="100"/>
                <w:kern w:val="0"/>
                <w:position w:val="0"/>
                <w:szCs w:val="24"/>
                <w:highlight w:val="none"/>
                <w:vertAlign w:val="superscript"/>
              </w:rPr>
              <w:t>a</w:t>
            </w:r>
            <w:r>
              <w:rPr>
                <w:rFonts w:ascii="Times New Roman" w:hAnsi="Times New Roman" w:eastAsiaTheme="minorEastAsia"/>
                <w:caps w:val="0"/>
                <w:smallCaps w:val="0"/>
                <w:snapToGrid w:val="0"/>
                <w:color w:val="auto"/>
                <w:spacing w:val="0"/>
                <w:w w:val="100"/>
                <w:kern w:val="0"/>
                <w:position w:val="0"/>
                <w:szCs w:val="24"/>
                <w:highlight w:val="none"/>
              </w:rPr>
              <w:t>。</w:t>
            </w:r>
          </w:p>
        </w:tc>
      </w:tr>
      <w:tr w14:paraId="6897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6BCFC8AD">
            <w:pPr>
              <w:pStyle w:val="153"/>
              <w:widowControl w:val="0"/>
              <w:spacing w:line="36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不敏感</w:t>
            </w:r>
          </w:p>
        </w:tc>
        <w:tc>
          <w:tcPr>
            <w:tcW w:w="4377" w:type="pct"/>
            <w:vAlign w:val="center"/>
          </w:tcPr>
          <w:p w14:paraId="65D556A8">
            <w:pPr>
              <w:pStyle w:val="153"/>
              <w:widowControl w:val="0"/>
              <w:spacing w:line="360" w:lineRule="exact"/>
              <w:jc w:val="both"/>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上述地区之外的其它地区。</w:t>
            </w:r>
          </w:p>
        </w:tc>
      </w:tr>
      <w:tr w14:paraId="2C2F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vAlign w:val="center"/>
          </w:tcPr>
          <w:p w14:paraId="2A69D54D">
            <w:pPr>
              <w:pStyle w:val="153"/>
              <w:widowControl w:val="0"/>
              <w:spacing w:line="360" w:lineRule="exact"/>
              <w:jc w:val="both"/>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注：a“环境敏感区”是指《建设项目环境影响评价分类管理目录》中所界定的涉及地下水的环境敏感区。</w:t>
            </w:r>
          </w:p>
        </w:tc>
      </w:tr>
    </w:tbl>
    <w:p w14:paraId="1275921B">
      <w:pPr>
        <w:widowControl w:val="0"/>
        <w:spacing w:line="440" w:lineRule="exact"/>
        <w:ind w:firstLine="480" w:firstLineChars="200"/>
        <w:jc w:val="both"/>
        <w:rPr>
          <w:rFonts w:ascii="Times New Roman" w:hAnsi="Times New Roman" w:cs="Times New Roman"/>
          <w:bCs/>
          <w:color w:val="auto"/>
          <w:highlight w:val="none"/>
        </w:rPr>
      </w:pPr>
      <w:r>
        <w:rPr>
          <w:rFonts w:ascii="Times New Roman" w:hAnsi="Times New Roman" w:cs="Times New Roman"/>
          <w:color w:val="auto"/>
          <w:highlight w:val="none"/>
        </w:rPr>
        <w:t>根据《黑龙江省人民政府关于调整撤销新建哈尔滨等11个地市384个集中式饮用 水水源保护区》（黑政函[2019]118 号）和《黑龙江省人民政府关于调整撤销哈尔滨等 市（地）197个集中式饮用水水源保护区》（黑政函[2020]97号）的相关内容，</w:t>
      </w:r>
      <w:r>
        <w:rPr>
          <w:rFonts w:ascii="Times New Roman" w:hAnsi="Times New Roman" w:cs="Times New Roman"/>
          <w:bCs/>
          <w:color w:val="auto"/>
          <w:highlight w:val="none"/>
        </w:rPr>
        <w:t>经现场调查，本项目调查范围内</w:t>
      </w:r>
      <w:r>
        <w:rPr>
          <w:rFonts w:hint="eastAsia" w:ascii="Times New Roman" w:hAnsi="Times New Roman" w:cs="Times New Roman"/>
          <w:bCs/>
          <w:color w:val="auto"/>
          <w:highlight w:val="none"/>
        </w:rPr>
        <w:t>村屯</w:t>
      </w:r>
      <w:r>
        <w:rPr>
          <w:rFonts w:ascii="Times New Roman" w:hAnsi="Times New Roman" w:cs="Times New Roman"/>
          <w:bCs/>
          <w:color w:val="auto"/>
          <w:highlight w:val="none"/>
        </w:rPr>
        <w:t>由</w:t>
      </w:r>
      <w:r>
        <w:rPr>
          <w:rFonts w:hint="eastAsia" w:ascii="Times New Roman" w:hAnsi="Times New Roman" w:cs="Times New Roman"/>
          <w:bCs/>
          <w:color w:val="auto"/>
          <w:highlight w:val="none"/>
        </w:rPr>
        <w:t>昌德镇</w:t>
      </w:r>
      <w:r>
        <w:rPr>
          <w:rFonts w:ascii="Times New Roman" w:hAnsi="Times New Roman" w:cs="Times New Roman"/>
          <w:bCs/>
          <w:color w:val="auto"/>
          <w:highlight w:val="none"/>
        </w:rPr>
        <w:t>地下水饮用水水源统一供水，部分居民区由联村饮用水源井集中供水。集中式地下水饮用水水源供水人数大于1000人，村屯内分散式联村饮用水源井供水人数均小于1000人，开采层位均为承压含水层。</w:t>
      </w:r>
    </w:p>
    <w:p w14:paraId="5FE631D7">
      <w:pPr>
        <w:widowControl w:val="0"/>
        <w:spacing w:line="440" w:lineRule="exact"/>
        <w:ind w:firstLine="480" w:firstLineChars="200"/>
        <w:jc w:val="both"/>
        <w:rPr>
          <w:rFonts w:hint="default" w:ascii="Times New Roman" w:hAnsi="Times New Roman" w:eastAsia="宋体" w:cs="Times New Roman"/>
          <w:color w:val="auto"/>
          <w:highlight w:val="none"/>
          <w:lang w:val="en-US" w:eastAsia="zh-CN" w:bidi="zh-CN"/>
        </w:rPr>
      </w:pPr>
      <w:r>
        <w:rPr>
          <w:rFonts w:ascii="Times New Roman" w:hAnsi="Times New Roman" w:cs="Times New Roman"/>
          <w:bCs/>
          <w:color w:val="auto"/>
          <w:highlight w:val="none"/>
        </w:rPr>
        <w:t>根据调查，</w:t>
      </w:r>
      <w:r>
        <w:rPr>
          <w:rFonts w:hint="eastAsia" w:ascii="Times New Roman" w:hAnsi="Times New Roman" w:cs="Times New Roman"/>
          <w:bCs/>
          <w:color w:val="auto"/>
          <w:highlight w:val="none"/>
        </w:rPr>
        <w:t>本项目周边石宝珍屯</w:t>
      </w:r>
      <w:r>
        <w:rPr>
          <w:rFonts w:hint="eastAsia" w:ascii="Times New Roman" w:hAnsi="Times New Roman" w:cs="Times New Roman"/>
          <w:bCs/>
          <w:color w:val="auto"/>
          <w:highlight w:val="none"/>
          <w:lang w:eastAsia="zh-CN"/>
        </w:rPr>
        <w:t>、</w:t>
      </w:r>
      <w:r>
        <w:rPr>
          <w:rFonts w:hint="eastAsia" w:ascii="Times New Roman" w:hAnsi="Times New Roman" w:cs="Times New Roman"/>
          <w:bCs/>
          <w:color w:val="auto"/>
          <w:highlight w:val="none"/>
          <w:lang w:val="en-US" w:eastAsia="zh-CN"/>
        </w:rPr>
        <w:t>孙家屯</w:t>
      </w:r>
      <w:r>
        <w:rPr>
          <w:rFonts w:hint="eastAsia" w:ascii="Times New Roman" w:hAnsi="Times New Roman" w:cs="Times New Roman"/>
          <w:bCs/>
          <w:color w:val="auto"/>
          <w:highlight w:val="none"/>
        </w:rPr>
        <w:t>后</w:t>
      </w:r>
      <w:r>
        <w:rPr>
          <w:rFonts w:hint="eastAsia" w:ascii="Times New Roman" w:hAnsi="Times New Roman" w:cs="Times New Roman"/>
          <w:bCs/>
          <w:color w:val="auto"/>
          <w:highlight w:val="none"/>
          <w:lang w:val="en-US" w:eastAsia="zh-CN"/>
        </w:rPr>
        <w:t>和卢家屯</w:t>
      </w:r>
      <w:r>
        <w:rPr>
          <w:rFonts w:hint="eastAsia" w:ascii="Times New Roman" w:hAnsi="Times New Roman" w:cs="Times New Roman"/>
          <w:bCs/>
          <w:color w:val="auto"/>
          <w:kern w:val="2"/>
          <w:highlight w:val="none"/>
        </w:rPr>
        <w:t>由昌德镇</w:t>
      </w:r>
      <w:r>
        <w:rPr>
          <w:rFonts w:ascii="Times New Roman" w:hAnsi="Times New Roman" w:cs="Times New Roman"/>
          <w:bCs/>
          <w:color w:val="auto"/>
          <w:kern w:val="2"/>
          <w:highlight w:val="none"/>
        </w:rPr>
        <w:t>地下水饮用水水源井供给，</w:t>
      </w:r>
      <w:r>
        <w:rPr>
          <w:rFonts w:hint="eastAsia" w:ascii="Times New Roman" w:hAnsi="Times New Roman" w:cs="Times New Roman"/>
          <w:bCs/>
          <w:color w:val="auto"/>
          <w:kern w:val="2"/>
          <w:highlight w:val="none"/>
        </w:rPr>
        <w:t>昌德</w:t>
      </w:r>
      <w:r>
        <w:rPr>
          <w:rFonts w:ascii="Times New Roman" w:hAnsi="Times New Roman" w:cs="Times New Roman"/>
          <w:bCs/>
          <w:color w:val="auto"/>
          <w:kern w:val="2"/>
          <w:highlight w:val="none"/>
        </w:rPr>
        <w:t>镇地下水饮用水水源位于本项目</w:t>
      </w:r>
      <w:r>
        <w:rPr>
          <w:rFonts w:hint="eastAsia" w:ascii="Times New Roman" w:hAnsi="Times New Roman" w:cs="Times New Roman"/>
          <w:bCs/>
          <w:color w:val="auto"/>
          <w:kern w:val="2"/>
          <w:highlight w:val="none"/>
        </w:rPr>
        <w:t>管道</w:t>
      </w:r>
      <w:r>
        <w:rPr>
          <w:rFonts w:hint="eastAsia" w:ascii="Times New Roman" w:hAnsi="Times New Roman" w:cs="Times New Roman"/>
          <w:bCs/>
          <w:color w:val="auto"/>
          <w:kern w:val="2"/>
          <w:highlight w:val="none"/>
          <w:lang w:val="en-US" w:eastAsia="zh-CN"/>
        </w:rPr>
        <w:t>西</w:t>
      </w:r>
      <w:r>
        <w:rPr>
          <w:rFonts w:hint="eastAsia" w:ascii="Times New Roman" w:hAnsi="Times New Roman" w:cs="Times New Roman"/>
          <w:bCs/>
          <w:color w:val="auto"/>
          <w:kern w:val="2"/>
          <w:highlight w:val="none"/>
        </w:rPr>
        <w:t>侧</w:t>
      </w:r>
      <w:r>
        <w:rPr>
          <w:rFonts w:hint="eastAsia" w:ascii="Times New Roman" w:hAnsi="Times New Roman" w:cs="Times New Roman"/>
          <w:bCs/>
          <w:color w:val="auto"/>
          <w:kern w:val="2"/>
          <w:highlight w:val="none"/>
          <w:lang w:val="en-US" w:eastAsia="zh-CN"/>
        </w:rPr>
        <w:t>500</w:t>
      </w:r>
      <w:r>
        <w:rPr>
          <w:rFonts w:ascii="Times New Roman" w:hAnsi="Times New Roman" w:cs="Times New Roman"/>
          <w:bCs/>
          <w:color w:val="auto"/>
          <w:kern w:val="2"/>
          <w:highlight w:val="none"/>
        </w:rPr>
        <w:t>m</w:t>
      </w:r>
      <w:r>
        <w:rPr>
          <w:rFonts w:hint="eastAsia" w:ascii="Times New Roman" w:hAnsi="Times New Roman" w:cs="Times New Roman"/>
          <w:bCs/>
          <w:color w:val="auto"/>
          <w:highlight w:val="none"/>
        </w:rPr>
        <w:t>。</w:t>
      </w:r>
      <w:r>
        <w:rPr>
          <w:rFonts w:hint="eastAsia" w:ascii="Times New Roman" w:hAnsi="Times New Roman" w:cs="Times New Roman"/>
          <w:bCs/>
          <w:color w:val="auto"/>
          <w:highlight w:val="none"/>
          <w:lang w:val="en-US" w:eastAsia="zh-CN"/>
        </w:rPr>
        <w:t>小烧锅屯</w:t>
      </w:r>
      <w:r>
        <w:rPr>
          <w:rFonts w:ascii="Times New Roman" w:hAnsi="Times New Roman" w:cs="Times New Roman"/>
          <w:bCs/>
          <w:color w:val="auto"/>
          <w:kern w:val="2"/>
          <w:highlight w:val="none"/>
        </w:rPr>
        <w:t>居民饮用水由</w:t>
      </w:r>
      <w:r>
        <w:rPr>
          <w:rFonts w:hint="eastAsia" w:ascii="Times New Roman" w:hAnsi="Times New Roman" w:cs="Times New Roman"/>
          <w:bCs/>
          <w:color w:val="auto"/>
          <w:highlight w:val="none"/>
          <w:lang w:val="en-US" w:eastAsia="zh-CN"/>
        </w:rPr>
        <w:t>张家屯</w:t>
      </w:r>
      <w:r>
        <w:rPr>
          <w:rFonts w:ascii="Times New Roman" w:hAnsi="Times New Roman" w:cs="Times New Roman"/>
          <w:bCs/>
          <w:color w:val="auto"/>
          <w:kern w:val="2"/>
          <w:highlight w:val="none"/>
        </w:rPr>
        <w:t>联村饮用水源井供给</w:t>
      </w:r>
      <w:r>
        <w:rPr>
          <w:rFonts w:hint="eastAsia" w:ascii="Times New Roman" w:hAnsi="Times New Roman" w:eastAsia="宋体" w:cs="Times New Roman"/>
          <w:bCs/>
          <w:color w:val="auto"/>
          <w:highlight w:val="none"/>
          <w:lang w:val="en-US" w:eastAsia="zh-CN"/>
        </w:rPr>
        <w:t>，新立屯和史家屯饮用水由村屯水源井提供，属于小型分散式饮用水源井。</w:t>
      </w:r>
    </w:p>
    <w:p w14:paraId="4372DF2A">
      <w:pPr>
        <w:widowControl w:val="0"/>
        <w:spacing w:line="440" w:lineRule="exact"/>
        <w:ind w:firstLine="480" w:firstLineChars="200"/>
        <w:jc w:val="both"/>
        <w:rPr>
          <w:rFonts w:ascii="Times New Roman" w:hAnsi="Times New Roman" w:cs="Times New Roman"/>
          <w:bCs/>
          <w:color w:val="auto"/>
          <w:highlight w:val="none"/>
        </w:rPr>
      </w:pPr>
      <w:r>
        <w:rPr>
          <w:rFonts w:hint="eastAsia" w:ascii="Times New Roman" w:hAnsi="Times New Roman" w:cs="Times New Roman"/>
          <w:bCs/>
          <w:color w:val="auto"/>
          <w:highlight w:val="none"/>
          <w:lang w:val="en-US" w:eastAsia="zh-CN"/>
        </w:rPr>
        <w:t>项目范围内</w:t>
      </w:r>
      <w:r>
        <w:rPr>
          <w:rFonts w:ascii="Times New Roman" w:hAnsi="Times New Roman" w:cs="Times New Roman"/>
          <w:bCs/>
          <w:color w:val="auto"/>
          <w:highlight w:val="none"/>
        </w:rPr>
        <w:t>集中式地下水饮用水水源为</w:t>
      </w:r>
      <w:r>
        <w:rPr>
          <w:rFonts w:hint="eastAsia" w:ascii="Times New Roman" w:hAnsi="Times New Roman" w:cs="Times New Roman"/>
          <w:bCs/>
          <w:color w:val="auto"/>
          <w:highlight w:val="none"/>
        </w:rPr>
        <w:t>昌德镇</w:t>
      </w:r>
      <w:r>
        <w:rPr>
          <w:rFonts w:ascii="Times New Roman" w:hAnsi="Times New Roman" w:cs="Times New Roman"/>
          <w:bCs/>
          <w:color w:val="auto"/>
          <w:highlight w:val="none"/>
        </w:rPr>
        <w:t>地下水饮用水水源，</w:t>
      </w:r>
      <w:r>
        <w:rPr>
          <w:rFonts w:hint="eastAsia" w:ascii="Times New Roman" w:hAnsi="Times New Roman" w:cs="Times New Roman"/>
          <w:bCs/>
          <w:color w:val="auto"/>
          <w:highlight w:val="none"/>
        </w:rPr>
        <w:t>昌德</w:t>
      </w:r>
      <w:r>
        <w:rPr>
          <w:rFonts w:ascii="Times New Roman" w:hAnsi="Times New Roman" w:cs="Times New Roman"/>
          <w:bCs/>
          <w:color w:val="auto"/>
          <w:highlight w:val="none"/>
        </w:rPr>
        <w:t>镇地下水饮用水水源井共3口，井深120m，供水人口4400人，服务范围为</w:t>
      </w:r>
      <w:r>
        <w:rPr>
          <w:rFonts w:hint="eastAsia" w:ascii="Times New Roman" w:hAnsi="Times New Roman" w:cs="Times New Roman"/>
          <w:bCs/>
          <w:color w:val="auto"/>
          <w:highlight w:val="none"/>
        </w:rPr>
        <w:t>昌德镇</w:t>
      </w:r>
      <w:r>
        <w:rPr>
          <w:rFonts w:ascii="Times New Roman" w:hAnsi="Times New Roman" w:cs="Times New Roman"/>
          <w:bCs/>
          <w:color w:val="auto"/>
          <w:highlight w:val="none"/>
        </w:rPr>
        <w:t>及周边村屯，为集中式水源地。</w:t>
      </w:r>
      <w:r>
        <w:rPr>
          <w:rFonts w:hint="eastAsia" w:ascii="Times New Roman" w:hAnsi="Times New Roman" w:cs="Times New Roman"/>
          <w:color w:val="auto"/>
          <w:highlight w:val="none"/>
        </w:rPr>
        <w:t>级别为乡镇级、类型为地下水型、使用状态为在用，</w:t>
      </w:r>
      <w:r>
        <w:rPr>
          <w:rFonts w:ascii="Times New Roman" w:hAnsi="Times New Roman" w:cs="Times New Roman"/>
          <w:color w:val="auto"/>
          <w:highlight w:val="none"/>
        </w:rPr>
        <w:t>开采层位为承压水含水层</w:t>
      </w:r>
      <w:r>
        <w:rPr>
          <w:rFonts w:hint="eastAsia" w:ascii="Times New Roman" w:hAnsi="Times New Roman" w:cs="Times New Roman"/>
          <w:color w:val="auto"/>
          <w:highlight w:val="none"/>
        </w:rPr>
        <w:t>，</w:t>
      </w:r>
      <w:r>
        <w:rPr>
          <w:rFonts w:hint="eastAsia" w:ascii="Times New Roman" w:hAnsi="Times New Roman" w:cs="Times New Roman"/>
          <w:bCs/>
          <w:color w:val="auto"/>
          <w:highlight w:val="none"/>
        </w:rPr>
        <w:t>昌德镇</w:t>
      </w:r>
      <w:r>
        <w:rPr>
          <w:rFonts w:ascii="Times New Roman" w:hAnsi="Times New Roman" w:cs="Times New Roman"/>
          <w:bCs/>
          <w:color w:val="auto"/>
          <w:highlight w:val="none"/>
        </w:rPr>
        <w:t>地下水饮用水水源已划定一级保护区，未划定二级保护区及准保护区；一级保护区范围为以取水井为中心，36</w:t>
      </w:r>
      <w:r>
        <w:rPr>
          <w:rFonts w:hint="eastAsia" w:ascii="Times New Roman" w:hAnsi="Times New Roman" w:cs="Times New Roman"/>
          <w:bCs/>
          <w:color w:val="auto"/>
          <w:highlight w:val="none"/>
        </w:rPr>
        <w:t>m</w:t>
      </w:r>
      <w:r>
        <w:rPr>
          <w:rFonts w:ascii="Times New Roman" w:hAnsi="Times New Roman" w:cs="Times New Roman"/>
          <w:bCs/>
          <w:color w:val="auto"/>
          <w:highlight w:val="none"/>
        </w:rPr>
        <w:t>为半径的圆形区域。本项目调查范围内村屯联村饮用水源井供水人数小于1000人，为分散式水源地</w:t>
      </w:r>
      <w:r>
        <w:rPr>
          <w:rFonts w:ascii="Times New Roman" w:hAnsi="Times New Roman" w:cs="Times New Roman"/>
          <w:color w:val="auto"/>
          <w:highlight w:val="none"/>
        </w:rPr>
        <w:t>。</w:t>
      </w:r>
      <w:r>
        <w:rPr>
          <w:rFonts w:ascii="Times New Roman" w:hAnsi="Times New Roman" w:cs="Times New Roman"/>
          <w:bCs/>
          <w:color w:val="auto"/>
          <w:highlight w:val="none"/>
        </w:rPr>
        <w:t>村屯内饮用水源井均未划定保护区。</w:t>
      </w:r>
    </w:p>
    <w:p w14:paraId="6C574443">
      <w:pPr>
        <w:widowControl w:val="0"/>
        <w:spacing w:line="440" w:lineRule="exact"/>
        <w:ind w:firstLine="480"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本项目周边的分散式饮用水源地供水规模均小于5万m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/d，根据《地下水型饮用水水源补给区划定技术指南（试行）》划定饮用水源井补给径流区，地下水饮用水源井补给径流区判定依据见表2.6-3。</w:t>
      </w:r>
    </w:p>
    <w:p w14:paraId="28169642">
      <w:pPr>
        <w:widowControl w:val="0"/>
        <w:spacing w:line="440" w:lineRule="exact"/>
        <w:ind w:firstLine="482" w:firstLineChars="200"/>
        <w:jc w:val="both"/>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bCs/>
          <w:caps w:val="0"/>
          <w:smallCaps w:val="0"/>
          <w:color w:val="auto"/>
          <w:spacing w:val="0"/>
          <w:w w:val="100"/>
          <w:position w:val="0"/>
          <w:highlight w:val="none"/>
        </w:rPr>
        <w:t>表2.6-3    地下水饮用水源井补给径流区判定表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335"/>
        <w:gridCol w:w="2126"/>
        <w:gridCol w:w="5067"/>
      </w:tblGrid>
      <w:tr w14:paraId="4B5E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2" w:type="pct"/>
            <w:gridSpan w:val="3"/>
            <w:vAlign w:val="center"/>
          </w:tcPr>
          <w:p w14:paraId="16503B34">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lang w:val="en-US"/>
              </w:rPr>
              <w:t>地下水型饮用水水源</w:t>
            </w:r>
            <w:r>
              <w:rPr>
                <w:rFonts w:ascii="Times New Roman" w:hAnsi="Times New Roman" w:eastAsiaTheme="minorEastAsia"/>
                <w:caps w:val="0"/>
                <w:smallCaps w:val="0"/>
                <w:snapToGrid w:val="0"/>
                <w:color w:val="auto"/>
                <w:spacing w:val="0"/>
                <w:w w:val="100"/>
                <w:kern w:val="0"/>
                <w:position w:val="0"/>
                <w:szCs w:val="24"/>
                <w:highlight w:val="none"/>
              </w:rPr>
              <w:t>划定保护区情况</w:t>
            </w:r>
          </w:p>
        </w:tc>
        <w:tc>
          <w:tcPr>
            <w:tcW w:w="2728" w:type="pct"/>
            <w:vAlign w:val="center"/>
          </w:tcPr>
          <w:p w14:paraId="17676063">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lang w:val="en-US"/>
              </w:rPr>
              <w:t>补给区范围</w:t>
            </w:r>
          </w:p>
        </w:tc>
      </w:tr>
      <w:tr w14:paraId="0E38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restart"/>
            <w:vAlign w:val="center"/>
          </w:tcPr>
          <w:p w14:paraId="73604538">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lang w:val="en-US"/>
              </w:rPr>
              <w:t>水源开采规模</w:t>
            </w:r>
          </w:p>
        </w:tc>
        <w:tc>
          <w:tcPr>
            <w:tcW w:w="719" w:type="pct"/>
            <w:vMerge w:val="restart"/>
            <w:vAlign w:val="center"/>
          </w:tcPr>
          <w:p w14:paraId="116F51A6">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lang w:val="en-US"/>
              </w:rPr>
              <w:t>大型≥5万m</w:t>
            </w:r>
            <w:r>
              <w:rPr>
                <w:rFonts w:ascii="Times New Roman" w:hAnsi="Times New Roman" w:eastAsiaTheme="minorEastAsia"/>
                <w:caps w:val="0"/>
                <w:smallCaps w:val="0"/>
                <w:snapToGrid w:val="0"/>
                <w:color w:val="auto"/>
                <w:spacing w:val="0"/>
                <w:w w:val="100"/>
                <w:kern w:val="0"/>
                <w:position w:val="0"/>
                <w:szCs w:val="24"/>
                <w:highlight w:val="none"/>
                <w:vertAlign w:val="superscript"/>
                <w:lang w:val="en-US"/>
              </w:rPr>
              <w:t>3</w:t>
            </w:r>
            <w:r>
              <w:rPr>
                <w:rFonts w:ascii="Times New Roman" w:hAnsi="Times New Roman" w:eastAsiaTheme="minorEastAsia"/>
                <w:caps w:val="0"/>
                <w:smallCaps w:val="0"/>
                <w:snapToGrid w:val="0"/>
                <w:color w:val="auto"/>
                <w:spacing w:val="0"/>
                <w:w w:val="100"/>
                <w:kern w:val="0"/>
                <w:position w:val="0"/>
                <w:szCs w:val="24"/>
                <w:highlight w:val="none"/>
                <w:lang w:val="en-US"/>
              </w:rPr>
              <w:t>/d</w:t>
            </w:r>
          </w:p>
        </w:tc>
        <w:tc>
          <w:tcPr>
            <w:tcW w:w="1145" w:type="pct"/>
            <w:vAlign w:val="center"/>
          </w:tcPr>
          <w:p w14:paraId="7CB55B5A">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已划定</w:t>
            </w:r>
            <w:r>
              <w:rPr>
                <w:rFonts w:ascii="Times New Roman" w:hAnsi="Times New Roman" w:eastAsiaTheme="minorEastAsia"/>
                <w:caps w:val="0"/>
                <w:smallCaps w:val="0"/>
                <w:snapToGrid w:val="0"/>
                <w:color w:val="auto"/>
                <w:spacing w:val="0"/>
                <w:w w:val="100"/>
                <w:kern w:val="0"/>
                <w:position w:val="0"/>
                <w:szCs w:val="24"/>
                <w:highlight w:val="none"/>
                <w:lang w:val="en-US"/>
              </w:rPr>
              <w:t>二级保护区的</w:t>
            </w:r>
          </w:p>
        </w:tc>
        <w:tc>
          <w:tcPr>
            <w:tcW w:w="2728" w:type="pct"/>
            <w:vAlign w:val="center"/>
          </w:tcPr>
          <w:p w14:paraId="610CC6E2">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lang w:val="en-US"/>
              </w:rPr>
              <w:t>以二级保护区边界为基准，按大型水源30年流程圈定的范围</w:t>
            </w:r>
          </w:p>
        </w:tc>
      </w:tr>
      <w:tr w14:paraId="278B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1B44245C">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lang w:val="en-US"/>
              </w:rPr>
            </w:pPr>
          </w:p>
        </w:tc>
        <w:tc>
          <w:tcPr>
            <w:tcW w:w="719" w:type="pct"/>
            <w:vMerge w:val="continue"/>
            <w:vAlign w:val="center"/>
          </w:tcPr>
          <w:p w14:paraId="3C22A333">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lang w:val="en-US"/>
              </w:rPr>
            </w:pPr>
          </w:p>
        </w:tc>
        <w:tc>
          <w:tcPr>
            <w:tcW w:w="1145" w:type="pct"/>
            <w:vAlign w:val="center"/>
          </w:tcPr>
          <w:p w14:paraId="4682F770">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lang w:val="en-US"/>
              </w:rPr>
              <w:t>仅划定了一级保护区的</w:t>
            </w:r>
          </w:p>
        </w:tc>
        <w:tc>
          <w:tcPr>
            <w:tcW w:w="2728" w:type="pct"/>
            <w:vAlign w:val="center"/>
          </w:tcPr>
          <w:p w14:paraId="550762AC">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lang w:val="en-US"/>
              </w:rPr>
            </w:pPr>
            <w:r>
              <w:rPr>
                <w:rFonts w:ascii="Times New Roman" w:hAnsi="Times New Roman" w:eastAsiaTheme="minorEastAsia"/>
                <w:caps w:val="0"/>
                <w:smallCaps w:val="0"/>
                <w:snapToGrid w:val="0"/>
                <w:color w:val="auto"/>
                <w:spacing w:val="0"/>
                <w:w w:val="100"/>
                <w:kern w:val="0"/>
                <w:position w:val="0"/>
                <w:szCs w:val="24"/>
                <w:highlight w:val="none"/>
                <w:lang w:val="en-US"/>
              </w:rPr>
              <w:t>以水源一级保护区边界为基准，按大型水源30年+1000天流程圈定的范围</w:t>
            </w:r>
          </w:p>
        </w:tc>
      </w:tr>
      <w:tr w14:paraId="4621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2B844A56">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lang w:val="en-US"/>
              </w:rPr>
            </w:pPr>
          </w:p>
        </w:tc>
        <w:tc>
          <w:tcPr>
            <w:tcW w:w="719" w:type="pct"/>
            <w:vMerge w:val="continue"/>
            <w:vAlign w:val="center"/>
          </w:tcPr>
          <w:p w14:paraId="050A03FD">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lang w:val="en-US"/>
              </w:rPr>
            </w:pPr>
          </w:p>
        </w:tc>
        <w:tc>
          <w:tcPr>
            <w:tcW w:w="1145" w:type="pct"/>
            <w:vAlign w:val="center"/>
          </w:tcPr>
          <w:p w14:paraId="4200AE68">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lang w:val="en-US"/>
              </w:rPr>
            </w:pPr>
            <w:r>
              <w:rPr>
                <w:rFonts w:ascii="Times New Roman" w:hAnsi="Times New Roman" w:eastAsiaTheme="minorEastAsia"/>
                <w:caps w:val="0"/>
                <w:smallCaps w:val="0"/>
                <w:snapToGrid w:val="0"/>
                <w:color w:val="auto"/>
                <w:spacing w:val="0"/>
                <w:w w:val="100"/>
                <w:kern w:val="0"/>
                <w:position w:val="0"/>
                <w:szCs w:val="24"/>
                <w:highlight w:val="none"/>
                <w:lang w:val="en-US"/>
              </w:rPr>
              <w:t>未划定保护区的</w:t>
            </w:r>
          </w:p>
        </w:tc>
        <w:tc>
          <w:tcPr>
            <w:tcW w:w="2728" w:type="pct"/>
            <w:vAlign w:val="center"/>
          </w:tcPr>
          <w:p w14:paraId="63803EFB">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lang w:val="en-US"/>
              </w:rPr>
            </w:pPr>
            <w:r>
              <w:rPr>
                <w:rFonts w:ascii="Times New Roman" w:hAnsi="Times New Roman" w:eastAsiaTheme="minorEastAsia"/>
                <w:caps w:val="0"/>
                <w:smallCaps w:val="0"/>
                <w:snapToGrid w:val="0"/>
                <w:color w:val="auto"/>
                <w:spacing w:val="0"/>
                <w:w w:val="100"/>
                <w:kern w:val="0"/>
                <w:position w:val="0"/>
                <w:szCs w:val="24"/>
                <w:highlight w:val="none"/>
                <w:lang w:val="en-US"/>
              </w:rPr>
              <w:t>以水源开采井为基准，按大型水源30年+1100天流程圈定的范围</w:t>
            </w:r>
          </w:p>
        </w:tc>
      </w:tr>
      <w:tr w14:paraId="6709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65AE8358">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lang w:val="en-US"/>
              </w:rPr>
            </w:pPr>
          </w:p>
        </w:tc>
        <w:tc>
          <w:tcPr>
            <w:tcW w:w="719" w:type="pct"/>
            <w:vMerge w:val="restart"/>
            <w:vAlign w:val="center"/>
          </w:tcPr>
          <w:p w14:paraId="0C150A34">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lang w:val="en-US"/>
              </w:rPr>
            </w:pPr>
            <w:r>
              <w:rPr>
                <w:rFonts w:ascii="Times New Roman" w:hAnsi="Times New Roman" w:eastAsiaTheme="minorEastAsia"/>
                <w:caps w:val="0"/>
                <w:smallCaps w:val="0"/>
                <w:snapToGrid w:val="0"/>
                <w:color w:val="auto"/>
                <w:spacing w:val="0"/>
                <w:w w:val="100"/>
                <w:kern w:val="0"/>
                <w:position w:val="0"/>
                <w:szCs w:val="24"/>
                <w:highlight w:val="none"/>
                <w:lang w:val="en-US"/>
              </w:rPr>
              <w:t>中小型</w:t>
            </w:r>
            <w:bookmarkStart w:id="305" w:name="OLE_LINK93"/>
            <w:r>
              <w:rPr>
                <w:rFonts w:ascii="Times New Roman" w:hAnsi="Times New Roman" w:eastAsiaTheme="minorEastAsia"/>
                <w:caps w:val="0"/>
                <w:smallCaps w:val="0"/>
                <w:snapToGrid w:val="0"/>
                <w:color w:val="auto"/>
                <w:spacing w:val="0"/>
                <w:w w:val="100"/>
                <w:kern w:val="0"/>
                <w:position w:val="0"/>
                <w:szCs w:val="24"/>
                <w:highlight w:val="none"/>
                <w:lang w:val="en-US"/>
              </w:rPr>
              <w:t>＜5万m</w:t>
            </w:r>
            <w:r>
              <w:rPr>
                <w:rFonts w:ascii="Times New Roman" w:hAnsi="Times New Roman" w:eastAsiaTheme="minorEastAsia"/>
                <w:caps w:val="0"/>
                <w:smallCaps w:val="0"/>
                <w:snapToGrid w:val="0"/>
                <w:color w:val="auto"/>
                <w:spacing w:val="0"/>
                <w:w w:val="100"/>
                <w:kern w:val="0"/>
                <w:position w:val="0"/>
                <w:szCs w:val="24"/>
                <w:highlight w:val="none"/>
                <w:vertAlign w:val="superscript"/>
                <w:lang w:val="en-US"/>
              </w:rPr>
              <w:t>3</w:t>
            </w:r>
            <w:r>
              <w:rPr>
                <w:rFonts w:ascii="Times New Roman" w:hAnsi="Times New Roman" w:eastAsiaTheme="minorEastAsia"/>
                <w:caps w:val="0"/>
                <w:smallCaps w:val="0"/>
                <w:snapToGrid w:val="0"/>
                <w:color w:val="auto"/>
                <w:spacing w:val="0"/>
                <w:w w:val="100"/>
                <w:kern w:val="0"/>
                <w:position w:val="0"/>
                <w:szCs w:val="24"/>
                <w:highlight w:val="none"/>
                <w:lang w:val="en-US"/>
              </w:rPr>
              <w:t>/d</w:t>
            </w:r>
            <w:bookmarkEnd w:id="305"/>
          </w:p>
        </w:tc>
        <w:tc>
          <w:tcPr>
            <w:tcW w:w="1145" w:type="pct"/>
            <w:vAlign w:val="center"/>
          </w:tcPr>
          <w:p w14:paraId="01B26A04">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rPr>
              <w:t>已划定</w:t>
            </w:r>
            <w:r>
              <w:rPr>
                <w:rFonts w:ascii="Times New Roman" w:hAnsi="Times New Roman" w:eastAsiaTheme="minorEastAsia"/>
                <w:caps w:val="0"/>
                <w:smallCaps w:val="0"/>
                <w:snapToGrid w:val="0"/>
                <w:color w:val="auto"/>
                <w:spacing w:val="0"/>
                <w:w w:val="100"/>
                <w:kern w:val="0"/>
                <w:position w:val="0"/>
                <w:szCs w:val="24"/>
                <w:highlight w:val="none"/>
                <w:lang w:val="en-US"/>
              </w:rPr>
              <w:t>二级保护区的</w:t>
            </w:r>
          </w:p>
        </w:tc>
        <w:tc>
          <w:tcPr>
            <w:tcW w:w="2728" w:type="pct"/>
            <w:vAlign w:val="center"/>
          </w:tcPr>
          <w:p w14:paraId="7E0496D9">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lang w:val="en-US"/>
              </w:rPr>
              <w:t>以二级保护区边界为基准，按中小型水源15年流程圈定的范围</w:t>
            </w:r>
          </w:p>
        </w:tc>
      </w:tr>
      <w:tr w14:paraId="4290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6A28D2A3">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rPr>
            </w:pPr>
          </w:p>
        </w:tc>
        <w:tc>
          <w:tcPr>
            <w:tcW w:w="719" w:type="pct"/>
            <w:vMerge w:val="continue"/>
            <w:vAlign w:val="center"/>
          </w:tcPr>
          <w:p w14:paraId="663433F1">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rPr>
            </w:pPr>
          </w:p>
        </w:tc>
        <w:tc>
          <w:tcPr>
            <w:tcW w:w="1145" w:type="pct"/>
            <w:vAlign w:val="center"/>
          </w:tcPr>
          <w:p w14:paraId="1B61FF4B">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rPr>
            </w:pPr>
            <w:r>
              <w:rPr>
                <w:rFonts w:ascii="Times New Roman" w:hAnsi="Times New Roman" w:eastAsiaTheme="minorEastAsia"/>
                <w:caps w:val="0"/>
                <w:smallCaps w:val="0"/>
                <w:snapToGrid w:val="0"/>
                <w:color w:val="auto"/>
                <w:spacing w:val="0"/>
                <w:w w:val="100"/>
                <w:kern w:val="0"/>
                <w:position w:val="0"/>
                <w:szCs w:val="24"/>
                <w:highlight w:val="none"/>
                <w:lang w:val="en-US"/>
              </w:rPr>
              <w:t>仅划定了一级保护区的</w:t>
            </w:r>
          </w:p>
        </w:tc>
        <w:tc>
          <w:tcPr>
            <w:tcW w:w="2728" w:type="pct"/>
            <w:vAlign w:val="center"/>
          </w:tcPr>
          <w:p w14:paraId="0F3B8511">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lang w:val="en-US"/>
              </w:rPr>
            </w:pPr>
            <w:r>
              <w:rPr>
                <w:rFonts w:ascii="Times New Roman" w:hAnsi="Times New Roman" w:eastAsiaTheme="minorEastAsia"/>
                <w:caps w:val="0"/>
                <w:smallCaps w:val="0"/>
                <w:snapToGrid w:val="0"/>
                <w:color w:val="auto"/>
                <w:spacing w:val="0"/>
                <w:w w:val="100"/>
                <w:kern w:val="0"/>
                <w:position w:val="0"/>
                <w:szCs w:val="24"/>
                <w:highlight w:val="none"/>
                <w:lang w:val="en-US"/>
              </w:rPr>
              <w:t>以水源一级保护区边界为基准，按中小型水源15年+1000天流程圈定的范围</w:t>
            </w:r>
          </w:p>
        </w:tc>
      </w:tr>
      <w:tr w14:paraId="34A4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3E884C3C">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rPr>
            </w:pPr>
          </w:p>
        </w:tc>
        <w:tc>
          <w:tcPr>
            <w:tcW w:w="719" w:type="pct"/>
            <w:vMerge w:val="continue"/>
            <w:vAlign w:val="center"/>
          </w:tcPr>
          <w:p w14:paraId="1FED6315">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rPr>
            </w:pPr>
          </w:p>
        </w:tc>
        <w:tc>
          <w:tcPr>
            <w:tcW w:w="1145" w:type="pct"/>
            <w:vAlign w:val="center"/>
          </w:tcPr>
          <w:p w14:paraId="75C10829">
            <w:pPr>
              <w:pStyle w:val="153"/>
              <w:widowControl w:val="0"/>
              <w:spacing w:line="320" w:lineRule="exact"/>
              <w:rPr>
                <w:rFonts w:ascii="Times New Roman" w:hAnsi="Times New Roman" w:eastAsiaTheme="minorEastAsia"/>
                <w:caps w:val="0"/>
                <w:smallCaps w:val="0"/>
                <w:snapToGrid w:val="0"/>
                <w:color w:val="auto"/>
                <w:spacing w:val="0"/>
                <w:w w:val="100"/>
                <w:kern w:val="0"/>
                <w:position w:val="0"/>
                <w:szCs w:val="24"/>
                <w:highlight w:val="none"/>
                <w:lang w:val="en-US"/>
              </w:rPr>
            </w:pPr>
            <w:r>
              <w:rPr>
                <w:rFonts w:ascii="Times New Roman" w:hAnsi="Times New Roman" w:eastAsiaTheme="minorEastAsia"/>
                <w:caps w:val="0"/>
                <w:smallCaps w:val="0"/>
                <w:snapToGrid w:val="0"/>
                <w:color w:val="auto"/>
                <w:spacing w:val="0"/>
                <w:w w:val="100"/>
                <w:kern w:val="0"/>
                <w:position w:val="0"/>
                <w:szCs w:val="24"/>
                <w:highlight w:val="none"/>
                <w:lang w:val="en-US"/>
              </w:rPr>
              <w:t>未划定保护区的</w:t>
            </w:r>
          </w:p>
        </w:tc>
        <w:tc>
          <w:tcPr>
            <w:tcW w:w="2728" w:type="pct"/>
            <w:vAlign w:val="center"/>
          </w:tcPr>
          <w:p w14:paraId="6AC70839">
            <w:pPr>
              <w:pStyle w:val="153"/>
              <w:widowControl w:val="0"/>
              <w:spacing w:line="320" w:lineRule="exact"/>
              <w:jc w:val="both"/>
              <w:rPr>
                <w:rFonts w:ascii="Times New Roman" w:hAnsi="Times New Roman" w:eastAsiaTheme="minorEastAsia"/>
                <w:caps w:val="0"/>
                <w:smallCaps w:val="0"/>
                <w:snapToGrid w:val="0"/>
                <w:color w:val="auto"/>
                <w:spacing w:val="0"/>
                <w:w w:val="100"/>
                <w:kern w:val="0"/>
                <w:position w:val="0"/>
                <w:szCs w:val="24"/>
                <w:highlight w:val="none"/>
                <w:lang w:val="en-US"/>
              </w:rPr>
            </w:pPr>
            <w:r>
              <w:rPr>
                <w:rFonts w:ascii="Times New Roman" w:hAnsi="Times New Roman" w:eastAsiaTheme="minorEastAsia"/>
                <w:caps w:val="0"/>
                <w:smallCaps w:val="0"/>
                <w:snapToGrid w:val="0"/>
                <w:color w:val="auto"/>
                <w:spacing w:val="0"/>
                <w:w w:val="100"/>
                <w:kern w:val="0"/>
                <w:position w:val="0"/>
                <w:szCs w:val="24"/>
                <w:highlight w:val="none"/>
                <w:lang w:val="en-US"/>
              </w:rPr>
              <w:t>以水源开采井为基准，按中小型水源15年+1100天流程圈定的范围</w:t>
            </w:r>
          </w:p>
        </w:tc>
      </w:tr>
    </w:tbl>
    <w:p w14:paraId="0F3A6778">
      <w:pPr>
        <w:widowControl w:val="0"/>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质点运移距离采用下述公式计算：</w:t>
      </w:r>
    </w:p>
    <w:p w14:paraId="5B127A84">
      <w:pPr>
        <w:widowControl w:val="0"/>
        <w:spacing w:line="440" w:lineRule="exact"/>
        <w:jc w:val="center"/>
        <w:rPr>
          <w:rFonts w:ascii="Times New Roman" w:hAnsi="Times New Roman" w:cs="Times New Roman" w:eastAsiaTheme="minorEastAsia"/>
          <w:caps w:val="0"/>
          <w:smallCaps w:val="0"/>
          <w:color w:val="auto"/>
          <w:spacing w:val="0"/>
          <w:w w:val="100"/>
          <w:position w:val="0"/>
          <w:highlight w:val="none"/>
          <w:vertAlign w:val="subscript"/>
          <w:lang w:val="de-DE"/>
        </w:rPr>
      </w:pPr>
      <w:r>
        <w:rPr>
          <w:rFonts w:ascii="Times New Roman" w:hAnsi="Times New Roman" w:cs="Times New Roman" w:eastAsiaTheme="minorEastAsia"/>
          <w:caps w:val="0"/>
          <w:smallCaps w:val="0"/>
          <w:color w:val="auto"/>
          <w:spacing w:val="0"/>
          <w:w w:val="100"/>
          <w:position w:val="0"/>
          <w:highlight w:val="none"/>
        </w:rPr>
        <w:t>L=α</w:t>
      </w:r>
      <w:r>
        <w:rPr>
          <w:rFonts w:ascii="Times New Roman" w:hAnsi="Times New Roman" w:cs="Times New Roman" w:eastAsiaTheme="minorEastAsia"/>
          <w:caps w:val="0"/>
          <w:smallCaps w:val="0"/>
          <w:color w:val="auto"/>
          <w:spacing w:val="0"/>
          <w:w w:val="100"/>
          <w:position w:val="0"/>
          <w:highlight w:val="none"/>
          <w:lang w:val="de-DE"/>
        </w:rPr>
        <w:t>×K×I×T/n</w:t>
      </w:r>
      <w:r>
        <w:rPr>
          <w:rFonts w:ascii="Times New Roman" w:hAnsi="Times New Roman" w:cs="Times New Roman" w:eastAsiaTheme="minorEastAsia"/>
          <w:caps w:val="0"/>
          <w:smallCaps w:val="0"/>
          <w:color w:val="auto"/>
          <w:spacing w:val="0"/>
          <w:w w:val="100"/>
          <w:position w:val="0"/>
          <w:highlight w:val="none"/>
          <w:vertAlign w:val="subscript"/>
          <w:lang w:val="de-DE"/>
        </w:rPr>
        <w:t>e</w:t>
      </w:r>
    </w:p>
    <w:p w14:paraId="415D9BB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式中：L—下游迁移距离，m；</w:t>
      </w:r>
    </w:p>
    <w:p w14:paraId="3AE5D07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α—变化系数，α≥1，一般取2；</w:t>
      </w:r>
    </w:p>
    <w:p w14:paraId="0AEB0F4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K—渗透系数，m/d；</w:t>
      </w:r>
    </w:p>
    <w:p w14:paraId="471025C6">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I—水力坡度，无量纲；</w:t>
      </w:r>
    </w:p>
    <w:p w14:paraId="48291A91">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T—质点迁移天数；</w:t>
      </w:r>
    </w:p>
    <w:p w14:paraId="0AC0D21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n</w:t>
      </w:r>
      <w:r>
        <w:rPr>
          <w:rFonts w:ascii="Times New Roman" w:hAnsi="Times New Roman" w:cs="Times New Roman" w:eastAsiaTheme="minorEastAsia"/>
          <w:caps w:val="0"/>
          <w:smallCaps w:val="0"/>
          <w:color w:val="auto"/>
          <w:spacing w:val="0"/>
          <w:w w:val="100"/>
          <w:position w:val="0"/>
          <w:highlight w:val="none"/>
          <w:vertAlign w:val="subscript"/>
        </w:rPr>
        <w:t>e</w:t>
      </w:r>
      <w:r>
        <w:rPr>
          <w:rFonts w:ascii="Times New Roman" w:hAnsi="Times New Roman" w:cs="Times New Roman" w:eastAsiaTheme="minorEastAsia"/>
          <w:caps w:val="0"/>
          <w:smallCaps w:val="0"/>
          <w:color w:val="auto"/>
          <w:spacing w:val="0"/>
          <w:w w:val="100"/>
          <w:position w:val="0"/>
          <w:highlight w:val="none"/>
        </w:rPr>
        <w:t xml:space="preserve"> —有效孔隙度，无量纲。</w:t>
      </w:r>
    </w:p>
    <w:p w14:paraId="7E92046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根据</w:t>
      </w:r>
      <w:r>
        <w:rPr>
          <w:rFonts w:hint="eastAsia" w:ascii="Times New Roman" w:hAnsi="Times New Roman" w:cs="Times New Roman" w:eastAsiaTheme="minorEastAsia"/>
          <w:bCs/>
          <w:caps w:val="0"/>
          <w:smallCaps w:val="0"/>
          <w:color w:val="auto"/>
          <w:spacing w:val="0"/>
          <w:w w:val="100"/>
          <w:position w:val="0"/>
          <w:highlight w:val="none"/>
        </w:rPr>
        <w:t>《黑龙江省大庆市地下水资源调查评价报告》</w:t>
      </w:r>
      <w:r>
        <w:rPr>
          <w:rFonts w:ascii="Times New Roman" w:hAnsi="Times New Roman" w:cs="Times New Roman" w:eastAsiaTheme="minorEastAsia"/>
          <w:bCs/>
          <w:caps w:val="0"/>
          <w:smallCaps w:val="0"/>
          <w:color w:val="auto"/>
          <w:spacing w:val="0"/>
          <w:w w:val="100"/>
          <w:position w:val="0"/>
          <w:highlight w:val="none"/>
        </w:rPr>
        <w:t>，</w:t>
      </w:r>
      <w:r>
        <w:rPr>
          <w:rFonts w:ascii="Times New Roman" w:hAnsi="Times New Roman" w:cs="Times New Roman" w:eastAsiaTheme="minorEastAsia"/>
          <w:caps w:val="0"/>
          <w:smallCaps w:val="0"/>
          <w:color w:val="auto"/>
          <w:spacing w:val="0"/>
          <w:w w:val="100"/>
          <w:position w:val="0"/>
          <w:highlight w:val="none"/>
        </w:rPr>
        <w:t>本项目所在区域潜水为第四系上更新统松散层孔隙潜水，岩性为粉细砂</w:t>
      </w:r>
      <w:r>
        <w:rPr>
          <w:rFonts w:hint="eastAsia" w:ascii="Times New Roman" w:hAnsi="Times New Roman" w:cs="Times New Roman" w:eastAsiaTheme="minorEastAsia"/>
          <w:caps w:val="0"/>
          <w:smallCaps w:val="0"/>
          <w:color w:val="auto"/>
          <w:spacing w:val="0"/>
          <w:w w:val="100"/>
          <w:position w:val="0"/>
          <w:highlight w:val="none"/>
        </w:rPr>
        <w:t>，</w:t>
      </w:r>
      <w:r>
        <w:rPr>
          <w:rFonts w:ascii="Times New Roman" w:hAnsi="Times New Roman" w:cs="Times New Roman" w:eastAsiaTheme="minorEastAsia"/>
          <w:caps w:val="0"/>
          <w:smallCaps w:val="0"/>
          <w:color w:val="auto"/>
          <w:spacing w:val="0"/>
          <w:w w:val="100"/>
          <w:position w:val="0"/>
          <w:highlight w:val="none"/>
        </w:rPr>
        <w:t>参照《环境影响评价技术导则地下水》（HJ610-2016）附录 B 水文地质参数经验值表，K</w:t>
      </w:r>
      <w:r>
        <w:rPr>
          <w:rFonts w:ascii="Times New Roman" w:hAnsi="Times New Roman" w:cs="Times New Roman" w:eastAsiaTheme="minorEastAsia"/>
          <w:caps w:val="0"/>
          <w:smallCaps w:val="0"/>
          <w:color w:val="auto"/>
          <w:spacing w:val="0"/>
          <w:w w:val="100"/>
          <w:position w:val="0"/>
          <w:highlight w:val="none"/>
          <w:vertAlign w:val="subscript"/>
        </w:rPr>
        <w:t>潜水</w:t>
      </w:r>
      <w:r>
        <w:rPr>
          <w:rFonts w:ascii="Times New Roman" w:hAnsi="Times New Roman" w:cs="Times New Roman" w:eastAsiaTheme="minorEastAsia"/>
          <w:caps w:val="0"/>
          <w:smallCaps w:val="0"/>
          <w:color w:val="auto"/>
          <w:spacing w:val="0"/>
          <w:w w:val="100"/>
          <w:position w:val="0"/>
          <w:highlight w:val="none"/>
        </w:rPr>
        <w:t>=5m/d，n</w:t>
      </w:r>
      <w:r>
        <w:rPr>
          <w:rFonts w:ascii="Times New Roman" w:hAnsi="Times New Roman" w:cs="Times New Roman" w:eastAsiaTheme="minorEastAsia"/>
          <w:caps w:val="0"/>
          <w:smallCaps w:val="0"/>
          <w:color w:val="auto"/>
          <w:spacing w:val="0"/>
          <w:w w:val="100"/>
          <w:position w:val="0"/>
          <w:highlight w:val="none"/>
          <w:vertAlign w:val="subscript"/>
        </w:rPr>
        <w:t>e潜水</w:t>
      </w:r>
      <w:r>
        <w:rPr>
          <w:rFonts w:ascii="Times New Roman" w:hAnsi="Times New Roman" w:cs="Times New Roman" w:eastAsiaTheme="minorEastAsia"/>
          <w:caps w:val="0"/>
          <w:smallCaps w:val="0"/>
          <w:color w:val="auto"/>
          <w:spacing w:val="0"/>
          <w:w w:val="100"/>
          <w:position w:val="0"/>
          <w:highlight w:val="none"/>
        </w:rPr>
        <w:t>=0.2，根据区域潜水等水位线与距离确定I</w:t>
      </w:r>
      <w:r>
        <w:rPr>
          <w:rFonts w:ascii="Times New Roman" w:hAnsi="Times New Roman" w:cs="Times New Roman" w:eastAsiaTheme="minorEastAsia"/>
          <w:caps w:val="0"/>
          <w:smallCaps w:val="0"/>
          <w:color w:val="auto"/>
          <w:spacing w:val="0"/>
          <w:w w:val="100"/>
          <w:position w:val="0"/>
          <w:highlight w:val="none"/>
          <w:vertAlign w:val="subscript"/>
        </w:rPr>
        <w:t>潜水</w:t>
      </w:r>
      <w:r>
        <w:rPr>
          <w:rFonts w:ascii="Times New Roman" w:hAnsi="Times New Roman" w:cs="Times New Roman" w:eastAsiaTheme="minorEastAsia"/>
          <w:caps w:val="0"/>
          <w:smallCaps w:val="0"/>
          <w:color w:val="auto"/>
          <w:spacing w:val="0"/>
          <w:w w:val="100"/>
          <w:position w:val="0"/>
          <w:highlight w:val="none"/>
        </w:rPr>
        <w:t>=0.00079。本项目所在区域承压水为白垩系明水组承压水，岩性为白色细砂岩、中砂岩，参照《环境影响评价技术导则地下水》（HJ610-2016）附录B水文地质参数经验值表，K</w:t>
      </w:r>
      <w:r>
        <w:rPr>
          <w:rFonts w:ascii="Times New Roman" w:hAnsi="Times New Roman" w:cs="Times New Roman" w:eastAsiaTheme="minorEastAsia"/>
          <w:caps w:val="0"/>
          <w:smallCaps w:val="0"/>
          <w:color w:val="auto"/>
          <w:spacing w:val="0"/>
          <w:w w:val="100"/>
          <w:position w:val="0"/>
          <w:highlight w:val="none"/>
          <w:vertAlign w:val="subscript"/>
        </w:rPr>
        <w:t>承压水</w:t>
      </w:r>
      <w:r>
        <w:rPr>
          <w:rFonts w:ascii="Times New Roman" w:hAnsi="Times New Roman" w:cs="Times New Roman" w:eastAsiaTheme="minorEastAsia"/>
          <w:caps w:val="0"/>
          <w:smallCaps w:val="0"/>
          <w:color w:val="auto"/>
          <w:spacing w:val="0"/>
          <w:w w:val="100"/>
          <w:position w:val="0"/>
          <w:highlight w:val="none"/>
        </w:rPr>
        <w:t>=25m/d，n</w:t>
      </w:r>
      <w:r>
        <w:rPr>
          <w:rFonts w:ascii="Times New Roman" w:hAnsi="Times New Roman" w:cs="Times New Roman" w:eastAsiaTheme="minorEastAsia"/>
          <w:caps w:val="0"/>
          <w:smallCaps w:val="0"/>
          <w:color w:val="auto"/>
          <w:spacing w:val="0"/>
          <w:w w:val="100"/>
          <w:position w:val="0"/>
          <w:highlight w:val="none"/>
          <w:vertAlign w:val="subscript"/>
        </w:rPr>
        <w:t>e承压水</w:t>
      </w:r>
      <w:r>
        <w:rPr>
          <w:rFonts w:ascii="Times New Roman" w:hAnsi="Times New Roman" w:cs="Times New Roman" w:eastAsiaTheme="minorEastAsia"/>
          <w:caps w:val="0"/>
          <w:smallCaps w:val="0"/>
          <w:color w:val="auto"/>
          <w:spacing w:val="0"/>
          <w:w w:val="100"/>
          <w:position w:val="0"/>
          <w:highlight w:val="none"/>
        </w:rPr>
        <w:t>=0.3，根据区域承压水等水位线与距离确定I</w:t>
      </w:r>
      <w:r>
        <w:rPr>
          <w:rFonts w:ascii="Times New Roman" w:hAnsi="Times New Roman" w:cs="Times New Roman" w:eastAsiaTheme="minorEastAsia"/>
          <w:caps w:val="0"/>
          <w:smallCaps w:val="0"/>
          <w:color w:val="auto"/>
          <w:spacing w:val="0"/>
          <w:w w:val="100"/>
          <w:position w:val="0"/>
          <w:highlight w:val="none"/>
          <w:vertAlign w:val="subscript"/>
        </w:rPr>
        <w:t>承压水</w:t>
      </w:r>
      <w:r>
        <w:rPr>
          <w:rFonts w:ascii="Times New Roman" w:hAnsi="Times New Roman" w:cs="Times New Roman" w:eastAsiaTheme="minorEastAsia"/>
          <w:caps w:val="0"/>
          <w:smallCaps w:val="0"/>
          <w:color w:val="auto"/>
          <w:spacing w:val="0"/>
          <w:w w:val="100"/>
          <w:position w:val="0"/>
          <w:highlight w:val="none"/>
        </w:rPr>
        <w:t>=0.00027。</w:t>
      </w:r>
    </w:p>
    <w:p w14:paraId="70C51ED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经上述公式计算得出：</w:t>
      </w:r>
    </w:p>
    <w:p w14:paraId="46149B1B">
      <w:pPr>
        <w:widowControl w:val="0"/>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hint="eastAsia"/>
          <w:caps w:val="0"/>
          <w:smallCaps w:val="0"/>
          <w:color w:val="auto"/>
          <w:spacing w:val="0"/>
          <w:w w:val="100"/>
          <w:position w:val="0"/>
          <w:highlight w:val="none"/>
        </w:rPr>
        <w:t>①</w:t>
      </w:r>
      <w:r>
        <w:rPr>
          <w:rFonts w:ascii="Times New Roman" w:hAnsi="Times New Roman" w:cs="Times New Roman" w:eastAsiaTheme="minorEastAsia"/>
          <w:caps w:val="0"/>
          <w:smallCaps w:val="0"/>
          <w:color w:val="auto"/>
          <w:spacing w:val="0"/>
          <w:w w:val="100"/>
          <w:position w:val="0"/>
          <w:highlight w:val="none"/>
        </w:rPr>
        <w:t>分散式饮用水源（中小型，承压水，未划定保护区）</w:t>
      </w:r>
    </w:p>
    <w:p w14:paraId="7B69C731">
      <w:pPr>
        <w:widowControl w:val="0"/>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补给区L为以水源井为基准外扩L=2</w:t>
      </w:r>
      <w:r>
        <w:rPr>
          <w:rFonts w:ascii="Times New Roman" w:hAnsi="Times New Roman" w:cs="Times New Roman" w:eastAsiaTheme="minorEastAsia"/>
          <w:caps w:val="0"/>
          <w:smallCaps w:val="0"/>
          <w:color w:val="auto"/>
          <w:spacing w:val="0"/>
          <w:w w:val="100"/>
          <w:position w:val="0"/>
          <w:highlight w:val="none"/>
          <w:lang w:val="de-DE"/>
        </w:rPr>
        <w:t>×25×</w:t>
      </w:r>
      <w:r>
        <w:rPr>
          <w:rFonts w:ascii="Times New Roman" w:hAnsi="Times New Roman" w:cs="Times New Roman" w:eastAsiaTheme="minorEastAsia"/>
          <w:caps w:val="0"/>
          <w:smallCaps w:val="0"/>
          <w:color w:val="auto"/>
          <w:spacing w:val="0"/>
          <w:w w:val="100"/>
          <w:position w:val="0"/>
          <w:highlight w:val="none"/>
        </w:rPr>
        <w:t>0.00027</w:t>
      </w:r>
      <w:r>
        <w:rPr>
          <w:rFonts w:ascii="Times New Roman" w:hAnsi="Times New Roman" w:cs="Times New Roman" w:eastAsiaTheme="minorEastAsia"/>
          <w:caps w:val="0"/>
          <w:smallCaps w:val="0"/>
          <w:color w:val="auto"/>
          <w:spacing w:val="0"/>
          <w:w w:val="100"/>
          <w:position w:val="0"/>
          <w:highlight w:val="none"/>
          <w:lang w:val="de-DE"/>
        </w:rPr>
        <w:t>×（15×365+1100）/0.3=</w:t>
      </w:r>
      <w:r>
        <w:rPr>
          <w:rFonts w:ascii="Times New Roman" w:hAnsi="Times New Roman" w:cs="Times New Roman" w:eastAsiaTheme="minorEastAsia"/>
          <w:caps w:val="0"/>
          <w:smallCaps w:val="0"/>
          <w:color w:val="auto"/>
          <w:spacing w:val="0"/>
          <w:w w:val="100"/>
          <w:position w:val="0"/>
          <w:highlight w:val="none"/>
        </w:rPr>
        <w:t>296m的区域；</w:t>
      </w:r>
    </w:p>
    <w:p w14:paraId="07A9913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不敏感区为296m以外的区域。</w:t>
      </w:r>
    </w:p>
    <w:p w14:paraId="593112C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hint="eastAsia"/>
          <w:caps w:val="0"/>
          <w:smallCaps w:val="0"/>
          <w:color w:val="auto"/>
          <w:spacing w:val="0"/>
          <w:w w:val="100"/>
          <w:position w:val="0"/>
          <w:highlight w:val="none"/>
        </w:rPr>
        <w:t>②</w:t>
      </w:r>
      <w:r>
        <w:rPr>
          <w:rFonts w:ascii="Times New Roman" w:hAnsi="Times New Roman" w:cs="Times New Roman" w:eastAsiaTheme="minorEastAsia"/>
          <w:caps w:val="0"/>
          <w:smallCaps w:val="0"/>
          <w:color w:val="auto"/>
          <w:spacing w:val="0"/>
          <w:w w:val="100"/>
          <w:position w:val="0"/>
          <w:highlight w:val="none"/>
        </w:rPr>
        <w:t>分散式饮用水源（中小型，潜水，未划定保护区）</w:t>
      </w:r>
    </w:p>
    <w:p w14:paraId="109F8CA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补给区L为以水源井为基准外扩L=</w:t>
      </w:r>
      <w:bookmarkStart w:id="306" w:name="OLE_LINK94"/>
      <w:r>
        <w:rPr>
          <w:rFonts w:ascii="Times New Roman" w:hAnsi="Times New Roman" w:cs="Times New Roman" w:eastAsiaTheme="minorEastAsia"/>
          <w:caps w:val="0"/>
          <w:smallCaps w:val="0"/>
          <w:color w:val="auto"/>
          <w:spacing w:val="0"/>
          <w:w w:val="100"/>
          <w:position w:val="0"/>
          <w:highlight w:val="none"/>
        </w:rPr>
        <w:t>2</w:t>
      </w:r>
      <w:r>
        <w:rPr>
          <w:rFonts w:ascii="Times New Roman" w:hAnsi="Times New Roman" w:cs="Times New Roman" w:eastAsiaTheme="minorEastAsia"/>
          <w:caps w:val="0"/>
          <w:smallCaps w:val="0"/>
          <w:color w:val="auto"/>
          <w:spacing w:val="0"/>
          <w:w w:val="100"/>
          <w:position w:val="0"/>
          <w:highlight w:val="none"/>
          <w:lang w:val="de-DE"/>
        </w:rPr>
        <w:t>×5×0.00079×（15×365+1100）/0.2</w:t>
      </w:r>
      <w:bookmarkEnd w:id="306"/>
      <w:r>
        <w:rPr>
          <w:rFonts w:ascii="Times New Roman" w:hAnsi="Times New Roman" w:cs="Times New Roman" w:eastAsiaTheme="minorEastAsia"/>
          <w:caps w:val="0"/>
          <w:smallCaps w:val="0"/>
          <w:color w:val="auto"/>
          <w:spacing w:val="0"/>
          <w:w w:val="100"/>
          <w:position w:val="0"/>
          <w:highlight w:val="none"/>
          <w:lang w:val="de-DE"/>
        </w:rPr>
        <w:t>=</w:t>
      </w:r>
      <w:r>
        <w:rPr>
          <w:rFonts w:ascii="Times New Roman" w:hAnsi="Times New Roman" w:cs="Times New Roman" w:eastAsiaTheme="minorEastAsia"/>
          <w:caps w:val="0"/>
          <w:smallCaps w:val="0"/>
          <w:color w:val="auto"/>
          <w:spacing w:val="0"/>
          <w:w w:val="100"/>
          <w:position w:val="0"/>
          <w:highlight w:val="none"/>
        </w:rPr>
        <w:t>260m的区域；</w:t>
      </w:r>
    </w:p>
    <w:p w14:paraId="2EE2582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不敏感区为260m以外的区域。</w:t>
      </w:r>
    </w:p>
    <w:p w14:paraId="678DADF2">
      <w:pPr>
        <w:widowControl w:val="0"/>
        <w:spacing w:line="440" w:lineRule="exact"/>
        <w:ind w:firstLine="480" w:firstLineChars="200"/>
        <w:jc w:val="both"/>
        <w:rPr>
          <w:rFonts w:hint="default" w:ascii="Times New Roman" w:hAnsi="Times New Roman" w:cs="Times New Roman" w:eastAsiaTheme="minorEastAsia"/>
          <w:bCs/>
          <w:caps w:val="0"/>
          <w:smallCaps w:val="0"/>
          <w:color w:val="auto"/>
          <w:spacing w:val="0"/>
          <w:w w:val="100"/>
          <w:position w:val="0"/>
          <w:highlight w:val="none"/>
          <w:lang w:val="en-US" w:eastAsia="zh-CN"/>
        </w:rPr>
      </w:pPr>
      <w:r>
        <w:rPr>
          <w:rFonts w:hint="eastAsia" w:ascii="Times New Roman" w:hAnsi="Times New Roman" w:cs="Times New Roman" w:eastAsiaTheme="minorEastAsia"/>
          <w:bCs/>
          <w:caps w:val="0"/>
          <w:smallCaps w:val="0"/>
          <w:color w:val="auto"/>
          <w:spacing w:val="0"/>
          <w:w w:val="100"/>
          <w:position w:val="0"/>
          <w:highlight w:val="none"/>
          <w:lang w:val="en-US" w:eastAsia="zh-CN"/>
        </w:rPr>
        <w:t>③集中式引用水源（中小型，一级，承压水）</w:t>
      </w:r>
    </w:p>
    <w:p w14:paraId="4B030C6D">
      <w:pPr>
        <w:widowControl w:val="0"/>
        <w:spacing w:line="440" w:lineRule="exact"/>
        <w:ind w:firstLine="480" w:firstLineChars="200"/>
        <w:jc w:val="both"/>
        <w:rPr>
          <w:rFonts w:hint="eastAsia" w:ascii="Times New Roman" w:hAnsi="Times New Roman" w:cs="Times New Roman" w:eastAsiaTheme="minorEastAsia"/>
          <w:bCs/>
          <w:caps w:val="0"/>
          <w:smallCaps w:val="0"/>
          <w:color w:val="auto"/>
          <w:spacing w:val="0"/>
          <w:w w:val="100"/>
          <w:position w:val="0"/>
          <w:highlight w:val="none"/>
          <w:lang w:val="en-US" w:eastAsia="zh-CN"/>
        </w:rPr>
      </w:pPr>
      <w:r>
        <w:rPr>
          <w:rFonts w:hint="eastAsia" w:ascii="Times New Roman" w:hAnsi="Times New Roman" w:cs="Times New Roman" w:eastAsiaTheme="minorEastAsia"/>
          <w:bCs/>
          <w:caps w:val="0"/>
          <w:smallCaps w:val="0"/>
          <w:color w:val="auto"/>
          <w:spacing w:val="0"/>
          <w:w w:val="100"/>
          <w:position w:val="0"/>
          <w:highlight w:val="none"/>
          <w:lang w:val="en-US" w:eastAsia="zh-CN"/>
        </w:rPr>
        <w:t>昌德镇以水源一级保护区边界为基准，流程时间相应增加 1000 天（即 15 年×365 天/年+1100 天=6575 天）计算补给区；</w:t>
      </w:r>
    </w:p>
    <w:p w14:paraId="3F676A57">
      <w:pPr>
        <w:autoSpaceDE/>
        <w:autoSpaceDN/>
        <w:spacing w:line="440" w:lineRule="exact"/>
        <w:ind w:firstLine="480" w:firstLineChars="200"/>
        <w:jc w:val="both"/>
        <w:rPr>
          <w:rFonts w:ascii="Times New Roman" w:hAnsi="Times New Roman" w:cs="Times New Roman"/>
          <w:bCs/>
          <w:color w:val="auto"/>
          <w:w w:val="100"/>
          <w:sz w:val="24"/>
          <w:szCs w:val="24"/>
          <w:highlight w:val="none"/>
          <w:lang w:val="en-US" w:bidi="ar-SA"/>
        </w:rPr>
      </w:pPr>
      <w:r>
        <w:rPr>
          <w:rFonts w:ascii="Times New Roman" w:hAnsi="Times New Roman" w:cs="Times New Roman"/>
          <w:bCs/>
          <w:color w:val="auto"/>
          <w:w w:val="100"/>
          <w:sz w:val="24"/>
          <w:szCs w:val="24"/>
          <w:highlight w:val="none"/>
          <w:lang w:val="en-US" w:bidi="ar-SA"/>
        </w:rPr>
        <w:t>一级保护区L</w:t>
      </w:r>
      <w:r>
        <w:rPr>
          <w:rFonts w:ascii="Times New Roman" w:hAnsi="Times New Roman" w:cs="Times New Roman"/>
          <w:bCs/>
          <w:color w:val="auto"/>
          <w:w w:val="100"/>
          <w:sz w:val="24"/>
          <w:szCs w:val="24"/>
          <w:highlight w:val="none"/>
          <w:vertAlign w:val="subscript"/>
          <w:lang w:val="en-US" w:bidi="ar-SA"/>
        </w:rPr>
        <w:t>1</w:t>
      </w:r>
      <w:r>
        <w:rPr>
          <w:rFonts w:ascii="Times New Roman" w:hAnsi="Times New Roman" w:cs="Times New Roman"/>
          <w:bCs/>
          <w:color w:val="auto"/>
          <w:w w:val="100"/>
          <w:sz w:val="24"/>
          <w:szCs w:val="24"/>
          <w:highlight w:val="none"/>
          <w:lang w:val="en-US" w:bidi="ar-SA"/>
        </w:rPr>
        <w:t>为分别以取水井为中心，36米为半径的圆形区域；</w:t>
      </w:r>
    </w:p>
    <w:p w14:paraId="7D6760B8">
      <w:pPr>
        <w:autoSpaceDE/>
        <w:autoSpaceDN/>
        <w:spacing w:line="440" w:lineRule="exact"/>
        <w:ind w:firstLine="480" w:firstLineChars="200"/>
        <w:jc w:val="both"/>
        <w:rPr>
          <w:rFonts w:ascii="Times New Roman" w:hAnsi="Times New Roman" w:cs="Times New Roman"/>
          <w:bCs/>
          <w:color w:val="auto"/>
          <w:w w:val="100"/>
          <w:sz w:val="24"/>
          <w:szCs w:val="24"/>
          <w:highlight w:val="none"/>
          <w:lang w:val="en-US" w:bidi="ar-SA"/>
        </w:rPr>
      </w:pPr>
      <w:r>
        <w:rPr>
          <w:rFonts w:ascii="Times New Roman" w:hAnsi="Times New Roman" w:cs="Times New Roman"/>
          <w:bCs/>
          <w:color w:val="auto"/>
          <w:w w:val="100"/>
          <w:sz w:val="24"/>
          <w:szCs w:val="24"/>
          <w:highlight w:val="none"/>
          <w:lang w:val="en-US" w:bidi="ar-SA"/>
        </w:rPr>
        <w:t>补给区L</w:t>
      </w:r>
      <w:r>
        <w:rPr>
          <w:rFonts w:ascii="Times New Roman" w:hAnsi="Times New Roman" w:cs="Times New Roman"/>
          <w:bCs/>
          <w:color w:val="auto"/>
          <w:w w:val="100"/>
          <w:sz w:val="24"/>
          <w:szCs w:val="24"/>
          <w:highlight w:val="none"/>
          <w:vertAlign w:val="subscript"/>
          <w:lang w:val="en-US" w:bidi="ar-SA"/>
        </w:rPr>
        <w:t>2</w:t>
      </w:r>
      <w:r>
        <w:rPr>
          <w:rFonts w:ascii="Times New Roman" w:hAnsi="Times New Roman" w:cs="Times New Roman"/>
          <w:bCs/>
          <w:color w:val="auto"/>
          <w:w w:val="100"/>
          <w:sz w:val="24"/>
          <w:szCs w:val="24"/>
          <w:highlight w:val="none"/>
          <w:lang w:val="en-US" w:bidi="ar-SA"/>
        </w:rPr>
        <w:t>为以一级保护区边界外扩L</w:t>
      </w:r>
      <w:r>
        <w:rPr>
          <w:rFonts w:ascii="Times New Roman" w:hAnsi="Times New Roman" w:cs="Times New Roman"/>
          <w:bCs/>
          <w:color w:val="auto"/>
          <w:w w:val="100"/>
          <w:sz w:val="24"/>
          <w:szCs w:val="24"/>
          <w:highlight w:val="none"/>
          <w:vertAlign w:val="subscript"/>
          <w:lang w:val="en-US" w:bidi="ar-SA"/>
        </w:rPr>
        <w:t>2</w:t>
      </w:r>
      <w:r>
        <w:rPr>
          <w:rFonts w:ascii="Times New Roman" w:hAnsi="Times New Roman" w:cs="Times New Roman"/>
          <w:bCs/>
          <w:color w:val="auto"/>
          <w:w w:val="100"/>
          <w:sz w:val="24"/>
          <w:szCs w:val="24"/>
          <w:highlight w:val="none"/>
          <w:lang w:val="en-US" w:bidi="ar-SA"/>
        </w:rPr>
        <w:t>=2</w:t>
      </w:r>
      <w:r>
        <w:rPr>
          <w:rFonts w:ascii="Times New Roman" w:hAnsi="Times New Roman" w:cs="Times New Roman"/>
          <w:bCs/>
          <w:color w:val="auto"/>
          <w:w w:val="100"/>
          <w:sz w:val="24"/>
          <w:szCs w:val="24"/>
          <w:highlight w:val="none"/>
          <w:lang w:val="de-DE" w:bidi="ar-SA"/>
        </w:rPr>
        <w:t>×</w:t>
      </w:r>
      <w:r>
        <w:rPr>
          <w:rFonts w:hint="eastAsia" w:ascii="Times New Roman" w:hAnsi="Times New Roman" w:cs="Times New Roman"/>
          <w:bCs/>
          <w:color w:val="auto"/>
          <w:w w:val="100"/>
          <w:sz w:val="24"/>
          <w:szCs w:val="24"/>
          <w:highlight w:val="none"/>
          <w:lang w:val="en-US" w:eastAsia="zh-CN" w:bidi="ar-SA"/>
        </w:rPr>
        <w:t>25</w:t>
      </w:r>
      <w:r>
        <w:rPr>
          <w:rFonts w:ascii="Times New Roman" w:hAnsi="Times New Roman" w:cs="Times New Roman"/>
          <w:bCs/>
          <w:color w:val="auto"/>
          <w:w w:val="100"/>
          <w:sz w:val="24"/>
          <w:szCs w:val="24"/>
          <w:highlight w:val="none"/>
          <w:lang w:val="de-DE" w:bidi="ar-SA"/>
        </w:rPr>
        <w:t>×0.000</w:t>
      </w:r>
      <w:r>
        <w:rPr>
          <w:rFonts w:hint="eastAsia" w:ascii="Times New Roman" w:hAnsi="Times New Roman" w:cs="Times New Roman"/>
          <w:bCs/>
          <w:color w:val="auto"/>
          <w:w w:val="100"/>
          <w:sz w:val="24"/>
          <w:szCs w:val="24"/>
          <w:highlight w:val="none"/>
          <w:lang w:val="en-US" w:eastAsia="zh-CN" w:bidi="ar-SA"/>
        </w:rPr>
        <w:t>27</w:t>
      </w:r>
      <w:r>
        <w:rPr>
          <w:rFonts w:ascii="Times New Roman" w:hAnsi="Times New Roman" w:cs="Times New Roman"/>
          <w:bCs/>
          <w:color w:val="auto"/>
          <w:w w:val="100"/>
          <w:sz w:val="24"/>
          <w:szCs w:val="24"/>
          <w:highlight w:val="none"/>
          <w:lang w:val="de-DE" w:bidi="ar-SA"/>
        </w:rPr>
        <w:t>×（15×365+1000）/0.3=</w:t>
      </w:r>
      <w:r>
        <w:rPr>
          <w:rFonts w:hint="eastAsia" w:ascii="Times New Roman" w:hAnsi="Times New Roman" w:cs="Times New Roman"/>
          <w:bCs/>
          <w:color w:val="auto"/>
          <w:w w:val="100"/>
          <w:sz w:val="24"/>
          <w:szCs w:val="24"/>
          <w:highlight w:val="none"/>
          <w:lang w:val="en-US" w:eastAsia="zh-CN" w:bidi="ar-SA"/>
        </w:rPr>
        <w:t>295.9</w:t>
      </w:r>
      <w:r>
        <w:rPr>
          <w:rFonts w:ascii="Times New Roman" w:hAnsi="Times New Roman" w:cs="Times New Roman"/>
          <w:bCs/>
          <w:color w:val="auto"/>
          <w:w w:val="100"/>
          <w:sz w:val="24"/>
          <w:szCs w:val="24"/>
          <w:highlight w:val="none"/>
          <w:lang w:val="en-US" w:bidi="ar-SA"/>
        </w:rPr>
        <w:t>m的区域；</w:t>
      </w:r>
    </w:p>
    <w:p w14:paraId="01F6803D">
      <w:pPr>
        <w:autoSpaceDE/>
        <w:autoSpaceDN/>
        <w:spacing w:line="440" w:lineRule="exact"/>
        <w:ind w:firstLine="480" w:firstLineChars="200"/>
        <w:jc w:val="both"/>
        <w:rPr>
          <w:rFonts w:ascii="Times New Roman" w:hAnsi="Times New Roman" w:cs="Times New Roman"/>
          <w:bCs/>
          <w:color w:val="auto"/>
          <w:w w:val="100"/>
          <w:sz w:val="24"/>
          <w:szCs w:val="24"/>
          <w:highlight w:val="none"/>
          <w:lang w:val="en-US" w:bidi="ar-SA"/>
        </w:rPr>
      </w:pPr>
      <w:r>
        <w:rPr>
          <w:rFonts w:ascii="Times New Roman" w:hAnsi="Times New Roman" w:cs="Times New Roman"/>
          <w:bCs/>
          <w:color w:val="auto"/>
          <w:w w:val="100"/>
          <w:sz w:val="24"/>
          <w:szCs w:val="24"/>
          <w:highlight w:val="none"/>
          <w:lang w:val="en-US" w:bidi="ar-SA"/>
        </w:rPr>
        <w:t>不敏感区L</w:t>
      </w:r>
      <w:r>
        <w:rPr>
          <w:rFonts w:ascii="Times New Roman" w:hAnsi="Times New Roman" w:cs="Times New Roman"/>
          <w:bCs/>
          <w:color w:val="auto"/>
          <w:w w:val="100"/>
          <w:sz w:val="24"/>
          <w:szCs w:val="24"/>
          <w:highlight w:val="none"/>
          <w:vertAlign w:val="subscript"/>
          <w:lang w:val="en-US" w:bidi="ar-SA"/>
        </w:rPr>
        <w:t>3</w:t>
      </w:r>
      <w:r>
        <w:rPr>
          <w:rFonts w:ascii="Times New Roman" w:hAnsi="Times New Roman" w:cs="Times New Roman"/>
          <w:bCs/>
          <w:color w:val="auto"/>
          <w:w w:val="100"/>
          <w:sz w:val="24"/>
          <w:szCs w:val="24"/>
          <w:highlight w:val="none"/>
          <w:lang w:val="en-US" w:bidi="ar-SA"/>
        </w:rPr>
        <w:t>= L</w:t>
      </w:r>
      <w:r>
        <w:rPr>
          <w:rFonts w:ascii="Times New Roman" w:hAnsi="Times New Roman" w:cs="Times New Roman"/>
          <w:bCs/>
          <w:color w:val="auto"/>
          <w:w w:val="100"/>
          <w:sz w:val="24"/>
          <w:szCs w:val="24"/>
          <w:highlight w:val="none"/>
          <w:vertAlign w:val="subscript"/>
          <w:lang w:val="en-US" w:bidi="ar-SA"/>
        </w:rPr>
        <w:t>1</w:t>
      </w:r>
      <w:r>
        <w:rPr>
          <w:rFonts w:ascii="Times New Roman" w:hAnsi="Times New Roman" w:cs="Times New Roman"/>
          <w:bCs/>
          <w:color w:val="auto"/>
          <w:w w:val="100"/>
          <w:sz w:val="24"/>
          <w:szCs w:val="24"/>
          <w:highlight w:val="none"/>
          <w:lang w:val="en-US" w:bidi="ar-SA"/>
        </w:rPr>
        <w:t>+ L</w:t>
      </w:r>
      <w:r>
        <w:rPr>
          <w:rFonts w:ascii="Times New Roman" w:hAnsi="Times New Roman" w:cs="Times New Roman"/>
          <w:bCs/>
          <w:color w:val="auto"/>
          <w:w w:val="100"/>
          <w:sz w:val="24"/>
          <w:szCs w:val="24"/>
          <w:highlight w:val="none"/>
          <w:vertAlign w:val="subscript"/>
          <w:lang w:val="en-US" w:bidi="ar-SA"/>
        </w:rPr>
        <w:t>2</w:t>
      </w:r>
      <w:r>
        <w:rPr>
          <w:rFonts w:ascii="Times New Roman" w:hAnsi="Times New Roman" w:cs="Times New Roman"/>
          <w:bCs/>
          <w:color w:val="auto"/>
          <w:w w:val="100"/>
          <w:sz w:val="24"/>
          <w:szCs w:val="24"/>
          <w:highlight w:val="none"/>
          <w:lang w:val="en-US" w:bidi="ar-SA"/>
        </w:rPr>
        <w:t>=36+</w:t>
      </w:r>
      <w:r>
        <w:rPr>
          <w:rFonts w:hint="eastAsia" w:ascii="Times New Roman" w:hAnsi="Times New Roman" w:cs="Times New Roman"/>
          <w:bCs/>
          <w:color w:val="auto"/>
          <w:w w:val="100"/>
          <w:sz w:val="24"/>
          <w:szCs w:val="24"/>
          <w:highlight w:val="none"/>
          <w:lang w:val="en-US" w:eastAsia="zh-CN" w:bidi="ar-SA"/>
        </w:rPr>
        <w:t>295.9</w:t>
      </w:r>
      <w:r>
        <w:rPr>
          <w:rFonts w:ascii="Times New Roman" w:hAnsi="Times New Roman" w:cs="Times New Roman"/>
          <w:bCs/>
          <w:color w:val="auto"/>
          <w:w w:val="100"/>
          <w:sz w:val="24"/>
          <w:szCs w:val="24"/>
          <w:highlight w:val="none"/>
          <w:lang w:val="en-US" w:bidi="ar-SA"/>
        </w:rPr>
        <w:t>=</w:t>
      </w:r>
      <w:r>
        <w:rPr>
          <w:rFonts w:hint="eastAsia" w:ascii="Times New Roman" w:hAnsi="Times New Roman" w:cs="Times New Roman"/>
          <w:bCs/>
          <w:color w:val="auto"/>
          <w:w w:val="100"/>
          <w:sz w:val="24"/>
          <w:szCs w:val="24"/>
          <w:highlight w:val="none"/>
          <w:lang w:val="en-US" w:eastAsia="zh-CN" w:bidi="ar-SA"/>
        </w:rPr>
        <w:t>331.9</w:t>
      </w:r>
      <w:r>
        <w:rPr>
          <w:rFonts w:ascii="Times New Roman" w:hAnsi="Times New Roman" w:cs="Times New Roman"/>
          <w:bCs/>
          <w:color w:val="auto"/>
          <w:w w:val="100"/>
          <w:sz w:val="24"/>
          <w:szCs w:val="24"/>
          <w:highlight w:val="none"/>
          <w:lang w:val="en-US" w:bidi="ar-SA"/>
        </w:rPr>
        <w:t>m以外的区域。</w:t>
      </w:r>
    </w:p>
    <w:p w14:paraId="62C95C46">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根据现场调查，</w:t>
      </w:r>
      <w:r>
        <w:rPr>
          <w:rFonts w:hint="eastAsia" w:ascii="Times New Roman" w:hAnsi="Times New Roman" w:cs="Times New Roman" w:eastAsiaTheme="minorEastAsia"/>
          <w:bCs/>
          <w:caps w:val="0"/>
          <w:smallCaps w:val="0"/>
          <w:color w:val="auto"/>
          <w:spacing w:val="0"/>
          <w:w w:val="100"/>
          <w:position w:val="0"/>
          <w:highlight w:val="none"/>
        </w:rPr>
        <w:t>昌德</w:t>
      </w:r>
      <w:r>
        <w:rPr>
          <w:rFonts w:ascii="Times New Roman" w:hAnsi="Times New Roman" w:cs="Times New Roman" w:eastAsiaTheme="minorEastAsia"/>
          <w:bCs/>
          <w:caps w:val="0"/>
          <w:smallCaps w:val="0"/>
          <w:color w:val="auto"/>
          <w:spacing w:val="0"/>
          <w:w w:val="100"/>
          <w:position w:val="0"/>
          <w:highlight w:val="none"/>
        </w:rPr>
        <w:t>镇地下水饮用水水源位于本项目</w:t>
      </w:r>
      <w:r>
        <w:rPr>
          <w:rFonts w:hint="eastAsia" w:ascii="Times New Roman" w:hAnsi="Times New Roman" w:cs="Times New Roman" w:eastAsiaTheme="minorEastAsia"/>
          <w:bCs/>
          <w:caps w:val="0"/>
          <w:smallCaps w:val="0"/>
          <w:color w:val="auto"/>
          <w:spacing w:val="0"/>
          <w:w w:val="100"/>
          <w:position w:val="0"/>
          <w:highlight w:val="none"/>
        </w:rPr>
        <w:t>管道</w:t>
      </w:r>
      <w:r>
        <w:rPr>
          <w:rFonts w:hint="eastAsia" w:ascii="Times New Roman" w:hAnsi="Times New Roman" w:cs="Times New Roman" w:eastAsiaTheme="minorEastAsia"/>
          <w:bCs/>
          <w:caps w:val="0"/>
          <w:smallCaps w:val="0"/>
          <w:color w:val="auto"/>
          <w:spacing w:val="0"/>
          <w:w w:val="100"/>
          <w:position w:val="0"/>
          <w:highlight w:val="none"/>
          <w:lang w:val="en-US" w:eastAsia="zh-CN"/>
        </w:rPr>
        <w:t>西</w:t>
      </w:r>
      <w:r>
        <w:rPr>
          <w:rFonts w:hint="eastAsia" w:ascii="Times New Roman" w:hAnsi="Times New Roman" w:cs="Times New Roman" w:eastAsiaTheme="minorEastAsia"/>
          <w:bCs/>
          <w:caps w:val="0"/>
          <w:smallCaps w:val="0"/>
          <w:color w:val="auto"/>
          <w:spacing w:val="0"/>
          <w:w w:val="100"/>
          <w:position w:val="0"/>
          <w:highlight w:val="none"/>
        </w:rPr>
        <w:t>侧</w:t>
      </w:r>
      <w:r>
        <w:rPr>
          <w:rFonts w:hint="eastAsia" w:ascii="Times New Roman" w:hAnsi="Times New Roman" w:cs="Times New Roman" w:eastAsiaTheme="minorEastAsia"/>
          <w:bCs/>
          <w:caps w:val="0"/>
          <w:smallCaps w:val="0"/>
          <w:color w:val="auto"/>
          <w:spacing w:val="0"/>
          <w:w w:val="100"/>
          <w:position w:val="0"/>
          <w:highlight w:val="none"/>
          <w:lang w:val="en-US" w:eastAsia="zh-CN"/>
        </w:rPr>
        <w:t>500</w:t>
      </w:r>
      <w:r>
        <w:rPr>
          <w:rFonts w:ascii="Times New Roman" w:hAnsi="Times New Roman" w:cs="Times New Roman" w:eastAsiaTheme="minorEastAsia"/>
          <w:bCs/>
          <w:caps w:val="0"/>
          <w:smallCaps w:val="0"/>
          <w:color w:val="auto"/>
          <w:spacing w:val="0"/>
          <w:w w:val="100"/>
          <w:position w:val="0"/>
          <w:highlight w:val="none"/>
        </w:rPr>
        <w:t>m</w:t>
      </w:r>
      <w:r>
        <w:rPr>
          <w:rFonts w:hint="eastAsia" w:ascii="Times New Roman" w:hAnsi="Times New Roman" w:cs="Times New Roman" w:eastAsiaTheme="minorEastAsia"/>
          <w:bCs/>
          <w:caps w:val="0"/>
          <w:smallCaps w:val="0"/>
          <w:color w:val="auto"/>
          <w:spacing w:val="0"/>
          <w:w w:val="100"/>
          <w:position w:val="0"/>
          <w:highlight w:val="none"/>
          <w:lang w:eastAsia="zh-CN"/>
        </w:rPr>
        <w:t>，</w:t>
      </w:r>
      <w:r>
        <w:rPr>
          <w:rFonts w:ascii="Times New Roman" w:hAnsi="Times New Roman" w:cs="Times New Roman" w:eastAsiaTheme="minorEastAsia"/>
          <w:bCs/>
          <w:caps w:val="0"/>
          <w:smallCaps w:val="0"/>
          <w:color w:val="auto"/>
          <w:spacing w:val="0"/>
          <w:w w:val="100"/>
          <w:position w:val="0"/>
          <w:highlight w:val="none"/>
        </w:rPr>
        <w:t>距离本项目最近的承压水分散式饮用水源井为</w:t>
      </w:r>
      <w:r>
        <w:rPr>
          <w:rFonts w:hint="eastAsia" w:ascii="Times New Roman" w:hAnsi="Times New Roman" w:cs="Times New Roman" w:eastAsiaTheme="minorEastAsia"/>
          <w:bCs/>
          <w:caps w:val="0"/>
          <w:smallCaps w:val="0"/>
          <w:color w:val="auto"/>
          <w:spacing w:val="0"/>
          <w:w w:val="100"/>
          <w:position w:val="0"/>
          <w:highlight w:val="none"/>
          <w:lang w:val="en-US" w:eastAsia="zh-CN"/>
        </w:rPr>
        <w:t>拟建管线西侧90m处史家屯</w:t>
      </w:r>
      <w:r>
        <w:rPr>
          <w:rFonts w:ascii="Times New Roman" w:hAnsi="Times New Roman" w:cs="Times New Roman" w:eastAsiaTheme="minorEastAsia"/>
          <w:bCs/>
          <w:caps w:val="0"/>
          <w:smallCaps w:val="0"/>
          <w:color w:val="auto"/>
          <w:spacing w:val="0"/>
          <w:w w:val="100"/>
          <w:position w:val="0"/>
          <w:highlight w:val="none"/>
        </w:rPr>
        <w:t>饮用水井，该水源井在本项目地下水敏感区及较敏感区内。且调查区域内潜水井均不饮用，因此评价区域地下水环境属于“</w:t>
      </w:r>
      <w:r>
        <w:rPr>
          <w:rFonts w:hint="eastAsia" w:ascii="Times New Roman" w:hAnsi="Times New Roman" w:cs="Times New Roman" w:eastAsiaTheme="minorEastAsia"/>
          <w:bCs/>
          <w:caps w:val="0"/>
          <w:smallCaps w:val="0"/>
          <w:color w:val="auto"/>
          <w:spacing w:val="0"/>
          <w:w w:val="100"/>
          <w:position w:val="0"/>
          <w:highlight w:val="none"/>
          <w:lang w:val="en-US" w:eastAsia="zh-CN"/>
        </w:rPr>
        <w:t>较</w:t>
      </w:r>
      <w:r>
        <w:rPr>
          <w:rFonts w:ascii="Times New Roman" w:hAnsi="Times New Roman" w:cs="Times New Roman" w:eastAsiaTheme="minorEastAsia"/>
          <w:bCs/>
          <w:caps w:val="0"/>
          <w:smallCaps w:val="0"/>
          <w:color w:val="auto"/>
          <w:spacing w:val="0"/>
          <w:w w:val="100"/>
          <w:position w:val="0"/>
          <w:highlight w:val="none"/>
        </w:rPr>
        <w:t>敏感”区域。</w:t>
      </w:r>
    </w:p>
    <w:p w14:paraId="7E1BA50E">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（3）评价等级判别</w:t>
      </w:r>
    </w:p>
    <w:p w14:paraId="60649E3F">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建设项目地下水环境影响评价工作等级划分见</w:t>
      </w:r>
      <w:r>
        <w:rPr>
          <w:rFonts w:ascii="Times New Roman" w:hAnsi="Times New Roman" w:eastAsiaTheme="minorEastAsia"/>
          <w:bCs/>
          <w:caps w:val="0"/>
          <w:smallCaps w:val="0"/>
          <w:color w:val="auto"/>
          <w:spacing w:val="0"/>
          <w:w w:val="100"/>
          <w:position w:val="0"/>
          <w:highlight w:val="none"/>
        </w:rPr>
        <w:t>表2.6-4</w:t>
      </w:r>
      <w:r>
        <w:rPr>
          <w:rFonts w:ascii="Times New Roman" w:hAnsi="Times New Roman" w:eastAsiaTheme="minorEastAsia"/>
          <w:caps w:val="0"/>
          <w:smallCaps w:val="0"/>
          <w:snapToGrid w:val="0"/>
          <w:color w:val="auto"/>
          <w:spacing w:val="0"/>
          <w:w w:val="100"/>
          <w:position w:val="0"/>
          <w:highlight w:val="none"/>
        </w:rPr>
        <w:t>。</w:t>
      </w:r>
    </w:p>
    <w:p w14:paraId="10145763">
      <w:pPr>
        <w:pStyle w:val="149"/>
        <w:widowControl w:val="0"/>
        <w:spacing w:line="440" w:lineRule="exact"/>
        <w:ind w:firstLine="478"/>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b/>
          <w:bCs/>
          <w:caps w:val="0"/>
          <w:smallCaps w:val="0"/>
          <w:color w:val="auto"/>
          <w:spacing w:val="0"/>
          <w:w w:val="100"/>
          <w:position w:val="0"/>
          <w:highlight w:val="none"/>
        </w:rPr>
        <w:t>表2.6-4    评价工作等级表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68"/>
        <w:gridCol w:w="2272"/>
        <w:gridCol w:w="2270"/>
        <w:gridCol w:w="2270"/>
      </w:tblGrid>
      <w:tr w14:paraId="77656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tcBorders>
              <w:tl2br w:val="single" w:color="auto" w:sz="4" w:space="0"/>
            </w:tcBorders>
            <w:vAlign w:val="center"/>
          </w:tcPr>
          <w:p w14:paraId="201C7E9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 xml:space="preserve">       项目类别</w:t>
            </w:r>
          </w:p>
          <w:p w14:paraId="6737E586">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环境敏感程度</w:t>
            </w:r>
          </w:p>
        </w:tc>
        <w:tc>
          <w:tcPr>
            <w:tcW w:w="1251" w:type="pct"/>
            <w:tcBorders>
              <w:tl2br w:val="nil"/>
            </w:tcBorders>
            <w:vAlign w:val="center"/>
          </w:tcPr>
          <w:p w14:paraId="0B21E94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Ⅰ</w:t>
            </w:r>
            <w:r>
              <w:rPr>
                <w:rFonts w:ascii="Times New Roman" w:hAnsi="Times New Roman" w:cs="Times New Roman" w:eastAsiaTheme="minorEastAsia"/>
                <w:caps w:val="0"/>
                <w:smallCaps w:val="0"/>
                <w:color w:val="auto"/>
                <w:spacing w:val="0"/>
                <w:w w:val="100"/>
                <w:position w:val="0"/>
                <w:sz w:val="21"/>
                <w:szCs w:val="21"/>
                <w:highlight w:val="none"/>
              </w:rPr>
              <w:t>类项目</w:t>
            </w:r>
          </w:p>
        </w:tc>
        <w:tc>
          <w:tcPr>
            <w:tcW w:w="1250" w:type="pct"/>
            <w:vAlign w:val="center"/>
          </w:tcPr>
          <w:p w14:paraId="5CE4E52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Ⅱ</w:t>
            </w:r>
            <w:r>
              <w:rPr>
                <w:rFonts w:ascii="Times New Roman" w:hAnsi="Times New Roman" w:cs="Times New Roman" w:eastAsiaTheme="minorEastAsia"/>
                <w:caps w:val="0"/>
                <w:smallCaps w:val="0"/>
                <w:color w:val="auto"/>
                <w:spacing w:val="0"/>
                <w:w w:val="100"/>
                <w:position w:val="0"/>
                <w:sz w:val="21"/>
                <w:szCs w:val="21"/>
                <w:highlight w:val="none"/>
              </w:rPr>
              <w:t>类项目</w:t>
            </w:r>
          </w:p>
        </w:tc>
        <w:tc>
          <w:tcPr>
            <w:tcW w:w="1250" w:type="pct"/>
            <w:vAlign w:val="center"/>
          </w:tcPr>
          <w:p w14:paraId="7E20518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Ⅲ</w:t>
            </w:r>
            <w:r>
              <w:rPr>
                <w:rFonts w:ascii="Times New Roman" w:hAnsi="Times New Roman" w:cs="Times New Roman" w:eastAsiaTheme="minorEastAsia"/>
                <w:caps w:val="0"/>
                <w:smallCaps w:val="0"/>
                <w:color w:val="auto"/>
                <w:spacing w:val="0"/>
                <w:w w:val="100"/>
                <w:position w:val="0"/>
                <w:sz w:val="21"/>
                <w:szCs w:val="21"/>
                <w:highlight w:val="none"/>
              </w:rPr>
              <w:t>类项目</w:t>
            </w:r>
          </w:p>
        </w:tc>
      </w:tr>
      <w:tr w14:paraId="19E1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1D92311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敏感</w:t>
            </w:r>
          </w:p>
        </w:tc>
        <w:tc>
          <w:tcPr>
            <w:tcW w:w="1251" w:type="pct"/>
            <w:vAlign w:val="center"/>
          </w:tcPr>
          <w:p w14:paraId="4D13EBA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w:t>
            </w:r>
          </w:p>
        </w:tc>
        <w:tc>
          <w:tcPr>
            <w:tcW w:w="1250" w:type="pct"/>
            <w:vAlign w:val="center"/>
          </w:tcPr>
          <w:p w14:paraId="7E52173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w:t>
            </w:r>
          </w:p>
        </w:tc>
        <w:tc>
          <w:tcPr>
            <w:tcW w:w="1250" w:type="pct"/>
            <w:vAlign w:val="center"/>
          </w:tcPr>
          <w:p w14:paraId="4B3AA0C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w:t>
            </w:r>
          </w:p>
        </w:tc>
      </w:tr>
      <w:tr w14:paraId="26DC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6403DAB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较敏感</w:t>
            </w:r>
          </w:p>
        </w:tc>
        <w:tc>
          <w:tcPr>
            <w:tcW w:w="1251" w:type="pct"/>
            <w:vAlign w:val="center"/>
          </w:tcPr>
          <w:p w14:paraId="597B1AE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w:t>
            </w:r>
          </w:p>
        </w:tc>
        <w:tc>
          <w:tcPr>
            <w:tcW w:w="1250" w:type="pct"/>
            <w:vAlign w:val="center"/>
          </w:tcPr>
          <w:p w14:paraId="01F7608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w:t>
            </w:r>
          </w:p>
        </w:tc>
        <w:tc>
          <w:tcPr>
            <w:tcW w:w="1250" w:type="pct"/>
            <w:vAlign w:val="center"/>
          </w:tcPr>
          <w:p w14:paraId="6805C50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w:t>
            </w:r>
          </w:p>
        </w:tc>
      </w:tr>
      <w:tr w14:paraId="13AC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42AB1E1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不敏感</w:t>
            </w:r>
          </w:p>
        </w:tc>
        <w:tc>
          <w:tcPr>
            <w:tcW w:w="1251" w:type="pct"/>
            <w:vAlign w:val="center"/>
          </w:tcPr>
          <w:p w14:paraId="6FF5A2F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w:t>
            </w:r>
          </w:p>
        </w:tc>
        <w:tc>
          <w:tcPr>
            <w:tcW w:w="1250" w:type="pct"/>
            <w:vAlign w:val="center"/>
          </w:tcPr>
          <w:p w14:paraId="620B6FF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w:t>
            </w:r>
          </w:p>
        </w:tc>
        <w:tc>
          <w:tcPr>
            <w:tcW w:w="1250" w:type="pct"/>
            <w:vAlign w:val="center"/>
          </w:tcPr>
          <w:p w14:paraId="6FBF022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w:t>
            </w:r>
          </w:p>
        </w:tc>
      </w:tr>
    </w:tbl>
    <w:p w14:paraId="504C7B2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根据《环境影响评价技术导则 陆地石油天然气开发建设项目》（HJ349-2023）要求：集输管道按照主要站场位置（输油站、联合站、集气站、泵站和截断阀室等）分段判定评价等级，并按相应等级开展评价工作。根据以上分析，本项目各段</w:t>
      </w:r>
      <w:r>
        <w:rPr>
          <w:rFonts w:hint="eastAsia" w:ascii="Times New Roman" w:hAnsi="Times New Roman" w:cs="Times New Roman" w:eastAsiaTheme="minorEastAsia"/>
          <w:caps w:val="0"/>
          <w:smallCaps w:val="0"/>
          <w:color w:val="auto"/>
          <w:spacing w:val="0"/>
          <w:w w:val="100"/>
          <w:position w:val="0"/>
          <w:highlight w:val="none"/>
        </w:rPr>
        <w:t>输油</w:t>
      </w:r>
      <w:r>
        <w:rPr>
          <w:rFonts w:ascii="Times New Roman" w:hAnsi="Times New Roman" w:cs="Times New Roman" w:eastAsiaTheme="minorEastAsia"/>
          <w:caps w:val="0"/>
          <w:smallCaps w:val="0"/>
          <w:color w:val="auto"/>
          <w:spacing w:val="0"/>
          <w:w w:val="100"/>
          <w:position w:val="0"/>
          <w:highlight w:val="none"/>
        </w:rPr>
        <w:t>管道项目类别为</w:t>
      </w:r>
      <w:r>
        <w:rPr>
          <w:rFonts w:ascii="Times New Roman" w:hAnsi="Times New Roman" w:cs="Times New Roman" w:eastAsiaTheme="minorEastAsia"/>
          <w:caps w:val="0"/>
          <w:smallCaps w:val="0"/>
          <w:color w:val="auto"/>
          <w:spacing w:val="0"/>
          <w:w w:val="100"/>
          <w:position w:val="0"/>
          <w:highlight w:val="none"/>
        </w:rPr>
        <w:fldChar w:fldCharType="begin"/>
      </w:r>
      <w:r>
        <w:rPr>
          <w:rFonts w:ascii="Times New Roman" w:hAnsi="Times New Roman" w:cs="Times New Roman" w:eastAsiaTheme="minorEastAsia"/>
          <w:caps w:val="0"/>
          <w:smallCaps w:val="0"/>
          <w:color w:val="auto"/>
          <w:spacing w:val="0"/>
          <w:w w:val="100"/>
          <w:position w:val="0"/>
          <w:highlight w:val="none"/>
        </w:rPr>
        <w:instrText xml:space="preserve"> = 2 \* ROMAN </w:instrText>
      </w:r>
      <w:r>
        <w:rPr>
          <w:rFonts w:ascii="Times New Roman" w:hAnsi="Times New Roman" w:cs="Times New Roman" w:eastAsiaTheme="minorEastAsia"/>
          <w:caps w:val="0"/>
          <w:smallCaps w:val="0"/>
          <w:color w:val="auto"/>
          <w:spacing w:val="0"/>
          <w:w w:val="100"/>
          <w:position w:val="0"/>
          <w:highlight w:val="none"/>
        </w:rPr>
        <w:fldChar w:fldCharType="separate"/>
      </w:r>
      <w:r>
        <w:rPr>
          <w:rFonts w:ascii="Times New Roman" w:hAnsi="Times New Roman" w:cs="Times New Roman" w:eastAsiaTheme="minorEastAsia"/>
          <w:caps w:val="0"/>
          <w:smallCaps w:val="0"/>
          <w:color w:val="auto"/>
          <w:spacing w:val="0"/>
          <w:w w:val="100"/>
          <w:position w:val="0"/>
          <w:highlight w:val="none"/>
        </w:rPr>
        <w:t>II</w:t>
      </w:r>
      <w:r>
        <w:rPr>
          <w:rFonts w:ascii="Times New Roman" w:hAnsi="Times New Roman" w:cs="Times New Roman" w:eastAsiaTheme="minorEastAsia"/>
          <w:caps w:val="0"/>
          <w:smallCaps w:val="0"/>
          <w:color w:val="auto"/>
          <w:spacing w:val="0"/>
          <w:w w:val="100"/>
          <w:position w:val="0"/>
          <w:highlight w:val="none"/>
        </w:rPr>
        <w:fldChar w:fldCharType="end"/>
      </w:r>
      <w:r>
        <w:rPr>
          <w:rFonts w:ascii="Times New Roman" w:hAnsi="Times New Roman" w:cs="Times New Roman" w:eastAsiaTheme="minorEastAsia"/>
          <w:caps w:val="0"/>
          <w:smallCaps w:val="0"/>
          <w:color w:val="auto"/>
          <w:spacing w:val="0"/>
          <w:w w:val="100"/>
          <w:position w:val="0"/>
          <w:highlight w:val="none"/>
        </w:rPr>
        <w:t>类，环境敏感程度为</w:t>
      </w:r>
      <w:r>
        <w:rPr>
          <w:rFonts w:hint="eastAsia" w:ascii="Times New Roman" w:hAnsi="Times New Roman" w:cs="Times New Roman" w:eastAsiaTheme="minorEastAsia"/>
          <w:caps w:val="0"/>
          <w:smallCaps w:val="0"/>
          <w:color w:val="auto"/>
          <w:spacing w:val="0"/>
          <w:w w:val="100"/>
          <w:position w:val="0"/>
          <w:highlight w:val="none"/>
          <w:lang w:val="en-US" w:eastAsia="zh-CN"/>
        </w:rPr>
        <w:t>较</w:t>
      </w:r>
      <w:r>
        <w:rPr>
          <w:rFonts w:ascii="Times New Roman" w:hAnsi="Times New Roman" w:cs="Times New Roman" w:eastAsiaTheme="minorEastAsia"/>
          <w:caps w:val="0"/>
          <w:smallCaps w:val="0"/>
          <w:color w:val="auto"/>
          <w:spacing w:val="0"/>
          <w:w w:val="100"/>
          <w:position w:val="0"/>
          <w:highlight w:val="none"/>
        </w:rPr>
        <w:t>敏感，因此本项目各段</w:t>
      </w:r>
      <w:r>
        <w:rPr>
          <w:rFonts w:hint="eastAsia" w:ascii="Times New Roman" w:hAnsi="Times New Roman" w:cs="Times New Roman" w:eastAsiaTheme="minorEastAsia"/>
          <w:caps w:val="0"/>
          <w:smallCaps w:val="0"/>
          <w:color w:val="auto"/>
          <w:spacing w:val="0"/>
          <w:w w:val="100"/>
          <w:position w:val="0"/>
          <w:highlight w:val="none"/>
        </w:rPr>
        <w:t>输油</w:t>
      </w:r>
      <w:r>
        <w:rPr>
          <w:rFonts w:ascii="Times New Roman" w:hAnsi="Times New Roman" w:cs="Times New Roman" w:eastAsiaTheme="minorEastAsia"/>
          <w:caps w:val="0"/>
          <w:smallCaps w:val="0"/>
          <w:color w:val="auto"/>
          <w:spacing w:val="0"/>
          <w:w w:val="100"/>
          <w:position w:val="0"/>
          <w:highlight w:val="none"/>
        </w:rPr>
        <w:t>管道地下水环境影响评价工作等级均为“</w:t>
      </w:r>
      <w:r>
        <w:rPr>
          <w:rFonts w:hint="eastAsia" w:ascii="Times New Roman" w:hAnsi="Times New Roman" w:cs="Times New Roman" w:eastAsiaTheme="minorEastAsia"/>
          <w:caps w:val="0"/>
          <w:smallCaps w:val="0"/>
          <w:color w:val="auto"/>
          <w:spacing w:val="0"/>
          <w:w w:val="100"/>
          <w:position w:val="0"/>
          <w:highlight w:val="none"/>
          <w:lang w:val="en-US" w:eastAsia="zh-CN"/>
        </w:rPr>
        <w:t>二</w:t>
      </w:r>
      <w:r>
        <w:rPr>
          <w:rFonts w:ascii="Times New Roman" w:hAnsi="Times New Roman" w:cs="Times New Roman" w:eastAsiaTheme="minorEastAsia"/>
          <w:caps w:val="0"/>
          <w:smallCaps w:val="0"/>
          <w:color w:val="auto"/>
          <w:spacing w:val="0"/>
          <w:w w:val="100"/>
          <w:position w:val="0"/>
          <w:highlight w:val="none"/>
        </w:rPr>
        <w:t xml:space="preserve">级”。 </w:t>
      </w:r>
    </w:p>
    <w:p w14:paraId="444DAB04">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2.6.3.2评价范围</w:t>
      </w:r>
    </w:p>
    <w:p w14:paraId="0DC7F811">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根据《环境影响评价技术导则 陆地石油天然气开发建设项目》（HJ349-2023），地下水环境评价等级和评价范围依据HJ 610的相关原则来确定，并符合下列要求</w:t>
      </w:r>
      <w:r>
        <w:rPr>
          <w:rFonts w:hint="eastAsia" w:ascii="Times New Roman" w:hAnsi="Times New Roman" w:eastAsiaTheme="minorEastAsia"/>
          <w:caps w:val="0"/>
          <w:smallCaps w:val="0"/>
          <w:snapToGrid w:val="0"/>
          <w:color w:val="auto"/>
          <w:spacing w:val="0"/>
          <w:w w:val="100"/>
          <w:position w:val="0"/>
          <w:highlight w:val="none"/>
          <w:lang w:val="en-US" w:eastAsia="zh-CN"/>
        </w:rPr>
        <w:t>线性工程</w:t>
      </w:r>
      <w:r>
        <w:rPr>
          <w:rFonts w:ascii="Times New Roman" w:hAnsi="Times New Roman" w:eastAsiaTheme="minorEastAsia"/>
          <w:caps w:val="0"/>
          <w:smallCaps w:val="0"/>
          <w:snapToGrid w:val="0"/>
          <w:color w:val="auto"/>
          <w:spacing w:val="0"/>
          <w:w w:val="100"/>
          <w:position w:val="0"/>
          <w:highlight w:val="none"/>
        </w:rPr>
        <w:t>以工程边界两侧各向外延伸200米作为调查评价范围，管道穿越饮用水水源准保护区时，调查范围应至少包含水源保护区。</w:t>
      </w:r>
    </w:p>
    <w:p w14:paraId="3E24A8FA">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hint="eastAsia" w:ascii="Times New Roman" w:hAnsi="Times New Roman" w:eastAsiaTheme="minorEastAsia"/>
          <w:caps w:val="0"/>
          <w:smallCaps w:val="0"/>
          <w:snapToGrid w:val="0"/>
          <w:color w:val="auto"/>
          <w:spacing w:val="0"/>
          <w:w w:val="100"/>
          <w:position w:val="0"/>
          <w:highlight w:val="none"/>
        </w:rPr>
        <w:t>根据</w:t>
      </w:r>
      <w:r>
        <w:rPr>
          <w:rFonts w:ascii="Times New Roman" w:hAnsi="Times New Roman" w:eastAsiaTheme="minorEastAsia"/>
          <w:caps w:val="0"/>
          <w:smallCaps w:val="0"/>
          <w:snapToGrid w:val="0"/>
          <w:color w:val="auto"/>
          <w:spacing w:val="0"/>
          <w:w w:val="100"/>
          <w:position w:val="0"/>
          <w:highlight w:val="none"/>
        </w:rPr>
        <w:t>项目区域水文地质情况、地下水现状</w:t>
      </w:r>
      <w:r>
        <w:rPr>
          <w:rFonts w:hint="eastAsia" w:ascii="Times New Roman" w:hAnsi="Times New Roman" w:eastAsiaTheme="minorEastAsia"/>
          <w:caps w:val="0"/>
          <w:smallCaps w:val="0"/>
          <w:snapToGrid w:val="0"/>
          <w:color w:val="auto"/>
          <w:spacing w:val="0"/>
          <w:w w:val="100"/>
          <w:position w:val="0"/>
          <w:highlight w:val="none"/>
        </w:rPr>
        <w:t>监测</w:t>
      </w:r>
      <w:r>
        <w:rPr>
          <w:rFonts w:ascii="Times New Roman" w:hAnsi="Times New Roman" w:eastAsiaTheme="minorEastAsia"/>
          <w:caps w:val="0"/>
          <w:smallCaps w:val="0"/>
          <w:snapToGrid w:val="0"/>
          <w:color w:val="auto"/>
          <w:spacing w:val="0"/>
          <w:w w:val="100"/>
          <w:position w:val="0"/>
          <w:highlight w:val="none"/>
        </w:rPr>
        <w:t>点位分布情况</w:t>
      </w:r>
      <w:r>
        <w:rPr>
          <w:rFonts w:hint="eastAsia" w:ascii="Times New Roman" w:hAnsi="Times New Roman" w:eastAsiaTheme="minorEastAsia"/>
          <w:caps w:val="0"/>
          <w:smallCaps w:val="0"/>
          <w:snapToGrid w:val="0"/>
          <w:color w:val="auto"/>
          <w:spacing w:val="0"/>
          <w:w w:val="100"/>
          <w:position w:val="0"/>
          <w:highlight w:val="none"/>
        </w:rPr>
        <w:t>、</w:t>
      </w:r>
      <w:r>
        <w:rPr>
          <w:rFonts w:ascii="Times New Roman" w:hAnsi="Times New Roman" w:eastAsiaTheme="minorEastAsia"/>
          <w:caps w:val="0"/>
          <w:smallCaps w:val="0"/>
          <w:snapToGrid w:val="0"/>
          <w:color w:val="auto"/>
          <w:spacing w:val="0"/>
          <w:w w:val="100"/>
          <w:position w:val="0"/>
          <w:highlight w:val="none"/>
        </w:rPr>
        <w:t>周围地下水保护目标的分布情况及地下水预测影响最远距离，同时结合该区域地下水流向，确定地下水评价范围为</w:t>
      </w:r>
      <w:r>
        <w:rPr>
          <w:rFonts w:hint="eastAsia" w:ascii="Times New Roman" w:hAnsi="Times New Roman" w:eastAsiaTheme="minorEastAsia"/>
          <w:caps w:val="0"/>
          <w:smallCaps w:val="0"/>
          <w:snapToGrid w:val="0"/>
          <w:color w:val="auto"/>
          <w:spacing w:val="0"/>
          <w:w w:val="100"/>
          <w:position w:val="0"/>
          <w:highlight w:val="none"/>
          <w:lang w:val="en-US" w:eastAsia="zh-CN"/>
        </w:rPr>
        <w:t>东西走向8.4km、南北走向4.8km矩形区域</w:t>
      </w:r>
      <w:r>
        <w:rPr>
          <w:rFonts w:ascii="Times New Roman" w:hAnsi="Times New Roman" w:eastAsiaTheme="minorEastAsia"/>
          <w:caps w:val="0"/>
          <w:smallCaps w:val="0"/>
          <w:snapToGrid w:val="0"/>
          <w:color w:val="auto"/>
          <w:spacing w:val="0"/>
          <w:w w:val="100"/>
          <w:position w:val="0"/>
          <w:highlight w:val="none"/>
        </w:rPr>
        <w:t>，共计约</w:t>
      </w:r>
      <w:r>
        <w:rPr>
          <w:rFonts w:hint="eastAsia" w:ascii="Times New Roman" w:hAnsi="Times New Roman" w:eastAsiaTheme="minorEastAsia"/>
          <w:caps w:val="0"/>
          <w:smallCaps w:val="0"/>
          <w:snapToGrid w:val="0"/>
          <w:color w:val="auto"/>
          <w:spacing w:val="0"/>
          <w:w w:val="100"/>
          <w:position w:val="0"/>
          <w:highlight w:val="none"/>
          <w:lang w:val="en-US" w:eastAsia="zh-CN"/>
        </w:rPr>
        <w:t>40.32</w:t>
      </w:r>
      <w:r>
        <w:rPr>
          <w:rFonts w:ascii="Times New Roman" w:hAnsi="Times New Roman" w:eastAsiaTheme="minorEastAsia"/>
          <w:caps w:val="0"/>
          <w:smallCaps w:val="0"/>
          <w:snapToGrid w:val="0"/>
          <w:color w:val="auto"/>
          <w:spacing w:val="0"/>
          <w:w w:val="100"/>
          <w:position w:val="0"/>
          <w:highlight w:val="none"/>
        </w:rPr>
        <w:t>km</w:t>
      </w:r>
      <w:r>
        <w:rPr>
          <w:rFonts w:ascii="Times New Roman" w:hAnsi="Times New Roman" w:eastAsiaTheme="minorEastAsia"/>
          <w:caps w:val="0"/>
          <w:smallCaps w:val="0"/>
          <w:snapToGrid w:val="0"/>
          <w:color w:val="auto"/>
          <w:spacing w:val="0"/>
          <w:w w:val="100"/>
          <w:position w:val="0"/>
          <w:highlight w:val="none"/>
          <w:vertAlign w:val="superscript"/>
        </w:rPr>
        <w:t>2</w:t>
      </w:r>
      <w:r>
        <w:rPr>
          <w:rFonts w:ascii="Times New Roman" w:hAnsi="Times New Roman" w:eastAsiaTheme="minorEastAsia"/>
          <w:caps w:val="0"/>
          <w:smallCaps w:val="0"/>
          <w:snapToGrid w:val="0"/>
          <w:color w:val="auto"/>
          <w:spacing w:val="0"/>
          <w:w w:val="100"/>
          <w:position w:val="0"/>
          <w:highlight w:val="none"/>
        </w:rPr>
        <w:t>。</w:t>
      </w:r>
    </w:p>
    <w:p w14:paraId="05FE242E">
      <w:pPr>
        <w:pStyle w:val="6"/>
        <w:widowControl w:val="0"/>
        <w:spacing w:before="60" w:after="60"/>
        <w:jc w:val="both"/>
        <w:rPr>
          <w:rFonts w:eastAsiaTheme="minorEastAsia"/>
          <w:b/>
          <w:caps w:val="0"/>
          <w:smallCaps w:val="0"/>
          <w:color w:val="auto"/>
          <w:spacing w:val="0"/>
          <w:w w:val="100"/>
          <w:kern w:val="2"/>
          <w:position w:val="0"/>
          <w:sz w:val="30"/>
          <w:szCs w:val="30"/>
          <w:highlight w:val="none"/>
        </w:rPr>
      </w:pPr>
      <w:bookmarkStart w:id="307" w:name="_Toc57976653"/>
      <w:bookmarkStart w:id="308" w:name="_Toc78816439"/>
      <w:bookmarkStart w:id="309" w:name="_Toc85640731"/>
      <w:bookmarkStart w:id="310" w:name="_Toc17898143"/>
      <w:bookmarkStart w:id="311" w:name="_Toc76976222"/>
      <w:bookmarkStart w:id="312" w:name="_Toc12541"/>
      <w:bookmarkStart w:id="313" w:name="_Toc86141914"/>
      <w:bookmarkStart w:id="314" w:name="_Toc83209451"/>
      <w:bookmarkStart w:id="315" w:name="_Toc57707898"/>
      <w:bookmarkStart w:id="316" w:name="_Toc77067638"/>
      <w:bookmarkStart w:id="317" w:name="_Toc67860107"/>
      <w:bookmarkStart w:id="318" w:name="_Toc57203228"/>
      <w:bookmarkStart w:id="319" w:name="_Toc70050154"/>
      <w:bookmarkStart w:id="320" w:name="_Toc61597200"/>
      <w:bookmarkStart w:id="321" w:name="_Toc110438458"/>
      <w:bookmarkStart w:id="322" w:name="_Toc84929207"/>
      <w:bookmarkStart w:id="323" w:name="_Toc80588234"/>
      <w:bookmarkStart w:id="324" w:name="_Toc80971356"/>
      <w:r>
        <w:rPr>
          <w:rFonts w:eastAsiaTheme="minorEastAsia"/>
          <w:b/>
          <w:caps w:val="0"/>
          <w:smallCaps w:val="0"/>
          <w:color w:val="auto"/>
          <w:spacing w:val="0"/>
          <w:w w:val="100"/>
          <w:kern w:val="2"/>
          <w:position w:val="0"/>
          <w:sz w:val="30"/>
          <w:szCs w:val="30"/>
          <w:highlight w:val="none"/>
        </w:rPr>
        <w:t>2.6.4声环境</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251FAC18">
      <w:pPr>
        <w:pStyle w:val="149"/>
        <w:widowControl w:val="0"/>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2.6.4.1评价等级</w:t>
      </w:r>
    </w:p>
    <w:p w14:paraId="546EFEAA">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bookmarkStart w:id="325" w:name="_Toc57976654"/>
      <w:bookmarkStart w:id="326" w:name="_Toc57707899"/>
      <w:bookmarkStart w:id="327" w:name="_Toc17898144"/>
      <w:bookmarkStart w:id="328" w:name="_Toc5605"/>
      <w:bookmarkStart w:id="329" w:name="_Toc57203229"/>
      <w:r>
        <w:rPr>
          <w:rFonts w:ascii="Times New Roman" w:hAnsi="Times New Roman" w:eastAsiaTheme="minorEastAsia"/>
          <w:caps w:val="0"/>
          <w:smallCaps w:val="0"/>
          <w:snapToGrid w:val="0"/>
          <w:color w:val="auto"/>
          <w:spacing w:val="0"/>
          <w:w w:val="100"/>
          <w:position w:val="0"/>
          <w:highlight w:val="none"/>
        </w:rPr>
        <w:t>根据《环境影响评价技术导则 声环境》（HJ2.4-2021）中规定的声环境影响评价工作等级划分原则：建设项目所处的声环境功能区为GB3096规定的1类、2类地区，或建设项目建设前后评价范围内声环境保护目标噪声级增高量达3dB(A)~5dB(A)，或受噪声影响人口数量增加较多时，评价等级为二级评价。</w:t>
      </w:r>
    </w:p>
    <w:p w14:paraId="67C51E8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主要噪声源为施工期机械设备及运输车辆噪声，噪声源的种类及数量较少，噪声源强度不高，周围居民受影响人口数量增加不多，且项目施工结束后噪声影响即消失，运营期间不产生噪声，项目建设前后评价范围内敏感目标噪声级增高量在5dB(A)以下，且项目所处的声环境功能区为GB3096 2类地区，项目周边村屯所处的声环境功能区为GB3096 1类地区，因此，声环境评价等级为二级。</w:t>
      </w:r>
    </w:p>
    <w:p w14:paraId="106DC678">
      <w:pPr>
        <w:pStyle w:val="149"/>
        <w:widowControl w:val="0"/>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330" w:name="_Toc84929208"/>
      <w:bookmarkStart w:id="331" w:name="_Toc80971357"/>
      <w:bookmarkStart w:id="332" w:name="_Toc80588235"/>
      <w:bookmarkStart w:id="333" w:name="_Toc70050155"/>
      <w:bookmarkStart w:id="334" w:name="_Toc83209452"/>
      <w:bookmarkStart w:id="335" w:name="_Toc61597201"/>
      <w:bookmarkStart w:id="336" w:name="_Toc78816440"/>
      <w:bookmarkStart w:id="337" w:name="_Toc77067639"/>
      <w:bookmarkStart w:id="338" w:name="_Toc85640732"/>
      <w:bookmarkStart w:id="339" w:name="_Toc76976223"/>
      <w:bookmarkStart w:id="340" w:name="_Toc67860108"/>
      <w:r>
        <w:rPr>
          <w:rFonts w:ascii="Times New Roman" w:hAnsi="Times New Roman" w:eastAsiaTheme="minorEastAsia"/>
          <w:b/>
          <w:caps w:val="0"/>
          <w:smallCaps w:val="0"/>
          <w:color w:val="auto"/>
          <w:spacing w:val="0"/>
          <w:w w:val="100"/>
          <w:position w:val="0"/>
          <w:highlight w:val="none"/>
        </w:rPr>
        <w:t>2.6.4.2评价范围</w:t>
      </w:r>
    </w:p>
    <w:p w14:paraId="54F51F1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本项目是以固定声源为主的建设项目，声环境评价等级为二级，根据《环境影响评价技术导则 声环境》（HJ2.4-2021）中要求，一级评价的要求一般以建设项目边界向外200m为评价范围，二级评价范围可根据建设项目所在区域和相邻区域的声环境功能区类别及敏感目标等实际情况适当缩小，且经后续预测分析，项目声源计算得到的贡献值到200 m处可以满足《声环境质量标准》中的二级标准，因此，本项目声环境影响评价范围为拟建管线</w:t>
      </w:r>
      <w:r>
        <w:rPr>
          <w:rFonts w:ascii="Times New Roman" w:hAnsi="Times New Roman" w:eastAsiaTheme="minorEastAsia"/>
          <w:caps w:val="0"/>
          <w:smallCaps w:val="0"/>
          <w:snapToGrid w:val="0"/>
          <w:color w:val="auto"/>
          <w:spacing w:val="0"/>
          <w:w w:val="100"/>
          <w:position w:val="0"/>
          <w:highlight w:val="none"/>
          <w:lang w:bidi="zh-CN"/>
        </w:rPr>
        <w:t>中心线两侧各200m范围内的声环境</w:t>
      </w:r>
      <w:r>
        <w:rPr>
          <w:rFonts w:ascii="Times New Roman" w:hAnsi="Times New Roman" w:eastAsiaTheme="minorEastAsia"/>
          <w:caps w:val="0"/>
          <w:smallCaps w:val="0"/>
          <w:snapToGrid w:val="0"/>
          <w:color w:val="auto"/>
          <w:spacing w:val="0"/>
          <w:w w:val="100"/>
          <w:position w:val="0"/>
          <w:highlight w:val="none"/>
        </w:rPr>
        <w:t>。</w:t>
      </w:r>
    </w:p>
    <w:p w14:paraId="4BF5BE0D">
      <w:pPr>
        <w:pStyle w:val="6"/>
        <w:widowControl w:val="0"/>
        <w:spacing w:before="60" w:after="60"/>
        <w:jc w:val="both"/>
        <w:rPr>
          <w:rFonts w:eastAsiaTheme="minorEastAsia"/>
          <w:b/>
          <w:caps w:val="0"/>
          <w:smallCaps w:val="0"/>
          <w:color w:val="auto"/>
          <w:spacing w:val="0"/>
          <w:w w:val="100"/>
          <w:kern w:val="2"/>
          <w:position w:val="0"/>
          <w:sz w:val="24"/>
          <w:szCs w:val="24"/>
          <w:highlight w:val="none"/>
        </w:rPr>
      </w:pPr>
      <w:bookmarkStart w:id="341" w:name="_Toc110438459"/>
      <w:bookmarkStart w:id="342" w:name="_Toc86141915"/>
      <w:r>
        <w:rPr>
          <w:rFonts w:eastAsiaTheme="minorEastAsia"/>
          <w:b/>
          <w:caps w:val="0"/>
          <w:smallCaps w:val="0"/>
          <w:color w:val="auto"/>
          <w:spacing w:val="0"/>
          <w:w w:val="100"/>
          <w:kern w:val="2"/>
          <w:position w:val="0"/>
          <w:sz w:val="24"/>
          <w:szCs w:val="24"/>
          <w:highlight w:val="none"/>
        </w:rPr>
        <w:t>2.6.5生态环境</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439ADBE7">
      <w:pPr>
        <w:pStyle w:val="149"/>
        <w:widowControl w:val="0"/>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2.6.5.1评价等级</w:t>
      </w:r>
    </w:p>
    <w:p w14:paraId="1FF115D8">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本项目总占地面积为</w:t>
      </w:r>
      <w:r>
        <w:rPr>
          <w:rFonts w:hint="eastAsia" w:ascii="Times New Roman" w:hAnsi="Times New Roman" w:eastAsiaTheme="minorEastAsia"/>
          <w:caps w:val="0"/>
          <w:smallCaps w:val="0"/>
          <w:snapToGrid w:val="0"/>
          <w:color w:val="auto"/>
          <w:spacing w:val="0"/>
          <w:w w:val="100"/>
          <w:position w:val="0"/>
          <w:highlight w:val="none"/>
          <w:lang w:val="en-US" w:eastAsia="zh-CN"/>
        </w:rPr>
        <w:t>21.88</w:t>
      </w:r>
      <w:r>
        <w:rPr>
          <w:rFonts w:ascii="Times New Roman" w:hAnsi="Times New Roman" w:eastAsiaTheme="minorEastAsia"/>
          <w:caps w:val="0"/>
          <w:smallCaps w:val="0"/>
          <w:snapToGrid w:val="0"/>
          <w:color w:val="auto"/>
          <w:spacing w:val="0"/>
          <w:w w:val="100"/>
          <w:position w:val="0"/>
          <w:highlight w:val="none"/>
        </w:rPr>
        <w:t>hm</w:t>
      </w:r>
      <w:r>
        <w:rPr>
          <w:rFonts w:ascii="Times New Roman" w:hAnsi="Times New Roman" w:eastAsiaTheme="minorEastAsia"/>
          <w:caps w:val="0"/>
          <w:smallCaps w:val="0"/>
          <w:snapToGrid w:val="0"/>
          <w:color w:val="auto"/>
          <w:spacing w:val="0"/>
          <w:w w:val="100"/>
          <w:position w:val="0"/>
          <w:highlight w:val="none"/>
          <w:vertAlign w:val="superscript"/>
        </w:rPr>
        <w:t>2</w:t>
      </w:r>
      <w:r>
        <w:rPr>
          <w:rFonts w:ascii="Times New Roman" w:hAnsi="Times New Roman" w:eastAsiaTheme="minorEastAsia"/>
          <w:caps w:val="0"/>
          <w:smallCaps w:val="0"/>
          <w:snapToGrid w:val="0"/>
          <w:color w:val="auto"/>
          <w:spacing w:val="0"/>
          <w:w w:val="100"/>
          <w:position w:val="0"/>
          <w:highlight w:val="none"/>
        </w:rPr>
        <w:t>，均为临时占地，占地面积小于20km</w:t>
      </w:r>
      <w:r>
        <w:rPr>
          <w:rFonts w:ascii="Times New Roman" w:hAnsi="Times New Roman" w:eastAsiaTheme="minorEastAsia"/>
          <w:caps w:val="0"/>
          <w:smallCaps w:val="0"/>
          <w:snapToGrid w:val="0"/>
          <w:color w:val="auto"/>
          <w:spacing w:val="0"/>
          <w:w w:val="100"/>
          <w:position w:val="0"/>
          <w:highlight w:val="none"/>
          <w:vertAlign w:val="superscript"/>
        </w:rPr>
        <w:t>2</w:t>
      </w:r>
      <w:r>
        <w:rPr>
          <w:rFonts w:ascii="Times New Roman" w:hAnsi="Times New Roman" w:eastAsiaTheme="minorEastAsia"/>
          <w:caps w:val="0"/>
          <w:smallCaps w:val="0"/>
          <w:snapToGrid w:val="0"/>
          <w:color w:val="auto"/>
          <w:spacing w:val="0"/>
          <w:w w:val="100"/>
          <w:position w:val="0"/>
          <w:highlight w:val="none"/>
        </w:rPr>
        <w:t>，本项目占地类型为</w:t>
      </w:r>
      <w:r>
        <w:rPr>
          <w:rFonts w:hint="eastAsia" w:ascii="Times New Roman" w:hAnsi="Times New Roman" w:eastAsiaTheme="minorEastAsia"/>
          <w:caps w:val="0"/>
          <w:smallCaps w:val="0"/>
          <w:snapToGrid w:val="0"/>
          <w:color w:val="auto"/>
          <w:spacing w:val="0"/>
          <w:w w:val="100"/>
          <w:position w:val="0"/>
          <w:highlight w:val="none"/>
          <w:lang w:val="en-US" w:eastAsia="zh-CN"/>
        </w:rPr>
        <w:t>耕地（基本农田）和</w:t>
      </w:r>
      <w:r>
        <w:rPr>
          <w:rFonts w:ascii="Times New Roman" w:hAnsi="Times New Roman" w:eastAsiaTheme="minorEastAsia"/>
          <w:bCs/>
          <w:caps w:val="0"/>
          <w:smallCaps w:val="0"/>
          <w:snapToGrid w:val="0"/>
          <w:color w:val="auto"/>
          <w:spacing w:val="0"/>
          <w:w w:val="100"/>
          <w:position w:val="0"/>
          <w:highlight w:val="none"/>
        </w:rPr>
        <w:t>草地（非基本草原）</w:t>
      </w:r>
      <w:r>
        <w:rPr>
          <w:rFonts w:ascii="Times New Roman" w:hAnsi="Times New Roman" w:eastAsiaTheme="minorEastAsia"/>
          <w:caps w:val="0"/>
          <w:smallCaps w:val="0"/>
          <w:snapToGrid w:val="0"/>
          <w:color w:val="auto"/>
          <w:spacing w:val="0"/>
          <w:w w:val="100"/>
          <w:position w:val="0"/>
          <w:highlight w:val="none"/>
        </w:rPr>
        <w:t>，占地范围内没有自然保护区、世界文化和自然遗产地、风景名胜区、森林公园、地质公园、重要湿地、珍稀濒危野生动植物天然集中分布区等，项目不在生态保护红线内。项目土壤影响范围内无天然林、公益林、湿地等生态保护目标</w:t>
      </w:r>
      <w:r>
        <w:rPr>
          <w:rFonts w:ascii="Times New Roman" w:hAnsi="Times New Roman"/>
          <w:caps w:val="0"/>
          <w:smallCaps w:val="0"/>
          <w:color w:val="auto"/>
          <w:spacing w:val="0"/>
          <w:w w:val="100"/>
          <w:kern w:val="2"/>
          <w:position w:val="0"/>
          <w:highlight w:val="none"/>
        </w:rPr>
        <w:t>。因此</w:t>
      </w:r>
      <w:r>
        <w:rPr>
          <w:rFonts w:ascii="Times New Roman" w:hAnsi="Times New Roman" w:eastAsiaTheme="minorEastAsia"/>
          <w:caps w:val="0"/>
          <w:smallCaps w:val="0"/>
          <w:snapToGrid w:val="0"/>
          <w:color w:val="auto"/>
          <w:spacing w:val="0"/>
          <w:w w:val="100"/>
          <w:position w:val="0"/>
          <w:highlight w:val="none"/>
        </w:rPr>
        <w:t>根据《环境影响评价技术导则 生态影响》（HJ19-2022）规定，本项目生态环境评价等级为三级。</w:t>
      </w:r>
    </w:p>
    <w:p w14:paraId="793E4925">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本工程生态环境影响评价工作等级判定见表2.6-5。</w:t>
      </w:r>
    </w:p>
    <w:p w14:paraId="481807BD">
      <w:pPr>
        <w:pStyle w:val="149"/>
        <w:widowControl w:val="0"/>
        <w:spacing w:line="440" w:lineRule="exact"/>
        <w:ind w:firstLine="478"/>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b/>
          <w:bCs/>
          <w:caps w:val="0"/>
          <w:smallCaps w:val="0"/>
          <w:color w:val="auto"/>
          <w:spacing w:val="0"/>
          <w:w w:val="100"/>
          <w:position w:val="0"/>
          <w:highlight w:val="none"/>
        </w:rPr>
        <w:t>表2.6-5    生态影响评价工作等级划分表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21"/>
        <w:gridCol w:w="5941"/>
        <w:gridCol w:w="2601"/>
      </w:tblGrid>
      <w:tr w14:paraId="2EA97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4DB842D1">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评价等级</w:t>
            </w:r>
          </w:p>
        </w:tc>
        <w:tc>
          <w:tcPr>
            <w:tcW w:w="3207" w:type="pct"/>
            <w:tcMar>
              <w:left w:w="85" w:type="dxa"/>
            </w:tcMar>
            <w:vAlign w:val="center"/>
          </w:tcPr>
          <w:p w14:paraId="4EF8231B">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判定内容</w:t>
            </w:r>
          </w:p>
        </w:tc>
        <w:tc>
          <w:tcPr>
            <w:tcW w:w="1404" w:type="pct"/>
            <w:tcMar>
              <w:left w:w="85" w:type="dxa"/>
            </w:tcMar>
            <w:vAlign w:val="center"/>
          </w:tcPr>
          <w:p w14:paraId="7D7D7478">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w:t>
            </w:r>
          </w:p>
        </w:tc>
      </w:tr>
      <w:tr w14:paraId="5C4FE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3CABE3F0">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一级</w:t>
            </w:r>
          </w:p>
        </w:tc>
        <w:tc>
          <w:tcPr>
            <w:tcW w:w="3207" w:type="pct"/>
            <w:tcMar>
              <w:left w:w="85" w:type="dxa"/>
            </w:tcMar>
            <w:vAlign w:val="center"/>
          </w:tcPr>
          <w:p w14:paraId="1725A4CC">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涉及国家公园、自然保护区、世界自然遗产、重要生境时</w:t>
            </w:r>
          </w:p>
        </w:tc>
        <w:tc>
          <w:tcPr>
            <w:tcW w:w="1404" w:type="pct"/>
            <w:tcMar>
              <w:left w:w="85" w:type="dxa"/>
            </w:tcMar>
            <w:vAlign w:val="center"/>
          </w:tcPr>
          <w:p w14:paraId="263798EB">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不涉及</w:t>
            </w:r>
          </w:p>
        </w:tc>
      </w:tr>
      <w:tr w14:paraId="27579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317DCDB6">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二级</w:t>
            </w:r>
          </w:p>
        </w:tc>
        <w:tc>
          <w:tcPr>
            <w:tcW w:w="3207" w:type="pct"/>
            <w:tcMar>
              <w:left w:w="85" w:type="dxa"/>
            </w:tcMar>
            <w:vAlign w:val="center"/>
          </w:tcPr>
          <w:p w14:paraId="5C6CC756">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涉及自然公园</w:t>
            </w:r>
          </w:p>
        </w:tc>
        <w:tc>
          <w:tcPr>
            <w:tcW w:w="1404" w:type="pct"/>
            <w:tcMar>
              <w:left w:w="85" w:type="dxa"/>
            </w:tcMar>
            <w:vAlign w:val="center"/>
          </w:tcPr>
          <w:p w14:paraId="1F14DFCD">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不涉及</w:t>
            </w:r>
          </w:p>
        </w:tc>
      </w:tr>
      <w:tr w14:paraId="2E95A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0171C73C">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不低于二级</w:t>
            </w:r>
          </w:p>
        </w:tc>
        <w:tc>
          <w:tcPr>
            <w:tcW w:w="3207" w:type="pct"/>
            <w:tcMar>
              <w:left w:w="85" w:type="dxa"/>
            </w:tcMar>
            <w:vAlign w:val="center"/>
          </w:tcPr>
          <w:p w14:paraId="50179E10">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①</w:t>
            </w:r>
            <w:r>
              <w:rPr>
                <w:rFonts w:ascii="Times New Roman" w:hAnsi="Times New Roman" w:cs="Times New Roman"/>
                <w:caps w:val="0"/>
                <w:smallCaps w:val="0"/>
                <w:color w:val="auto"/>
                <w:spacing w:val="0"/>
                <w:w w:val="100"/>
                <w:position w:val="0"/>
                <w:sz w:val="21"/>
                <w:szCs w:val="21"/>
                <w:highlight w:val="none"/>
              </w:rPr>
              <w:t>涉及生态保护红线时；根据HJ2.3判断属于水文要素影响型且地表水评价等级不低于二级的建设项目；</w:t>
            </w:r>
            <w:r>
              <w:rPr>
                <w:rFonts w:hint="eastAsia"/>
                <w:caps w:val="0"/>
                <w:smallCaps w:val="0"/>
                <w:color w:val="auto"/>
                <w:spacing w:val="0"/>
                <w:w w:val="100"/>
                <w:position w:val="0"/>
                <w:sz w:val="21"/>
                <w:szCs w:val="21"/>
                <w:highlight w:val="none"/>
              </w:rPr>
              <w:t>②</w:t>
            </w:r>
            <w:r>
              <w:rPr>
                <w:rFonts w:ascii="Times New Roman" w:hAnsi="Times New Roman" w:cs="Times New Roman"/>
                <w:caps w:val="0"/>
                <w:smallCaps w:val="0"/>
                <w:color w:val="auto"/>
                <w:spacing w:val="0"/>
                <w:w w:val="100"/>
                <w:position w:val="0"/>
                <w:sz w:val="21"/>
                <w:szCs w:val="21"/>
                <w:highlight w:val="none"/>
              </w:rPr>
              <w:t>根据HJ610、HJ964判断地下水水位或土壤影响范围内分布有天然林、公益林、湿地等生态保护目标的建设项目；</w:t>
            </w:r>
            <w:r>
              <w:rPr>
                <w:rFonts w:hint="eastAsia"/>
                <w:caps w:val="0"/>
                <w:smallCaps w:val="0"/>
                <w:color w:val="auto"/>
                <w:spacing w:val="0"/>
                <w:w w:val="100"/>
                <w:position w:val="0"/>
                <w:sz w:val="21"/>
                <w:szCs w:val="21"/>
                <w:highlight w:val="none"/>
              </w:rPr>
              <w:t>③</w:t>
            </w:r>
            <w:r>
              <w:rPr>
                <w:rFonts w:ascii="Times New Roman" w:hAnsi="Times New Roman" w:cs="Times New Roman"/>
                <w:caps w:val="0"/>
                <w:smallCaps w:val="0"/>
                <w:color w:val="auto"/>
                <w:spacing w:val="0"/>
                <w:w w:val="100"/>
                <w:position w:val="0"/>
                <w:sz w:val="21"/>
                <w:szCs w:val="21"/>
                <w:highlight w:val="none"/>
              </w:rPr>
              <w:t>当工程占地规模大于20km</w:t>
            </w:r>
            <w:r>
              <w:rPr>
                <w:rFonts w:ascii="Times New Roman" w:hAnsi="Times New Roman" w:cs="Times New Roman"/>
                <w:caps w:val="0"/>
                <w:smallCaps w:val="0"/>
                <w:color w:val="auto"/>
                <w:spacing w:val="0"/>
                <w:w w:val="100"/>
                <w:position w:val="0"/>
                <w:sz w:val="21"/>
                <w:szCs w:val="21"/>
                <w:highlight w:val="none"/>
                <w:vertAlign w:val="superscript"/>
              </w:rPr>
              <w:t>2</w:t>
            </w:r>
            <w:r>
              <w:rPr>
                <w:rFonts w:ascii="Times New Roman" w:hAnsi="Times New Roman" w:cs="Times New Roman"/>
                <w:caps w:val="0"/>
                <w:smallCaps w:val="0"/>
                <w:color w:val="auto"/>
                <w:spacing w:val="0"/>
                <w:w w:val="100"/>
                <w:position w:val="0"/>
                <w:sz w:val="21"/>
                <w:szCs w:val="21"/>
                <w:highlight w:val="none"/>
              </w:rPr>
              <w:t>时（包括永久和临时占用陆域和水域）。</w:t>
            </w:r>
          </w:p>
        </w:tc>
        <w:tc>
          <w:tcPr>
            <w:tcW w:w="1404" w:type="pct"/>
            <w:tcMar>
              <w:left w:w="85" w:type="dxa"/>
            </w:tcMar>
            <w:vAlign w:val="center"/>
          </w:tcPr>
          <w:p w14:paraId="375EF515">
            <w:pPr>
              <w:spacing w:line="360" w:lineRule="exact"/>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本项目不涉及生态保护红线，地表水为水污染影响型，评价等级为三级B；</w:t>
            </w:r>
            <w:r>
              <w:rPr>
                <w:rFonts w:ascii="Times New Roman" w:hAnsi="Times New Roman" w:cs="Times New Roman"/>
                <w:caps w:val="0"/>
                <w:smallCaps w:val="0"/>
                <w:color w:val="auto"/>
                <w:spacing w:val="0"/>
                <w:w w:val="100"/>
                <w:position w:val="0"/>
                <w:sz w:val="21"/>
                <w:szCs w:val="21"/>
                <w:highlight w:val="none"/>
                <w:lang w:bidi="zh-CN"/>
              </w:rPr>
              <w:t>土壤范围内无天然林、公益林、湿地等生态保护目标，项目占地</w:t>
            </w:r>
            <w:r>
              <w:rPr>
                <w:rFonts w:hint="eastAsia" w:ascii="Times New Roman" w:hAnsi="Times New Roman" w:cs="Times New Roman"/>
                <w:caps w:val="0"/>
                <w:smallCaps w:val="0"/>
                <w:color w:val="auto"/>
                <w:spacing w:val="0"/>
                <w:w w:val="100"/>
                <w:position w:val="0"/>
                <w:sz w:val="21"/>
                <w:szCs w:val="21"/>
                <w:highlight w:val="none"/>
                <w:lang w:val="en-US" w:bidi="zh-CN"/>
              </w:rPr>
              <w:t>0.2188</w:t>
            </w:r>
            <w:r>
              <w:rPr>
                <w:rFonts w:ascii="Times New Roman" w:hAnsi="Times New Roman" w:cs="Times New Roman"/>
                <w:caps w:val="0"/>
                <w:smallCaps w:val="0"/>
                <w:color w:val="auto"/>
                <w:spacing w:val="0"/>
                <w:w w:val="100"/>
                <w:position w:val="0"/>
                <w:sz w:val="21"/>
                <w:szCs w:val="21"/>
                <w:highlight w:val="none"/>
                <w:lang w:bidi="zh-CN"/>
              </w:rPr>
              <w:t>km</w:t>
            </w:r>
            <w:r>
              <w:rPr>
                <w:rFonts w:ascii="Times New Roman" w:hAnsi="Times New Roman" w:cs="Times New Roman"/>
                <w:caps w:val="0"/>
                <w:smallCaps w:val="0"/>
                <w:color w:val="auto"/>
                <w:spacing w:val="0"/>
                <w:w w:val="100"/>
                <w:position w:val="0"/>
                <w:sz w:val="21"/>
                <w:szCs w:val="21"/>
                <w:highlight w:val="none"/>
                <w:vertAlign w:val="superscript"/>
                <w:lang w:bidi="zh-CN"/>
              </w:rPr>
              <w:t>2</w:t>
            </w:r>
            <w:r>
              <w:rPr>
                <w:rFonts w:ascii="Times New Roman" w:hAnsi="Times New Roman" w:cs="Times New Roman"/>
                <w:caps w:val="0"/>
                <w:smallCaps w:val="0"/>
                <w:color w:val="auto"/>
                <w:spacing w:val="0"/>
                <w:w w:val="100"/>
                <w:position w:val="0"/>
                <w:sz w:val="21"/>
                <w:szCs w:val="21"/>
                <w:highlight w:val="none"/>
                <w:lang w:bidi="zh-CN"/>
              </w:rPr>
              <w:t>，小于20km</w:t>
            </w:r>
            <w:r>
              <w:rPr>
                <w:rFonts w:ascii="Times New Roman" w:hAnsi="Times New Roman" w:cs="Times New Roman"/>
                <w:caps w:val="0"/>
                <w:smallCaps w:val="0"/>
                <w:color w:val="auto"/>
                <w:spacing w:val="0"/>
                <w:w w:val="100"/>
                <w:position w:val="0"/>
                <w:sz w:val="21"/>
                <w:szCs w:val="21"/>
                <w:highlight w:val="none"/>
                <w:vertAlign w:val="superscript"/>
                <w:lang w:bidi="zh-CN"/>
              </w:rPr>
              <w:t>2</w:t>
            </w:r>
          </w:p>
        </w:tc>
      </w:tr>
      <w:tr w14:paraId="1FCC7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3834AC0B">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三级</w:t>
            </w:r>
          </w:p>
        </w:tc>
        <w:tc>
          <w:tcPr>
            <w:tcW w:w="3207" w:type="pct"/>
            <w:tcMar>
              <w:left w:w="85" w:type="dxa"/>
            </w:tcMar>
            <w:vAlign w:val="center"/>
          </w:tcPr>
          <w:p w14:paraId="37AA3EF3">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以上之外的</w:t>
            </w:r>
          </w:p>
        </w:tc>
        <w:tc>
          <w:tcPr>
            <w:tcW w:w="1404" w:type="pct"/>
            <w:tcMar>
              <w:left w:w="85" w:type="dxa"/>
            </w:tcMar>
            <w:vAlign w:val="center"/>
          </w:tcPr>
          <w:p w14:paraId="7DAFEE74">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涉及</w:t>
            </w:r>
          </w:p>
        </w:tc>
      </w:tr>
      <w:tr w14:paraId="2949E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7ED70E62">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说明</w:t>
            </w:r>
          </w:p>
        </w:tc>
        <w:tc>
          <w:tcPr>
            <w:tcW w:w="3207" w:type="pct"/>
            <w:tcMar>
              <w:left w:w="85" w:type="dxa"/>
            </w:tcMar>
            <w:vAlign w:val="center"/>
          </w:tcPr>
          <w:p w14:paraId="3D84A899">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caps w:val="0"/>
                <w:smallCaps w:val="0"/>
                <w:color w:val="auto"/>
                <w:spacing w:val="0"/>
                <w:w w:val="100"/>
                <w:position w:val="0"/>
                <w:sz w:val="21"/>
                <w:szCs w:val="21"/>
                <w:highlight w:val="none"/>
              </w:rPr>
              <w:t>①</w:t>
            </w:r>
            <w:r>
              <w:rPr>
                <w:rFonts w:ascii="Times New Roman" w:hAnsi="Times New Roman" w:cs="Times New Roman"/>
                <w:caps w:val="0"/>
                <w:smallCaps w:val="0"/>
                <w:color w:val="auto"/>
                <w:spacing w:val="0"/>
                <w:w w:val="100"/>
                <w:position w:val="0"/>
                <w:sz w:val="21"/>
                <w:szCs w:val="21"/>
                <w:highlight w:val="none"/>
              </w:rPr>
              <w:t>改扩建项目的占地范围以新增占地（包括陆域和水域）确定；</w:t>
            </w:r>
            <w:r>
              <w:rPr>
                <w:rFonts w:hint="eastAsia"/>
                <w:caps w:val="0"/>
                <w:smallCaps w:val="0"/>
                <w:color w:val="auto"/>
                <w:spacing w:val="0"/>
                <w:w w:val="100"/>
                <w:position w:val="0"/>
                <w:sz w:val="21"/>
                <w:szCs w:val="21"/>
                <w:highlight w:val="none"/>
              </w:rPr>
              <w:t>②</w:t>
            </w:r>
            <w:r>
              <w:rPr>
                <w:rFonts w:ascii="Times New Roman" w:hAnsi="Times New Roman" w:cs="Times New Roman"/>
                <w:caps w:val="0"/>
                <w:smallCaps w:val="0"/>
                <w:color w:val="auto"/>
                <w:spacing w:val="0"/>
                <w:w w:val="100"/>
                <w:position w:val="0"/>
                <w:sz w:val="21"/>
                <w:szCs w:val="21"/>
                <w:highlight w:val="none"/>
              </w:rPr>
              <w:t>当评价等级判定同时符合上述多种情况时，应采用其中最高的评价等级；</w:t>
            </w:r>
            <w:r>
              <w:rPr>
                <w:rFonts w:hint="eastAsia"/>
                <w:caps w:val="0"/>
                <w:smallCaps w:val="0"/>
                <w:color w:val="auto"/>
                <w:spacing w:val="0"/>
                <w:w w:val="100"/>
                <w:position w:val="0"/>
                <w:sz w:val="21"/>
                <w:szCs w:val="21"/>
                <w:highlight w:val="none"/>
              </w:rPr>
              <w:t>③</w:t>
            </w:r>
            <w:r>
              <w:rPr>
                <w:rFonts w:ascii="Times New Roman" w:hAnsi="Times New Roman" w:cs="Times New Roman"/>
                <w:caps w:val="0"/>
                <w:smallCaps w:val="0"/>
                <w:color w:val="auto"/>
                <w:spacing w:val="0"/>
                <w:w w:val="100"/>
                <w:position w:val="0"/>
                <w:sz w:val="21"/>
                <w:szCs w:val="21"/>
                <w:highlight w:val="none"/>
              </w:rPr>
              <w:t>建设项目涉及经论证对保护生物多样性具有重要意义的区域时，可适当上调评价等级。</w:t>
            </w:r>
            <w:r>
              <w:rPr>
                <w:rFonts w:hint="eastAsia"/>
                <w:caps w:val="0"/>
                <w:smallCaps w:val="0"/>
                <w:color w:val="auto"/>
                <w:spacing w:val="0"/>
                <w:w w:val="100"/>
                <w:position w:val="0"/>
                <w:sz w:val="21"/>
                <w:szCs w:val="21"/>
                <w:highlight w:val="none"/>
              </w:rPr>
              <w:t>④</w:t>
            </w:r>
            <w:r>
              <w:rPr>
                <w:rFonts w:ascii="Times New Roman" w:hAnsi="Times New Roman" w:cs="Times New Roman"/>
                <w:caps w:val="0"/>
                <w:smallCaps w:val="0"/>
                <w:color w:val="auto"/>
                <w:spacing w:val="0"/>
                <w:w w:val="100"/>
                <w:position w:val="0"/>
                <w:sz w:val="21"/>
                <w:szCs w:val="21"/>
                <w:highlight w:val="none"/>
              </w:rPr>
              <w:t>建设项目同时涉及陆生、水生生态影响时，可针对陆生生态、水生生态分别判定评价等级。</w:t>
            </w:r>
            <w:r>
              <w:rPr>
                <w:rFonts w:hint="eastAsia"/>
                <w:caps w:val="0"/>
                <w:smallCaps w:val="0"/>
                <w:color w:val="auto"/>
                <w:spacing w:val="0"/>
                <w:w w:val="100"/>
                <w:position w:val="0"/>
                <w:sz w:val="21"/>
                <w:szCs w:val="21"/>
                <w:highlight w:val="none"/>
              </w:rPr>
              <w:t>⑤</w:t>
            </w:r>
            <w:r>
              <w:rPr>
                <w:rFonts w:ascii="Times New Roman" w:hAnsi="Times New Roman" w:cs="Times New Roman"/>
                <w:caps w:val="0"/>
                <w:smallCaps w:val="0"/>
                <w:color w:val="auto"/>
                <w:spacing w:val="0"/>
                <w:w w:val="100"/>
                <w:position w:val="0"/>
                <w:sz w:val="21"/>
                <w:szCs w:val="21"/>
                <w:highlight w:val="none"/>
              </w:rPr>
              <w:t>在矿山开采可能导致矿区土地利用类型明显改变，或拦河闸坝建设可能明显改变水文情势等情况下，评价等级应上调一级。</w:t>
            </w:r>
            <w:r>
              <w:rPr>
                <w:rFonts w:hint="eastAsia"/>
                <w:caps w:val="0"/>
                <w:smallCaps w:val="0"/>
                <w:color w:val="auto"/>
                <w:spacing w:val="0"/>
                <w:w w:val="100"/>
                <w:position w:val="0"/>
                <w:sz w:val="21"/>
                <w:szCs w:val="21"/>
                <w:highlight w:val="none"/>
              </w:rPr>
              <w:t>⑥</w:t>
            </w:r>
            <w:r>
              <w:rPr>
                <w:rFonts w:ascii="Times New Roman" w:hAnsi="Times New Roman" w:cs="Times New Roman"/>
                <w:caps w:val="0"/>
                <w:smallCaps w:val="0"/>
                <w:color w:val="auto"/>
                <w:spacing w:val="0"/>
                <w:w w:val="100"/>
                <w:position w:val="0"/>
                <w:sz w:val="21"/>
                <w:szCs w:val="21"/>
                <w:highlight w:val="none"/>
              </w:rPr>
              <w:t>线性工程可分段确定评价等级。线性工程地下穿越或地表跨越生态敏感区，在生态敏感区范围内无永久、临时占地时，评价等级可下调一级。</w:t>
            </w:r>
            <w:r>
              <w:rPr>
                <w:rFonts w:hint="eastAsia"/>
                <w:caps w:val="0"/>
                <w:smallCaps w:val="0"/>
                <w:color w:val="auto"/>
                <w:spacing w:val="0"/>
                <w:w w:val="100"/>
                <w:position w:val="0"/>
                <w:sz w:val="21"/>
                <w:szCs w:val="21"/>
                <w:highlight w:val="none"/>
              </w:rPr>
              <w:t>⑦</w:t>
            </w:r>
            <w:r>
              <w:rPr>
                <w:rFonts w:ascii="Times New Roman" w:hAnsi="Times New Roman" w:cs="Times New Roman"/>
                <w:caps w:val="0"/>
                <w:smallCaps w:val="0"/>
                <w:color w:val="auto"/>
                <w:spacing w:val="0"/>
                <w:w w:val="100"/>
                <w:position w:val="0"/>
                <w:sz w:val="21"/>
                <w:szCs w:val="21"/>
                <w:highlight w:val="none"/>
              </w:rPr>
              <w:t>涉海工程评价等级判定参照 GB/T 19485。</w:t>
            </w:r>
          </w:p>
        </w:tc>
        <w:tc>
          <w:tcPr>
            <w:tcW w:w="1404" w:type="pct"/>
            <w:tcMar>
              <w:left w:w="85" w:type="dxa"/>
            </w:tcMar>
            <w:vAlign w:val="center"/>
          </w:tcPr>
          <w:p w14:paraId="2C15F5C5">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不涉及</w:t>
            </w:r>
          </w:p>
        </w:tc>
      </w:tr>
      <w:tr w14:paraId="7A730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4C65082B">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简单分析</w:t>
            </w:r>
          </w:p>
        </w:tc>
        <w:tc>
          <w:tcPr>
            <w:tcW w:w="3207" w:type="pct"/>
            <w:tcMar>
              <w:left w:w="85" w:type="dxa"/>
            </w:tcMar>
            <w:vAlign w:val="center"/>
          </w:tcPr>
          <w:p w14:paraId="0E7CB331">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tc>
        <w:tc>
          <w:tcPr>
            <w:tcW w:w="1404" w:type="pct"/>
            <w:tcMar>
              <w:left w:w="85" w:type="dxa"/>
            </w:tcMar>
            <w:vAlign w:val="center"/>
          </w:tcPr>
          <w:p w14:paraId="33333031">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不涉及，本项目为生态影响类项目</w:t>
            </w:r>
          </w:p>
        </w:tc>
      </w:tr>
    </w:tbl>
    <w:p w14:paraId="023894FB">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2.6.5.2评价范围</w:t>
      </w:r>
    </w:p>
    <w:p w14:paraId="066F8E97">
      <w:pPr>
        <w:pStyle w:val="149"/>
        <w:widowControl w:val="0"/>
        <w:spacing w:line="440" w:lineRule="exact"/>
        <w:ind w:firstLine="473"/>
        <w:jc w:val="both"/>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根据《环境影响评价技术导则 陆地石油天然气开发建设项目》（HJ349-2023）要求，本项目评价范围为拟建管线及废弃管线沿线两侧外扩300m区域的生态环境。</w:t>
      </w:r>
    </w:p>
    <w:p w14:paraId="58921AD6">
      <w:pPr>
        <w:pStyle w:val="6"/>
        <w:widowControl w:val="0"/>
        <w:spacing w:before="60" w:after="60"/>
        <w:jc w:val="both"/>
        <w:rPr>
          <w:rFonts w:eastAsiaTheme="minorEastAsia"/>
          <w:b/>
          <w:caps w:val="0"/>
          <w:smallCaps w:val="0"/>
          <w:color w:val="auto"/>
          <w:spacing w:val="0"/>
          <w:w w:val="100"/>
          <w:kern w:val="2"/>
          <w:position w:val="0"/>
          <w:sz w:val="24"/>
          <w:szCs w:val="24"/>
          <w:highlight w:val="none"/>
        </w:rPr>
      </w:pPr>
      <w:bookmarkStart w:id="343" w:name="_Toc78816441"/>
      <w:bookmarkStart w:id="344" w:name="_Toc110438460"/>
      <w:bookmarkStart w:id="345" w:name="_Toc77067640"/>
      <w:bookmarkStart w:id="346" w:name="_Toc57203230"/>
      <w:bookmarkStart w:id="347" w:name="_Toc80588236"/>
      <w:bookmarkStart w:id="348" w:name="_Toc86141916"/>
      <w:bookmarkStart w:id="349" w:name="_Toc57707900"/>
      <w:bookmarkStart w:id="350" w:name="_Toc57976655"/>
      <w:bookmarkStart w:id="351" w:name="_Toc84929209"/>
      <w:bookmarkStart w:id="352" w:name="_Toc67860109"/>
      <w:bookmarkStart w:id="353" w:name="_Toc83209453"/>
      <w:bookmarkStart w:id="354" w:name="_Toc17898145"/>
      <w:bookmarkStart w:id="355" w:name="_Toc76976224"/>
      <w:bookmarkStart w:id="356" w:name="_Toc85640733"/>
      <w:bookmarkStart w:id="357" w:name="_Toc80971358"/>
      <w:bookmarkStart w:id="358" w:name="_Toc61597202"/>
      <w:bookmarkStart w:id="359" w:name="_Toc70050156"/>
      <w:r>
        <w:rPr>
          <w:rFonts w:eastAsiaTheme="minorEastAsia"/>
          <w:b/>
          <w:caps w:val="0"/>
          <w:smallCaps w:val="0"/>
          <w:color w:val="auto"/>
          <w:spacing w:val="0"/>
          <w:w w:val="100"/>
          <w:kern w:val="2"/>
          <w:position w:val="0"/>
          <w:sz w:val="24"/>
          <w:szCs w:val="24"/>
          <w:highlight w:val="none"/>
        </w:rPr>
        <w:t>2.6.6土壤环境</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16127FE3">
      <w:pPr>
        <w:pStyle w:val="149"/>
        <w:widowControl w:val="0"/>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2.6.6.1评价等级</w:t>
      </w:r>
    </w:p>
    <w:p w14:paraId="14DD47CD">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（1）土壤环境影响评价项目类别</w:t>
      </w:r>
    </w:p>
    <w:p w14:paraId="49FE44A6">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w:t>
      </w:r>
      <w:r>
        <w:rPr>
          <w:rFonts w:hint="eastAsia" w:ascii="Times New Roman" w:hAnsi="Times New Roman" w:eastAsiaTheme="minorEastAsia"/>
          <w:caps w:val="0"/>
          <w:smallCaps w:val="0"/>
          <w:snapToGrid w:val="0"/>
          <w:color w:val="auto"/>
          <w:spacing w:val="0"/>
          <w:w w:val="100"/>
          <w:position w:val="0"/>
          <w:highlight w:val="none"/>
        </w:rPr>
        <w:t>2025年</w:t>
      </w:r>
      <w:r>
        <w:rPr>
          <w:rFonts w:hint="eastAsia" w:ascii="Times New Roman" w:hAnsi="Times New Roman" w:eastAsiaTheme="minorEastAsia"/>
          <w:caps w:val="0"/>
          <w:smallCaps w:val="0"/>
          <w:snapToGrid w:val="0"/>
          <w:color w:val="auto"/>
          <w:spacing w:val="0"/>
          <w:w w:val="100"/>
          <w:position w:val="0"/>
          <w:highlight w:val="none"/>
          <w:lang w:val="en-US" w:eastAsia="zh-CN"/>
        </w:rPr>
        <w:t>5</w:t>
      </w:r>
      <w:r>
        <w:rPr>
          <w:rFonts w:hint="eastAsia" w:ascii="Times New Roman" w:hAnsi="Times New Roman" w:eastAsiaTheme="minorEastAsia"/>
          <w:caps w:val="0"/>
          <w:smallCaps w:val="0"/>
          <w:snapToGrid w:val="0"/>
          <w:color w:val="auto"/>
          <w:spacing w:val="0"/>
          <w:w w:val="100"/>
          <w:position w:val="0"/>
          <w:highlight w:val="none"/>
        </w:rPr>
        <w:t>月</w:t>
      </w:r>
      <w:r>
        <w:rPr>
          <w:rFonts w:hint="eastAsia" w:ascii="Times New Roman" w:hAnsi="Times New Roman" w:eastAsiaTheme="minorEastAsia"/>
          <w:caps w:val="0"/>
          <w:smallCaps w:val="0"/>
          <w:snapToGrid w:val="0"/>
          <w:color w:val="auto"/>
          <w:spacing w:val="0"/>
          <w:w w:val="100"/>
          <w:position w:val="0"/>
          <w:highlight w:val="none"/>
          <w:lang w:val="en-US" w:eastAsia="zh-CN"/>
        </w:rPr>
        <w:t>27</w:t>
      </w:r>
      <w:r>
        <w:rPr>
          <w:rFonts w:hint="eastAsia" w:ascii="Times New Roman" w:hAnsi="Times New Roman" w:eastAsiaTheme="minorEastAsia"/>
          <w:caps w:val="0"/>
          <w:smallCaps w:val="0"/>
          <w:snapToGrid w:val="0"/>
          <w:color w:val="auto"/>
          <w:spacing w:val="0"/>
          <w:w w:val="100"/>
          <w:position w:val="0"/>
          <w:highlight w:val="none"/>
        </w:rPr>
        <w:t>日</w:t>
      </w:r>
      <w:r>
        <w:rPr>
          <w:rFonts w:ascii="Times New Roman" w:hAnsi="Times New Roman" w:eastAsiaTheme="minorEastAsia"/>
          <w:caps w:val="0"/>
          <w:smallCaps w:val="0"/>
          <w:snapToGrid w:val="0"/>
          <w:color w:val="auto"/>
          <w:spacing w:val="0"/>
          <w:w w:val="100"/>
          <w:position w:val="0"/>
          <w:highlight w:val="none"/>
        </w:rPr>
        <w:t>对项目区域土壤监测结果，区域土壤pH 值在7.7</w:t>
      </w:r>
      <w:r>
        <w:rPr>
          <w:rFonts w:hint="eastAsia" w:ascii="Times New Roman" w:hAnsi="Times New Roman" w:eastAsiaTheme="minorEastAsia"/>
          <w:caps w:val="0"/>
          <w:smallCaps w:val="0"/>
          <w:snapToGrid w:val="0"/>
          <w:color w:val="auto"/>
          <w:spacing w:val="0"/>
          <w:w w:val="100"/>
          <w:position w:val="0"/>
          <w:highlight w:val="none"/>
          <w:lang w:val="en-US" w:eastAsia="zh-CN"/>
        </w:rPr>
        <w:t>4</w:t>
      </w:r>
      <w:r>
        <w:rPr>
          <w:rFonts w:ascii="Times New Roman" w:hAnsi="Times New Roman" w:eastAsiaTheme="minorEastAsia"/>
          <w:caps w:val="0"/>
          <w:smallCaps w:val="0"/>
          <w:snapToGrid w:val="0"/>
          <w:color w:val="auto"/>
          <w:spacing w:val="0"/>
          <w:w w:val="100"/>
          <w:position w:val="0"/>
          <w:highlight w:val="none"/>
        </w:rPr>
        <w:t>~</w:t>
      </w:r>
      <w:r>
        <w:rPr>
          <w:rFonts w:hint="eastAsia" w:ascii="Times New Roman" w:hAnsi="Times New Roman" w:eastAsiaTheme="minorEastAsia"/>
          <w:caps w:val="0"/>
          <w:smallCaps w:val="0"/>
          <w:snapToGrid w:val="0"/>
          <w:color w:val="auto"/>
          <w:spacing w:val="0"/>
          <w:w w:val="100"/>
          <w:position w:val="0"/>
          <w:highlight w:val="none"/>
          <w:lang w:val="en-US" w:eastAsia="zh-CN"/>
        </w:rPr>
        <w:t>8.22</w:t>
      </w:r>
      <w:r>
        <w:rPr>
          <w:rFonts w:ascii="Times New Roman" w:hAnsi="Times New Roman" w:eastAsiaTheme="minorEastAsia"/>
          <w:caps w:val="0"/>
          <w:smallCaps w:val="0"/>
          <w:snapToGrid w:val="0"/>
          <w:color w:val="auto"/>
          <w:spacing w:val="0"/>
          <w:w w:val="100"/>
          <w:position w:val="0"/>
          <w:highlight w:val="none"/>
        </w:rPr>
        <w:t>之间，土壤含盐量在0.</w:t>
      </w:r>
      <w:r>
        <w:rPr>
          <w:rFonts w:hint="eastAsia" w:ascii="Times New Roman" w:hAnsi="Times New Roman" w:eastAsiaTheme="minorEastAsia"/>
          <w:caps w:val="0"/>
          <w:smallCaps w:val="0"/>
          <w:snapToGrid w:val="0"/>
          <w:color w:val="auto"/>
          <w:spacing w:val="0"/>
          <w:w w:val="100"/>
          <w:position w:val="0"/>
          <w:highlight w:val="none"/>
          <w:lang w:val="en-US" w:eastAsia="zh-CN"/>
        </w:rPr>
        <w:t>5</w:t>
      </w:r>
      <w:r>
        <w:rPr>
          <w:rFonts w:ascii="Times New Roman" w:hAnsi="Times New Roman" w:eastAsiaTheme="minorEastAsia"/>
          <w:caps w:val="0"/>
          <w:smallCaps w:val="0"/>
          <w:snapToGrid w:val="0"/>
          <w:color w:val="auto"/>
          <w:spacing w:val="0"/>
          <w:w w:val="100"/>
          <w:position w:val="0"/>
          <w:highlight w:val="none"/>
        </w:rPr>
        <w:t>~0.</w:t>
      </w:r>
      <w:r>
        <w:rPr>
          <w:rFonts w:hint="eastAsia" w:ascii="Times New Roman" w:hAnsi="Times New Roman" w:eastAsiaTheme="minorEastAsia"/>
          <w:caps w:val="0"/>
          <w:smallCaps w:val="0"/>
          <w:snapToGrid w:val="0"/>
          <w:color w:val="auto"/>
          <w:spacing w:val="0"/>
          <w:w w:val="100"/>
          <w:position w:val="0"/>
          <w:highlight w:val="none"/>
          <w:lang w:val="en-US" w:eastAsia="zh-CN"/>
        </w:rPr>
        <w:t>7</w:t>
      </w:r>
      <w:r>
        <w:rPr>
          <w:rFonts w:ascii="Times New Roman" w:hAnsi="Times New Roman" w:eastAsiaTheme="minorEastAsia"/>
          <w:caps w:val="0"/>
          <w:smallCaps w:val="0"/>
          <w:snapToGrid w:val="0"/>
          <w:color w:val="auto"/>
          <w:spacing w:val="0"/>
          <w:w w:val="100"/>
          <w:position w:val="0"/>
          <w:highlight w:val="none"/>
        </w:rPr>
        <w:t>g/kg之间，对照《环境影响评价技术导则 土壤环境（试行）》（HJ964-2018）中附录D，本项目区域属于非土壤盐化、酸化和碱化地区，本项目按照土壤污染影响型开展土壤评价。</w:t>
      </w:r>
    </w:p>
    <w:p w14:paraId="3FE05ACD">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根据《环境影响评价技术导则 陆地石油天然气开发建设项目》（HJ349-2023）要求，建设项目按照站场和内部集输管道分别判断行业分类。本项目不涉及新改扩建场站，仅涉及新建</w:t>
      </w:r>
      <w:r>
        <w:rPr>
          <w:rFonts w:hint="eastAsia" w:ascii="Times New Roman" w:hAnsi="Times New Roman" w:eastAsiaTheme="minorEastAsia"/>
          <w:caps w:val="0"/>
          <w:smallCaps w:val="0"/>
          <w:snapToGrid w:val="0"/>
          <w:color w:val="auto"/>
          <w:spacing w:val="0"/>
          <w:w w:val="100"/>
          <w:position w:val="0"/>
          <w:highlight w:val="none"/>
        </w:rPr>
        <w:t>输油管道及输气管道</w:t>
      </w:r>
      <w:r>
        <w:rPr>
          <w:rFonts w:ascii="Times New Roman" w:hAnsi="Times New Roman" w:eastAsiaTheme="minorEastAsia"/>
          <w:caps w:val="0"/>
          <w:smallCaps w:val="0"/>
          <w:snapToGrid w:val="0"/>
          <w:color w:val="auto"/>
          <w:spacing w:val="0"/>
          <w:w w:val="100"/>
          <w:position w:val="0"/>
          <w:highlight w:val="none"/>
        </w:rPr>
        <w:t>，油类和废水等输送管道按照Ⅱ类建设项目开展土壤环境影响评价</w:t>
      </w:r>
      <w:r>
        <w:rPr>
          <w:rFonts w:hint="eastAsia" w:ascii="Times New Roman" w:hAnsi="Times New Roman" w:eastAsiaTheme="minorEastAsia"/>
          <w:caps w:val="0"/>
          <w:smallCaps w:val="0"/>
          <w:snapToGrid w:val="0"/>
          <w:color w:val="auto"/>
          <w:spacing w:val="0"/>
          <w:w w:val="100"/>
          <w:position w:val="0"/>
          <w:highlight w:val="none"/>
        </w:rPr>
        <w:t>。</w:t>
      </w:r>
    </w:p>
    <w:p w14:paraId="17B26FC7">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（2）污染影响型敏感程度分级</w:t>
      </w:r>
    </w:p>
    <w:p w14:paraId="5E11D3DD">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根据建设项目所在地周边的土壤环境敏感程度分级判据见表</w:t>
      </w:r>
      <w:r>
        <w:rPr>
          <w:rFonts w:ascii="Times New Roman" w:hAnsi="Times New Roman" w:eastAsiaTheme="minorEastAsia"/>
          <w:caps w:val="0"/>
          <w:smallCaps w:val="0"/>
          <w:color w:val="auto"/>
          <w:spacing w:val="0"/>
          <w:w w:val="100"/>
          <w:kern w:val="21"/>
          <w:position w:val="0"/>
          <w:highlight w:val="none"/>
          <w:lang w:bidi="zh-CN"/>
        </w:rPr>
        <w:t>2.6-6</w:t>
      </w:r>
      <w:r>
        <w:rPr>
          <w:rFonts w:ascii="Times New Roman" w:hAnsi="Times New Roman" w:eastAsiaTheme="minorEastAsia"/>
          <w:caps w:val="0"/>
          <w:smallCaps w:val="0"/>
          <w:snapToGrid w:val="0"/>
          <w:color w:val="auto"/>
          <w:spacing w:val="0"/>
          <w:w w:val="100"/>
          <w:position w:val="0"/>
          <w:highlight w:val="none"/>
        </w:rPr>
        <w:t>。</w:t>
      </w:r>
    </w:p>
    <w:p w14:paraId="1CE0A063">
      <w:pPr>
        <w:pStyle w:val="149"/>
        <w:widowControl w:val="0"/>
        <w:spacing w:line="440" w:lineRule="exact"/>
        <w:ind w:firstLine="478"/>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b/>
          <w:bCs/>
          <w:caps w:val="0"/>
          <w:smallCaps w:val="0"/>
          <w:color w:val="auto"/>
          <w:spacing w:val="0"/>
          <w:w w:val="100"/>
          <w:position w:val="0"/>
          <w:highlight w:val="none"/>
        </w:rPr>
        <w:t>表2.6-6    污染影响型敏感程度分级表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92"/>
        <w:gridCol w:w="7694"/>
      </w:tblGrid>
      <w:tr w14:paraId="1711A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23F7B37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敏感程度</w:t>
            </w:r>
          </w:p>
        </w:tc>
        <w:tc>
          <w:tcPr>
            <w:tcW w:w="4143" w:type="pct"/>
            <w:vAlign w:val="center"/>
          </w:tcPr>
          <w:p w14:paraId="7CDED70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判别依据</w:t>
            </w:r>
          </w:p>
        </w:tc>
      </w:tr>
      <w:tr w14:paraId="46FB1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49D4BC9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敏感</w:t>
            </w:r>
          </w:p>
        </w:tc>
        <w:tc>
          <w:tcPr>
            <w:tcW w:w="4143" w:type="pct"/>
            <w:vAlign w:val="center"/>
          </w:tcPr>
          <w:p w14:paraId="7B8E38AE">
            <w:pPr>
              <w:spacing w:line="360" w:lineRule="exact"/>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建设项目周边存在耕地、园地、牧草地、饮用水水源地或居民区、学校、医院、疗养院、养老院等土壤环境敏感目标的</w:t>
            </w:r>
          </w:p>
        </w:tc>
      </w:tr>
      <w:tr w14:paraId="3FB26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039CCEA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较敏感</w:t>
            </w:r>
          </w:p>
        </w:tc>
        <w:tc>
          <w:tcPr>
            <w:tcW w:w="4143" w:type="pct"/>
            <w:vAlign w:val="center"/>
          </w:tcPr>
          <w:p w14:paraId="4609C42A">
            <w:pPr>
              <w:spacing w:line="360" w:lineRule="exact"/>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建设项目周边存在其他土壤环境敏感目标的</w:t>
            </w:r>
          </w:p>
        </w:tc>
      </w:tr>
      <w:tr w14:paraId="1A963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02C3C9A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不敏感</w:t>
            </w:r>
          </w:p>
        </w:tc>
        <w:tc>
          <w:tcPr>
            <w:tcW w:w="4143" w:type="pct"/>
            <w:vAlign w:val="center"/>
          </w:tcPr>
          <w:p w14:paraId="3E6D4583">
            <w:pPr>
              <w:spacing w:line="360" w:lineRule="exact"/>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其他情况</w:t>
            </w:r>
          </w:p>
        </w:tc>
      </w:tr>
    </w:tbl>
    <w:p w14:paraId="7AA9B3D6">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本项目拟建管线占地类型均为</w:t>
      </w:r>
      <w:r>
        <w:rPr>
          <w:rFonts w:hint="eastAsia" w:ascii="Times New Roman" w:hAnsi="Times New Roman" w:eastAsiaTheme="minorEastAsia"/>
          <w:caps w:val="0"/>
          <w:smallCaps w:val="0"/>
          <w:snapToGrid w:val="0"/>
          <w:color w:val="auto"/>
          <w:spacing w:val="0"/>
          <w:w w:val="100"/>
          <w:position w:val="0"/>
          <w:highlight w:val="none"/>
          <w:lang w:val="en-US" w:eastAsia="zh-CN"/>
        </w:rPr>
        <w:t>耕地（基本农田）和草地（非基本草原）</w:t>
      </w:r>
      <w:r>
        <w:rPr>
          <w:rFonts w:ascii="Times New Roman" w:hAnsi="Times New Roman" w:eastAsiaTheme="minorEastAsia"/>
          <w:caps w:val="0"/>
          <w:smallCaps w:val="0"/>
          <w:snapToGrid w:val="0"/>
          <w:color w:val="auto"/>
          <w:spacing w:val="0"/>
          <w:w w:val="100"/>
          <w:position w:val="0"/>
          <w:highlight w:val="none"/>
        </w:rPr>
        <w:t>，由此判定，本项目土壤环境敏感程度分级为“敏感”。</w:t>
      </w:r>
    </w:p>
    <w:p w14:paraId="322D23A9">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（3）土壤环境影响评价等级</w:t>
      </w:r>
    </w:p>
    <w:p w14:paraId="6C2FC183">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本项目拟建管线均位于同一区块内，因此按同一场地确定评价等级，污染影响型评价工作等级划分依据见</w:t>
      </w:r>
      <w:r>
        <w:rPr>
          <w:rFonts w:ascii="Times New Roman" w:hAnsi="Times New Roman" w:eastAsiaTheme="minorEastAsia"/>
          <w:caps w:val="0"/>
          <w:smallCaps w:val="0"/>
          <w:color w:val="auto"/>
          <w:spacing w:val="0"/>
          <w:w w:val="100"/>
          <w:kern w:val="21"/>
          <w:position w:val="0"/>
          <w:highlight w:val="none"/>
          <w:lang w:val="zh-CN" w:bidi="zh-CN"/>
        </w:rPr>
        <w:t>表</w:t>
      </w:r>
      <w:r>
        <w:rPr>
          <w:rFonts w:ascii="Times New Roman" w:hAnsi="Times New Roman" w:eastAsiaTheme="minorEastAsia"/>
          <w:caps w:val="0"/>
          <w:smallCaps w:val="0"/>
          <w:color w:val="auto"/>
          <w:spacing w:val="0"/>
          <w:w w:val="100"/>
          <w:kern w:val="21"/>
          <w:position w:val="0"/>
          <w:highlight w:val="none"/>
          <w:lang w:bidi="zh-CN"/>
        </w:rPr>
        <w:t>2.6-7</w:t>
      </w:r>
      <w:r>
        <w:rPr>
          <w:rFonts w:ascii="Times New Roman" w:hAnsi="Times New Roman" w:eastAsiaTheme="minorEastAsia"/>
          <w:caps w:val="0"/>
          <w:smallCaps w:val="0"/>
          <w:snapToGrid w:val="0"/>
          <w:color w:val="auto"/>
          <w:spacing w:val="0"/>
          <w:w w:val="100"/>
          <w:position w:val="0"/>
          <w:highlight w:val="none"/>
        </w:rPr>
        <w:t>。</w:t>
      </w:r>
    </w:p>
    <w:p w14:paraId="37A82432">
      <w:pPr>
        <w:pStyle w:val="149"/>
        <w:widowControl w:val="0"/>
        <w:spacing w:line="440" w:lineRule="exact"/>
        <w:ind w:firstLine="41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color w:val="auto"/>
          <w:spacing w:val="0"/>
          <w:w w:val="100"/>
          <w:position w:val="0"/>
          <w:sz w:val="21"/>
          <w:highlight w:val="none"/>
        </w:rPr>
        <mc:AlternateContent>
          <mc:Choice Requires="wps">
            <w:drawing>
              <wp:anchor distT="0" distB="0" distL="114300" distR="114300" simplePos="0" relativeHeight="251663360" behindDoc="0" locked="0" layoutInCell="1" allowOverlap="1">
                <wp:simplePos x="0" y="0"/>
                <wp:positionH relativeFrom="column">
                  <wp:posOffset>-3175</wp:posOffset>
                </wp:positionH>
                <wp:positionV relativeFrom="paragraph">
                  <wp:posOffset>276860</wp:posOffset>
                </wp:positionV>
                <wp:extent cx="1285240" cy="440055"/>
                <wp:effectExtent l="0" t="0" r="29210" b="36830"/>
                <wp:wrapNone/>
                <wp:docPr id="11" name="Line 12"/>
                <wp:cNvGraphicFramePr/>
                <a:graphic xmlns:a="http://schemas.openxmlformats.org/drawingml/2006/main">
                  <a:graphicData uri="http://schemas.microsoft.com/office/word/2010/wordprocessingShape">
                    <wps:wsp>
                      <wps:cNvCnPr>
                        <a:cxnSpLocks noChangeShapeType="1"/>
                      </wps:cNvCnPr>
                      <wps:spPr bwMode="auto">
                        <a:xfrm>
                          <a:off x="0" y="0"/>
                          <a:ext cx="1285336" cy="439947"/>
                        </a:xfrm>
                        <a:prstGeom prst="line">
                          <a:avLst/>
                        </a:prstGeom>
                        <a:noFill/>
                        <a:ln w="6350">
                          <a:solidFill>
                            <a:schemeClr val="dk1">
                              <a:lumMod val="100000"/>
                              <a:lumOff val="0"/>
                            </a:schemeClr>
                          </a:solidFill>
                          <a:miter lim="800000"/>
                        </a:ln>
                      </wps:spPr>
                      <wps:bodyPr/>
                    </wps:wsp>
                  </a:graphicData>
                </a:graphic>
              </wp:anchor>
            </w:drawing>
          </mc:Choice>
          <mc:Fallback>
            <w:pict>
              <v:line id="Line 12" o:spid="_x0000_s1026" o:spt="20" style="position:absolute;left:0pt;margin-left:-0.25pt;margin-top:21.8pt;height:34.65pt;width:101.2pt;z-index:251663360;mso-width-relative:page;mso-height-relative:page;" filled="f" stroked="t" coordsize="21600,21600" o:gfxdata="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B&#10;4Ywe1wAAAAgBAAAPAAAAAAAAAAEAIAAAACIAAABkcnMvZG93bnJldi54bWxQSwECFAAUAAAACACH&#10;TuJAe4LWLOwBAADpAwAADgAAAAAAAAABACAAAAAmAQAAZHJzL2Uyb0RvYy54bWxQSwUGAAAAAAYA&#10;BgBZAQAAhAUAAAAA&#10;">
                <v:fill on="f" focussize="0,0"/>
                <v:stroke weight="0.5pt" color="#000000 [3216]" miterlimit="8" joinstyle="miter"/>
                <v:imagedata o:title=""/>
                <o:lock v:ext="edit" aspectratio="f"/>
              </v:line>
            </w:pict>
          </mc:Fallback>
        </mc:AlternateContent>
      </w:r>
      <w:r>
        <w:rPr>
          <w:rFonts w:ascii="Times New Roman" w:hAnsi="Times New Roman" w:eastAsiaTheme="minorEastAsia"/>
          <w:caps w:val="0"/>
          <w:smallCaps w:val="0"/>
          <w:color w:val="auto"/>
          <w:spacing w:val="0"/>
          <w:w w:val="100"/>
          <w:position w:val="0"/>
          <w:sz w:val="21"/>
          <w:highlight w:val="none"/>
        </w:rPr>
        <mc:AlternateContent>
          <mc:Choice Requires="wps">
            <w:drawing>
              <wp:anchor distT="0" distB="0" distL="114300" distR="114300" simplePos="0" relativeHeight="251664384" behindDoc="0" locked="0" layoutInCell="1" allowOverlap="1">
                <wp:simplePos x="0" y="0"/>
                <wp:positionH relativeFrom="column">
                  <wp:posOffset>-5080</wp:posOffset>
                </wp:positionH>
                <wp:positionV relativeFrom="paragraph">
                  <wp:posOffset>286385</wp:posOffset>
                </wp:positionV>
                <wp:extent cx="590550" cy="676275"/>
                <wp:effectExtent l="0" t="0" r="19050" b="28575"/>
                <wp:wrapNone/>
                <wp:docPr id="2" name="Line 11"/>
                <wp:cNvGraphicFramePr/>
                <a:graphic xmlns:a="http://schemas.openxmlformats.org/drawingml/2006/main">
                  <a:graphicData uri="http://schemas.microsoft.com/office/word/2010/wordprocessingShape">
                    <wps:wsp>
                      <wps:cNvCnPr>
                        <a:cxnSpLocks noChangeShapeType="1"/>
                      </wps:cNvCnPr>
                      <wps:spPr bwMode="auto">
                        <a:xfrm>
                          <a:off x="0" y="0"/>
                          <a:ext cx="590550" cy="676275"/>
                        </a:xfrm>
                        <a:prstGeom prst="line">
                          <a:avLst/>
                        </a:prstGeom>
                        <a:noFill/>
                        <a:ln w="6350">
                          <a:solidFill>
                            <a:schemeClr val="tx1">
                              <a:lumMod val="100000"/>
                              <a:lumOff val="0"/>
                            </a:schemeClr>
                          </a:solidFill>
                          <a:miter lim="800000"/>
                        </a:ln>
                      </wps:spPr>
                      <wps:bodyPr/>
                    </wps:wsp>
                  </a:graphicData>
                </a:graphic>
              </wp:anchor>
            </w:drawing>
          </mc:Choice>
          <mc:Fallback>
            <w:pict>
              <v:line id="Line 11" o:spid="_x0000_s1026" o:spt="20" style="position:absolute;left:0pt;margin-left:-0.4pt;margin-top:22.55pt;height:53.25pt;width:46.5pt;z-index:251664384;mso-width-relative:page;mso-height-relative:page;" filled="f" stroked="t" coordsize="21600,21600" o:gfxdata="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kMRy1QAA&#10;AAcBAAAPAAAAAAAAAAEAIAAAACIAAABkcnMvZG93bnJldi54bWxQSwECFAAUAAAACACHTuJAf5QR&#10;KegBAADnAwAADgAAAAAAAAABACAAAAAkAQAAZHJzL2Uyb0RvYy54bWxQSwUGAAAAAAYABgBZAQAA&#10;fgUAAAAA&#10;">
                <v:fill on="f" focussize="0,0"/>
                <v:stroke weight="0.5pt" color="#000000 [3229]" miterlimit="8" joinstyle="miter"/>
                <v:imagedata o:title=""/>
                <o:lock v:ext="edit" aspectratio="f"/>
              </v:line>
            </w:pict>
          </mc:Fallback>
        </mc:AlternateContent>
      </w:r>
      <w:r>
        <w:rPr>
          <w:rFonts w:ascii="Times New Roman" w:hAnsi="Times New Roman" w:eastAsiaTheme="minorEastAsia"/>
          <w:b/>
          <w:bCs/>
          <w:caps w:val="0"/>
          <w:smallCaps w:val="0"/>
          <w:color w:val="auto"/>
          <w:spacing w:val="0"/>
          <w:w w:val="100"/>
          <w:position w:val="0"/>
          <w:highlight w:val="none"/>
        </w:rPr>
        <w:t>表2.6-7    污染影响型评价工作等级划分表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92"/>
        <w:gridCol w:w="799"/>
        <w:gridCol w:w="799"/>
        <w:gridCol w:w="800"/>
        <w:gridCol w:w="799"/>
        <w:gridCol w:w="800"/>
        <w:gridCol w:w="799"/>
        <w:gridCol w:w="799"/>
        <w:gridCol w:w="799"/>
        <w:gridCol w:w="800"/>
      </w:tblGrid>
      <w:tr w14:paraId="082F6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Merge w:val="restart"/>
            <w:vAlign w:val="center"/>
          </w:tcPr>
          <w:p w14:paraId="6ADD3A9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 xml:space="preserve">         占地规模</w:t>
            </w:r>
          </w:p>
          <w:p w14:paraId="5C952760">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敏感    评价</w:t>
            </w:r>
          </w:p>
          <w:p w14:paraId="0E0B7E3C">
            <w:pPr>
              <w:spacing w:line="360" w:lineRule="exact"/>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程度    等级</w:t>
            </w:r>
          </w:p>
        </w:tc>
        <w:tc>
          <w:tcPr>
            <w:tcW w:w="1291" w:type="pct"/>
            <w:gridSpan w:val="3"/>
            <w:vAlign w:val="center"/>
          </w:tcPr>
          <w:p w14:paraId="7B0B857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Ⅰ</w:t>
            </w:r>
            <w:r>
              <w:rPr>
                <w:rFonts w:ascii="Times New Roman" w:hAnsi="Times New Roman" w:cs="Times New Roman" w:eastAsiaTheme="minorEastAsia"/>
                <w:caps w:val="0"/>
                <w:smallCaps w:val="0"/>
                <w:color w:val="auto"/>
                <w:spacing w:val="0"/>
                <w:w w:val="100"/>
                <w:position w:val="0"/>
                <w:sz w:val="21"/>
                <w:szCs w:val="21"/>
                <w:highlight w:val="none"/>
              </w:rPr>
              <w:t>类</w:t>
            </w:r>
          </w:p>
        </w:tc>
        <w:tc>
          <w:tcPr>
            <w:tcW w:w="1291" w:type="pct"/>
            <w:gridSpan w:val="3"/>
            <w:vAlign w:val="center"/>
          </w:tcPr>
          <w:p w14:paraId="6574461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Ⅱ</w:t>
            </w:r>
            <w:r>
              <w:rPr>
                <w:rFonts w:ascii="Times New Roman" w:hAnsi="Times New Roman" w:cs="Times New Roman" w:eastAsiaTheme="minorEastAsia"/>
                <w:caps w:val="0"/>
                <w:smallCaps w:val="0"/>
                <w:color w:val="auto"/>
                <w:spacing w:val="0"/>
                <w:w w:val="100"/>
                <w:position w:val="0"/>
                <w:sz w:val="21"/>
                <w:szCs w:val="21"/>
                <w:highlight w:val="none"/>
              </w:rPr>
              <w:t>类</w:t>
            </w:r>
          </w:p>
        </w:tc>
        <w:tc>
          <w:tcPr>
            <w:tcW w:w="1291" w:type="pct"/>
            <w:gridSpan w:val="3"/>
            <w:vAlign w:val="center"/>
          </w:tcPr>
          <w:p w14:paraId="0E6AD6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Ⅲ</w:t>
            </w:r>
            <w:r>
              <w:rPr>
                <w:rFonts w:ascii="Times New Roman" w:hAnsi="Times New Roman" w:cs="Times New Roman" w:eastAsiaTheme="minorEastAsia"/>
                <w:caps w:val="0"/>
                <w:smallCaps w:val="0"/>
                <w:color w:val="auto"/>
                <w:spacing w:val="0"/>
                <w:w w:val="100"/>
                <w:position w:val="0"/>
                <w:sz w:val="21"/>
                <w:szCs w:val="21"/>
                <w:highlight w:val="none"/>
              </w:rPr>
              <w:t>类</w:t>
            </w:r>
          </w:p>
        </w:tc>
      </w:tr>
      <w:tr w14:paraId="3D46A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Merge w:val="continue"/>
            <w:vAlign w:val="center"/>
          </w:tcPr>
          <w:p w14:paraId="412A63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30" w:type="pct"/>
            <w:vAlign w:val="center"/>
          </w:tcPr>
          <w:p w14:paraId="41F0924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大</w:t>
            </w:r>
          </w:p>
        </w:tc>
        <w:tc>
          <w:tcPr>
            <w:tcW w:w="430" w:type="pct"/>
            <w:vAlign w:val="center"/>
          </w:tcPr>
          <w:p w14:paraId="5E78C19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中</w:t>
            </w:r>
          </w:p>
        </w:tc>
        <w:tc>
          <w:tcPr>
            <w:tcW w:w="430" w:type="pct"/>
            <w:vAlign w:val="center"/>
          </w:tcPr>
          <w:p w14:paraId="2F9672B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小</w:t>
            </w:r>
          </w:p>
        </w:tc>
        <w:tc>
          <w:tcPr>
            <w:tcW w:w="430" w:type="pct"/>
            <w:vAlign w:val="center"/>
          </w:tcPr>
          <w:p w14:paraId="162604B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大</w:t>
            </w:r>
          </w:p>
        </w:tc>
        <w:tc>
          <w:tcPr>
            <w:tcW w:w="431" w:type="pct"/>
            <w:vAlign w:val="center"/>
          </w:tcPr>
          <w:p w14:paraId="74CEA99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中</w:t>
            </w:r>
          </w:p>
        </w:tc>
        <w:tc>
          <w:tcPr>
            <w:tcW w:w="430" w:type="pct"/>
            <w:vAlign w:val="center"/>
          </w:tcPr>
          <w:p w14:paraId="6C63722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小</w:t>
            </w:r>
          </w:p>
        </w:tc>
        <w:tc>
          <w:tcPr>
            <w:tcW w:w="430" w:type="pct"/>
            <w:vAlign w:val="center"/>
          </w:tcPr>
          <w:p w14:paraId="1D4E8FE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大</w:t>
            </w:r>
          </w:p>
        </w:tc>
        <w:tc>
          <w:tcPr>
            <w:tcW w:w="430" w:type="pct"/>
            <w:vAlign w:val="center"/>
          </w:tcPr>
          <w:p w14:paraId="522F7D8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中</w:t>
            </w:r>
          </w:p>
        </w:tc>
        <w:tc>
          <w:tcPr>
            <w:tcW w:w="431" w:type="pct"/>
            <w:vAlign w:val="center"/>
          </w:tcPr>
          <w:p w14:paraId="4A3E15C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小</w:t>
            </w:r>
          </w:p>
        </w:tc>
      </w:tr>
      <w:tr w14:paraId="7652B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Align w:val="center"/>
          </w:tcPr>
          <w:p w14:paraId="2B3744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敏感</w:t>
            </w:r>
          </w:p>
        </w:tc>
        <w:tc>
          <w:tcPr>
            <w:tcW w:w="430" w:type="pct"/>
            <w:vAlign w:val="center"/>
          </w:tcPr>
          <w:p w14:paraId="2CBF392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一级</w:t>
            </w:r>
          </w:p>
        </w:tc>
        <w:tc>
          <w:tcPr>
            <w:tcW w:w="430" w:type="pct"/>
            <w:vAlign w:val="center"/>
          </w:tcPr>
          <w:p w14:paraId="3998123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一级</w:t>
            </w:r>
          </w:p>
        </w:tc>
        <w:tc>
          <w:tcPr>
            <w:tcW w:w="430" w:type="pct"/>
            <w:vAlign w:val="center"/>
          </w:tcPr>
          <w:p w14:paraId="7708BF7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一级</w:t>
            </w:r>
          </w:p>
        </w:tc>
        <w:tc>
          <w:tcPr>
            <w:tcW w:w="430" w:type="pct"/>
            <w:vAlign w:val="center"/>
          </w:tcPr>
          <w:p w14:paraId="04F1F2F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1" w:type="pct"/>
            <w:vAlign w:val="center"/>
          </w:tcPr>
          <w:p w14:paraId="70408F1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0" w:type="pct"/>
            <w:vAlign w:val="center"/>
          </w:tcPr>
          <w:p w14:paraId="2183123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0" w:type="pct"/>
            <w:vAlign w:val="center"/>
          </w:tcPr>
          <w:p w14:paraId="56FC611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c>
          <w:tcPr>
            <w:tcW w:w="430" w:type="pct"/>
            <w:vAlign w:val="center"/>
          </w:tcPr>
          <w:p w14:paraId="0A0A0C5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c>
          <w:tcPr>
            <w:tcW w:w="431" w:type="pct"/>
            <w:vAlign w:val="center"/>
          </w:tcPr>
          <w:p w14:paraId="1BEBE67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r>
      <w:tr w14:paraId="1DD1B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Align w:val="center"/>
          </w:tcPr>
          <w:p w14:paraId="1D4D286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较敏感</w:t>
            </w:r>
          </w:p>
        </w:tc>
        <w:tc>
          <w:tcPr>
            <w:tcW w:w="430" w:type="pct"/>
            <w:vAlign w:val="center"/>
          </w:tcPr>
          <w:p w14:paraId="3FB193F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一级</w:t>
            </w:r>
          </w:p>
        </w:tc>
        <w:tc>
          <w:tcPr>
            <w:tcW w:w="430" w:type="pct"/>
            <w:vAlign w:val="center"/>
          </w:tcPr>
          <w:p w14:paraId="50A9208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一级</w:t>
            </w:r>
          </w:p>
        </w:tc>
        <w:tc>
          <w:tcPr>
            <w:tcW w:w="430" w:type="pct"/>
            <w:vAlign w:val="center"/>
          </w:tcPr>
          <w:p w14:paraId="54D1E97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0" w:type="pct"/>
            <w:vAlign w:val="center"/>
          </w:tcPr>
          <w:p w14:paraId="328C817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1" w:type="pct"/>
            <w:vAlign w:val="center"/>
          </w:tcPr>
          <w:p w14:paraId="35C17A9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0" w:type="pct"/>
            <w:vAlign w:val="center"/>
          </w:tcPr>
          <w:p w14:paraId="592E4C1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c>
          <w:tcPr>
            <w:tcW w:w="430" w:type="pct"/>
            <w:vAlign w:val="center"/>
          </w:tcPr>
          <w:p w14:paraId="3E8160F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c>
          <w:tcPr>
            <w:tcW w:w="430" w:type="pct"/>
            <w:vAlign w:val="center"/>
          </w:tcPr>
          <w:p w14:paraId="7E1FC5C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c>
          <w:tcPr>
            <w:tcW w:w="431" w:type="pct"/>
            <w:vAlign w:val="center"/>
          </w:tcPr>
          <w:p w14:paraId="070613F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71B91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Align w:val="center"/>
          </w:tcPr>
          <w:p w14:paraId="1B51095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不敏感</w:t>
            </w:r>
          </w:p>
        </w:tc>
        <w:tc>
          <w:tcPr>
            <w:tcW w:w="430" w:type="pct"/>
            <w:vAlign w:val="center"/>
          </w:tcPr>
          <w:p w14:paraId="6E24FC8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一级</w:t>
            </w:r>
          </w:p>
        </w:tc>
        <w:tc>
          <w:tcPr>
            <w:tcW w:w="430" w:type="pct"/>
            <w:vAlign w:val="center"/>
          </w:tcPr>
          <w:p w14:paraId="36BE5BB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0" w:type="pct"/>
            <w:vAlign w:val="center"/>
          </w:tcPr>
          <w:p w14:paraId="26F1F48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0" w:type="pct"/>
            <w:vAlign w:val="center"/>
          </w:tcPr>
          <w:p w14:paraId="482D1BD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二级</w:t>
            </w:r>
          </w:p>
        </w:tc>
        <w:tc>
          <w:tcPr>
            <w:tcW w:w="431" w:type="pct"/>
            <w:vAlign w:val="center"/>
          </w:tcPr>
          <w:p w14:paraId="3E62B82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c>
          <w:tcPr>
            <w:tcW w:w="430" w:type="pct"/>
            <w:vAlign w:val="center"/>
          </w:tcPr>
          <w:p w14:paraId="77AC3F7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c>
          <w:tcPr>
            <w:tcW w:w="430" w:type="pct"/>
            <w:vAlign w:val="center"/>
          </w:tcPr>
          <w:p w14:paraId="1638A62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三级</w:t>
            </w:r>
          </w:p>
        </w:tc>
        <w:tc>
          <w:tcPr>
            <w:tcW w:w="430" w:type="pct"/>
            <w:vAlign w:val="center"/>
          </w:tcPr>
          <w:p w14:paraId="6B2D6BA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c>
          <w:tcPr>
            <w:tcW w:w="431" w:type="pct"/>
            <w:vAlign w:val="center"/>
          </w:tcPr>
          <w:p w14:paraId="4E47F68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4AA78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000" w:type="pct"/>
            <w:gridSpan w:val="10"/>
            <w:vAlign w:val="center"/>
          </w:tcPr>
          <w:p w14:paraId="507549E7">
            <w:pPr>
              <w:spacing w:line="360" w:lineRule="exact"/>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注：“-”表示可不开展土壤环境影响评价工作</w:t>
            </w:r>
          </w:p>
        </w:tc>
      </w:tr>
    </w:tbl>
    <w:p w14:paraId="118C03F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根据《环境影响评价技术导则 陆地石油天然气开发建设项目》（HJ349-2023）要求：集输管道按照主要站场位置（输油站、联合站、泵站和截断阀室等）分段判定评价等级，并按相应等级开展评价工作。本项目各段</w:t>
      </w:r>
      <w:r>
        <w:rPr>
          <w:rFonts w:hint="eastAsia" w:ascii="Times New Roman" w:hAnsi="Times New Roman" w:cs="Times New Roman" w:eastAsiaTheme="minorEastAsia"/>
          <w:bCs/>
          <w:caps w:val="0"/>
          <w:smallCaps w:val="0"/>
          <w:color w:val="auto"/>
          <w:spacing w:val="0"/>
          <w:w w:val="100"/>
          <w:position w:val="0"/>
          <w:highlight w:val="none"/>
        </w:rPr>
        <w:t>输油管道</w:t>
      </w:r>
      <w:r>
        <w:rPr>
          <w:rFonts w:ascii="Times New Roman" w:hAnsi="Times New Roman" w:cs="Times New Roman" w:eastAsiaTheme="minorEastAsia"/>
          <w:caps w:val="0"/>
          <w:smallCaps w:val="0"/>
          <w:color w:val="auto"/>
          <w:spacing w:val="0"/>
          <w:w w:val="100"/>
          <w:position w:val="0"/>
          <w:highlight w:val="none"/>
        </w:rPr>
        <w:t>项目类别为“</w:t>
      </w:r>
      <w:r>
        <w:rPr>
          <w:rFonts w:ascii="Times New Roman" w:hAnsi="Times New Roman" w:cs="Times New Roman" w:eastAsiaTheme="minorEastAsia"/>
          <w:caps w:val="0"/>
          <w:smallCaps w:val="0"/>
          <w:color w:val="auto"/>
          <w:spacing w:val="0"/>
          <w:w w:val="100"/>
          <w:position w:val="0"/>
          <w:highlight w:val="none"/>
        </w:rPr>
        <w:fldChar w:fldCharType="begin"/>
      </w:r>
      <w:r>
        <w:rPr>
          <w:rFonts w:ascii="Times New Roman" w:hAnsi="Times New Roman" w:cs="Times New Roman" w:eastAsiaTheme="minorEastAsia"/>
          <w:caps w:val="0"/>
          <w:smallCaps w:val="0"/>
          <w:color w:val="auto"/>
          <w:spacing w:val="0"/>
          <w:w w:val="100"/>
          <w:position w:val="0"/>
          <w:highlight w:val="none"/>
        </w:rPr>
        <w:instrText xml:space="preserve"> = 2 \* ROMAN </w:instrText>
      </w:r>
      <w:r>
        <w:rPr>
          <w:rFonts w:ascii="Times New Roman" w:hAnsi="Times New Roman" w:cs="Times New Roman" w:eastAsiaTheme="minorEastAsia"/>
          <w:caps w:val="0"/>
          <w:smallCaps w:val="0"/>
          <w:color w:val="auto"/>
          <w:spacing w:val="0"/>
          <w:w w:val="100"/>
          <w:position w:val="0"/>
          <w:highlight w:val="none"/>
        </w:rPr>
        <w:fldChar w:fldCharType="separate"/>
      </w:r>
      <w:r>
        <w:rPr>
          <w:rFonts w:ascii="Times New Roman" w:hAnsi="Times New Roman" w:cs="Times New Roman" w:eastAsiaTheme="minorEastAsia"/>
          <w:caps w:val="0"/>
          <w:smallCaps w:val="0"/>
          <w:color w:val="auto"/>
          <w:spacing w:val="0"/>
          <w:w w:val="100"/>
          <w:position w:val="0"/>
          <w:highlight w:val="none"/>
        </w:rPr>
        <w:t>II</w:t>
      </w:r>
      <w:r>
        <w:rPr>
          <w:rFonts w:ascii="Times New Roman" w:hAnsi="Times New Roman" w:cs="Times New Roman" w:eastAsiaTheme="minorEastAsia"/>
          <w:caps w:val="0"/>
          <w:smallCaps w:val="0"/>
          <w:color w:val="auto"/>
          <w:spacing w:val="0"/>
          <w:w w:val="100"/>
          <w:position w:val="0"/>
          <w:highlight w:val="none"/>
        </w:rPr>
        <w:fldChar w:fldCharType="end"/>
      </w:r>
      <w:r>
        <w:rPr>
          <w:rFonts w:ascii="Times New Roman" w:hAnsi="Times New Roman" w:cs="Times New Roman" w:eastAsiaTheme="minorEastAsia"/>
          <w:caps w:val="0"/>
          <w:smallCaps w:val="0"/>
          <w:color w:val="auto"/>
          <w:spacing w:val="0"/>
          <w:w w:val="100"/>
          <w:position w:val="0"/>
          <w:highlight w:val="none"/>
        </w:rPr>
        <w:t>类”，各段输油</w:t>
      </w:r>
      <w:r>
        <w:rPr>
          <w:rFonts w:hint="eastAsia" w:ascii="Times New Roman" w:hAnsi="Times New Roman" w:cs="Times New Roman" w:eastAsiaTheme="minorEastAsia"/>
          <w:caps w:val="0"/>
          <w:smallCaps w:val="0"/>
          <w:color w:val="auto"/>
          <w:spacing w:val="0"/>
          <w:w w:val="100"/>
          <w:position w:val="0"/>
          <w:highlight w:val="none"/>
        </w:rPr>
        <w:t>管道</w:t>
      </w:r>
      <w:r>
        <w:rPr>
          <w:rFonts w:ascii="Times New Roman" w:hAnsi="Times New Roman" w:cs="Times New Roman" w:eastAsiaTheme="minorEastAsia"/>
          <w:caps w:val="0"/>
          <w:smallCaps w:val="0"/>
          <w:color w:val="auto"/>
          <w:spacing w:val="0"/>
          <w:w w:val="100"/>
          <w:position w:val="0"/>
          <w:highlight w:val="none"/>
        </w:rPr>
        <w:t>周边均存在</w:t>
      </w:r>
      <w:r>
        <w:rPr>
          <w:rFonts w:hint="eastAsia" w:ascii="Times New Roman" w:hAnsi="Times New Roman" w:eastAsiaTheme="minorEastAsia"/>
          <w:caps w:val="0"/>
          <w:smallCaps w:val="0"/>
          <w:snapToGrid w:val="0"/>
          <w:color w:val="auto"/>
          <w:spacing w:val="0"/>
          <w:w w:val="100"/>
          <w:position w:val="0"/>
          <w:highlight w:val="none"/>
          <w:lang w:val="en-US" w:eastAsia="zh-CN"/>
        </w:rPr>
        <w:t>耕地（基本农田）和草地（非基本草原）</w:t>
      </w:r>
      <w:r>
        <w:rPr>
          <w:rFonts w:ascii="Times New Roman" w:hAnsi="Times New Roman" w:cs="Times New Roman" w:eastAsiaTheme="minorEastAsia"/>
          <w:caps w:val="0"/>
          <w:smallCaps w:val="0"/>
          <w:color w:val="auto"/>
          <w:spacing w:val="0"/>
          <w:w w:val="100"/>
          <w:position w:val="0"/>
          <w:highlight w:val="none"/>
        </w:rPr>
        <w:t>，环境敏感程度均为“敏感”，新建管道不新增永久占地，各段管道占地规模小于5hm</w:t>
      </w:r>
      <w:r>
        <w:rPr>
          <w:rFonts w:ascii="Times New Roman" w:hAnsi="Times New Roman" w:cs="Times New Roman" w:eastAsiaTheme="minorEastAsia"/>
          <w:caps w:val="0"/>
          <w:smallCaps w:val="0"/>
          <w:color w:val="auto"/>
          <w:spacing w:val="0"/>
          <w:w w:val="100"/>
          <w:position w:val="0"/>
          <w:highlight w:val="none"/>
          <w:vertAlign w:val="superscript"/>
        </w:rPr>
        <w:t>2</w:t>
      </w:r>
      <w:r>
        <w:rPr>
          <w:rFonts w:ascii="Times New Roman" w:hAnsi="Times New Roman" w:cs="Times New Roman" w:eastAsiaTheme="minorEastAsia"/>
          <w:caps w:val="0"/>
          <w:smallCaps w:val="0"/>
          <w:color w:val="auto"/>
          <w:spacing w:val="0"/>
          <w:w w:val="100"/>
          <w:position w:val="0"/>
          <w:highlight w:val="none"/>
        </w:rPr>
        <w:t>，因此本项目各段输油管道土壤环境影响评价工作等级为“</w:t>
      </w:r>
      <w:r>
        <w:rPr>
          <w:rFonts w:hint="eastAsia" w:ascii="Times New Roman" w:hAnsi="Times New Roman" w:cs="Times New Roman" w:eastAsiaTheme="minorEastAsia"/>
          <w:caps w:val="0"/>
          <w:smallCaps w:val="0"/>
          <w:color w:val="auto"/>
          <w:spacing w:val="0"/>
          <w:w w:val="100"/>
          <w:position w:val="0"/>
          <w:highlight w:val="none"/>
          <w:lang w:val="en-US" w:eastAsia="zh-CN"/>
        </w:rPr>
        <w:t>二</w:t>
      </w:r>
      <w:r>
        <w:rPr>
          <w:rFonts w:ascii="Times New Roman" w:hAnsi="Times New Roman" w:cs="Times New Roman" w:eastAsiaTheme="minorEastAsia"/>
          <w:caps w:val="0"/>
          <w:smallCaps w:val="0"/>
          <w:color w:val="auto"/>
          <w:spacing w:val="0"/>
          <w:w w:val="100"/>
          <w:position w:val="0"/>
          <w:highlight w:val="none"/>
        </w:rPr>
        <w:t>级”。</w:t>
      </w:r>
    </w:p>
    <w:p w14:paraId="57202846">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2.6.6.2评价范围</w:t>
      </w:r>
    </w:p>
    <w:p w14:paraId="6B4A2D1B">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lang w:bidi="zh-CN"/>
        </w:rPr>
      </w:pPr>
      <w:r>
        <w:rPr>
          <w:rFonts w:ascii="Times New Roman" w:hAnsi="Times New Roman" w:eastAsiaTheme="minorEastAsia"/>
          <w:caps w:val="0"/>
          <w:smallCaps w:val="0"/>
          <w:snapToGrid w:val="0"/>
          <w:color w:val="auto"/>
          <w:spacing w:val="0"/>
          <w:w w:val="100"/>
          <w:position w:val="0"/>
          <w:highlight w:val="none"/>
          <w:lang w:bidi="zh-CN"/>
        </w:rPr>
        <w:t>根据《环境影响评价技术导则 土壤环境（试行）》（HJ964-2018）中“表5现状调查范围”，确定本项目土壤环境评价范围为拟建管线工程边界两侧向外延伸0.2 km的土壤环境。</w:t>
      </w:r>
    </w:p>
    <w:p w14:paraId="149FFEBA">
      <w:pPr>
        <w:pStyle w:val="6"/>
        <w:widowControl w:val="0"/>
        <w:spacing w:before="60" w:after="60"/>
        <w:jc w:val="both"/>
        <w:rPr>
          <w:rFonts w:eastAsiaTheme="minorEastAsia"/>
          <w:b/>
          <w:caps w:val="0"/>
          <w:smallCaps w:val="0"/>
          <w:color w:val="auto"/>
          <w:spacing w:val="0"/>
          <w:w w:val="100"/>
          <w:kern w:val="2"/>
          <w:position w:val="0"/>
          <w:sz w:val="24"/>
          <w:szCs w:val="24"/>
          <w:highlight w:val="none"/>
        </w:rPr>
      </w:pPr>
      <w:bookmarkStart w:id="360" w:name="_Toc67860110"/>
      <w:bookmarkStart w:id="361" w:name="_Toc85640734"/>
      <w:bookmarkStart w:id="362" w:name="_Toc77067641"/>
      <w:bookmarkStart w:id="363" w:name="_Toc76976225"/>
      <w:bookmarkStart w:id="364" w:name="_Toc70050157"/>
      <w:bookmarkStart w:id="365" w:name="_Toc84929210"/>
      <w:bookmarkStart w:id="366" w:name="_Toc61597203"/>
      <w:bookmarkStart w:id="367" w:name="_Toc80971359"/>
      <w:bookmarkStart w:id="368" w:name="_Toc86141917"/>
      <w:bookmarkStart w:id="369" w:name="_Toc83209454"/>
      <w:bookmarkStart w:id="370" w:name="_Toc110438461"/>
      <w:bookmarkStart w:id="371" w:name="_Toc80588237"/>
      <w:bookmarkStart w:id="372" w:name="_Toc78816442"/>
      <w:r>
        <w:rPr>
          <w:rFonts w:eastAsiaTheme="minorEastAsia"/>
          <w:b/>
          <w:caps w:val="0"/>
          <w:smallCaps w:val="0"/>
          <w:color w:val="auto"/>
          <w:spacing w:val="0"/>
          <w:w w:val="100"/>
          <w:kern w:val="2"/>
          <w:position w:val="0"/>
          <w:sz w:val="24"/>
          <w:szCs w:val="24"/>
          <w:highlight w:val="none"/>
        </w:rPr>
        <w:t>2.6.7环境风险</w:t>
      </w:r>
      <w:bookmarkEnd w:id="360"/>
      <w:bookmarkEnd w:id="361"/>
      <w:bookmarkEnd w:id="362"/>
      <w:bookmarkEnd w:id="363"/>
      <w:bookmarkEnd w:id="364"/>
      <w:bookmarkEnd w:id="365"/>
      <w:bookmarkEnd w:id="366"/>
      <w:bookmarkEnd w:id="367"/>
      <w:bookmarkEnd w:id="368"/>
      <w:bookmarkEnd w:id="369"/>
      <w:bookmarkEnd w:id="370"/>
      <w:bookmarkEnd w:id="371"/>
      <w:bookmarkEnd w:id="372"/>
    </w:p>
    <w:p w14:paraId="77BBCA3B">
      <w:pPr>
        <w:pStyle w:val="149"/>
        <w:widowControl w:val="0"/>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2.6.7.1评价等级</w:t>
      </w:r>
    </w:p>
    <w:p w14:paraId="28E2B6F2">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lang w:bidi="zh-CN"/>
        </w:rPr>
      </w:pPr>
      <w:r>
        <w:rPr>
          <w:rFonts w:ascii="Times New Roman" w:hAnsi="Times New Roman" w:eastAsiaTheme="minorEastAsia"/>
          <w:caps w:val="0"/>
          <w:smallCaps w:val="0"/>
          <w:snapToGrid w:val="0"/>
          <w:color w:val="auto"/>
          <w:spacing w:val="0"/>
          <w:w w:val="100"/>
          <w:position w:val="0"/>
          <w:highlight w:val="none"/>
          <w:lang w:bidi="zh-CN"/>
        </w:rPr>
        <w:t>（1）风险潜势初判</w:t>
      </w:r>
    </w:p>
    <w:p w14:paraId="05833C8A">
      <w:pPr>
        <w:pStyle w:val="181"/>
        <w:widowControl w:val="0"/>
        <w:tabs>
          <w:tab w:val="left" w:pos="1571"/>
        </w:tabs>
        <w:spacing w:line="440" w:lineRule="exact"/>
        <w:ind w:left="0" w:firstLine="480" w:firstLineChars="200"/>
        <w:jc w:val="both"/>
        <w:rPr>
          <w:rFonts w:hint="eastAsia" w:ascii="Times New Roman" w:hAnsi="Times New Roman" w:cs="Times New Roman"/>
          <w:caps w:val="0"/>
          <w:smallCaps w:val="0"/>
          <w:color w:val="auto"/>
          <w:spacing w:val="0"/>
          <w:w w:val="100"/>
          <w:position w:val="0"/>
          <w:highlight w:val="none"/>
          <w:lang w:val="en-US" w:eastAsia="zh-CN"/>
        </w:rPr>
      </w:pPr>
      <w:r>
        <w:rPr>
          <w:rFonts w:ascii="Times New Roman" w:hAnsi="Times New Roman" w:cs="Times New Roman"/>
          <w:caps w:val="0"/>
          <w:smallCaps w:val="0"/>
          <w:color w:val="auto"/>
          <w:spacing w:val="0"/>
          <w:w w:val="100"/>
          <w:position w:val="0"/>
          <w:highlight w:val="none"/>
        </w:rPr>
        <w:t>本项目运营期主要将</w:t>
      </w:r>
      <w:r>
        <w:rPr>
          <w:rFonts w:ascii="Times New Roman" w:hAnsi="Times New Roman" w:cs="Times New Roman"/>
          <w:caps w:val="0"/>
          <w:smallCaps w:val="0"/>
          <w:color w:val="auto"/>
          <w:spacing w:val="0"/>
          <w:w w:val="100"/>
          <w:position w:val="0"/>
          <w:highlight w:val="none"/>
          <w:lang w:val="en-US"/>
        </w:rPr>
        <w:t>输油管道</w:t>
      </w:r>
      <w:r>
        <w:rPr>
          <w:rFonts w:hint="eastAsia" w:ascii="Times New Roman" w:hAnsi="Times New Roman" w:cs="Times New Roman"/>
          <w:caps w:val="0"/>
          <w:smallCaps w:val="0"/>
          <w:color w:val="auto"/>
          <w:spacing w:val="0"/>
          <w:w w:val="100"/>
          <w:position w:val="0"/>
          <w:highlight w:val="none"/>
          <w:lang w:val="en-US"/>
        </w:rPr>
        <w:t>及输气管道</w:t>
      </w:r>
      <w:r>
        <w:rPr>
          <w:rFonts w:ascii="Times New Roman" w:hAnsi="Times New Roman" w:cs="Times New Roman"/>
          <w:caps w:val="0"/>
          <w:smallCaps w:val="0"/>
          <w:color w:val="auto"/>
          <w:spacing w:val="0"/>
          <w:w w:val="100"/>
          <w:position w:val="0"/>
          <w:highlight w:val="none"/>
        </w:rPr>
        <w:t>划为危险单元，</w:t>
      </w:r>
      <w:r>
        <w:rPr>
          <w:rFonts w:ascii="Times New Roman" w:hAnsi="Times New Roman" w:cs="Times New Roman"/>
          <w:caps w:val="0"/>
          <w:smallCaps w:val="0"/>
          <w:color w:val="auto"/>
          <w:spacing w:val="0"/>
          <w:w w:val="100"/>
          <w:position w:val="0"/>
          <w:highlight w:val="none"/>
          <w:lang w:val="en-US"/>
        </w:rPr>
        <w:t>涉及的物质主要为原油、</w:t>
      </w:r>
      <w:r>
        <w:rPr>
          <w:rFonts w:hint="eastAsia" w:ascii="Times New Roman" w:hAnsi="Times New Roman" w:cs="Times New Roman"/>
          <w:caps w:val="0"/>
          <w:smallCaps w:val="0"/>
          <w:color w:val="auto"/>
          <w:spacing w:val="0"/>
          <w:w w:val="100"/>
          <w:position w:val="0"/>
          <w:highlight w:val="none"/>
          <w:lang w:val="en-US" w:eastAsia="zh-CN"/>
        </w:rPr>
        <w:t>含油污水</w:t>
      </w:r>
      <w:r>
        <w:rPr>
          <w:rFonts w:ascii="Times New Roman" w:hAnsi="Times New Roman" w:cs="Times New Roman"/>
          <w:caps w:val="0"/>
          <w:smallCaps w:val="0"/>
          <w:color w:val="auto"/>
          <w:spacing w:val="0"/>
          <w:w w:val="100"/>
          <w:position w:val="0"/>
          <w:highlight w:val="none"/>
          <w:lang w:val="en-US"/>
        </w:rPr>
        <w:t>，根据《建设项目环境风险评价技术导则》（HJ169-2018）附录C中要求，对于长输管线项目，按照两个截断阀室之间管段危险物质最大存在总量计算</w:t>
      </w:r>
      <w:r>
        <w:rPr>
          <w:rFonts w:hint="eastAsia" w:ascii="Times New Roman" w:hAnsi="Times New Roman" w:cs="Times New Roman"/>
          <w:caps w:val="0"/>
          <w:smallCaps w:val="0"/>
          <w:color w:val="auto"/>
          <w:spacing w:val="0"/>
          <w:w w:val="100"/>
          <w:position w:val="0"/>
          <w:highlight w:val="none"/>
          <w:lang w:val="en-US" w:eastAsia="zh-CN"/>
        </w:rPr>
        <w:t>。</w:t>
      </w:r>
    </w:p>
    <w:p w14:paraId="7C34DAD7">
      <w:pPr>
        <w:widowControl w:val="0"/>
        <w:spacing w:line="440" w:lineRule="exact"/>
        <w:ind w:firstLine="480" w:firstLineChars="200"/>
        <w:jc w:val="both"/>
        <w:rPr>
          <w:rFonts w:hint="eastAsia" w:ascii="Times New Roman" w:hAnsi="Times New Roman" w:eastAsia="宋体" w:cs="Times New Roman"/>
          <w:caps w:val="0"/>
          <w:smallCaps w:val="0"/>
          <w:color w:val="auto"/>
          <w:spacing w:val="0"/>
          <w:w w:val="100"/>
          <w:kern w:val="2"/>
          <w:position w:val="0"/>
          <w:szCs w:val="20"/>
          <w:highlight w:val="none"/>
          <w:lang w:eastAsia="zh-CN"/>
        </w:rPr>
      </w:pPr>
      <w:r>
        <w:rPr>
          <w:rFonts w:hint="eastAsia" w:ascii="Times New Roman" w:hAnsi="Times New Roman" w:cs="Times New Roman" w:eastAsiaTheme="minorEastAsia"/>
          <w:caps w:val="0"/>
          <w:smallCaps w:val="0"/>
          <w:color w:val="auto"/>
          <w:spacing w:val="0"/>
          <w:w w:val="100"/>
          <w:kern w:val="2"/>
          <w:position w:val="0"/>
          <w:szCs w:val="20"/>
          <w:highlight w:val="none"/>
          <w:lang w:val="en-US" w:eastAsia="zh-CN"/>
        </w:rPr>
        <w:t>集输</w:t>
      </w:r>
      <w:r>
        <w:rPr>
          <w:rFonts w:hint="eastAsia" w:ascii="Times New Roman" w:hAnsi="Times New Roman" w:cs="Times New Roman" w:eastAsiaTheme="minorEastAsia"/>
          <w:caps w:val="0"/>
          <w:smallCaps w:val="0"/>
          <w:color w:val="auto"/>
          <w:spacing w:val="0"/>
          <w:w w:val="100"/>
          <w:kern w:val="2"/>
          <w:position w:val="0"/>
          <w:szCs w:val="20"/>
          <w:highlight w:val="none"/>
        </w:rPr>
        <w:t>管道</w:t>
      </w:r>
      <w:r>
        <w:rPr>
          <w:rFonts w:ascii="Times New Roman" w:hAnsi="Times New Roman" w:cs="Times New Roman" w:eastAsiaTheme="minorEastAsia"/>
          <w:caps w:val="0"/>
          <w:smallCaps w:val="0"/>
          <w:color w:val="auto"/>
          <w:spacing w:val="0"/>
          <w:w w:val="100"/>
          <w:kern w:val="2"/>
          <w:position w:val="0"/>
          <w:szCs w:val="20"/>
          <w:highlight w:val="none"/>
        </w:rPr>
        <w:t>采用公式πr</w:t>
      </w:r>
      <w:r>
        <w:rPr>
          <w:rFonts w:ascii="Times New Roman" w:hAnsi="Times New Roman" w:cs="Times New Roman" w:eastAsiaTheme="minorEastAsia"/>
          <w:caps w:val="0"/>
          <w:smallCaps w:val="0"/>
          <w:color w:val="auto"/>
          <w:spacing w:val="0"/>
          <w:w w:val="100"/>
          <w:kern w:val="2"/>
          <w:position w:val="0"/>
          <w:szCs w:val="20"/>
          <w:highlight w:val="none"/>
          <w:vertAlign w:val="superscript"/>
        </w:rPr>
        <w:t>2</w:t>
      </w:r>
      <w:r>
        <w:rPr>
          <w:rFonts w:ascii="Times New Roman" w:hAnsi="Times New Roman" w:cs="Times New Roman" w:eastAsiaTheme="minorEastAsia"/>
          <w:caps w:val="0"/>
          <w:smallCaps w:val="0"/>
          <w:color w:val="auto"/>
          <w:spacing w:val="0"/>
          <w:w w:val="100"/>
          <w:kern w:val="2"/>
          <w:position w:val="0"/>
          <w:szCs w:val="20"/>
          <w:highlight w:val="none"/>
        </w:rPr>
        <w:t>×管线长度×</w:t>
      </w:r>
      <w:r>
        <w:rPr>
          <w:rFonts w:hint="eastAsia" w:ascii="Times New Roman" w:hAnsi="Times New Roman" w:cs="Times New Roman" w:eastAsiaTheme="minorEastAsia"/>
          <w:caps w:val="0"/>
          <w:smallCaps w:val="0"/>
          <w:color w:val="auto"/>
          <w:spacing w:val="0"/>
          <w:w w:val="100"/>
          <w:kern w:val="2"/>
          <w:position w:val="0"/>
          <w:szCs w:val="20"/>
          <w:highlight w:val="none"/>
        </w:rPr>
        <w:t>原油密度</w:t>
      </w:r>
      <w:r>
        <w:rPr>
          <w:rFonts w:ascii="Times New Roman" w:hAnsi="Times New Roman" w:cs="Times New Roman" w:eastAsiaTheme="minorEastAsia"/>
          <w:caps w:val="0"/>
          <w:smallCaps w:val="0"/>
          <w:color w:val="auto"/>
          <w:spacing w:val="0"/>
          <w:w w:val="100"/>
          <w:kern w:val="2"/>
          <w:position w:val="0"/>
          <w:szCs w:val="20"/>
          <w:highlight w:val="none"/>
        </w:rPr>
        <w:t>计算管道内原油最大存在量，</w:t>
      </w:r>
      <w:r>
        <w:rPr>
          <w:rFonts w:hint="eastAsia" w:ascii="Times New Roman" w:hAnsi="Times New Roman" w:cs="Times New Roman" w:eastAsiaTheme="minorEastAsia"/>
          <w:caps w:val="0"/>
          <w:smallCaps w:val="0"/>
          <w:color w:val="auto"/>
          <w:spacing w:val="0"/>
          <w:w w:val="100"/>
          <w:kern w:val="2"/>
          <w:position w:val="0"/>
          <w:szCs w:val="20"/>
          <w:highlight w:val="none"/>
          <w:lang w:val="en-US" w:eastAsia="zh-CN"/>
        </w:rPr>
        <w:t>集</w:t>
      </w:r>
      <w:r>
        <w:rPr>
          <w:rFonts w:hint="eastAsia" w:ascii="Times New Roman" w:hAnsi="Times New Roman" w:cs="Times New Roman" w:eastAsiaTheme="minorEastAsia"/>
          <w:caps w:val="0"/>
          <w:smallCaps w:val="0"/>
          <w:color w:val="auto"/>
          <w:spacing w:val="0"/>
          <w:w w:val="100"/>
          <w:kern w:val="2"/>
          <w:position w:val="0"/>
          <w:szCs w:val="20"/>
          <w:highlight w:val="none"/>
        </w:rPr>
        <w:t>油管道内原油密度约0</w:t>
      </w:r>
      <w:r>
        <w:rPr>
          <w:rFonts w:ascii="Times New Roman" w:hAnsi="Times New Roman" w:cs="Times New Roman" w:eastAsiaTheme="minorEastAsia"/>
          <w:caps w:val="0"/>
          <w:smallCaps w:val="0"/>
          <w:color w:val="auto"/>
          <w:spacing w:val="0"/>
          <w:w w:val="100"/>
          <w:kern w:val="2"/>
          <w:position w:val="0"/>
          <w:szCs w:val="20"/>
          <w:highlight w:val="none"/>
        </w:rPr>
        <w:t>.85g/cm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w:t>
      </w:r>
      <w:r>
        <w:rPr>
          <w:rFonts w:hint="eastAsia" w:ascii="Times New Roman" w:hAnsi="Times New Roman" w:cs="Times New Roman" w:eastAsiaTheme="minorEastAsia"/>
          <w:caps w:val="0"/>
          <w:smallCaps w:val="0"/>
          <w:color w:val="auto"/>
          <w:spacing w:val="0"/>
          <w:w w:val="100"/>
          <w:kern w:val="2"/>
          <w:position w:val="0"/>
          <w:szCs w:val="20"/>
          <w:highlight w:val="none"/>
          <w:lang w:val="en-US" w:eastAsia="zh-CN"/>
        </w:rPr>
        <w:t>掺水</w:t>
      </w:r>
      <w:r>
        <w:rPr>
          <w:rFonts w:ascii="Times New Roman" w:hAnsi="Times New Roman" w:cs="Times New Roman"/>
          <w:color w:val="auto"/>
          <w:highlight w:val="none"/>
          <w:lang w:val="en-US"/>
        </w:rPr>
        <w:t>管线内介质均为含油量≤8mg/L的</w:t>
      </w:r>
      <w:r>
        <w:rPr>
          <w:rFonts w:hint="eastAsia" w:ascii="Times New Roman" w:hAnsi="Times New Roman" w:cs="Times New Roman"/>
          <w:color w:val="auto"/>
          <w:highlight w:val="none"/>
          <w:lang w:val="en-US"/>
        </w:rPr>
        <w:t>深度处理水</w:t>
      </w:r>
      <w:r>
        <w:rPr>
          <w:rFonts w:ascii="Times New Roman" w:hAnsi="Times New Roman" w:cs="Times New Roman"/>
          <w:color w:val="auto"/>
          <w:highlight w:val="none"/>
          <w:lang w:val="en-US"/>
        </w:rPr>
        <w:t>，本次</w:t>
      </w:r>
      <w:r>
        <w:rPr>
          <w:rFonts w:hint="eastAsia" w:ascii="Times New Roman" w:hAnsi="Times New Roman" w:cs="Times New Roman"/>
          <w:color w:val="auto"/>
          <w:highlight w:val="none"/>
          <w:lang w:val="en-US" w:eastAsia="zh-CN"/>
        </w:rPr>
        <w:t>掺水</w:t>
      </w:r>
      <w:r>
        <w:rPr>
          <w:rFonts w:ascii="Times New Roman" w:hAnsi="Times New Roman" w:cs="Times New Roman"/>
          <w:color w:val="auto"/>
          <w:highlight w:val="none"/>
          <w:lang w:val="en-US"/>
        </w:rPr>
        <w:t>管道内含油量按照最大浓度8mg/L进行计算</w:t>
      </w:r>
      <w:r>
        <w:rPr>
          <w:rFonts w:hint="eastAsia" w:ascii="Times New Roman" w:hAnsi="Times New Roman" w:cs="Times New Roman"/>
          <w:color w:val="auto"/>
          <w:highlight w:val="none"/>
          <w:lang w:val="en-US" w:eastAsia="zh-CN"/>
        </w:rPr>
        <w:t>。</w:t>
      </w:r>
    </w:p>
    <w:p w14:paraId="06A0C27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kern w:val="2"/>
          <w:position w:val="0"/>
          <w:szCs w:val="20"/>
          <w:highlight w:val="none"/>
        </w:rPr>
        <w:t>再根据《建设项目环境风险评价技术导则》（HJ169-2018），危险物质数量与临界量的比值（Q）计算式如下：</w:t>
      </w:r>
    </w:p>
    <w:p w14:paraId="23EB8E1D">
      <w:pPr>
        <w:widowControl w:val="0"/>
        <w:spacing w:line="440" w:lineRule="exact"/>
        <w:jc w:val="center"/>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Q＝q</w:t>
      </w:r>
      <w:r>
        <w:rPr>
          <w:rFonts w:ascii="Times New Roman" w:hAnsi="Times New Roman" w:cs="Times New Roman" w:eastAsiaTheme="minorEastAsia"/>
          <w:caps w:val="0"/>
          <w:smallCaps w:val="0"/>
          <w:color w:val="auto"/>
          <w:spacing w:val="0"/>
          <w:w w:val="100"/>
          <w:kern w:val="2"/>
          <w:position w:val="0"/>
          <w:szCs w:val="20"/>
          <w:highlight w:val="none"/>
          <w:vertAlign w:val="subscript"/>
        </w:rPr>
        <w:t>1</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1</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2</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2</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n</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n</w:t>
      </w:r>
    </w:p>
    <w:p w14:paraId="16DFCBEF">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式中：q</w:t>
      </w:r>
      <w:r>
        <w:rPr>
          <w:rFonts w:ascii="Times New Roman" w:hAnsi="Times New Roman" w:cs="Times New Roman" w:eastAsiaTheme="minorEastAsia"/>
          <w:caps w:val="0"/>
          <w:smallCaps w:val="0"/>
          <w:color w:val="auto"/>
          <w:spacing w:val="0"/>
          <w:w w:val="100"/>
          <w:kern w:val="2"/>
          <w:position w:val="0"/>
          <w:szCs w:val="20"/>
          <w:highlight w:val="none"/>
          <w:vertAlign w:val="subscript"/>
        </w:rPr>
        <w:t>1</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2</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n</w:t>
      </w:r>
      <w:r>
        <w:rPr>
          <w:rFonts w:ascii="Times New Roman" w:hAnsi="Times New Roman" w:cs="Times New Roman" w:eastAsiaTheme="minorEastAsia"/>
          <w:caps w:val="0"/>
          <w:smallCaps w:val="0"/>
          <w:color w:val="auto"/>
          <w:spacing w:val="0"/>
          <w:w w:val="100"/>
          <w:kern w:val="2"/>
          <w:position w:val="0"/>
          <w:szCs w:val="20"/>
          <w:highlight w:val="none"/>
        </w:rPr>
        <w:t>——每种危险物质的最大存在总量，t；</w:t>
      </w:r>
    </w:p>
    <w:p w14:paraId="2E2DAAD6">
      <w:pPr>
        <w:widowControl w:val="0"/>
        <w:spacing w:line="440" w:lineRule="exact"/>
        <w:ind w:firstLine="1200" w:firstLineChars="5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1</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2</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Cs w:val="20"/>
          <w:highlight w:val="none"/>
          <w:vertAlign w:val="subscript"/>
        </w:rPr>
        <w:t>n</w:t>
      </w:r>
      <w:r>
        <w:rPr>
          <w:rFonts w:ascii="Times New Roman" w:hAnsi="Times New Roman" w:cs="Times New Roman" w:eastAsiaTheme="minorEastAsia"/>
          <w:caps w:val="0"/>
          <w:smallCaps w:val="0"/>
          <w:color w:val="auto"/>
          <w:spacing w:val="0"/>
          <w:w w:val="100"/>
          <w:kern w:val="2"/>
          <w:position w:val="0"/>
          <w:szCs w:val="20"/>
          <w:highlight w:val="none"/>
        </w:rPr>
        <w:t>——每种危险物质的临界量，t；</w:t>
      </w:r>
    </w:p>
    <w:p w14:paraId="36D001CC">
      <w:pPr>
        <w:pStyle w:val="181"/>
        <w:widowControl w:val="0"/>
        <w:tabs>
          <w:tab w:val="left" w:pos="1571"/>
        </w:tabs>
        <w:spacing w:line="440" w:lineRule="exact"/>
        <w:ind w:left="0" w:firstLine="480" w:firstLineChars="200"/>
        <w:jc w:val="both"/>
        <w:rPr>
          <w:rFonts w:ascii="Times New Roman" w:hAnsi="Times New Roman" w:cs="Times New Roman"/>
          <w:caps w:val="0"/>
          <w:smallCaps w:val="0"/>
          <w:color w:val="auto"/>
          <w:spacing w:val="0"/>
          <w:w w:val="100"/>
          <w:position w:val="0"/>
          <w:highlight w:val="none"/>
          <w:lang w:val="en-US"/>
        </w:rPr>
      </w:pPr>
      <w:r>
        <w:rPr>
          <w:rFonts w:ascii="Times New Roman" w:hAnsi="Times New Roman" w:cs="Times New Roman"/>
          <w:caps w:val="0"/>
          <w:smallCaps w:val="0"/>
          <w:color w:val="auto"/>
          <w:spacing w:val="0"/>
          <w:w w:val="100"/>
          <w:position w:val="0"/>
          <w:highlight w:val="none"/>
          <w:lang w:val="en-US"/>
        </w:rPr>
        <w:t>本项目运营期危险物质数量与临界量的比值</w:t>
      </w:r>
      <w:r>
        <w:rPr>
          <w:rFonts w:hint="eastAsia" w:ascii="Times New Roman" w:hAnsi="Times New Roman" w:cs="Times New Roman"/>
          <w:caps w:val="0"/>
          <w:smallCaps w:val="0"/>
          <w:color w:val="auto"/>
          <w:spacing w:val="0"/>
          <w:w w:val="100"/>
          <w:position w:val="0"/>
          <w:highlight w:val="none"/>
          <w:lang w:val="en-US"/>
        </w:rPr>
        <w:t>见表2</w:t>
      </w:r>
      <w:r>
        <w:rPr>
          <w:rFonts w:ascii="Times New Roman" w:hAnsi="Times New Roman" w:cs="Times New Roman"/>
          <w:caps w:val="0"/>
          <w:smallCaps w:val="0"/>
          <w:color w:val="auto"/>
          <w:spacing w:val="0"/>
          <w:w w:val="100"/>
          <w:position w:val="0"/>
          <w:highlight w:val="none"/>
          <w:lang w:val="en-US"/>
        </w:rPr>
        <w:t>.6-8。</w:t>
      </w:r>
    </w:p>
    <w:p w14:paraId="6EDCBB2F">
      <w:pPr>
        <w:widowControl w:val="0"/>
        <w:autoSpaceDE w:val="0"/>
        <w:autoSpaceDN w:val="0"/>
        <w:spacing w:line="440" w:lineRule="exact"/>
        <w:ind w:firstLine="482" w:firstLineChars="200"/>
        <w:jc w:val="both"/>
        <w:rPr>
          <w:rFonts w:ascii="Times New Roman" w:hAnsi="Times New Roman" w:cs="Times New Roman" w:eastAsiaTheme="minorEastAsia"/>
          <w:b/>
          <w:caps w:val="0"/>
          <w:smallCaps w:val="0"/>
          <w:snapToGrid w:val="0"/>
          <w:color w:val="auto"/>
          <w:spacing w:val="0"/>
          <w:w w:val="100"/>
          <w:position w:val="0"/>
          <w:highlight w:val="none"/>
        </w:rPr>
      </w:pPr>
      <w:r>
        <w:rPr>
          <w:rFonts w:hint="eastAsia" w:ascii="Times New Roman" w:hAnsi="Times New Roman" w:cs="Times New Roman" w:eastAsiaTheme="minorEastAsia"/>
          <w:b/>
          <w:bCs/>
          <w:caps w:val="0"/>
          <w:smallCaps w:val="0"/>
          <w:snapToGrid w:val="0"/>
          <w:color w:val="auto"/>
          <w:spacing w:val="0"/>
          <w:w w:val="100"/>
          <w:position w:val="0"/>
          <w:highlight w:val="none"/>
        </w:rPr>
        <w:t>表2</w:t>
      </w:r>
      <w:r>
        <w:rPr>
          <w:rFonts w:ascii="Times New Roman" w:hAnsi="Times New Roman" w:cs="Times New Roman" w:eastAsiaTheme="minorEastAsia"/>
          <w:b/>
          <w:bCs/>
          <w:caps w:val="0"/>
          <w:smallCaps w:val="0"/>
          <w:snapToGrid w:val="0"/>
          <w:color w:val="auto"/>
          <w:spacing w:val="0"/>
          <w:w w:val="100"/>
          <w:position w:val="0"/>
          <w:highlight w:val="none"/>
        </w:rPr>
        <w:t>.6-8    运营期危险物质数量与临界量的比值</w:t>
      </w:r>
      <w:r>
        <w:rPr>
          <w:rFonts w:hint="eastAsia" w:ascii="Times New Roman" w:hAnsi="Times New Roman" w:cs="Times New Roman" w:eastAsiaTheme="minorEastAsia"/>
          <w:b/>
          <w:bCs/>
          <w:caps w:val="0"/>
          <w:smallCaps w:val="0"/>
          <w:snapToGrid w:val="0"/>
          <w:color w:val="auto"/>
          <w:spacing w:val="0"/>
          <w:w w:val="100"/>
          <w:position w:val="0"/>
          <w:highlight w:val="none"/>
          <w:lang w:val="en-US" w:eastAsia="zh-CN"/>
        </w:rPr>
        <w:t>统计</w:t>
      </w:r>
      <w:r>
        <w:rPr>
          <w:rFonts w:hint="eastAsia" w:ascii="Times New Roman" w:hAnsi="Times New Roman" w:cs="Times New Roman" w:eastAsiaTheme="minorEastAsia"/>
          <w:b/>
          <w:bCs/>
          <w:caps w:val="0"/>
          <w:smallCaps w:val="0"/>
          <w:snapToGrid w:val="0"/>
          <w:color w:val="auto"/>
          <w:spacing w:val="0"/>
          <w:w w:val="100"/>
          <w:position w:val="0"/>
          <w:highlight w:val="none"/>
        </w:rPr>
        <w:t>表</w:t>
      </w:r>
    </w:p>
    <w:tbl>
      <w:tblPr>
        <w:tblStyle w:val="8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694"/>
        <w:gridCol w:w="2509"/>
        <w:gridCol w:w="859"/>
        <w:gridCol w:w="927"/>
        <w:gridCol w:w="982"/>
        <w:gridCol w:w="1132"/>
        <w:gridCol w:w="955"/>
        <w:gridCol w:w="796"/>
      </w:tblGrid>
      <w:tr w14:paraId="3826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2C38AEA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序号</w:t>
            </w:r>
          </w:p>
        </w:tc>
        <w:tc>
          <w:tcPr>
            <w:tcW w:w="373" w:type="pct"/>
            <w:vAlign w:val="center"/>
          </w:tcPr>
          <w:p w14:paraId="5D57023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管道类别</w:t>
            </w:r>
          </w:p>
        </w:tc>
        <w:tc>
          <w:tcPr>
            <w:tcW w:w="1351" w:type="pct"/>
            <w:vAlign w:val="center"/>
          </w:tcPr>
          <w:p w14:paraId="61DA084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管道名称</w:t>
            </w:r>
          </w:p>
        </w:tc>
        <w:tc>
          <w:tcPr>
            <w:tcW w:w="462" w:type="pct"/>
            <w:vAlign w:val="center"/>
          </w:tcPr>
          <w:p w14:paraId="7B438E9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拟建管道规格</w:t>
            </w:r>
          </w:p>
        </w:tc>
        <w:tc>
          <w:tcPr>
            <w:tcW w:w="499" w:type="pct"/>
            <w:vAlign w:val="center"/>
          </w:tcPr>
          <w:p w14:paraId="55D1885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拟建管道长度</w:t>
            </w:r>
          </w:p>
        </w:tc>
        <w:tc>
          <w:tcPr>
            <w:tcW w:w="529" w:type="pct"/>
            <w:shd w:val="clear" w:color="auto" w:fill="auto"/>
            <w:vAlign w:val="center"/>
          </w:tcPr>
          <w:p w14:paraId="68087DE4">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kern w:val="2"/>
                <w:position w:val="0"/>
                <w:sz w:val="21"/>
                <w:szCs w:val="21"/>
                <w:highlight w:val="none"/>
              </w:rPr>
              <w:t>CAS号</w:t>
            </w:r>
          </w:p>
        </w:tc>
        <w:tc>
          <w:tcPr>
            <w:tcW w:w="609" w:type="pct"/>
            <w:shd w:val="clear" w:color="auto" w:fill="auto"/>
            <w:vAlign w:val="center"/>
          </w:tcPr>
          <w:p w14:paraId="39A779AB">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kern w:val="2"/>
                <w:position w:val="0"/>
                <w:sz w:val="21"/>
                <w:szCs w:val="21"/>
                <w:highlight w:val="none"/>
              </w:rPr>
              <w:t>最大存在总量</w:t>
            </w:r>
            <w:r>
              <w:rPr>
                <w:rFonts w:ascii="Times New Roman" w:hAnsi="Times New Roman" w:cs="Times New Roman" w:eastAsiaTheme="minorEastAsia"/>
                <w:caps w:val="0"/>
                <w:smallCaps w:val="0"/>
                <w:color w:val="auto"/>
                <w:spacing w:val="0"/>
                <w:w w:val="100"/>
                <w:kern w:val="2"/>
                <w:position w:val="0"/>
                <w:szCs w:val="20"/>
                <w:highlight w:val="none"/>
              </w:rPr>
              <w:t>q</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n</w:t>
            </w:r>
            <w:r>
              <w:rPr>
                <w:rFonts w:ascii="Times New Roman" w:hAnsi="Times New Roman" w:cs="Times New Roman" w:eastAsiaTheme="minorEastAsia"/>
                <w:caps w:val="0"/>
                <w:smallCaps w:val="0"/>
                <w:color w:val="auto"/>
                <w:spacing w:val="0"/>
                <w:w w:val="100"/>
                <w:kern w:val="2"/>
                <w:position w:val="0"/>
                <w:sz w:val="21"/>
                <w:szCs w:val="21"/>
                <w:highlight w:val="none"/>
              </w:rPr>
              <w:t>（t）</w:t>
            </w:r>
          </w:p>
        </w:tc>
        <w:tc>
          <w:tcPr>
            <w:tcW w:w="514" w:type="pct"/>
            <w:shd w:val="clear" w:color="auto" w:fill="auto"/>
            <w:vAlign w:val="center"/>
          </w:tcPr>
          <w:p w14:paraId="22E199DD">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kern w:val="2"/>
                <w:position w:val="0"/>
                <w:sz w:val="21"/>
                <w:szCs w:val="21"/>
                <w:highlight w:val="none"/>
              </w:rPr>
              <w:t>临界量Q</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n</w:t>
            </w:r>
            <w:r>
              <w:rPr>
                <w:rFonts w:ascii="Times New Roman" w:hAnsi="Times New Roman" w:cs="Times New Roman" w:eastAsiaTheme="minorEastAsia"/>
                <w:caps w:val="0"/>
                <w:smallCaps w:val="0"/>
                <w:color w:val="auto"/>
                <w:spacing w:val="0"/>
                <w:w w:val="100"/>
                <w:kern w:val="2"/>
                <w:position w:val="0"/>
                <w:sz w:val="21"/>
                <w:szCs w:val="21"/>
                <w:highlight w:val="none"/>
              </w:rPr>
              <w:t>（t）</w:t>
            </w:r>
          </w:p>
        </w:tc>
        <w:tc>
          <w:tcPr>
            <w:tcW w:w="428" w:type="pct"/>
            <w:shd w:val="clear" w:color="auto" w:fill="auto"/>
            <w:vAlign w:val="center"/>
          </w:tcPr>
          <w:p w14:paraId="0FABEAB9">
            <w:pPr>
              <w:widowControl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kern w:val="2"/>
                <w:position w:val="0"/>
                <w:sz w:val="21"/>
                <w:szCs w:val="21"/>
                <w:highlight w:val="none"/>
              </w:rPr>
              <w:t>物质Q值</w:t>
            </w:r>
          </w:p>
        </w:tc>
      </w:tr>
      <w:tr w14:paraId="6A4E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72BD4D2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1</w:t>
            </w:r>
          </w:p>
        </w:tc>
        <w:tc>
          <w:tcPr>
            <w:tcW w:w="373" w:type="pct"/>
            <w:vMerge w:val="restart"/>
            <w:vAlign w:val="center"/>
          </w:tcPr>
          <w:p w14:paraId="2D11BE3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掺水管道</w:t>
            </w:r>
          </w:p>
        </w:tc>
        <w:tc>
          <w:tcPr>
            <w:tcW w:w="1351" w:type="pct"/>
            <w:vAlign w:val="center"/>
          </w:tcPr>
          <w:p w14:paraId="3DCA9E6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卫1转油站至1-6#集油阀组间管线</w:t>
            </w:r>
          </w:p>
        </w:tc>
        <w:tc>
          <w:tcPr>
            <w:tcW w:w="462" w:type="pct"/>
            <w:shd w:val="clear" w:color="auto" w:fill="auto"/>
            <w:vAlign w:val="center"/>
          </w:tcPr>
          <w:p w14:paraId="53AAAA6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114</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3250EFC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4.09</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529" w:type="pct"/>
            <w:shd w:val="clear" w:color="auto" w:fill="auto"/>
            <w:vAlign w:val="top"/>
          </w:tcPr>
          <w:p w14:paraId="2199CBA1">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74-82-8</w:t>
            </w:r>
          </w:p>
        </w:tc>
        <w:tc>
          <w:tcPr>
            <w:tcW w:w="609" w:type="pct"/>
            <w:shd w:val="clear" w:color="auto" w:fill="auto"/>
            <w:vAlign w:val="center"/>
          </w:tcPr>
          <w:p w14:paraId="0F4F512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120.351 </w:t>
            </w:r>
          </w:p>
        </w:tc>
        <w:tc>
          <w:tcPr>
            <w:tcW w:w="514" w:type="pct"/>
            <w:shd w:val="clear" w:color="auto" w:fill="auto"/>
            <w:vAlign w:val="center"/>
          </w:tcPr>
          <w:p w14:paraId="6117BBC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shd w:val="clear" w:color="auto" w:fill="auto"/>
            <w:vAlign w:val="center"/>
          </w:tcPr>
          <w:p w14:paraId="79FD92D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0.0481</w:t>
            </w:r>
          </w:p>
        </w:tc>
      </w:tr>
      <w:tr w14:paraId="6A30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0CC3CD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w:t>
            </w:r>
          </w:p>
        </w:tc>
        <w:tc>
          <w:tcPr>
            <w:tcW w:w="373" w:type="pct"/>
            <w:vMerge w:val="continue"/>
            <w:vAlign w:val="center"/>
          </w:tcPr>
          <w:p w14:paraId="3274516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vAlign w:val="center"/>
          </w:tcPr>
          <w:p w14:paraId="77DABA0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卫1脱水站至2-9#集油阀组间管线</w:t>
            </w:r>
          </w:p>
        </w:tc>
        <w:tc>
          <w:tcPr>
            <w:tcW w:w="462" w:type="pct"/>
            <w:shd w:val="clear" w:color="auto" w:fill="auto"/>
            <w:vAlign w:val="center"/>
          </w:tcPr>
          <w:p w14:paraId="29A5AD5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114</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289F62A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4.2</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529" w:type="pct"/>
            <w:vAlign w:val="center"/>
          </w:tcPr>
          <w:p w14:paraId="1297B5C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74-82-8</w:t>
            </w:r>
          </w:p>
        </w:tc>
        <w:tc>
          <w:tcPr>
            <w:tcW w:w="609" w:type="pct"/>
            <w:vAlign w:val="center"/>
          </w:tcPr>
          <w:p w14:paraId="5F61BAF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123.588 </w:t>
            </w:r>
          </w:p>
        </w:tc>
        <w:tc>
          <w:tcPr>
            <w:tcW w:w="514" w:type="pct"/>
            <w:vAlign w:val="center"/>
          </w:tcPr>
          <w:p w14:paraId="74B2599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2C194C1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0.0494</w:t>
            </w:r>
          </w:p>
        </w:tc>
      </w:tr>
      <w:tr w14:paraId="02A1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E440F0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3</w:t>
            </w:r>
          </w:p>
        </w:tc>
        <w:tc>
          <w:tcPr>
            <w:tcW w:w="373" w:type="pct"/>
            <w:vMerge w:val="continue"/>
            <w:vAlign w:val="center"/>
          </w:tcPr>
          <w:p w14:paraId="603BBC7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vAlign w:val="center"/>
          </w:tcPr>
          <w:p w14:paraId="55A6B53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1-3#集油阀组间至卫2-18-斜35井间管线</w:t>
            </w:r>
          </w:p>
        </w:tc>
        <w:tc>
          <w:tcPr>
            <w:tcW w:w="462" w:type="pct"/>
            <w:shd w:val="clear" w:color="auto" w:fill="auto"/>
            <w:vAlign w:val="center"/>
          </w:tcPr>
          <w:p w14:paraId="0E0E157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99" w:type="pct"/>
            <w:shd w:val="clear" w:color="auto" w:fill="auto"/>
            <w:vAlign w:val="center"/>
          </w:tcPr>
          <w:p w14:paraId="716514C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1.74</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529" w:type="pct"/>
            <w:vAlign w:val="center"/>
          </w:tcPr>
          <w:p w14:paraId="224A447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74-82-8</w:t>
            </w:r>
          </w:p>
        </w:tc>
        <w:tc>
          <w:tcPr>
            <w:tcW w:w="609" w:type="pct"/>
            <w:vAlign w:val="center"/>
          </w:tcPr>
          <w:p w14:paraId="58BC3FF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13.045 </w:t>
            </w:r>
          </w:p>
        </w:tc>
        <w:tc>
          <w:tcPr>
            <w:tcW w:w="514" w:type="pct"/>
            <w:vAlign w:val="center"/>
          </w:tcPr>
          <w:p w14:paraId="0F91B29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26CF3E1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0.0052</w:t>
            </w:r>
          </w:p>
        </w:tc>
      </w:tr>
      <w:tr w14:paraId="47C7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88473F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w:t>
            </w:r>
          </w:p>
        </w:tc>
        <w:tc>
          <w:tcPr>
            <w:tcW w:w="373" w:type="pct"/>
            <w:vMerge w:val="continue"/>
            <w:vAlign w:val="center"/>
          </w:tcPr>
          <w:p w14:paraId="70CCC07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vAlign w:val="center"/>
          </w:tcPr>
          <w:p w14:paraId="7947BBD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1-5#集油阀组间至卫 </w:t>
            </w:r>
            <w: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t>1-17-14</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462" w:type="pct"/>
            <w:vAlign w:val="center"/>
          </w:tcPr>
          <w:p w14:paraId="62E879B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99" w:type="pct"/>
            <w:vAlign w:val="center"/>
          </w:tcPr>
          <w:p w14:paraId="0EEF7C7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0.95km</w:t>
            </w:r>
          </w:p>
        </w:tc>
        <w:tc>
          <w:tcPr>
            <w:tcW w:w="529" w:type="pct"/>
            <w:vAlign w:val="center"/>
          </w:tcPr>
          <w:p w14:paraId="5DD5641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74-82-8</w:t>
            </w:r>
          </w:p>
        </w:tc>
        <w:tc>
          <w:tcPr>
            <w:tcW w:w="609" w:type="pct"/>
            <w:vAlign w:val="center"/>
          </w:tcPr>
          <w:p w14:paraId="18E044A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7.122 </w:t>
            </w:r>
          </w:p>
        </w:tc>
        <w:tc>
          <w:tcPr>
            <w:tcW w:w="514" w:type="pct"/>
            <w:vAlign w:val="center"/>
          </w:tcPr>
          <w:p w14:paraId="2E70425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0BEAC59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0.0028</w:t>
            </w:r>
          </w:p>
        </w:tc>
      </w:tr>
      <w:tr w14:paraId="513B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6F9C825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5</w:t>
            </w:r>
          </w:p>
        </w:tc>
        <w:tc>
          <w:tcPr>
            <w:tcW w:w="373" w:type="pct"/>
            <w:vMerge w:val="restart"/>
            <w:vAlign w:val="center"/>
          </w:tcPr>
          <w:p w14:paraId="5602B93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w:t>
            </w:r>
            <w:r>
              <w:rPr>
                <w:rFonts w:ascii="Times New Roman" w:hAnsi="Times New Roman" w:cs="Times New Roman" w:eastAsiaTheme="minorEastAsia"/>
                <w:caps w:val="0"/>
                <w:smallCaps w:val="0"/>
                <w:snapToGrid w:val="0"/>
                <w:color w:val="auto"/>
                <w:spacing w:val="0"/>
                <w:w w:val="100"/>
                <w:position w:val="0"/>
                <w:sz w:val="21"/>
                <w:szCs w:val="21"/>
                <w:highlight w:val="none"/>
              </w:rPr>
              <w:t>管道</w:t>
            </w:r>
          </w:p>
        </w:tc>
        <w:tc>
          <w:tcPr>
            <w:tcW w:w="1351" w:type="pct"/>
            <w:shd w:val="clear" w:color="auto" w:fill="auto"/>
            <w:vAlign w:val="center"/>
          </w:tcPr>
          <w:p w14:paraId="3F38A8D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卫2-18-斜35井至卫2-18-34井间管线</w:t>
            </w:r>
          </w:p>
        </w:tc>
        <w:tc>
          <w:tcPr>
            <w:tcW w:w="462" w:type="pct"/>
            <w:shd w:val="clear" w:color="auto" w:fill="auto"/>
            <w:vAlign w:val="center"/>
          </w:tcPr>
          <w:p w14:paraId="0AE9FF2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99" w:type="pct"/>
            <w:shd w:val="clear" w:color="auto" w:fill="auto"/>
            <w:vAlign w:val="center"/>
          </w:tcPr>
          <w:p w14:paraId="75271CB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0.32</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529" w:type="pct"/>
            <w:vAlign w:val="center"/>
          </w:tcPr>
          <w:p w14:paraId="128AA08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7A36A11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2.399 </w:t>
            </w:r>
          </w:p>
        </w:tc>
        <w:tc>
          <w:tcPr>
            <w:tcW w:w="514" w:type="pct"/>
            <w:vAlign w:val="center"/>
          </w:tcPr>
          <w:p w14:paraId="3434F31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319E131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0.0010</w:t>
            </w:r>
          </w:p>
        </w:tc>
      </w:tr>
      <w:tr w14:paraId="324A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5ADBC16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p>
        </w:tc>
        <w:tc>
          <w:tcPr>
            <w:tcW w:w="373" w:type="pct"/>
            <w:vMerge w:val="continue"/>
            <w:vAlign w:val="center"/>
          </w:tcPr>
          <w:p w14:paraId="2C25102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0D12F94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卫2-18-34井至卫2-20-35井间管线</w:t>
            </w:r>
          </w:p>
        </w:tc>
        <w:tc>
          <w:tcPr>
            <w:tcW w:w="462" w:type="pct"/>
            <w:shd w:val="clear" w:color="auto" w:fill="auto"/>
            <w:vAlign w:val="center"/>
          </w:tcPr>
          <w:p w14:paraId="5ED6143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99" w:type="pct"/>
            <w:shd w:val="clear" w:color="auto" w:fill="auto"/>
            <w:vAlign w:val="center"/>
          </w:tcPr>
          <w:p w14:paraId="3D6D7FF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0.54</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529" w:type="pct"/>
            <w:vAlign w:val="center"/>
          </w:tcPr>
          <w:p w14:paraId="445B940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3648340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4.048 </w:t>
            </w:r>
          </w:p>
        </w:tc>
        <w:tc>
          <w:tcPr>
            <w:tcW w:w="514" w:type="pct"/>
            <w:vAlign w:val="center"/>
          </w:tcPr>
          <w:p w14:paraId="319A1A6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1A36571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0.0016</w:t>
            </w:r>
          </w:p>
        </w:tc>
      </w:tr>
      <w:tr w14:paraId="02DC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7B5A72D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w:t>
            </w:r>
          </w:p>
        </w:tc>
        <w:tc>
          <w:tcPr>
            <w:tcW w:w="373" w:type="pct"/>
            <w:vMerge w:val="continue"/>
            <w:vAlign w:val="center"/>
          </w:tcPr>
          <w:p w14:paraId="4B6487E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5A3F99B0">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卫2-20-35井至卫2-21-35井间管线</w:t>
            </w:r>
          </w:p>
        </w:tc>
        <w:tc>
          <w:tcPr>
            <w:tcW w:w="462" w:type="pct"/>
            <w:shd w:val="clear" w:color="auto" w:fill="auto"/>
            <w:vAlign w:val="center"/>
          </w:tcPr>
          <w:p w14:paraId="3C2DEF3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99" w:type="pct"/>
            <w:shd w:val="clear" w:color="auto" w:fill="auto"/>
            <w:vAlign w:val="center"/>
          </w:tcPr>
          <w:p w14:paraId="76BC026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0.23</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529" w:type="pct"/>
            <w:shd w:val="clear" w:color="auto" w:fill="auto"/>
            <w:vAlign w:val="top"/>
          </w:tcPr>
          <w:p w14:paraId="44C8639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ascii="Times New Roman" w:hAnsi="Times New Roman" w:cs="Times New Roman" w:eastAsiaTheme="minorEastAsia"/>
                <w:caps w:val="0"/>
                <w:smallCaps w:val="0"/>
                <w:snapToGrid w:val="0"/>
                <w:color w:val="auto"/>
                <w:spacing w:val="0"/>
                <w:w w:val="100"/>
                <w:position w:val="0"/>
                <w:sz w:val="21"/>
                <w:szCs w:val="21"/>
                <w:highlight w:val="none"/>
              </w:rPr>
              <w:t>/</w:t>
            </w:r>
          </w:p>
        </w:tc>
        <w:tc>
          <w:tcPr>
            <w:tcW w:w="609" w:type="pct"/>
            <w:shd w:val="clear" w:color="auto" w:fill="auto"/>
            <w:vAlign w:val="center"/>
          </w:tcPr>
          <w:p w14:paraId="47C2C8B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1.724 </w:t>
            </w:r>
          </w:p>
        </w:tc>
        <w:tc>
          <w:tcPr>
            <w:tcW w:w="514" w:type="pct"/>
            <w:shd w:val="clear" w:color="auto" w:fill="auto"/>
            <w:vAlign w:val="center"/>
          </w:tcPr>
          <w:p w14:paraId="5BD09C2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shd w:val="clear" w:color="auto" w:fill="auto"/>
            <w:vAlign w:val="center"/>
          </w:tcPr>
          <w:p w14:paraId="21F97E3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0.0007</w:t>
            </w:r>
          </w:p>
        </w:tc>
      </w:tr>
      <w:tr w14:paraId="1B06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6E0FB68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8</w:t>
            </w:r>
          </w:p>
        </w:tc>
        <w:tc>
          <w:tcPr>
            <w:tcW w:w="373" w:type="pct"/>
            <w:vMerge w:val="continue"/>
            <w:vAlign w:val="center"/>
          </w:tcPr>
          <w:p w14:paraId="383976E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5A66DCE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卫2-21-35井至1-3#集油阀组间间管线</w:t>
            </w:r>
          </w:p>
        </w:tc>
        <w:tc>
          <w:tcPr>
            <w:tcW w:w="462" w:type="pct"/>
            <w:shd w:val="clear" w:color="auto" w:fill="auto"/>
            <w:vAlign w:val="center"/>
          </w:tcPr>
          <w:p w14:paraId="19AD70E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5134FE6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1.51</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529" w:type="pct"/>
            <w:vAlign w:val="center"/>
          </w:tcPr>
          <w:p w14:paraId="5085F36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36BD850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18.092 </w:t>
            </w:r>
          </w:p>
        </w:tc>
        <w:tc>
          <w:tcPr>
            <w:tcW w:w="514" w:type="pct"/>
            <w:vAlign w:val="center"/>
          </w:tcPr>
          <w:p w14:paraId="7E4A129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3940FEA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0.0072</w:t>
            </w:r>
          </w:p>
        </w:tc>
      </w:tr>
      <w:tr w14:paraId="1CDE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018CA27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9</w:t>
            </w:r>
          </w:p>
        </w:tc>
        <w:tc>
          <w:tcPr>
            <w:tcW w:w="373" w:type="pct"/>
            <w:vMerge w:val="continue"/>
            <w:vAlign w:val="center"/>
          </w:tcPr>
          <w:p w14:paraId="12E3258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0171503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 1-17-14井至卫1-161-斜131井间管线</w:t>
            </w:r>
          </w:p>
        </w:tc>
        <w:tc>
          <w:tcPr>
            <w:tcW w:w="462" w:type="pct"/>
            <w:shd w:val="clear" w:color="auto" w:fill="auto"/>
            <w:vAlign w:val="center"/>
          </w:tcPr>
          <w:p w14:paraId="0F5112C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99" w:type="pct"/>
            <w:shd w:val="clear" w:color="auto" w:fill="auto"/>
            <w:vAlign w:val="center"/>
          </w:tcPr>
          <w:p w14:paraId="4A10139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0.03km</w:t>
            </w:r>
          </w:p>
        </w:tc>
        <w:tc>
          <w:tcPr>
            <w:tcW w:w="529" w:type="pct"/>
            <w:vAlign w:val="center"/>
          </w:tcPr>
          <w:p w14:paraId="5C9F2B2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4F01F62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0.225 </w:t>
            </w:r>
          </w:p>
        </w:tc>
        <w:tc>
          <w:tcPr>
            <w:tcW w:w="514" w:type="pct"/>
            <w:vAlign w:val="center"/>
          </w:tcPr>
          <w:p w14:paraId="1702482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1E95758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0.0001</w:t>
            </w:r>
          </w:p>
        </w:tc>
      </w:tr>
      <w:tr w14:paraId="7AA3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4CBD8CD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10</w:t>
            </w:r>
          </w:p>
        </w:tc>
        <w:tc>
          <w:tcPr>
            <w:tcW w:w="373" w:type="pct"/>
            <w:vMerge w:val="continue"/>
            <w:vAlign w:val="center"/>
          </w:tcPr>
          <w:p w14:paraId="49BD047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44E67D1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卫1-17-12井至1-5#集油阀组间间管线</w:t>
            </w:r>
          </w:p>
        </w:tc>
        <w:tc>
          <w:tcPr>
            <w:tcW w:w="462" w:type="pct"/>
            <w:shd w:val="clear" w:color="auto" w:fill="auto"/>
            <w:vAlign w:val="center"/>
          </w:tcPr>
          <w:p w14:paraId="47E25EB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564E5B2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0.7km</w:t>
            </w:r>
          </w:p>
        </w:tc>
        <w:tc>
          <w:tcPr>
            <w:tcW w:w="529" w:type="pct"/>
            <w:vAlign w:val="center"/>
          </w:tcPr>
          <w:p w14:paraId="27D5C57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54026DB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8.387 </w:t>
            </w:r>
          </w:p>
        </w:tc>
        <w:tc>
          <w:tcPr>
            <w:tcW w:w="514" w:type="pct"/>
            <w:vAlign w:val="center"/>
          </w:tcPr>
          <w:p w14:paraId="1728DC8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73F68A5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0.0034</w:t>
            </w:r>
          </w:p>
        </w:tc>
      </w:tr>
      <w:tr w14:paraId="4013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298DBFB5">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11</w:t>
            </w:r>
          </w:p>
        </w:tc>
        <w:tc>
          <w:tcPr>
            <w:tcW w:w="373" w:type="pct"/>
            <w:vMerge w:val="continue"/>
            <w:vAlign w:val="center"/>
          </w:tcPr>
          <w:p w14:paraId="1EB5C8E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1386649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卫2-25-斜29井至卫2-25-28井间管线</w:t>
            </w:r>
          </w:p>
        </w:tc>
        <w:tc>
          <w:tcPr>
            <w:tcW w:w="462" w:type="pct"/>
            <w:shd w:val="clear" w:color="auto" w:fill="auto"/>
            <w:vAlign w:val="center"/>
          </w:tcPr>
          <w:p w14:paraId="3F5A3EC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0AE75E3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0.03km</w:t>
            </w:r>
          </w:p>
        </w:tc>
        <w:tc>
          <w:tcPr>
            <w:tcW w:w="529" w:type="pct"/>
            <w:vAlign w:val="center"/>
          </w:tcPr>
          <w:p w14:paraId="3AA1DB8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7879C30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0.359 </w:t>
            </w:r>
          </w:p>
        </w:tc>
        <w:tc>
          <w:tcPr>
            <w:tcW w:w="514" w:type="pct"/>
            <w:vAlign w:val="center"/>
          </w:tcPr>
          <w:p w14:paraId="794EAE1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373DFFD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0.0001</w:t>
            </w:r>
          </w:p>
        </w:tc>
      </w:tr>
      <w:tr w14:paraId="4438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1168E2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12</w:t>
            </w:r>
          </w:p>
        </w:tc>
        <w:tc>
          <w:tcPr>
            <w:tcW w:w="373" w:type="pct"/>
            <w:vMerge w:val="continue"/>
            <w:vAlign w:val="center"/>
          </w:tcPr>
          <w:p w14:paraId="05872CD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37636B0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卫2-25-28井至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卫2-24-斜28</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462" w:type="pct"/>
            <w:shd w:val="clear" w:color="auto" w:fill="auto"/>
            <w:vAlign w:val="center"/>
          </w:tcPr>
          <w:p w14:paraId="3CD7A5E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7875C8A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0.02km</w:t>
            </w:r>
          </w:p>
        </w:tc>
        <w:tc>
          <w:tcPr>
            <w:tcW w:w="529" w:type="pct"/>
            <w:vAlign w:val="center"/>
          </w:tcPr>
          <w:p w14:paraId="26A3C32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7F3F9EC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0.240 </w:t>
            </w:r>
          </w:p>
        </w:tc>
        <w:tc>
          <w:tcPr>
            <w:tcW w:w="514" w:type="pct"/>
            <w:vAlign w:val="center"/>
          </w:tcPr>
          <w:p w14:paraId="66C6558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584E675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0.0001</w:t>
            </w:r>
          </w:p>
        </w:tc>
      </w:tr>
      <w:tr w14:paraId="7252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C1630B4">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13</w:t>
            </w:r>
          </w:p>
        </w:tc>
        <w:tc>
          <w:tcPr>
            <w:tcW w:w="373" w:type="pct"/>
            <w:vMerge w:val="continue"/>
            <w:vAlign w:val="center"/>
          </w:tcPr>
          <w:p w14:paraId="5E01702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3603CA5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卫2-24-斜28</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卫2-25-25</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462" w:type="pct"/>
            <w:shd w:val="clear" w:color="auto" w:fill="auto"/>
            <w:vAlign w:val="center"/>
          </w:tcPr>
          <w:p w14:paraId="5D7E152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2150C1C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0.78km</w:t>
            </w:r>
          </w:p>
        </w:tc>
        <w:tc>
          <w:tcPr>
            <w:tcW w:w="529" w:type="pct"/>
            <w:vAlign w:val="center"/>
          </w:tcPr>
          <w:p w14:paraId="469A9E9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4A45305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9.345 </w:t>
            </w:r>
          </w:p>
        </w:tc>
        <w:tc>
          <w:tcPr>
            <w:tcW w:w="514" w:type="pct"/>
            <w:vAlign w:val="center"/>
          </w:tcPr>
          <w:p w14:paraId="7B42AEF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6F5F9AC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0.0037</w:t>
            </w:r>
          </w:p>
        </w:tc>
      </w:tr>
      <w:tr w14:paraId="51C5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7CE2C5BB">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14</w:t>
            </w:r>
          </w:p>
        </w:tc>
        <w:tc>
          <w:tcPr>
            <w:tcW w:w="373" w:type="pct"/>
            <w:vMerge w:val="continue"/>
            <w:vAlign w:val="center"/>
          </w:tcPr>
          <w:p w14:paraId="6EF40ED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4E7760A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卫2-25-25</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4井间管线</w:t>
            </w:r>
          </w:p>
        </w:tc>
        <w:tc>
          <w:tcPr>
            <w:tcW w:w="462" w:type="pct"/>
            <w:shd w:val="clear" w:color="auto" w:fill="auto"/>
            <w:vAlign w:val="center"/>
          </w:tcPr>
          <w:p w14:paraId="1EC2FA7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4B502B0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0.29km</w:t>
            </w:r>
          </w:p>
        </w:tc>
        <w:tc>
          <w:tcPr>
            <w:tcW w:w="529" w:type="pct"/>
            <w:vAlign w:val="center"/>
          </w:tcPr>
          <w:p w14:paraId="709DCFA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78C5ECB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3.475 </w:t>
            </w:r>
          </w:p>
        </w:tc>
        <w:tc>
          <w:tcPr>
            <w:tcW w:w="514" w:type="pct"/>
            <w:vAlign w:val="center"/>
          </w:tcPr>
          <w:p w14:paraId="341C8AB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3D9E329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0.0014</w:t>
            </w:r>
          </w:p>
        </w:tc>
      </w:tr>
      <w:tr w14:paraId="147F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28C9A80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15</w:t>
            </w:r>
          </w:p>
        </w:tc>
        <w:tc>
          <w:tcPr>
            <w:tcW w:w="373" w:type="pct"/>
            <w:vMerge w:val="continue"/>
            <w:vAlign w:val="center"/>
          </w:tcPr>
          <w:p w14:paraId="3F5D262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351" w:type="pct"/>
            <w:shd w:val="clear" w:color="auto" w:fill="auto"/>
            <w:vAlign w:val="center"/>
          </w:tcPr>
          <w:p w14:paraId="025F52C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4井至2-5#集油阀组间间管线</w:t>
            </w:r>
          </w:p>
        </w:tc>
        <w:tc>
          <w:tcPr>
            <w:tcW w:w="462" w:type="pct"/>
            <w:shd w:val="clear" w:color="auto" w:fill="auto"/>
            <w:vAlign w:val="center"/>
          </w:tcPr>
          <w:p w14:paraId="3FECE6A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99" w:type="pct"/>
            <w:shd w:val="clear" w:color="auto" w:fill="auto"/>
            <w:vAlign w:val="center"/>
          </w:tcPr>
          <w:p w14:paraId="5F031AC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0.69km</w:t>
            </w:r>
          </w:p>
        </w:tc>
        <w:tc>
          <w:tcPr>
            <w:tcW w:w="529" w:type="pct"/>
            <w:vAlign w:val="center"/>
          </w:tcPr>
          <w:p w14:paraId="090A410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609" w:type="pct"/>
            <w:vAlign w:val="center"/>
          </w:tcPr>
          <w:p w14:paraId="172B3B4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8.267 </w:t>
            </w:r>
          </w:p>
        </w:tc>
        <w:tc>
          <w:tcPr>
            <w:tcW w:w="514" w:type="pct"/>
            <w:vAlign w:val="center"/>
          </w:tcPr>
          <w:p w14:paraId="722B6F3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2500</w:t>
            </w:r>
          </w:p>
        </w:tc>
        <w:tc>
          <w:tcPr>
            <w:tcW w:w="428" w:type="pct"/>
            <w:vAlign w:val="center"/>
          </w:tcPr>
          <w:p w14:paraId="36E625F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0.0033</w:t>
            </w:r>
          </w:p>
        </w:tc>
      </w:tr>
      <w:tr w14:paraId="14C6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46" w:type="pct"/>
            <w:gridSpan w:val="6"/>
            <w:vAlign w:val="center"/>
          </w:tcPr>
          <w:p w14:paraId="14BB651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合计</w:t>
            </w:r>
          </w:p>
        </w:tc>
        <w:tc>
          <w:tcPr>
            <w:tcW w:w="609" w:type="pct"/>
            <w:vAlign w:val="center"/>
          </w:tcPr>
          <w:p w14:paraId="15577F59">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320.668</w:t>
            </w:r>
          </w:p>
        </w:tc>
        <w:tc>
          <w:tcPr>
            <w:tcW w:w="514" w:type="pct"/>
            <w:vAlign w:val="center"/>
          </w:tcPr>
          <w:p w14:paraId="611C8E4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w:t>
            </w:r>
          </w:p>
        </w:tc>
        <w:tc>
          <w:tcPr>
            <w:tcW w:w="428" w:type="pct"/>
            <w:vAlign w:val="center"/>
          </w:tcPr>
          <w:p w14:paraId="4D244A2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0.1283</w:t>
            </w:r>
          </w:p>
        </w:tc>
      </w:tr>
    </w:tbl>
    <w:p w14:paraId="4466ABC9">
      <w:pPr>
        <w:pStyle w:val="181"/>
        <w:widowControl w:val="0"/>
        <w:tabs>
          <w:tab w:val="left" w:pos="1571"/>
        </w:tabs>
        <w:spacing w:line="440" w:lineRule="exact"/>
        <w:ind w:left="0" w:firstLine="480" w:firstLineChars="200"/>
        <w:jc w:val="both"/>
        <w:rPr>
          <w:rFonts w:ascii="Times New Roman" w:hAnsi="Times New Roman" w:cs="Times New Roman"/>
          <w:b/>
          <w:caps w:val="0"/>
          <w:smallCaps w:val="0"/>
          <w:color w:val="auto"/>
          <w:spacing w:val="0"/>
          <w:w w:val="100"/>
          <w:position w:val="0"/>
          <w:highlight w:val="none"/>
          <w:lang w:val="en-US"/>
        </w:rPr>
      </w:pPr>
      <w:r>
        <w:rPr>
          <w:rFonts w:ascii="Times New Roman" w:hAnsi="Times New Roman" w:cs="Times New Roman"/>
          <w:caps w:val="0"/>
          <w:smallCaps w:val="0"/>
          <w:color w:val="auto"/>
          <w:spacing w:val="0"/>
          <w:w w:val="100"/>
          <w:position w:val="0"/>
          <w:highlight w:val="none"/>
        </w:rPr>
        <w:t>根据《建设项目环境风险评价技术导则》（HJ169-2018）中评价等级的判定方法，本项目运营期Q</w:t>
      </w:r>
      <w:r>
        <w:rPr>
          <w:rFonts w:ascii="Times New Roman" w:hAnsi="Times New Roman" w:cs="Times New Roman"/>
          <w:caps w:val="0"/>
          <w:smallCaps w:val="0"/>
          <w:color w:val="auto"/>
          <w:spacing w:val="0"/>
          <w:w w:val="100"/>
          <w:position w:val="0"/>
          <w:highlight w:val="none"/>
          <w:vertAlign w:val="subscript"/>
        </w:rPr>
        <w:t>最大值</w:t>
      </w:r>
      <w:r>
        <w:rPr>
          <w:rFonts w:ascii="Times New Roman" w:hAnsi="Times New Roman" w:cs="Times New Roman"/>
          <w:caps w:val="0"/>
          <w:smallCaps w:val="0"/>
          <w:color w:val="auto"/>
          <w:spacing w:val="0"/>
          <w:w w:val="100"/>
          <w:position w:val="0"/>
          <w:highlight w:val="none"/>
        </w:rPr>
        <w:t>=</w:t>
      </w:r>
      <w:r>
        <w:rPr>
          <w:rFonts w:ascii="Times New Roman" w:hAnsi="Times New Roman" w:cs="Times New Roman"/>
          <w:caps w:val="0"/>
          <w:smallCaps w:val="0"/>
          <w:color w:val="auto"/>
          <w:spacing w:val="0"/>
          <w:w w:val="100"/>
          <w:position w:val="0"/>
          <w:highlight w:val="none"/>
          <w:lang w:val="en-US"/>
        </w:rPr>
        <w:t>0.</w:t>
      </w:r>
      <w:r>
        <w:rPr>
          <w:rFonts w:hint="eastAsia" w:ascii="Times New Roman" w:hAnsi="Times New Roman" w:cs="Times New Roman"/>
          <w:caps w:val="0"/>
          <w:smallCaps w:val="0"/>
          <w:color w:val="auto"/>
          <w:spacing w:val="0"/>
          <w:w w:val="100"/>
          <w:position w:val="0"/>
          <w:highlight w:val="none"/>
          <w:lang w:val="en-US" w:eastAsia="zh-CN"/>
        </w:rPr>
        <w:t>1283</w:t>
      </w:r>
      <w:r>
        <w:rPr>
          <w:rFonts w:ascii="Times New Roman" w:hAnsi="Times New Roman" w:cs="Times New Roman"/>
          <w:caps w:val="0"/>
          <w:smallCaps w:val="0"/>
          <w:color w:val="auto"/>
          <w:spacing w:val="0"/>
          <w:w w:val="100"/>
          <w:position w:val="0"/>
          <w:highlight w:val="none"/>
        </w:rPr>
        <w:t>＜1，环境风险潜势为Ⅰ。</w:t>
      </w:r>
    </w:p>
    <w:p w14:paraId="51C5A535">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lang w:bidi="zh-CN"/>
        </w:rPr>
      </w:pPr>
      <w:r>
        <w:rPr>
          <w:rFonts w:ascii="Times New Roman" w:hAnsi="Times New Roman" w:eastAsiaTheme="minorEastAsia"/>
          <w:caps w:val="0"/>
          <w:smallCaps w:val="0"/>
          <w:snapToGrid w:val="0"/>
          <w:color w:val="auto"/>
          <w:spacing w:val="0"/>
          <w:w w:val="100"/>
          <w:position w:val="0"/>
          <w:highlight w:val="none"/>
          <w:lang w:bidi="zh-CN"/>
        </w:rPr>
        <w:t>（2）评价等级</w:t>
      </w:r>
    </w:p>
    <w:p w14:paraId="7CA490A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根据《建设项目环境风险评价技术导则》（HJ169-2018）中关于环境风险评价工作等级的划分，具体见</w:t>
      </w:r>
      <w:r>
        <w:rPr>
          <w:rFonts w:ascii="Times New Roman" w:hAnsi="Times New Roman" w:cs="Times New Roman" w:eastAsiaTheme="minorEastAsia"/>
          <w:caps w:val="0"/>
          <w:smallCaps w:val="0"/>
          <w:color w:val="auto"/>
          <w:spacing w:val="0"/>
          <w:w w:val="100"/>
          <w:kern w:val="21"/>
          <w:position w:val="0"/>
          <w:highlight w:val="none"/>
          <w:lang w:val="zh-CN" w:bidi="zh-CN"/>
        </w:rPr>
        <w:t>表</w:t>
      </w:r>
      <w:r>
        <w:rPr>
          <w:rFonts w:ascii="Times New Roman" w:hAnsi="Times New Roman" w:cs="Times New Roman" w:eastAsiaTheme="minorEastAsia"/>
          <w:caps w:val="0"/>
          <w:smallCaps w:val="0"/>
          <w:color w:val="auto"/>
          <w:spacing w:val="0"/>
          <w:w w:val="100"/>
          <w:kern w:val="21"/>
          <w:position w:val="0"/>
          <w:highlight w:val="none"/>
          <w:lang w:bidi="zh-CN"/>
        </w:rPr>
        <w:t>2.6-10</w:t>
      </w:r>
      <w:r>
        <w:rPr>
          <w:rFonts w:ascii="Times New Roman" w:hAnsi="Times New Roman" w:cs="Times New Roman" w:eastAsiaTheme="minorEastAsia"/>
          <w:caps w:val="0"/>
          <w:smallCaps w:val="0"/>
          <w:color w:val="auto"/>
          <w:spacing w:val="0"/>
          <w:w w:val="100"/>
          <w:kern w:val="2"/>
          <w:position w:val="0"/>
          <w:highlight w:val="none"/>
        </w:rPr>
        <w:t>，本项目风险潜势为I，应进行简单分析。</w:t>
      </w:r>
    </w:p>
    <w:p w14:paraId="0E7E8C4B">
      <w:pPr>
        <w:widowControl w:val="0"/>
        <w:spacing w:line="440" w:lineRule="exact"/>
        <w:ind w:firstLine="482"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b/>
          <w:bCs/>
          <w:caps w:val="0"/>
          <w:smallCaps w:val="0"/>
          <w:color w:val="auto"/>
          <w:spacing w:val="0"/>
          <w:w w:val="100"/>
          <w:position w:val="0"/>
          <w:highlight w:val="none"/>
        </w:rPr>
        <w:t>表2.6-10    环境风险评价工作等级</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88"/>
        <w:gridCol w:w="1785"/>
        <w:gridCol w:w="1785"/>
        <w:gridCol w:w="1785"/>
        <w:gridCol w:w="2143"/>
      </w:tblGrid>
      <w:tr w14:paraId="1070E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63" w:type="pct"/>
            <w:vAlign w:val="center"/>
          </w:tcPr>
          <w:p w14:paraId="285A47F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环境风险潜势</w:t>
            </w:r>
          </w:p>
        </w:tc>
        <w:tc>
          <w:tcPr>
            <w:tcW w:w="961" w:type="pct"/>
            <w:vAlign w:val="center"/>
          </w:tcPr>
          <w:p w14:paraId="7F53730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IV、IV</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p>
        </w:tc>
        <w:tc>
          <w:tcPr>
            <w:tcW w:w="961" w:type="pct"/>
            <w:vAlign w:val="center"/>
          </w:tcPr>
          <w:p w14:paraId="33AE60AE">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III</w:t>
            </w:r>
          </w:p>
        </w:tc>
        <w:tc>
          <w:tcPr>
            <w:tcW w:w="961" w:type="pct"/>
            <w:vAlign w:val="center"/>
          </w:tcPr>
          <w:p w14:paraId="474A00D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II</w:t>
            </w:r>
          </w:p>
        </w:tc>
        <w:tc>
          <w:tcPr>
            <w:tcW w:w="1155" w:type="pct"/>
            <w:vAlign w:val="center"/>
          </w:tcPr>
          <w:p w14:paraId="6829F049">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I</w:t>
            </w:r>
          </w:p>
        </w:tc>
      </w:tr>
      <w:tr w14:paraId="778A2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63" w:type="pct"/>
            <w:vAlign w:val="center"/>
          </w:tcPr>
          <w:p w14:paraId="354987BC">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评价工作等级</w:t>
            </w:r>
          </w:p>
        </w:tc>
        <w:tc>
          <w:tcPr>
            <w:tcW w:w="961" w:type="pct"/>
            <w:vAlign w:val="center"/>
          </w:tcPr>
          <w:p w14:paraId="7AB5698C">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一</w:t>
            </w:r>
          </w:p>
        </w:tc>
        <w:tc>
          <w:tcPr>
            <w:tcW w:w="961" w:type="pct"/>
            <w:vAlign w:val="center"/>
          </w:tcPr>
          <w:p w14:paraId="640F260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二</w:t>
            </w:r>
          </w:p>
        </w:tc>
        <w:tc>
          <w:tcPr>
            <w:tcW w:w="961" w:type="pct"/>
            <w:vAlign w:val="center"/>
          </w:tcPr>
          <w:p w14:paraId="7BE016B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三</w:t>
            </w:r>
          </w:p>
        </w:tc>
        <w:tc>
          <w:tcPr>
            <w:tcW w:w="1155" w:type="pct"/>
            <w:vAlign w:val="center"/>
          </w:tcPr>
          <w:p w14:paraId="0F31201A">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shd w:val="pct10" w:color="auto" w:fill="FFFFFF"/>
              </w:rPr>
              <w:t>简单分析</w:t>
            </w:r>
            <w:r>
              <w:rPr>
                <w:rFonts w:ascii="Times New Roman" w:hAnsi="Times New Roman" w:cs="Times New Roman" w:eastAsiaTheme="minorEastAsia"/>
                <w:caps w:val="0"/>
                <w:smallCaps w:val="0"/>
                <w:color w:val="auto"/>
                <w:spacing w:val="0"/>
                <w:w w:val="100"/>
                <w:kern w:val="2"/>
                <w:position w:val="0"/>
                <w:sz w:val="21"/>
                <w:szCs w:val="21"/>
                <w:highlight w:val="none"/>
                <w:shd w:val="pct10" w:color="auto" w:fill="FFFFFF"/>
                <w:vertAlign w:val="superscript"/>
              </w:rPr>
              <w:t>a</w:t>
            </w:r>
          </w:p>
        </w:tc>
      </w:tr>
      <w:tr w14:paraId="433E3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000" w:type="pct"/>
            <w:gridSpan w:val="5"/>
            <w:vAlign w:val="center"/>
          </w:tcPr>
          <w:p w14:paraId="54500A60">
            <w:pPr>
              <w:adjustRightInd w:val="0"/>
              <w:spacing w:line="360" w:lineRule="exact"/>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a</w:t>
            </w:r>
            <w:r>
              <w:rPr>
                <w:rFonts w:ascii="Times New Roman" w:hAnsi="Times New Roman" w:cs="Times New Roman" w:eastAsiaTheme="minorEastAsia"/>
                <w:caps w:val="0"/>
                <w:smallCaps w:val="0"/>
                <w:color w:val="auto"/>
                <w:spacing w:val="0"/>
                <w:w w:val="100"/>
                <w:position w:val="0"/>
                <w:sz w:val="21"/>
                <w:szCs w:val="21"/>
                <w:highlight w:val="none"/>
              </w:rPr>
              <w:t>是相对于详细评价工作内容而言，在描述危险物质、环境影响途径、环境危害后果、风险防范措施等方面给出定性的说明。</w:t>
            </w:r>
          </w:p>
        </w:tc>
      </w:tr>
    </w:tbl>
    <w:p w14:paraId="17434667">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2.6.7.2评价范围</w:t>
      </w:r>
    </w:p>
    <w:p w14:paraId="5940EEB4">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本项目风险评价等级为简单分析，根据</w:t>
      </w:r>
      <w:r>
        <w:rPr>
          <w:rFonts w:ascii="Times New Roman" w:hAnsi="Times New Roman" w:eastAsiaTheme="minorEastAsia"/>
          <w:caps w:val="0"/>
          <w:smallCaps w:val="0"/>
          <w:snapToGrid w:val="0"/>
          <w:color w:val="auto"/>
          <w:spacing w:val="0"/>
          <w:w w:val="100"/>
          <w:position w:val="0"/>
          <w:highlight w:val="none"/>
          <w:lang w:bidi="zh-CN"/>
        </w:rPr>
        <w:t>《建设项目环境风险评价技术导则》（HJ169-2018）</w:t>
      </w:r>
      <w:r>
        <w:rPr>
          <w:rFonts w:ascii="Times New Roman" w:hAnsi="Times New Roman" w:eastAsiaTheme="minorEastAsia"/>
          <w:caps w:val="0"/>
          <w:smallCaps w:val="0"/>
          <w:snapToGrid w:val="0"/>
          <w:color w:val="auto"/>
          <w:spacing w:val="0"/>
          <w:w w:val="100"/>
          <w:position w:val="0"/>
          <w:highlight w:val="none"/>
        </w:rPr>
        <w:t>，无关于简单分析的评价范围说明，结合大气环境、地表水环境、地下水环境的评价范围及保护目标分布情况，拟定环境风险评价范围包括</w:t>
      </w:r>
      <w:r>
        <w:rPr>
          <w:rFonts w:ascii="Times New Roman" w:hAnsi="Times New Roman" w:eastAsiaTheme="minorEastAsia"/>
          <w:bCs/>
          <w:caps w:val="0"/>
          <w:smallCaps w:val="0"/>
          <w:snapToGrid w:val="0"/>
          <w:color w:val="auto"/>
          <w:spacing w:val="0"/>
          <w:w w:val="100"/>
          <w:position w:val="0"/>
          <w:highlight w:val="none"/>
        </w:rPr>
        <w:t>地表水、地下水、大气评价范围，因此</w:t>
      </w:r>
      <w:r>
        <w:rPr>
          <w:rFonts w:ascii="Times New Roman" w:hAnsi="Times New Roman" w:eastAsiaTheme="minorEastAsia"/>
          <w:caps w:val="0"/>
          <w:smallCaps w:val="0"/>
          <w:snapToGrid w:val="0"/>
          <w:color w:val="auto"/>
          <w:spacing w:val="0"/>
          <w:w w:val="100"/>
          <w:position w:val="0"/>
          <w:highlight w:val="none"/>
        </w:rPr>
        <w:t>本项目环境风险评价范围为拟建管线沿线两侧外扩200m范围的区域。</w:t>
      </w:r>
    </w:p>
    <w:p w14:paraId="41E44AC9">
      <w:pPr>
        <w:pStyle w:val="6"/>
        <w:widowControl w:val="0"/>
        <w:spacing w:before="60" w:after="60"/>
        <w:jc w:val="both"/>
        <w:rPr>
          <w:rFonts w:eastAsiaTheme="minorEastAsia"/>
          <w:b/>
          <w:caps w:val="0"/>
          <w:smallCaps w:val="0"/>
          <w:color w:val="auto"/>
          <w:spacing w:val="0"/>
          <w:w w:val="100"/>
          <w:kern w:val="2"/>
          <w:position w:val="0"/>
          <w:sz w:val="24"/>
          <w:szCs w:val="24"/>
          <w:highlight w:val="none"/>
        </w:rPr>
      </w:pPr>
      <w:bookmarkStart w:id="373" w:name="_Toc77067650"/>
      <w:bookmarkStart w:id="374" w:name="_Toc80971368"/>
      <w:bookmarkStart w:id="375" w:name="_Toc80588246"/>
      <w:bookmarkStart w:id="376" w:name="_Toc76976234"/>
      <w:bookmarkStart w:id="377" w:name="_Toc78816451"/>
      <w:bookmarkStart w:id="378" w:name="_Toc67860119"/>
      <w:bookmarkStart w:id="379" w:name="_Toc110438462"/>
      <w:bookmarkStart w:id="380" w:name="_Toc83209463"/>
      <w:bookmarkStart w:id="381" w:name="_Toc61597212"/>
      <w:bookmarkStart w:id="382" w:name="_Toc86141918"/>
      <w:bookmarkStart w:id="383" w:name="_Toc84929219"/>
      <w:bookmarkStart w:id="384" w:name="_Toc85640743"/>
      <w:bookmarkStart w:id="385" w:name="_Toc70050166"/>
      <w:r>
        <w:rPr>
          <w:rFonts w:eastAsiaTheme="minorEastAsia"/>
          <w:b/>
          <w:caps w:val="0"/>
          <w:smallCaps w:val="0"/>
          <w:color w:val="auto"/>
          <w:spacing w:val="0"/>
          <w:w w:val="100"/>
          <w:kern w:val="2"/>
          <w:position w:val="0"/>
          <w:sz w:val="24"/>
          <w:szCs w:val="24"/>
          <w:highlight w:val="none"/>
        </w:rPr>
        <w:t>2.6.8各环境要素评价等级及评价范围汇总</w:t>
      </w:r>
      <w:bookmarkEnd w:id="373"/>
      <w:bookmarkEnd w:id="374"/>
      <w:bookmarkEnd w:id="375"/>
      <w:bookmarkEnd w:id="376"/>
      <w:bookmarkEnd w:id="377"/>
      <w:bookmarkEnd w:id="378"/>
      <w:bookmarkEnd w:id="379"/>
      <w:bookmarkEnd w:id="380"/>
      <w:bookmarkEnd w:id="381"/>
      <w:bookmarkEnd w:id="382"/>
      <w:bookmarkEnd w:id="383"/>
      <w:bookmarkEnd w:id="384"/>
      <w:bookmarkEnd w:id="385"/>
    </w:p>
    <w:p w14:paraId="04F1EA07">
      <w:pPr>
        <w:pStyle w:val="149"/>
        <w:widowControl w:val="0"/>
        <w:spacing w:line="440" w:lineRule="exact"/>
        <w:ind w:firstLine="473"/>
        <w:rPr>
          <w:rFonts w:ascii="Times New Roman" w:hAnsi="Times New Roman"/>
          <w:caps w:val="0"/>
          <w:smallCaps w:val="0"/>
          <w:snapToGrid w:val="0"/>
          <w:color w:val="auto"/>
          <w:spacing w:val="0"/>
          <w:w w:val="100"/>
          <w:position w:val="0"/>
          <w:highlight w:val="none"/>
        </w:rPr>
      </w:pPr>
      <w:r>
        <w:rPr>
          <w:rFonts w:ascii="Times New Roman" w:hAnsi="Times New Roman"/>
          <w:caps w:val="0"/>
          <w:smallCaps w:val="0"/>
          <w:snapToGrid w:val="0"/>
          <w:color w:val="auto"/>
          <w:spacing w:val="0"/>
          <w:w w:val="100"/>
          <w:position w:val="0"/>
          <w:highlight w:val="none"/>
        </w:rPr>
        <w:t>各环境要素评价等级及评价范围详见表2.6-11，各环境要素评价范围图见附图9。</w:t>
      </w:r>
    </w:p>
    <w:p w14:paraId="340FC49D">
      <w:pPr>
        <w:pStyle w:val="149"/>
        <w:widowControl w:val="0"/>
        <w:spacing w:line="440" w:lineRule="exact"/>
        <w:ind w:firstLine="478"/>
        <w:rPr>
          <w:rFonts w:ascii="Times New Roman" w:hAnsi="Times New Roman"/>
          <w:caps w:val="0"/>
          <w:smallCaps w:val="0"/>
          <w:snapToGrid w:val="0"/>
          <w:color w:val="auto"/>
          <w:spacing w:val="0"/>
          <w:w w:val="100"/>
          <w:position w:val="0"/>
          <w:highlight w:val="none"/>
        </w:rPr>
      </w:pPr>
      <w:bookmarkStart w:id="386" w:name="OLE_LINK164"/>
      <w:bookmarkStart w:id="387" w:name="OLE_LINK163"/>
      <w:r>
        <w:rPr>
          <w:rFonts w:ascii="Times New Roman" w:hAnsi="Times New Roman" w:eastAsiaTheme="minorEastAsia"/>
          <w:b/>
          <w:bCs/>
          <w:caps w:val="0"/>
          <w:smallCaps w:val="0"/>
          <w:color w:val="auto"/>
          <w:spacing w:val="0"/>
          <w:w w:val="100"/>
          <w:position w:val="0"/>
          <w:highlight w:val="none"/>
        </w:rPr>
        <w:t>表2.6-11    评价范围表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2"/>
        <w:gridCol w:w="1454"/>
        <w:gridCol w:w="6530"/>
      </w:tblGrid>
      <w:tr w14:paraId="6C1B8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4F3DDDC">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项目</w:t>
            </w:r>
          </w:p>
        </w:tc>
        <w:tc>
          <w:tcPr>
            <w:tcW w:w="783" w:type="pct"/>
            <w:vAlign w:val="center"/>
          </w:tcPr>
          <w:p w14:paraId="52474E4C">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评价等级</w:t>
            </w:r>
          </w:p>
        </w:tc>
        <w:tc>
          <w:tcPr>
            <w:tcW w:w="3516" w:type="pct"/>
            <w:vAlign w:val="center"/>
          </w:tcPr>
          <w:p w14:paraId="615BBBCB">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评价范围</w:t>
            </w:r>
          </w:p>
        </w:tc>
      </w:tr>
      <w:tr w14:paraId="374B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48A05772">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大气环境</w:t>
            </w:r>
          </w:p>
        </w:tc>
        <w:tc>
          <w:tcPr>
            <w:tcW w:w="783" w:type="pct"/>
            <w:vAlign w:val="center"/>
          </w:tcPr>
          <w:p w14:paraId="38884688">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三级</w:t>
            </w:r>
          </w:p>
        </w:tc>
        <w:tc>
          <w:tcPr>
            <w:tcW w:w="3516" w:type="pct"/>
            <w:vAlign w:val="center"/>
          </w:tcPr>
          <w:p w14:paraId="5798825B">
            <w:pPr>
              <w:widowControl w:val="0"/>
              <w:adjustRightInd w:val="0"/>
              <w:snapToGrid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lang w:bidi="zh-CN"/>
              </w:rPr>
              <w:t>拟建管道中心线两侧各200m范围</w:t>
            </w:r>
          </w:p>
        </w:tc>
      </w:tr>
      <w:tr w14:paraId="384EB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1BD2D7ED">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声环境</w:t>
            </w:r>
          </w:p>
        </w:tc>
        <w:tc>
          <w:tcPr>
            <w:tcW w:w="783" w:type="pct"/>
            <w:vAlign w:val="center"/>
          </w:tcPr>
          <w:p w14:paraId="588E9B96">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二级</w:t>
            </w:r>
          </w:p>
        </w:tc>
        <w:tc>
          <w:tcPr>
            <w:tcW w:w="3516" w:type="pct"/>
            <w:vAlign w:val="center"/>
          </w:tcPr>
          <w:p w14:paraId="096CD68B">
            <w:pPr>
              <w:widowControl w:val="0"/>
              <w:adjustRightInd w:val="0"/>
              <w:snapToGrid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拟建管线中心线两侧各200m范围内的声环境</w:t>
            </w:r>
          </w:p>
        </w:tc>
      </w:tr>
      <w:tr w14:paraId="170A5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468C15F">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地表水环境</w:t>
            </w:r>
          </w:p>
        </w:tc>
        <w:tc>
          <w:tcPr>
            <w:tcW w:w="783" w:type="pct"/>
            <w:vAlign w:val="center"/>
          </w:tcPr>
          <w:p w14:paraId="7A121A26">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三级B</w:t>
            </w:r>
          </w:p>
        </w:tc>
        <w:tc>
          <w:tcPr>
            <w:tcW w:w="3516" w:type="pct"/>
            <w:vAlign w:val="center"/>
          </w:tcPr>
          <w:p w14:paraId="715D90EC">
            <w:pPr>
              <w:widowControl w:val="0"/>
              <w:adjustRightInd w:val="0"/>
              <w:snapToGrid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拟建</w:t>
            </w:r>
            <w:r>
              <w:rPr>
                <w:rFonts w:hint="eastAsia" w:ascii="Times New Roman" w:hAnsi="Times New Roman" w:cs="Times New Roman" w:eastAsiaTheme="minorEastAsia"/>
                <w:caps w:val="0"/>
                <w:smallCaps w:val="0"/>
                <w:color w:val="auto"/>
                <w:spacing w:val="0"/>
                <w:w w:val="100"/>
                <w:kern w:val="2"/>
                <w:position w:val="0"/>
                <w:sz w:val="21"/>
                <w:szCs w:val="21"/>
                <w:highlight w:val="none"/>
              </w:rPr>
              <w:t>管道</w:t>
            </w:r>
            <w:r>
              <w:rPr>
                <w:rFonts w:ascii="Times New Roman" w:hAnsi="Times New Roman" w:cs="Times New Roman" w:eastAsiaTheme="minorEastAsia"/>
                <w:caps w:val="0"/>
                <w:smallCaps w:val="0"/>
                <w:color w:val="auto"/>
                <w:spacing w:val="0"/>
                <w:w w:val="100"/>
                <w:kern w:val="2"/>
                <w:position w:val="0"/>
                <w:sz w:val="21"/>
                <w:szCs w:val="21"/>
                <w:highlight w:val="none"/>
              </w:rPr>
              <w:t>沿线两侧外扩200m范围的地表水体，该范围内</w:t>
            </w:r>
            <w:r>
              <w:rPr>
                <w:rFonts w:hint="eastAsia" w:ascii="Times New Roman" w:hAnsi="Times New Roman" w:cs="Times New Roman" w:eastAsiaTheme="minorEastAsia"/>
                <w:caps w:val="0"/>
                <w:smallCaps w:val="0"/>
                <w:color w:val="auto"/>
                <w:spacing w:val="0"/>
                <w:w w:val="100"/>
                <w:kern w:val="2"/>
                <w:position w:val="0"/>
                <w:sz w:val="21"/>
                <w:szCs w:val="21"/>
                <w:highlight w:val="none"/>
              </w:rPr>
              <w:t>无</w:t>
            </w:r>
            <w:r>
              <w:rPr>
                <w:rFonts w:ascii="Times New Roman" w:hAnsi="Times New Roman" w:cs="Times New Roman" w:eastAsiaTheme="minorEastAsia"/>
                <w:caps w:val="0"/>
                <w:smallCaps w:val="0"/>
                <w:color w:val="auto"/>
                <w:spacing w:val="0"/>
                <w:w w:val="100"/>
                <w:kern w:val="2"/>
                <w:position w:val="0"/>
                <w:sz w:val="21"/>
                <w:szCs w:val="21"/>
                <w:highlight w:val="none"/>
              </w:rPr>
              <w:t>地表水体</w:t>
            </w:r>
          </w:p>
        </w:tc>
      </w:tr>
      <w:tr w14:paraId="75D62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CC92877">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地下水环境</w:t>
            </w:r>
          </w:p>
        </w:tc>
        <w:tc>
          <w:tcPr>
            <w:tcW w:w="783" w:type="pct"/>
            <w:vAlign w:val="center"/>
          </w:tcPr>
          <w:p w14:paraId="3DC4FE18">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二</w:t>
            </w:r>
            <w:r>
              <w:rPr>
                <w:rFonts w:ascii="Times New Roman" w:hAnsi="Times New Roman" w:cs="Times New Roman" w:eastAsiaTheme="minorEastAsia"/>
                <w:caps w:val="0"/>
                <w:smallCaps w:val="0"/>
                <w:color w:val="auto"/>
                <w:spacing w:val="0"/>
                <w:w w:val="100"/>
                <w:kern w:val="2"/>
                <w:position w:val="0"/>
                <w:sz w:val="21"/>
                <w:szCs w:val="21"/>
                <w:highlight w:val="none"/>
              </w:rPr>
              <w:t>级</w:t>
            </w:r>
          </w:p>
        </w:tc>
        <w:tc>
          <w:tcPr>
            <w:tcW w:w="3516" w:type="pct"/>
            <w:vAlign w:val="center"/>
          </w:tcPr>
          <w:p w14:paraId="4BDCBB55">
            <w:pPr>
              <w:widowControl w:val="0"/>
              <w:adjustRightInd w:val="0"/>
              <w:snapToGrid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eastAsiaTheme="minorEastAsia"/>
                <w:caps w:val="0"/>
                <w:smallCaps w:val="0"/>
                <w:snapToGrid w:val="0"/>
                <w:color w:val="auto"/>
                <w:spacing w:val="0"/>
                <w:w w:val="100"/>
                <w:position w:val="0"/>
                <w:sz w:val="21"/>
                <w:szCs w:val="21"/>
                <w:highlight w:val="none"/>
                <w:lang w:val="en-US" w:eastAsia="zh-CN"/>
              </w:rPr>
              <w:t>东西走向8.4km、南北走向4.8km矩形区域</w:t>
            </w:r>
            <w:r>
              <w:rPr>
                <w:rFonts w:ascii="Times New Roman" w:hAnsi="Times New Roman" w:eastAsiaTheme="minorEastAsia"/>
                <w:caps w:val="0"/>
                <w:smallCaps w:val="0"/>
                <w:snapToGrid w:val="0"/>
                <w:color w:val="auto"/>
                <w:spacing w:val="0"/>
                <w:w w:val="100"/>
                <w:position w:val="0"/>
                <w:sz w:val="21"/>
                <w:szCs w:val="21"/>
                <w:highlight w:val="none"/>
              </w:rPr>
              <w:t>，共计约</w:t>
            </w:r>
            <w:r>
              <w:rPr>
                <w:rFonts w:hint="eastAsia" w:ascii="Times New Roman" w:hAnsi="Times New Roman" w:eastAsiaTheme="minorEastAsia"/>
                <w:caps w:val="0"/>
                <w:smallCaps w:val="0"/>
                <w:snapToGrid w:val="0"/>
                <w:color w:val="auto"/>
                <w:spacing w:val="0"/>
                <w:w w:val="100"/>
                <w:position w:val="0"/>
                <w:sz w:val="21"/>
                <w:szCs w:val="21"/>
                <w:highlight w:val="none"/>
                <w:lang w:val="en-US" w:eastAsia="zh-CN"/>
              </w:rPr>
              <w:t>40.32</w:t>
            </w:r>
            <w:r>
              <w:rPr>
                <w:rFonts w:ascii="Times New Roman" w:hAnsi="Times New Roman" w:eastAsiaTheme="minorEastAsia"/>
                <w:caps w:val="0"/>
                <w:smallCaps w:val="0"/>
                <w:snapToGrid w:val="0"/>
                <w:color w:val="auto"/>
                <w:spacing w:val="0"/>
                <w:w w:val="100"/>
                <w:position w:val="0"/>
                <w:sz w:val="21"/>
                <w:szCs w:val="21"/>
                <w:highlight w:val="none"/>
              </w:rPr>
              <w:t>km</w:t>
            </w:r>
            <w:r>
              <w:rPr>
                <w:rFonts w:ascii="Times New Roman" w:hAnsi="Times New Roman" w:eastAsiaTheme="minorEastAsia"/>
                <w:caps w:val="0"/>
                <w:smallCaps w:val="0"/>
                <w:snapToGrid w:val="0"/>
                <w:color w:val="auto"/>
                <w:spacing w:val="0"/>
                <w:w w:val="100"/>
                <w:position w:val="0"/>
                <w:sz w:val="21"/>
                <w:szCs w:val="21"/>
                <w:highlight w:val="none"/>
                <w:vertAlign w:val="superscript"/>
              </w:rPr>
              <w:t>2</w:t>
            </w:r>
          </w:p>
        </w:tc>
      </w:tr>
      <w:tr w14:paraId="6F922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F5F4757">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土壤环境</w:t>
            </w:r>
          </w:p>
        </w:tc>
        <w:tc>
          <w:tcPr>
            <w:tcW w:w="783" w:type="pct"/>
            <w:vAlign w:val="center"/>
          </w:tcPr>
          <w:p w14:paraId="03A8B29A">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二</w:t>
            </w:r>
            <w:r>
              <w:rPr>
                <w:rFonts w:hint="eastAsia" w:ascii="Times New Roman" w:hAnsi="Times New Roman" w:cs="Times New Roman" w:eastAsiaTheme="minorEastAsia"/>
                <w:caps w:val="0"/>
                <w:smallCaps w:val="0"/>
                <w:color w:val="auto"/>
                <w:spacing w:val="0"/>
                <w:w w:val="100"/>
                <w:kern w:val="2"/>
                <w:position w:val="0"/>
                <w:sz w:val="21"/>
                <w:szCs w:val="21"/>
                <w:highlight w:val="none"/>
              </w:rPr>
              <w:t>级</w:t>
            </w:r>
          </w:p>
        </w:tc>
        <w:tc>
          <w:tcPr>
            <w:tcW w:w="3516" w:type="pct"/>
            <w:vAlign w:val="center"/>
          </w:tcPr>
          <w:p w14:paraId="281E33A4">
            <w:pPr>
              <w:widowControl w:val="0"/>
              <w:adjustRightInd w:val="0"/>
              <w:snapToGrid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拟建管线工程边界两侧向外延伸0.2 km的土壤环境</w:t>
            </w:r>
          </w:p>
        </w:tc>
      </w:tr>
      <w:tr w14:paraId="6B686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EE4E30B">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生态环境</w:t>
            </w:r>
          </w:p>
        </w:tc>
        <w:tc>
          <w:tcPr>
            <w:tcW w:w="783" w:type="pct"/>
            <w:vAlign w:val="center"/>
          </w:tcPr>
          <w:p w14:paraId="4F221C21">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三级</w:t>
            </w:r>
          </w:p>
        </w:tc>
        <w:tc>
          <w:tcPr>
            <w:tcW w:w="3516" w:type="pct"/>
            <w:vAlign w:val="center"/>
          </w:tcPr>
          <w:p w14:paraId="400C0ED7">
            <w:pPr>
              <w:widowControl w:val="0"/>
              <w:adjustRightInd w:val="0"/>
              <w:snapToGrid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拟建管线及废弃管线沿线两侧外扩300m区域的生态环境</w:t>
            </w:r>
          </w:p>
        </w:tc>
      </w:tr>
      <w:tr w14:paraId="7720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6636E13D">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环境风险</w:t>
            </w:r>
          </w:p>
        </w:tc>
        <w:tc>
          <w:tcPr>
            <w:tcW w:w="783" w:type="pct"/>
            <w:vAlign w:val="center"/>
          </w:tcPr>
          <w:p w14:paraId="47A27CF3">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简单分析</w:t>
            </w:r>
          </w:p>
        </w:tc>
        <w:tc>
          <w:tcPr>
            <w:tcW w:w="3516" w:type="pct"/>
            <w:vAlign w:val="center"/>
          </w:tcPr>
          <w:p w14:paraId="4CEE38EE">
            <w:pPr>
              <w:widowControl w:val="0"/>
              <w:adjustRightInd w:val="0"/>
              <w:snapToGrid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拟建管线沿线两侧外扩200m范围的区域</w:t>
            </w:r>
          </w:p>
        </w:tc>
      </w:tr>
      <w:bookmarkEnd w:id="386"/>
      <w:bookmarkEnd w:id="387"/>
    </w:tbl>
    <w:p w14:paraId="045A44C6">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388" w:name="_Toc219900377"/>
      <w:r>
        <w:rPr>
          <w:rFonts w:ascii="Times New Roman" w:hAnsi="Times New Roman" w:eastAsiaTheme="minorEastAsia"/>
          <w:b/>
          <w:caps w:val="0"/>
          <w:smallCaps w:val="0"/>
          <w:snapToGrid w:val="0"/>
          <w:color w:val="auto"/>
          <w:spacing w:val="0"/>
          <w:w w:val="100"/>
          <w:position w:val="0"/>
          <w:highlight w:val="none"/>
        </w:rPr>
        <w:t>2.7环境保护目标</w:t>
      </w:r>
      <w:bookmarkEnd w:id="388"/>
    </w:p>
    <w:p w14:paraId="3B092581">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bookmarkStart w:id="389" w:name="_Toc11047822"/>
      <w:r>
        <w:rPr>
          <w:rFonts w:ascii="Times New Roman" w:hAnsi="Times New Roman" w:cs="Times New Roman" w:eastAsiaTheme="minorEastAsia"/>
          <w:bCs/>
          <w:caps w:val="0"/>
          <w:smallCaps w:val="0"/>
          <w:color w:val="auto"/>
          <w:spacing w:val="0"/>
          <w:w w:val="100"/>
          <w:kern w:val="21"/>
          <w:position w:val="0"/>
          <w:highlight w:val="none"/>
        </w:rPr>
        <w:t>本项目位于</w:t>
      </w:r>
      <w:r>
        <w:rPr>
          <w:rFonts w:hint="eastAsia" w:ascii="Times New Roman" w:hAnsi="Times New Roman" w:cs="Times New Roman" w:eastAsiaTheme="minorEastAsia"/>
          <w:bCs/>
          <w:caps w:val="0"/>
          <w:smallCaps w:val="0"/>
          <w:color w:val="auto"/>
          <w:spacing w:val="0"/>
          <w:w w:val="100"/>
          <w:kern w:val="21"/>
          <w:position w:val="0"/>
          <w:highlight w:val="none"/>
        </w:rPr>
        <w:t>黑龙江省绥化市安达市昌德镇</w:t>
      </w:r>
      <w:r>
        <w:rPr>
          <w:rFonts w:hint="eastAsia" w:ascii="Times New Roman" w:hAnsi="Times New Roman" w:cs="Times New Roman" w:eastAsiaTheme="minorEastAsia"/>
          <w:bCs/>
          <w:caps w:val="0"/>
          <w:smallCaps w:val="0"/>
          <w:color w:val="auto"/>
          <w:spacing w:val="0"/>
          <w:w w:val="100"/>
          <w:kern w:val="21"/>
          <w:position w:val="0"/>
          <w:highlight w:val="none"/>
          <w:lang w:val="en-US"/>
        </w:rPr>
        <w:t>卫1联合站东南侧</w:t>
      </w:r>
      <w:r>
        <w:rPr>
          <w:rFonts w:ascii="Times New Roman" w:hAnsi="Times New Roman" w:cs="Times New Roman" w:eastAsiaTheme="minorEastAsia"/>
          <w:bCs/>
          <w:caps w:val="0"/>
          <w:smallCaps w:val="0"/>
          <w:color w:val="auto"/>
          <w:spacing w:val="0"/>
          <w:w w:val="100"/>
          <w:kern w:val="21"/>
          <w:position w:val="0"/>
          <w:highlight w:val="none"/>
        </w:rPr>
        <w:t>，根据调查，本项目评价范围内不涉及国家公园、风景名胜区、世界文化和自然遗产地、海洋特别保护区、基本草原、自然公园、重要湿地、天然林、重点保护野生动物栖息地、重点保护野生植物生长繁殖地、重要水生生物的自然产卵场、索饵场、越冬场和洄游通道、天然渔场、水土流失重点预防区、沙化土地封禁保护区、封闭及半封闭海域、文物保护单位等环境敏感区，且本项目不在生态红线范围内。</w:t>
      </w:r>
    </w:p>
    <w:p w14:paraId="388AC533">
      <w:pPr>
        <w:widowControl w:val="0"/>
        <w:tabs>
          <w:tab w:val="left" w:pos="5262"/>
        </w:tabs>
        <w:spacing w:line="440" w:lineRule="exact"/>
        <w:ind w:firstLine="480" w:firstLineChars="200"/>
        <w:jc w:val="both"/>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本项目</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无地表水环境保护目标，</w:t>
      </w:r>
      <w:r>
        <w:rPr>
          <w:rFonts w:ascii="Times New Roman" w:hAnsi="Times New Roman" w:cs="Times New Roman" w:eastAsiaTheme="minorEastAsia"/>
          <w:bCs/>
          <w:caps w:val="0"/>
          <w:smallCaps w:val="0"/>
          <w:color w:val="auto"/>
          <w:spacing w:val="0"/>
          <w:w w:val="100"/>
          <w:kern w:val="21"/>
          <w:position w:val="0"/>
          <w:highlight w:val="none"/>
        </w:rPr>
        <w:t>大气环境</w:t>
      </w:r>
      <w:r>
        <w:rPr>
          <w:rFonts w:hint="eastAsia" w:ascii="Times New Roman" w:hAnsi="Times New Roman" w:cs="Times New Roman" w:eastAsiaTheme="minorEastAsia"/>
          <w:bCs/>
          <w:caps w:val="0"/>
          <w:smallCaps w:val="0"/>
          <w:color w:val="auto"/>
          <w:spacing w:val="0"/>
          <w:w w:val="100"/>
          <w:kern w:val="21"/>
          <w:position w:val="0"/>
          <w:highlight w:val="none"/>
        </w:rPr>
        <w:t>、</w:t>
      </w:r>
      <w:r>
        <w:rPr>
          <w:rFonts w:ascii="Times New Roman" w:hAnsi="Times New Roman" w:cs="Times New Roman" w:eastAsiaTheme="minorEastAsia"/>
          <w:bCs/>
          <w:caps w:val="0"/>
          <w:smallCaps w:val="0"/>
          <w:color w:val="auto"/>
          <w:spacing w:val="0"/>
          <w:w w:val="100"/>
          <w:kern w:val="21"/>
          <w:position w:val="0"/>
          <w:highlight w:val="none"/>
        </w:rPr>
        <w:t>声环境、地表水</w:t>
      </w:r>
      <w:r>
        <w:rPr>
          <w:rFonts w:hint="eastAsia" w:ascii="Times New Roman" w:hAnsi="Times New Roman" w:cs="Times New Roman" w:eastAsiaTheme="minorEastAsia"/>
          <w:bCs/>
          <w:caps w:val="0"/>
          <w:smallCaps w:val="0"/>
          <w:color w:val="auto"/>
          <w:spacing w:val="0"/>
          <w:w w:val="100"/>
          <w:kern w:val="21"/>
          <w:position w:val="0"/>
          <w:highlight w:val="none"/>
          <w:lang w:eastAsia="zh-CN"/>
        </w:rPr>
        <w:t>、</w:t>
      </w:r>
      <w:r>
        <w:rPr>
          <w:rFonts w:ascii="Times New Roman" w:hAnsi="Times New Roman" w:cs="Times New Roman" w:eastAsiaTheme="minorEastAsia"/>
          <w:bCs/>
          <w:caps w:val="0"/>
          <w:smallCaps w:val="0"/>
          <w:color w:val="auto"/>
          <w:spacing w:val="0"/>
          <w:w w:val="100"/>
          <w:kern w:val="21"/>
          <w:position w:val="0"/>
          <w:highlight w:val="none"/>
        </w:rPr>
        <w:t>地下水、土壤、生态环境保护目标见表2.7-1，环境风险保护目标见表2.7-2，主要环境保护目标分布图见附图9</w:t>
      </w:r>
      <w:r>
        <w:rPr>
          <w:rFonts w:ascii="Times New Roman" w:hAnsi="Times New Roman" w:cs="Times New Roman"/>
          <w:bCs/>
          <w:caps w:val="0"/>
          <w:smallCaps w:val="0"/>
          <w:color w:val="auto"/>
          <w:spacing w:val="0"/>
          <w:w w:val="100"/>
          <w:kern w:val="21"/>
          <w:position w:val="0"/>
          <w:highlight w:val="none"/>
        </w:rPr>
        <w:t>。</w:t>
      </w:r>
    </w:p>
    <w:p w14:paraId="1336838F">
      <w:pPr>
        <w:widowControl w:val="0"/>
        <w:tabs>
          <w:tab w:val="left" w:pos="5262"/>
        </w:tabs>
        <w:spacing w:line="440" w:lineRule="exact"/>
        <w:ind w:firstLine="482" w:firstLineChars="200"/>
        <w:jc w:val="both"/>
        <w:rPr>
          <w:rFonts w:ascii="Times New Roman" w:hAnsi="Times New Roman" w:cs="Times New Roman" w:eastAsiaTheme="minorEastAsia"/>
          <w:b/>
          <w:bCs w:val="0"/>
          <w:caps w:val="0"/>
          <w:smallCaps w:val="0"/>
          <w:color w:val="auto"/>
          <w:spacing w:val="0"/>
          <w:w w:val="100"/>
          <w:kern w:val="21"/>
          <w:position w:val="0"/>
          <w:highlight w:val="none"/>
        </w:rPr>
      </w:pPr>
      <w:r>
        <w:rPr>
          <w:rFonts w:ascii="Times New Roman" w:hAnsi="Times New Roman" w:cs="Times New Roman" w:eastAsiaTheme="minorEastAsia"/>
          <w:b/>
          <w:bCs w:val="0"/>
          <w:caps w:val="0"/>
          <w:smallCaps w:val="0"/>
          <w:color w:val="auto"/>
          <w:spacing w:val="0"/>
          <w:w w:val="100"/>
          <w:kern w:val="21"/>
          <w:position w:val="0"/>
          <w:highlight w:val="none"/>
        </w:rPr>
        <w:t>表 2.8-1 大气环境保护目标统计表</w:t>
      </w:r>
    </w:p>
    <w:p w14:paraId="49FE6DCD">
      <w:pPr>
        <w:spacing w:line="18" w:lineRule="exact"/>
        <w:rPr>
          <w:color w:val="auto"/>
          <w:highlight w:val="none"/>
        </w:rPr>
      </w:pPr>
    </w:p>
    <w:tbl>
      <w:tblPr>
        <w:tblStyle w:val="1662"/>
        <w:tblW w:w="5088" w:type="pct"/>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0"/>
        <w:gridCol w:w="1023"/>
        <w:gridCol w:w="1111"/>
        <w:gridCol w:w="1035"/>
        <w:gridCol w:w="1147"/>
        <w:gridCol w:w="735"/>
        <w:gridCol w:w="720"/>
        <w:gridCol w:w="2641"/>
        <w:gridCol w:w="548"/>
      </w:tblGrid>
      <w:tr w14:paraId="4D7B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trPr>
        <w:tc>
          <w:tcPr>
            <w:tcW w:w="280" w:type="dxa"/>
            <w:vMerge w:val="restart"/>
            <w:textDirection w:val="tbRlV"/>
            <w:vAlign w:val="center"/>
          </w:tcPr>
          <w:p w14:paraId="64CBB2A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序 号</w:t>
            </w:r>
          </w:p>
        </w:tc>
        <w:tc>
          <w:tcPr>
            <w:tcW w:w="1022" w:type="dxa"/>
            <w:vMerge w:val="restart"/>
            <w:vAlign w:val="center"/>
          </w:tcPr>
          <w:p w14:paraId="2519988D">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名称</w:t>
            </w:r>
          </w:p>
        </w:tc>
        <w:tc>
          <w:tcPr>
            <w:tcW w:w="2144" w:type="dxa"/>
            <w:gridSpan w:val="2"/>
            <w:vAlign w:val="center"/>
          </w:tcPr>
          <w:p w14:paraId="337843BB">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坐标</w:t>
            </w:r>
          </w:p>
        </w:tc>
        <w:tc>
          <w:tcPr>
            <w:tcW w:w="1146" w:type="dxa"/>
            <w:vMerge w:val="restart"/>
            <w:vAlign w:val="center"/>
          </w:tcPr>
          <w:p w14:paraId="16EDF56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保护对象</w:t>
            </w:r>
          </w:p>
        </w:tc>
        <w:tc>
          <w:tcPr>
            <w:tcW w:w="734" w:type="dxa"/>
            <w:vMerge w:val="restart"/>
            <w:vAlign w:val="center"/>
          </w:tcPr>
          <w:p w14:paraId="230C5AB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保护</w:t>
            </w:r>
          </w:p>
          <w:p w14:paraId="335693D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内容</w:t>
            </w:r>
          </w:p>
        </w:tc>
        <w:tc>
          <w:tcPr>
            <w:tcW w:w="719" w:type="dxa"/>
            <w:vMerge w:val="restart"/>
            <w:vAlign w:val="center"/>
          </w:tcPr>
          <w:p w14:paraId="0226006E">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环境功能区</w:t>
            </w:r>
          </w:p>
        </w:tc>
        <w:tc>
          <w:tcPr>
            <w:tcW w:w="2638" w:type="dxa"/>
            <w:vMerge w:val="restart"/>
            <w:vAlign w:val="center"/>
          </w:tcPr>
          <w:p w14:paraId="51143DA6">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相对方位</w:t>
            </w:r>
          </w:p>
        </w:tc>
        <w:tc>
          <w:tcPr>
            <w:tcW w:w="547" w:type="dxa"/>
            <w:vMerge w:val="restart"/>
            <w:vAlign w:val="center"/>
          </w:tcPr>
          <w:p w14:paraId="32F54E9F">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相对</w:t>
            </w:r>
          </w:p>
          <w:p w14:paraId="71516ADD">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距离</w:t>
            </w:r>
          </w:p>
        </w:tc>
      </w:tr>
      <w:tr w14:paraId="3D20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280" w:type="dxa"/>
            <w:vMerge w:val="continue"/>
            <w:textDirection w:val="tbRlV"/>
            <w:vAlign w:val="center"/>
          </w:tcPr>
          <w:p w14:paraId="3B740E17">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1022" w:type="dxa"/>
            <w:vMerge w:val="continue"/>
            <w:vAlign w:val="center"/>
          </w:tcPr>
          <w:p w14:paraId="4A07C42C">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1110" w:type="dxa"/>
            <w:vAlign w:val="center"/>
          </w:tcPr>
          <w:p w14:paraId="0E067162">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经度</w:t>
            </w:r>
          </w:p>
        </w:tc>
        <w:tc>
          <w:tcPr>
            <w:tcW w:w="1034" w:type="dxa"/>
            <w:vAlign w:val="center"/>
          </w:tcPr>
          <w:p w14:paraId="0225110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纬度</w:t>
            </w:r>
          </w:p>
        </w:tc>
        <w:tc>
          <w:tcPr>
            <w:tcW w:w="1146" w:type="dxa"/>
            <w:vMerge w:val="continue"/>
            <w:vAlign w:val="center"/>
          </w:tcPr>
          <w:p w14:paraId="6EDA0BCA">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34" w:type="dxa"/>
            <w:vMerge w:val="continue"/>
            <w:vAlign w:val="center"/>
          </w:tcPr>
          <w:p w14:paraId="5AD13631">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19" w:type="dxa"/>
            <w:vMerge w:val="continue"/>
            <w:vAlign w:val="center"/>
          </w:tcPr>
          <w:p w14:paraId="09229C60">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2638" w:type="dxa"/>
            <w:vMerge w:val="continue"/>
            <w:vAlign w:val="center"/>
          </w:tcPr>
          <w:p w14:paraId="6FE3E962">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547" w:type="dxa"/>
            <w:vMerge w:val="continue"/>
            <w:vAlign w:val="center"/>
          </w:tcPr>
          <w:p w14:paraId="7D598F46">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r>
      <w:tr w14:paraId="5151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280" w:type="dxa"/>
            <w:vAlign w:val="center"/>
          </w:tcPr>
          <w:p w14:paraId="4F573139">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w:t>
            </w:r>
          </w:p>
        </w:tc>
        <w:tc>
          <w:tcPr>
            <w:tcW w:w="1022" w:type="dxa"/>
            <w:vAlign w:val="center"/>
          </w:tcPr>
          <w:p w14:paraId="1132019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盛广和屯</w:t>
            </w:r>
          </w:p>
        </w:tc>
        <w:tc>
          <w:tcPr>
            <w:tcW w:w="1110" w:type="dxa"/>
            <w:vAlign w:val="center"/>
          </w:tcPr>
          <w:p w14:paraId="2AA98D06">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125.040797</w:t>
            </w:r>
          </w:p>
        </w:tc>
        <w:tc>
          <w:tcPr>
            <w:tcW w:w="1034" w:type="dxa"/>
            <w:vAlign w:val="center"/>
          </w:tcPr>
          <w:p w14:paraId="33905092">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45.987077</w:t>
            </w:r>
          </w:p>
        </w:tc>
        <w:tc>
          <w:tcPr>
            <w:tcW w:w="1146" w:type="dxa"/>
            <w:vAlign w:val="center"/>
          </w:tcPr>
          <w:p w14:paraId="72D1059D">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约 90 户，270 人</w:t>
            </w:r>
          </w:p>
        </w:tc>
        <w:tc>
          <w:tcPr>
            <w:tcW w:w="734" w:type="dxa"/>
            <w:vMerge w:val="restart"/>
            <w:vAlign w:val="center"/>
          </w:tcPr>
          <w:p w14:paraId="2A046841">
            <w:pPr>
              <w:widowControl w:val="0"/>
              <w:snapToGrid w:val="0"/>
              <w:spacing w:line="320" w:lineRule="exact"/>
              <w:jc w:val="center"/>
              <w:rPr>
                <w:rFonts w:hint="eastAsia" w:ascii="Times New Roman" w:hAnsi="Times New Roman" w:eastAsia="宋体" w:cs="Times New Roman"/>
                <w:caps w:val="0"/>
                <w:smallCaps w:val="0"/>
                <w:color w:val="auto"/>
                <w:spacing w:val="0"/>
                <w:w w:val="100"/>
                <w:kern w:val="2"/>
                <w:position w:val="0"/>
                <w:sz w:val="21"/>
                <w:szCs w:val="21"/>
                <w:highlight w:val="none"/>
                <w:lang w:eastAsia="zh-CN"/>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村民</w:t>
            </w:r>
          </w:p>
        </w:tc>
        <w:tc>
          <w:tcPr>
            <w:tcW w:w="719" w:type="dxa"/>
            <w:vMerge w:val="restart"/>
            <w:vAlign w:val="center"/>
          </w:tcPr>
          <w:p w14:paraId="1699AFF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p w14:paraId="5323BC04">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二类区</w:t>
            </w:r>
          </w:p>
        </w:tc>
        <w:tc>
          <w:tcPr>
            <w:tcW w:w="2638" w:type="dxa"/>
            <w:vAlign w:val="center"/>
          </w:tcPr>
          <w:p w14:paraId="4A4F86F6">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芳 3 转油站外输油管线南侧</w:t>
            </w:r>
          </w:p>
        </w:tc>
        <w:tc>
          <w:tcPr>
            <w:tcW w:w="547" w:type="dxa"/>
            <w:vAlign w:val="center"/>
          </w:tcPr>
          <w:p w14:paraId="21790072">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85m</w:t>
            </w:r>
          </w:p>
        </w:tc>
      </w:tr>
      <w:tr w14:paraId="63A4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280" w:type="dxa"/>
            <w:vAlign w:val="center"/>
          </w:tcPr>
          <w:p w14:paraId="6F3F9562">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w:t>
            </w:r>
          </w:p>
        </w:tc>
        <w:tc>
          <w:tcPr>
            <w:tcW w:w="1022" w:type="dxa"/>
            <w:vAlign w:val="center"/>
          </w:tcPr>
          <w:p w14:paraId="6AB081DF">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宋芳屯居住区</w:t>
            </w:r>
          </w:p>
        </w:tc>
        <w:tc>
          <w:tcPr>
            <w:tcW w:w="1110" w:type="dxa"/>
            <w:vAlign w:val="center"/>
          </w:tcPr>
          <w:p w14:paraId="6B07085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125.070537</w:t>
            </w:r>
          </w:p>
        </w:tc>
        <w:tc>
          <w:tcPr>
            <w:tcW w:w="1034" w:type="dxa"/>
            <w:vAlign w:val="center"/>
          </w:tcPr>
          <w:p w14:paraId="745B56DF">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45.987961</w:t>
            </w:r>
          </w:p>
        </w:tc>
        <w:tc>
          <w:tcPr>
            <w:tcW w:w="1146" w:type="dxa"/>
            <w:vAlign w:val="center"/>
          </w:tcPr>
          <w:p w14:paraId="3AA1E392">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约 20 户，60 人</w:t>
            </w:r>
          </w:p>
        </w:tc>
        <w:tc>
          <w:tcPr>
            <w:tcW w:w="734" w:type="dxa"/>
            <w:vMerge w:val="continue"/>
            <w:vAlign w:val="center"/>
          </w:tcPr>
          <w:p w14:paraId="107B3682">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19" w:type="dxa"/>
            <w:vMerge w:val="continue"/>
            <w:vAlign w:val="center"/>
          </w:tcPr>
          <w:p w14:paraId="743AAE1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2638" w:type="dxa"/>
            <w:vAlign w:val="center"/>
          </w:tcPr>
          <w:p w14:paraId="746E869A">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芳 3 转油站外输油管线南侧</w:t>
            </w:r>
          </w:p>
        </w:tc>
        <w:tc>
          <w:tcPr>
            <w:tcW w:w="547" w:type="dxa"/>
            <w:vAlign w:val="center"/>
          </w:tcPr>
          <w:p w14:paraId="6288C17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120m</w:t>
            </w:r>
          </w:p>
        </w:tc>
      </w:tr>
      <w:tr w14:paraId="0896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 w:hRule="atLeast"/>
        </w:trPr>
        <w:tc>
          <w:tcPr>
            <w:tcW w:w="280" w:type="dxa"/>
            <w:vAlign w:val="center"/>
          </w:tcPr>
          <w:p w14:paraId="442A5239">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w:t>
            </w:r>
          </w:p>
        </w:tc>
        <w:tc>
          <w:tcPr>
            <w:tcW w:w="1022" w:type="dxa"/>
            <w:vAlign w:val="center"/>
          </w:tcPr>
          <w:p w14:paraId="74608F39">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散户 1</w:t>
            </w:r>
          </w:p>
        </w:tc>
        <w:tc>
          <w:tcPr>
            <w:tcW w:w="1110" w:type="dxa"/>
            <w:vAlign w:val="center"/>
          </w:tcPr>
          <w:p w14:paraId="6629DF6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124.950883</w:t>
            </w:r>
          </w:p>
        </w:tc>
        <w:tc>
          <w:tcPr>
            <w:tcW w:w="1034" w:type="dxa"/>
            <w:vAlign w:val="center"/>
          </w:tcPr>
          <w:p w14:paraId="24C8218B">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45.972457</w:t>
            </w:r>
          </w:p>
        </w:tc>
        <w:tc>
          <w:tcPr>
            <w:tcW w:w="1146" w:type="dxa"/>
            <w:vAlign w:val="center"/>
          </w:tcPr>
          <w:p w14:paraId="52B0AF6B">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 户 ，3 人</w:t>
            </w:r>
          </w:p>
        </w:tc>
        <w:tc>
          <w:tcPr>
            <w:tcW w:w="734" w:type="dxa"/>
            <w:vMerge w:val="continue"/>
            <w:vAlign w:val="center"/>
          </w:tcPr>
          <w:p w14:paraId="681328C0">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19" w:type="dxa"/>
            <w:vMerge w:val="continue"/>
            <w:vAlign w:val="center"/>
          </w:tcPr>
          <w:p w14:paraId="1E9E75A4">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2638" w:type="dxa"/>
            <w:vAlign w:val="center"/>
          </w:tcPr>
          <w:p w14:paraId="0D48FEE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芳 3 转油站外输油管线东侧</w:t>
            </w:r>
          </w:p>
        </w:tc>
        <w:tc>
          <w:tcPr>
            <w:tcW w:w="547" w:type="dxa"/>
            <w:vAlign w:val="center"/>
          </w:tcPr>
          <w:p w14:paraId="7C565D3A">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195m</w:t>
            </w:r>
          </w:p>
        </w:tc>
      </w:tr>
    </w:tbl>
    <w:p w14:paraId="3FA1A58F">
      <w:pPr>
        <w:widowControl w:val="0"/>
        <w:tabs>
          <w:tab w:val="left" w:pos="5262"/>
        </w:tabs>
        <w:spacing w:line="440" w:lineRule="exact"/>
        <w:ind w:firstLine="482" w:firstLineChars="200"/>
        <w:jc w:val="both"/>
        <w:rPr>
          <w:rFonts w:ascii="Times New Roman" w:hAnsi="Times New Roman" w:cs="Times New Roman" w:eastAsiaTheme="minorEastAsia"/>
          <w:b/>
          <w:bCs w:val="0"/>
          <w:caps w:val="0"/>
          <w:smallCaps w:val="0"/>
          <w:color w:val="auto"/>
          <w:spacing w:val="0"/>
          <w:w w:val="100"/>
          <w:kern w:val="21"/>
          <w:position w:val="0"/>
          <w:highlight w:val="none"/>
        </w:rPr>
      </w:pPr>
      <w:r>
        <w:rPr>
          <w:rFonts w:ascii="Times New Roman" w:hAnsi="Times New Roman" w:cs="Times New Roman" w:eastAsiaTheme="minorEastAsia"/>
          <w:b/>
          <w:bCs w:val="0"/>
          <w:caps w:val="0"/>
          <w:smallCaps w:val="0"/>
          <w:color w:val="auto"/>
          <w:spacing w:val="0"/>
          <w:w w:val="100"/>
          <w:kern w:val="21"/>
          <w:position w:val="0"/>
          <w:highlight w:val="none"/>
        </w:rPr>
        <w:t>表 2.8-3 工业企业声环境保护目标调查表</w:t>
      </w:r>
    </w:p>
    <w:tbl>
      <w:tblPr>
        <w:tblStyle w:val="16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0"/>
        <w:gridCol w:w="1082"/>
        <w:gridCol w:w="1019"/>
        <w:gridCol w:w="1406"/>
        <w:gridCol w:w="1187"/>
        <w:gridCol w:w="4046"/>
      </w:tblGrid>
      <w:tr w14:paraId="4C1E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5" w:hRule="atLeast"/>
          <w:jc w:val="center"/>
        </w:trPr>
        <w:tc>
          <w:tcPr>
            <w:tcW w:w="354" w:type="dxa"/>
            <w:textDirection w:val="tbRlV"/>
            <w:vAlign w:val="center"/>
          </w:tcPr>
          <w:p w14:paraId="2FE77B90">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序 号</w:t>
            </w:r>
          </w:p>
        </w:tc>
        <w:tc>
          <w:tcPr>
            <w:tcW w:w="1124" w:type="dxa"/>
            <w:vAlign w:val="center"/>
          </w:tcPr>
          <w:p w14:paraId="70F1ED1E">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声环境保护目标名称</w:t>
            </w:r>
          </w:p>
        </w:tc>
        <w:tc>
          <w:tcPr>
            <w:tcW w:w="1059" w:type="dxa"/>
            <w:vAlign w:val="center"/>
          </w:tcPr>
          <w:p w14:paraId="7171D59C">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距厂界最近距离/m</w:t>
            </w:r>
          </w:p>
        </w:tc>
        <w:tc>
          <w:tcPr>
            <w:tcW w:w="1460" w:type="dxa"/>
            <w:vAlign w:val="center"/>
          </w:tcPr>
          <w:p w14:paraId="0F9B7800">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方位</w:t>
            </w:r>
          </w:p>
        </w:tc>
        <w:tc>
          <w:tcPr>
            <w:tcW w:w="1233" w:type="dxa"/>
            <w:vAlign w:val="center"/>
          </w:tcPr>
          <w:p w14:paraId="1D6A89DF">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执行标准/功能区类别</w:t>
            </w:r>
          </w:p>
        </w:tc>
        <w:tc>
          <w:tcPr>
            <w:tcW w:w="4204" w:type="dxa"/>
            <w:vAlign w:val="center"/>
          </w:tcPr>
          <w:p w14:paraId="1CF418C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声环境保护目标情况说明（介绍声环境保护目标建筑结构、朝向、楼层、周围环境情况）</w:t>
            </w:r>
          </w:p>
        </w:tc>
      </w:tr>
      <w:tr w14:paraId="45CD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354" w:type="dxa"/>
            <w:vAlign w:val="center"/>
          </w:tcPr>
          <w:p w14:paraId="545C4D0F">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w:t>
            </w:r>
          </w:p>
        </w:tc>
        <w:tc>
          <w:tcPr>
            <w:tcW w:w="1124" w:type="dxa"/>
            <w:vAlign w:val="center"/>
          </w:tcPr>
          <w:p w14:paraId="69BC906B">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盛广和屯</w:t>
            </w:r>
          </w:p>
        </w:tc>
        <w:tc>
          <w:tcPr>
            <w:tcW w:w="1059" w:type="dxa"/>
            <w:vAlign w:val="center"/>
          </w:tcPr>
          <w:p w14:paraId="754A1104">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85m</w:t>
            </w:r>
          </w:p>
        </w:tc>
        <w:tc>
          <w:tcPr>
            <w:tcW w:w="1460" w:type="dxa"/>
            <w:vAlign w:val="center"/>
          </w:tcPr>
          <w:p w14:paraId="29E45918">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芳 3 转油站外输油管线南侧</w:t>
            </w:r>
          </w:p>
        </w:tc>
        <w:tc>
          <w:tcPr>
            <w:tcW w:w="1233" w:type="dxa"/>
            <w:vMerge w:val="restart"/>
            <w:vAlign w:val="center"/>
          </w:tcPr>
          <w:p w14:paraId="3AE9BA5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p w14:paraId="209A33CE">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《声环境质量标准》</w:t>
            </w:r>
          </w:p>
          <w:p w14:paraId="138427D9">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（GB3096-2008）中 1</w:t>
            </w:r>
          </w:p>
          <w:p w14:paraId="7CB98C8C">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类标准</w:t>
            </w:r>
          </w:p>
        </w:tc>
        <w:tc>
          <w:tcPr>
            <w:tcW w:w="4204" w:type="dxa"/>
            <w:vAlign w:val="center"/>
          </w:tcPr>
          <w:p w14:paraId="49963117">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民房，房屋均为砖混结构，住户约90 户，南北朝向，为单层结构，周围主要为耕地、民房</w:t>
            </w:r>
          </w:p>
        </w:tc>
      </w:tr>
      <w:tr w14:paraId="1ED1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354" w:type="dxa"/>
            <w:vAlign w:val="center"/>
          </w:tcPr>
          <w:p w14:paraId="695DCFDC">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w:t>
            </w:r>
          </w:p>
        </w:tc>
        <w:tc>
          <w:tcPr>
            <w:tcW w:w="1124" w:type="dxa"/>
            <w:vAlign w:val="center"/>
          </w:tcPr>
          <w:p w14:paraId="2F650E82">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宋芳屯居住区</w:t>
            </w:r>
          </w:p>
        </w:tc>
        <w:tc>
          <w:tcPr>
            <w:tcW w:w="1059" w:type="dxa"/>
            <w:vAlign w:val="center"/>
          </w:tcPr>
          <w:p w14:paraId="0A50DE58">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120m</w:t>
            </w:r>
          </w:p>
        </w:tc>
        <w:tc>
          <w:tcPr>
            <w:tcW w:w="1460" w:type="dxa"/>
            <w:vAlign w:val="center"/>
          </w:tcPr>
          <w:p w14:paraId="1EE2459C">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芳 3 转油站外输油管线南侧</w:t>
            </w:r>
          </w:p>
        </w:tc>
        <w:tc>
          <w:tcPr>
            <w:tcW w:w="1233" w:type="dxa"/>
            <w:vMerge w:val="continue"/>
            <w:vAlign w:val="center"/>
          </w:tcPr>
          <w:p w14:paraId="60FD9AB0">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4204" w:type="dxa"/>
            <w:vAlign w:val="center"/>
          </w:tcPr>
          <w:p w14:paraId="7B10189F">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民房，房屋均为砖混结构，住户约20 户，南北朝向，为单层结构，周围主要为草地、民房</w:t>
            </w:r>
          </w:p>
        </w:tc>
      </w:tr>
      <w:tr w14:paraId="430A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354" w:type="dxa"/>
            <w:vAlign w:val="center"/>
          </w:tcPr>
          <w:p w14:paraId="7126CFFE">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w:t>
            </w:r>
          </w:p>
        </w:tc>
        <w:tc>
          <w:tcPr>
            <w:tcW w:w="1124" w:type="dxa"/>
            <w:vAlign w:val="center"/>
          </w:tcPr>
          <w:p w14:paraId="43E1C26C">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散户 1</w:t>
            </w:r>
          </w:p>
        </w:tc>
        <w:tc>
          <w:tcPr>
            <w:tcW w:w="1059" w:type="dxa"/>
            <w:vAlign w:val="center"/>
          </w:tcPr>
          <w:p w14:paraId="2602C0CD">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195m</w:t>
            </w:r>
          </w:p>
        </w:tc>
        <w:tc>
          <w:tcPr>
            <w:tcW w:w="1460" w:type="dxa"/>
            <w:vAlign w:val="center"/>
          </w:tcPr>
          <w:p w14:paraId="60FE52D0">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芳 3 转油站外输油管线东侧</w:t>
            </w:r>
          </w:p>
        </w:tc>
        <w:tc>
          <w:tcPr>
            <w:tcW w:w="1233" w:type="dxa"/>
            <w:vMerge w:val="continue"/>
            <w:vAlign w:val="center"/>
          </w:tcPr>
          <w:p w14:paraId="13A52090">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4204" w:type="dxa"/>
            <w:vAlign w:val="center"/>
          </w:tcPr>
          <w:p w14:paraId="60823BE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民房，房屋均为砖混结构，住户约 1 户，南北朝向，为单层结构，周围主要为耕地、民房</w:t>
            </w:r>
          </w:p>
        </w:tc>
      </w:tr>
    </w:tbl>
    <w:p w14:paraId="3FB082DD">
      <w:pPr>
        <w:widowControl w:val="0"/>
        <w:spacing w:line="440" w:lineRule="exact"/>
        <w:ind w:firstLine="482" w:firstLineChars="200"/>
        <w:rPr>
          <w:rFonts w:ascii="Times New Roman" w:hAnsi="Times New Roman" w:cs="Times New Roman"/>
          <w:b/>
          <w:bCs/>
          <w:caps w:val="0"/>
          <w:smallCaps w:val="0"/>
          <w:color w:val="auto"/>
          <w:spacing w:val="0"/>
          <w:w w:val="100"/>
          <w:kern w:val="21"/>
          <w:position w:val="0"/>
          <w:highlight w:val="none"/>
        </w:rPr>
      </w:pPr>
      <w:r>
        <w:rPr>
          <w:rFonts w:ascii="Times New Roman" w:hAnsi="Times New Roman" w:cs="Times New Roman"/>
          <w:b/>
          <w:bCs/>
          <w:caps w:val="0"/>
          <w:smallCaps w:val="0"/>
          <w:color w:val="auto"/>
          <w:spacing w:val="0"/>
          <w:w w:val="100"/>
          <w:kern w:val="21"/>
          <w:position w:val="0"/>
          <w:highlight w:val="none"/>
        </w:rPr>
        <w:t>表2.7-1    地下水、土壤、生态环境保护目标表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562"/>
        <w:gridCol w:w="1437"/>
        <w:gridCol w:w="1211"/>
        <w:gridCol w:w="656"/>
        <w:gridCol w:w="3247"/>
        <w:gridCol w:w="2071"/>
      </w:tblGrid>
      <w:tr w14:paraId="37E0F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Align w:val="center"/>
          </w:tcPr>
          <w:p w14:paraId="179A186E">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环境要素</w:t>
            </w:r>
          </w:p>
        </w:tc>
        <w:tc>
          <w:tcPr>
            <w:tcW w:w="782" w:type="pct"/>
            <w:vAlign w:val="center"/>
          </w:tcPr>
          <w:p w14:paraId="06C52E49">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保护目标</w:t>
            </w:r>
          </w:p>
        </w:tc>
        <w:tc>
          <w:tcPr>
            <w:tcW w:w="1016" w:type="pct"/>
            <w:gridSpan w:val="2"/>
            <w:vAlign w:val="center"/>
          </w:tcPr>
          <w:p w14:paraId="50F5B3FB">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最近方位及距离</w:t>
            </w:r>
          </w:p>
        </w:tc>
        <w:tc>
          <w:tcPr>
            <w:tcW w:w="1767" w:type="pct"/>
            <w:vAlign w:val="center"/>
          </w:tcPr>
          <w:p w14:paraId="441C69F1">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规模</w:t>
            </w:r>
          </w:p>
        </w:tc>
        <w:tc>
          <w:tcPr>
            <w:tcW w:w="1127" w:type="pct"/>
            <w:vAlign w:val="center"/>
          </w:tcPr>
          <w:p w14:paraId="532F53C1">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保护标准及保护级别</w:t>
            </w:r>
          </w:p>
        </w:tc>
      </w:tr>
      <w:tr w14:paraId="6B429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restart"/>
            <w:vAlign w:val="center"/>
          </w:tcPr>
          <w:p w14:paraId="17D50095">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地下水环境</w:t>
            </w:r>
          </w:p>
          <w:p w14:paraId="6713E936">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p w14:paraId="48CDAB24">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p w14:paraId="776A7D47">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82" w:type="pct"/>
            <w:vAlign w:val="center"/>
          </w:tcPr>
          <w:p w14:paraId="76494F86">
            <w:pPr>
              <w:widowControl w:val="0"/>
              <w:snapToGrid w:val="0"/>
              <w:spacing w:line="34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bCs/>
                <w:color w:val="auto"/>
                <w:sz w:val="21"/>
                <w:szCs w:val="21"/>
                <w:highlight w:val="none"/>
              </w:rPr>
              <w:t>潜水含水层</w:t>
            </w:r>
            <w:r>
              <w:rPr>
                <w:rFonts w:hint="eastAsia" w:ascii="Times New Roman" w:hAnsi="Times New Roman" w:cs="Times New Roman"/>
                <w:bCs/>
                <w:color w:val="auto"/>
                <w:sz w:val="21"/>
                <w:szCs w:val="21"/>
                <w:highlight w:val="none"/>
              </w:rPr>
              <w:t>、具有饮用价值的</w:t>
            </w:r>
            <w:r>
              <w:rPr>
                <w:rFonts w:ascii="Times New Roman" w:hAnsi="Times New Roman" w:cs="Times New Roman"/>
                <w:bCs/>
                <w:color w:val="auto"/>
                <w:sz w:val="21"/>
                <w:szCs w:val="21"/>
                <w:highlight w:val="none"/>
              </w:rPr>
              <w:t>承压水含水层</w:t>
            </w:r>
          </w:p>
        </w:tc>
        <w:tc>
          <w:tcPr>
            <w:tcW w:w="2783" w:type="pct"/>
            <w:gridSpan w:val="3"/>
            <w:vAlign w:val="center"/>
          </w:tcPr>
          <w:p w14:paraId="2F12B35D">
            <w:pPr>
              <w:widowControl w:val="0"/>
              <w:snapToGrid w:val="0"/>
              <w:spacing w:line="34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eastAsiaTheme="minorEastAsia"/>
                <w:caps w:val="0"/>
                <w:smallCaps w:val="0"/>
                <w:snapToGrid w:val="0"/>
                <w:color w:val="auto"/>
                <w:spacing w:val="0"/>
                <w:w w:val="100"/>
                <w:position w:val="0"/>
                <w:sz w:val="21"/>
                <w:szCs w:val="21"/>
                <w:highlight w:val="none"/>
                <w:lang w:val="en-US" w:eastAsia="zh-CN"/>
              </w:rPr>
              <w:t>东西走向8.4km、南北走向4.8km矩形区域</w:t>
            </w:r>
            <w:r>
              <w:rPr>
                <w:rFonts w:ascii="Times New Roman" w:hAnsi="Times New Roman" w:eastAsiaTheme="minorEastAsia"/>
                <w:caps w:val="0"/>
                <w:smallCaps w:val="0"/>
                <w:snapToGrid w:val="0"/>
                <w:color w:val="auto"/>
                <w:spacing w:val="0"/>
                <w:w w:val="100"/>
                <w:position w:val="0"/>
                <w:sz w:val="21"/>
                <w:szCs w:val="21"/>
                <w:highlight w:val="none"/>
              </w:rPr>
              <w:t>，共计约</w:t>
            </w:r>
            <w:r>
              <w:rPr>
                <w:rFonts w:hint="eastAsia" w:ascii="Times New Roman" w:hAnsi="Times New Roman" w:eastAsiaTheme="minorEastAsia"/>
                <w:caps w:val="0"/>
                <w:smallCaps w:val="0"/>
                <w:snapToGrid w:val="0"/>
                <w:color w:val="auto"/>
                <w:spacing w:val="0"/>
                <w:w w:val="100"/>
                <w:position w:val="0"/>
                <w:sz w:val="21"/>
                <w:szCs w:val="21"/>
                <w:highlight w:val="none"/>
                <w:lang w:val="en-US" w:eastAsia="zh-CN"/>
              </w:rPr>
              <w:t>40.32</w:t>
            </w:r>
            <w:r>
              <w:rPr>
                <w:rFonts w:ascii="Times New Roman" w:hAnsi="Times New Roman" w:eastAsiaTheme="minorEastAsia"/>
                <w:caps w:val="0"/>
                <w:smallCaps w:val="0"/>
                <w:snapToGrid w:val="0"/>
                <w:color w:val="auto"/>
                <w:spacing w:val="0"/>
                <w:w w:val="100"/>
                <w:position w:val="0"/>
                <w:sz w:val="21"/>
                <w:szCs w:val="21"/>
                <w:highlight w:val="none"/>
              </w:rPr>
              <w:t>km</w:t>
            </w:r>
            <w:r>
              <w:rPr>
                <w:rFonts w:ascii="Times New Roman" w:hAnsi="Times New Roman" w:eastAsiaTheme="minorEastAsia"/>
                <w:caps w:val="0"/>
                <w:smallCaps w:val="0"/>
                <w:snapToGrid w:val="0"/>
                <w:color w:val="auto"/>
                <w:spacing w:val="0"/>
                <w:w w:val="100"/>
                <w:position w:val="0"/>
                <w:sz w:val="21"/>
                <w:szCs w:val="21"/>
                <w:highlight w:val="none"/>
                <w:vertAlign w:val="superscript"/>
              </w:rPr>
              <w:t>2</w:t>
            </w:r>
            <w:r>
              <w:rPr>
                <w:rFonts w:ascii="Times New Roman" w:hAnsi="Times New Roman" w:eastAsiaTheme="minorEastAsia"/>
                <w:snapToGrid w:val="0"/>
                <w:color w:val="auto"/>
                <w:sz w:val="21"/>
                <w:szCs w:val="21"/>
                <w:highlight w:val="none"/>
              </w:rPr>
              <w:t>区域</w:t>
            </w:r>
            <w:r>
              <w:rPr>
                <w:rFonts w:ascii="Times New Roman" w:hAnsi="Times New Roman"/>
                <w:snapToGrid w:val="0"/>
                <w:color w:val="auto"/>
                <w:sz w:val="21"/>
                <w:szCs w:val="21"/>
                <w:highlight w:val="none"/>
              </w:rPr>
              <w:t>范围内</w:t>
            </w:r>
            <w:r>
              <w:rPr>
                <w:rFonts w:hint="eastAsia" w:ascii="Times New Roman" w:hAnsi="Times New Roman" w:cs="Times New Roman"/>
                <w:color w:val="auto"/>
                <w:kern w:val="2"/>
                <w:sz w:val="21"/>
                <w:szCs w:val="21"/>
                <w:highlight w:val="none"/>
              </w:rPr>
              <w:t>的</w:t>
            </w:r>
            <w:r>
              <w:rPr>
                <w:rFonts w:ascii="Times New Roman" w:hAnsi="Times New Roman" w:cs="Times New Roman"/>
                <w:color w:val="auto"/>
                <w:sz w:val="21"/>
                <w:szCs w:val="21"/>
                <w:highlight w:val="none"/>
              </w:rPr>
              <w:t>地下水潜水含水层、有饮用价值的承压水含水层，主要为第四系上更新统松散层孔隙潜水层、第三系</w:t>
            </w:r>
            <w:r>
              <w:rPr>
                <w:rFonts w:hint="eastAsia" w:ascii="Times New Roman" w:hAnsi="Times New Roman" w:cs="Times New Roman"/>
                <w:color w:val="auto"/>
                <w:sz w:val="21"/>
                <w:szCs w:val="21"/>
                <w:highlight w:val="none"/>
              </w:rPr>
              <w:t>白垩系</w:t>
            </w:r>
            <w:r>
              <w:rPr>
                <w:rFonts w:ascii="Times New Roman" w:hAnsi="Times New Roman" w:cs="Times New Roman"/>
                <w:color w:val="auto"/>
                <w:sz w:val="21"/>
                <w:szCs w:val="21"/>
                <w:highlight w:val="none"/>
              </w:rPr>
              <w:t>明水组孔隙裂隙承压水含水层</w:t>
            </w:r>
          </w:p>
        </w:tc>
        <w:tc>
          <w:tcPr>
            <w:tcW w:w="1127" w:type="pct"/>
            <w:vMerge w:val="restart"/>
            <w:vAlign w:val="center"/>
          </w:tcPr>
          <w:p w14:paraId="237C2438">
            <w:pPr>
              <w:widowControl w:val="0"/>
              <w:snapToGrid w:val="0"/>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《地下水质量标准》（GB/T14848-2017）III类，石油类参考执行《地表水环境质量标准》（GB3838-2002）表1中的II类标准限值要求</w:t>
            </w:r>
          </w:p>
        </w:tc>
      </w:tr>
      <w:tr w14:paraId="392C1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3D391B11">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82" w:type="pct"/>
            <w:vAlign w:val="center"/>
          </w:tcPr>
          <w:p w14:paraId="44A76F9D">
            <w:pPr>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区域内饮用水源井</w:t>
            </w:r>
          </w:p>
        </w:tc>
        <w:tc>
          <w:tcPr>
            <w:tcW w:w="2783" w:type="pct"/>
            <w:gridSpan w:val="3"/>
            <w:vAlign w:val="center"/>
          </w:tcPr>
          <w:p w14:paraId="21D878E3">
            <w:pPr>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经调查，调查范围内无集中式饮用水水源地，调查范围内各村屯饮用水均由大庆水库通过南二水源供水管网供给，大庆水库位于本项目东北侧约55km，为地表水水源地，不在本项目调查范围内。</w:t>
            </w:r>
          </w:p>
        </w:tc>
        <w:tc>
          <w:tcPr>
            <w:tcW w:w="1127" w:type="pct"/>
            <w:vMerge w:val="continue"/>
            <w:vAlign w:val="center"/>
          </w:tcPr>
          <w:p w14:paraId="713F2C38">
            <w:pPr>
              <w:widowControl w:val="0"/>
              <w:snapToGrid w:val="0"/>
              <w:spacing w:line="320" w:lineRule="exact"/>
              <w:jc w:val="center"/>
              <w:rPr>
                <w:rFonts w:ascii="Times New Roman" w:hAnsi="Times New Roman" w:cs="Times New Roman"/>
                <w:caps w:val="0"/>
                <w:smallCaps w:val="0"/>
                <w:color w:val="auto"/>
                <w:spacing w:val="0"/>
                <w:w w:val="100"/>
                <w:position w:val="0"/>
                <w:sz w:val="21"/>
                <w:szCs w:val="21"/>
                <w:highlight w:val="none"/>
              </w:rPr>
            </w:pPr>
          </w:p>
        </w:tc>
      </w:tr>
      <w:tr w14:paraId="7FF41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5DC6DD58">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82" w:type="pct"/>
            <w:vAlign w:val="center"/>
          </w:tcPr>
          <w:p w14:paraId="0C2A9863">
            <w:pPr>
              <w:spacing w:line="320" w:lineRule="exact"/>
              <w:jc w:val="center"/>
              <w:rPr>
                <w:rFonts w:hint="default" w:ascii="Times New Roman" w:hAnsi="Times New Roman" w:eastAsia="宋体" w:cs="Times New Roman"/>
                <w:caps w:val="0"/>
                <w:smallCaps w:val="0"/>
                <w:color w:val="auto"/>
                <w:spacing w:val="0"/>
                <w:w w:val="100"/>
                <w:kern w:val="2"/>
                <w:position w:val="0"/>
                <w:sz w:val="21"/>
                <w:szCs w:val="21"/>
                <w:highlight w:val="none"/>
                <w:lang w:val="en-US" w:eastAsia="zh-CN"/>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昌德镇水井</w:t>
            </w:r>
          </w:p>
        </w:tc>
        <w:tc>
          <w:tcPr>
            <w:tcW w:w="659" w:type="pct"/>
            <w:vAlign w:val="top"/>
          </w:tcPr>
          <w:p w14:paraId="3750C49F">
            <w:pPr>
              <w:pStyle w:val="2858"/>
              <w:spacing w:before="47" w:line="228" w:lineRule="auto"/>
              <w:ind w:left="280"/>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拟建管线西侧500m</w:t>
            </w:r>
          </w:p>
        </w:tc>
        <w:tc>
          <w:tcPr>
            <w:tcW w:w="2124" w:type="pct"/>
            <w:gridSpan w:val="2"/>
            <w:vAlign w:val="top"/>
          </w:tcPr>
          <w:p w14:paraId="4E317E8F">
            <w:pPr>
              <w:pStyle w:val="2858"/>
              <w:spacing w:before="33" w:line="230" w:lineRule="auto"/>
              <w:ind w:left="112" w:leftChars="0" w:right="100" w:rightChars="0" w:firstLine="419" w:firstLineChars="0"/>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集中式引用</w:t>
            </w:r>
            <w:r>
              <w:rPr>
                <w:rFonts w:hint="default" w:ascii="Times New Roman" w:hAnsi="Times New Roman" w:cs="Times New Roman"/>
                <w:caps w:val="0"/>
                <w:smallCaps w:val="0"/>
                <w:color w:val="auto"/>
                <w:spacing w:val="0"/>
                <w:w w:val="100"/>
                <w:kern w:val="2"/>
                <w:position w:val="0"/>
                <w:sz w:val="21"/>
                <w:szCs w:val="21"/>
                <w:highlight w:val="none"/>
                <w:lang w:eastAsia="zh-CN"/>
              </w:rPr>
              <w:t>水井</w:t>
            </w:r>
            <w:r>
              <w:rPr>
                <w:rFonts w:hint="default" w:ascii="Times New Roman" w:hAnsi="Times New Roman" w:cs="Times New Roman"/>
                <w:caps w:val="0"/>
                <w:smallCaps w:val="0"/>
                <w:color w:val="auto"/>
                <w:spacing w:val="0"/>
                <w:w w:val="100"/>
                <w:kern w:val="2"/>
                <w:position w:val="0"/>
                <w:sz w:val="21"/>
                <w:szCs w:val="21"/>
                <w:highlight w:val="none"/>
                <w:lang w:val="en-US" w:eastAsia="zh-CN"/>
              </w:rPr>
              <w:t>3口</w:t>
            </w:r>
            <w:r>
              <w:rPr>
                <w:rFonts w:hint="default" w:ascii="Times New Roman" w:hAnsi="Times New Roman" w:cs="Times New Roman"/>
                <w:caps w:val="0"/>
                <w:smallCaps w:val="0"/>
                <w:color w:val="auto"/>
                <w:spacing w:val="0"/>
                <w:w w:val="100"/>
                <w:kern w:val="2"/>
                <w:position w:val="0"/>
                <w:sz w:val="21"/>
                <w:szCs w:val="21"/>
                <w:highlight w:val="none"/>
                <w:lang w:eastAsia="zh-CN"/>
              </w:rPr>
              <w:t>，井深120m，供</w:t>
            </w:r>
            <w:r>
              <w:rPr>
                <w:rFonts w:hint="eastAsia" w:ascii="Times New Roman" w:hAnsi="Times New Roman" w:cs="Times New Roman"/>
                <w:caps w:val="0"/>
                <w:smallCaps w:val="0"/>
                <w:color w:val="auto"/>
                <w:spacing w:val="0"/>
                <w:w w:val="100"/>
                <w:kern w:val="2"/>
                <w:position w:val="0"/>
                <w:sz w:val="21"/>
                <w:szCs w:val="21"/>
                <w:highlight w:val="none"/>
                <w:lang w:val="en-US" w:eastAsia="zh-CN"/>
              </w:rPr>
              <w:t>4400人</w:t>
            </w:r>
            <w:r>
              <w:rPr>
                <w:rFonts w:hint="default" w:ascii="Times New Roman" w:hAnsi="Times New Roman" w:cs="Times New Roman"/>
                <w:caps w:val="0"/>
                <w:smallCaps w:val="0"/>
                <w:color w:val="auto"/>
                <w:spacing w:val="0"/>
                <w:w w:val="100"/>
                <w:kern w:val="2"/>
                <w:position w:val="0"/>
                <w:sz w:val="21"/>
                <w:szCs w:val="21"/>
                <w:highlight w:val="none"/>
                <w:lang w:eastAsia="zh-CN"/>
              </w:rPr>
              <w:t>饮用，</w:t>
            </w:r>
            <w:r>
              <w:rPr>
                <w:rFonts w:hint="default" w:ascii="Times New Roman" w:hAnsi="Times New Roman" w:cs="Times New Roman"/>
                <w:caps w:val="0"/>
                <w:smallCaps w:val="0"/>
                <w:color w:val="auto"/>
                <w:spacing w:val="0"/>
                <w:w w:val="100"/>
                <w:kern w:val="2"/>
                <w:position w:val="0"/>
                <w:sz w:val="21"/>
                <w:szCs w:val="21"/>
                <w:highlight w:val="none"/>
                <w:lang w:val="en-US" w:eastAsia="zh-CN"/>
              </w:rPr>
              <w:t>其余分散式水井</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default" w:ascii="Times New Roman" w:hAnsi="Times New Roman" w:cs="Times New Roman"/>
                <w:caps w:val="0"/>
                <w:smallCaps w:val="0"/>
                <w:color w:val="auto"/>
                <w:spacing w:val="0"/>
                <w:w w:val="100"/>
                <w:kern w:val="2"/>
                <w:position w:val="0"/>
                <w:sz w:val="21"/>
                <w:szCs w:val="21"/>
                <w:highlight w:val="none"/>
                <w:lang w:val="en-US" w:eastAsia="zh-CN"/>
              </w:rPr>
              <w:t>15~</w:t>
            </w:r>
            <w:r>
              <w:rPr>
                <w:rFonts w:hint="default" w:ascii="Times New Roman" w:hAnsi="Times New Roman" w:cs="Times New Roman"/>
                <w:caps w:val="0"/>
                <w:smallCaps w:val="0"/>
                <w:color w:val="auto"/>
                <w:spacing w:val="0"/>
                <w:w w:val="100"/>
                <w:kern w:val="2"/>
                <w:position w:val="0"/>
                <w:sz w:val="21"/>
                <w:szCs w:val="21"/>
                <w:highlight w:val="none"/>
                <w:lang w:eastAsia="zh-CN"/>
              </w:rPr>
              <w:t>20m左右，用于喂养牲畜及灌溉</w:t>
            </w:r>
          </w:p>
        </w:tc>
        <w:tc>
          <w:tcPr>
            <w:tcW w:w="1127" w:type="pct"/>
            <w:vMerge w:val="continue"/>
            <w:vAlign w:val="center"/>
          </w:tcPr>
          <w:p w14:paraId="32883F81">
            <w:pPr>
              <w:widowControl w:val="0"/>
              <w:snapToGrid w:val="0"/>
              <w:spacing w:line="320" w:lineRule="exact"/>
              <w:jc w:val="center"/>
              <w:rPr>
                <w:rFonts w:ascii="Times New Roman" w:hAnsi="Times New Roman" w:cs="Times New Roman"/>
                <w:caps w:val="0"/>
                <w:smallCaps w:val="0"/>
                <w:color w:val="auto"/>
                <w:spacing w:val="0"/>
                <w:w w:val="100"/>
                <w:position w:val="0"/>
                <w:sz w:val="21"/>
                <w:szCs w:val="21"/>
                <w:highlight w:val="none"/>
              </w:rPr>
            </w:pPr>
          </w:p>
        </w:tc>
      </w:tr>
      <w:tr w14:paraId="00083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576B7579">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82" w:type="pct"/>
            <w:shd w:val="clear" w:color="auto" w:fill="auto"/>
            <w:vAlign w:val="center"/>
          </w:tcPr>
          <w:p w14:paraId="28418F84">
            <w:pPr>
              <w:spacing w:line="320" w:lineRule="exact"/>
              <w:jc w:val="cente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bidi="ar-SA"/>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史家屯水井</w:t>
            </w:r>
          </w:p>
        </w:tc>
        <w:tc>
          <w:tcPr>
            <w:tcW w:w="659" w:type="pct"/>
            <w:vAlign w:val="center"/>
          </w:tcPr>
          <w:p w14:paraId="0B203DEE">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position w:val="0"/>
                <w:highlight w:val="none"/>
                <w:lang w:val="en-US" w:eastAsia="zh-CN"/>
              </w:rPr>
              <w:t>拟建管线西侧90m</w:t>
            </w:r>
          </w:p>
        </w:tc>
        <w:tc>
          <w:tcPr>
            <w:tcW w:w="2124" w:type="pct"/>
            <w:gridSpan w:val="2"/>
            <w:vAlign w:val="center"/>
          </w:tcPr>
          <w:p w14:paraId="2D409803">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分散式饮用水井1</w:t>
            </w:r>
            <w:r>
              <w:rPr>
                <w:rFonts w:hint="default" w:ascii="Times New Roman" w:hAnsi="Times New Roman" w:cs="Times New Roman"/>
                <w:caps w:val="0"/>
                <w:smallCaps w:val="0"/>
                <w:color w:val="auto"/>
                <w:spacing w:val="0"/>
                <w:w w:val="100"/>
                <w:kern w:val="2"/>
                <w:position w:val="0"/>
                <w:sz w:val="21"/>
                <w:szCs w:val="21"/>
                <w:highlight w:val="none"/>
                <w:lang w:val="en-US" w:eastAsia="zh-CN"/>
              </w:rPr>
              <w:t>口</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eastAsia" w:ascii="Times New Roman" w:hAnsi="Times New Roman" w:cs="Times New Roman"/>
                <w:caps w:val="0"/>
                <w:smallCaps w:val="0"/>
                <w:color w:val="auto"/>
                <w:spacing w:val="0"/>
                <w:w w:val="100"/>
                <w:kern w:val="2"/>
                <w:position w:val="0"/>
                <w:sz w:val="21"/>
                <w:szCs w:val="21"/>
                <w:highlight w:val="none"/>
                <w:lang w:val="en-US" w:eastAsia="zh-CN"/>
              </w:rPr>
              <w:t>110</w:t>
            </w:r>
            <w:r>
              <w:rPr>
                <w:rFonts w:hint="default" w:ascii="Times New Roman" w:hAnsi="Times New Roman" w:cs="Times New Roman"/>
                <w:caps w:val="0"/>
                <w:smallCaps w:val="0"/>
                <w:color w:val="auto"/>
                <w:spacing w:val="0"/>
                <w:w w:val="100"/>
                <w:kern w:val="2"/>
                <w:position w:val="0"/>
                <w:sz w:val="21"/>
                <w:szCs w:val="21"/>
                <w:highlight w:val="none"/>
                <w:lang w:eastAsia="zh-CN"/>
              </w:rPr>
              <w:t>m，供本村</w:t>
            </w:r>
            <w:r>
              <w:rPr>
                <w:rFonts w:hint="eastAsia" w:ascii="Times New Roman" w:hAnsi="Times New Roman" w:cs="Times New Roman"/>
                <w:caps w:val="0"/>
                <w:smallCaps w:val="0"/>
                <w:color w:val="auto"/>
                <w:spacing w:val="0"/>
                <w:w w:val="100"/>
                <w:kern w:val="2"/>
                <w:position w:val="0"/>
                <w:sz w:val="21"/>
                <w:szCs w:val="21"/>
                <w:highlight w:val="none"/>
                <w:lang w:val="en-US" w:eastAsia="zh-CN"/>
              </w:rPr>
              <w:t>150人</w:t>
            </w:r>
            <w:r>
              <w:rPr>
                <w:rFonts w:hint="default" w:ascii="Times New Roman" w:hAnsi="Times New Roman" w:cs="Times New Roman"/>
                <w:caps w:val="0"/>
                <w:smallCaps w:val="0"/>
                <w:color w:val="auto"/>
                <w:spacing w:val="0"/>
                <w:w w:val="100"/>
                <w:kern w:val="2"/>
                <w:position w:val="0"/>
                <w:sz w:val="21"/>
                <w:szCs w:val="21"/>
                <w:highlight w:val="none"/>
                <w:lang w:eastAsia="zh-CN"/>
              </w:rPr>
              <w:t>饮用，</w:t>
            </w:r>
            <w:r>
              <w:rPr>
                <w:rFonts w:hint="default" w:ascii="Times New Roman" w:hAnsi="Times New Roman" w:cs="Times New Roman"/>
                <w:caps w:val="0"/>
                <w:smallCaps w:val="0"/>
                <w:color w:val="auto"/>
                <w:spacing w:val="0"/>
                <w:w w:val="100"/>
                <w:kern w:val="2"/>
                <w:position w:val="0"/>
                <w:sz w:val="21"/>
                <w:szCs w:val="21"/>
                <w:highlight w:val="none"/>
                <w:lang w:val="en-US" w:eastAsia="zh-CN"/>
              </w:rPr>
              <w:t>其余分散式水井约</w:t>
            </w:r>
            <w:r>
              <w:rPr>
                <w:rFonts w:hint="eastAsia" w:ascii="Times New Roman" w:hAnsi="Times New Roman" w:cs="Times New Roman"/>
                <w:caps w:val="0"/>
                <w:smallCaps w:val="0"/>
                <w:color w:val="auto"/>
                <w:spacing w:val="0"/>
                <w:w w:val="100"/>
                <w:kern w:val="2"/>
                <w:position w:val="0"/>
                <w:sz w:val="21"/>
                <w:szCs w:val="21"/>
                <w:highlight w:val="none"/>
                <w:lang w:val="en-US" w:eastAsia="zh-CN"/>
              </w:rPr>
              <w:t>30</w:t>
            </w:r>
            <w:r>
              <w:rPr>
                <w:rFonts w:hint="default" w:ascii="Times New Roman" w:hAnsi="Times New Roman" w:cs="Times New Roman"/>
                <w:caps w:val="0"/>
                <w:smallCaps w:val="0"/>
                <w:color w:val="auto"/>
                <w:spacing w:val="0"/>
                <w:w w:val="100"/>
                <w:kern w:val="2"/>
                <w:position w:val="0"/>
                <w:sz w:val="21"/>
                <w:szCs w:val="21"/>
                <w:highlight w:val="none"/>
                <w:lang w:val="en-US" w:eastAsia="zh-CN"/>
              </w:rPr>
              <w:t>口</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default" w:ascii="Times New Roman" w:hAnsi="Times New Roman" w:cs="Times New Roman"/>
                <w:caps w:val="0"/>
                <w:smallCaps w:val="0"/>
                <w:color w:val="auto"/>
                <w:spacing w:val="0"/>
                <w:w w:val="100"/>
                <w:kern w:val="2"/>
                <w:position w:val="0"/>
                <w:sz w:val="21"/>
                <w:szCs w:val="21"/>
                <w:highlight w:val="none"/>
                <w:lang w:val="en-US" w:eastAsia="zh-CN"/>
              </w:rPr>
              <w:t>15~</w:t>
            </w:r>
            <w:r>
              <w:rPr>
                <w:rFonts w:hint="default" w:ascii="Times New Roman" w:hAnsi="Times New Roman" w:cs="Times New Roman"/>
                <w:caps w:val="0"/>
                <w:smallCaps w:val="0"/>
                <w:color w:val="auto"/>
                <w:spacing w:val="0"/>
                <w:w w:val="100"/>
                <w:kern w:val="2"/>
                <w:position w:val="0"/>
                <w:sz w:val="21"/>
                <w:szCs w:val="21"/>
                <w:highlight w:val="none"/>
                <w:lang w:eastAsia="zh-CN"/>
              </w:rPr>
              <w:t>20m左右，用于喂养牲畜及灌溉</w:t>
            </w:r>
          </w:p>
        </w:tc>
        <w:tc>
          <w:tcPr>
            <w:tcW w:w="1127" w:type="pct"/>
            <w:vMerge w:val="continue"/>
            <w:vAlign w:val="center"/>
          </w:tcPr>
          <w:p w14:paraId="2882CFB8">
            <w:pPr>
              <w:widowControl w:val="0"/>
              <w:snapToGrid w:val="0"/>
              <w:spacing w:line="320" w:lineRule="exact"/>
              <w:jc w:val="center"/>
              <w:rPr>
                <w:rFonts w:ascii="Times New Roman" w:hAnsi="Times New Roman" w:cs="Times New Roman"/>
                <w:caps w:val="0"/>
                <w:smallCaps w:val="0"/>
                <w:color w:val="auto"/>
                <w:spacing w:val="0"/>
                <w:w w:val="100"/>
                <w:position w:val="0"/>
                <w:sz w:val="21"/>
                <w:szCs w:val="21"/>
                <w:highlight w:val="none"/>
              </w:rPr>
            </w:pPr>
          </w:p>
        </w:tc>
      </w:tr>
      <w:tr w14:paraId="24B43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72CE572E">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82" w:type="pct"/>
            <w:shd w:val="clear" w:color="auto" w:fill="auto"/>
            <w:vAlign w:val="center"/>
          </w:tcPr>
          <w:p w14:paraId="3AC7DF02">
            <w:pPr>
              <w:spacing w:line="320" w:lineRule="exact"/>
              <w:jc w:val="cente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bidi="ar-SA"/>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张家屯水井</w:t>
            </w:r>
          </w:p>
        </w:tc>
        <w:tc>
          <w:tcPr>
            <w:tcW w:w="659" w:type="pct"/>
            <w:vAlign w:val="center"/>
          </w:tcPr>
          <w:p w14:paraId="25FC9424">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position w:val="0"/>
                <w:highlight w:val="none"/>
                <w:lang w:val="en-US" w:eastAsia="zh-CN"/>
              </w:rPr>
              <w:t>拟建管线东侧600m</w:t>
            </w:r>
          </w:p>
        </w:tc>
        <w:tc>
          <w:tcPr>
            <w:tcW w:w="2124" w:type="pct"/>
            <w:gridSpan w:val="2"/>
            <w:vAlign w:val="center"/>
          </w:tcPr>
          <w:p w14:paraId="475C20CF">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分散式饮用水井1</w:t>
            </w:r>
            <w:r>
              <w:rPr>
                <w:rFonts w:hint="default" w:ascii="Times New Roman" w:hAnsi="Times New Roman" w:cs="Times New Roman"/>
                <w:caps w:val="0"/>
                <w:smallCaps w:val="0"/>
                <w:color w:val="auto"/>
                <w:spacing w:val="0"/>
                <w:w w:val="100"/>
                <w:kern w:val="2"/>
                <w:position w:val="0"/>
                <w:sz w:val="21"/>
                <w:szCs w:val="21"/>
                <w:highlight w:val="none"/>
                <w:lang w:val="en-US" w:eastAsia="zh-CN"/>
              </w:rPr>
              <w:t>口</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eastAsia" w:ascii="Times New Roman" w:hAnsi="Times New Roman" w:cs="Times New Roman"/>
                <w:caps w:val="0"/>
                <w:smallCaps w:val="0"/>
                <w:color w:val="auto"/>
                <w:spacing w:val="0"/>
                <w:w w:val="100"/>
                <w:kern w:val="2"/>
                <w:position w:val="0"/>
                <w:sz w:val="21"/>
                <w:szCs w:val="21"/>
                <w:highlight w:val="none"/>
                <w:lang w:val="en-US" w:eastAsia="zh-CN"/>
              </w:rPr>
              <w:t>115</w:t>
            </w:r>
            <w:r>
              <w:rPr>
                <w:rFonts w:hint="default" w:ascii="Times New Roman" w:hAnsi="Times New Roman" w:cs="Times New Roman"/>
                <w:caps w:val="0"/>
                <w:smallCaps w:val="0"/>
                <w:color w:val="auto"/>
                <w:spacing w:val="0"/>
                <w:w w:val="100"/>
                <w:kern w:val="2"/>
                <w:position w:val="0"/>
                <w:sz w:val="21"/>
                <w:szCs w:val="21"/>
                <w:highlight w:val="none"/>
                <w:lang w:eastAsia="zh-CN"/>
              </w:rPr>
              <w:t>m，供本村</w:t>
            </w:r>
            <w:r>
              <w:rPr>
                <w:rFonts w:hint="eastAsia" w:ascii="Times New Roman" w:hAnsi="Times New Roman" w:cs="Times New Roman"/>
                <w:caps w:val="0"/>
                <w:smallCaps w:val="0"/>
                <w:color w:val="auto"/>
                <w:spacing w:val="0"/>
                <w:w w:val="100"/>
                <w:kern w:val="2"/>
                <w:position w:val="0"/>
                <w:sz w:val="21"/>
                <w:szCs w:val="21"/>
                <w:highlight w:val="none"/>
                <w:lang w:val="en-US" w:eastAsia="zh-CN"/>
              </w:rPr>
              <w:t>300人</w:t>
            </w:r>
            <w:r>
              <w:rPr>
                <w:rFonts w:hint="default" w:ascii="Times New Roman" w:hAnsi="Times New Roman" w:cs="Times New Roman"/>
                <w:caps w:val="0"/>
                <w:smallCaps w:val="0"/>
                <w:color w:val="auto"/>
                <w:spacing w:val="0"/>
                <w:w w:val="100"/>
                <w:kern w:val="2"/>
                <w:position w:val="0"/>
                <w:sz w:val="21"/>
                <w:szCs w:val="21"/>
                <w:highlight w:val="none"/>
                <w:lang w:eastAsia="zh-CN"/>
              </w:rPr>
              <w:t>饮用，</w:t>
            </w:r>
            <w:r>
              <w:rPr>
                <w:rFonts w:hint="default" w:ascii="Times New Roman" w:hAnsi="Times New Roman" w:cs="Times New Roman"/>
                <w:caps w:val="0"/>
                <w:smallCaps w:val="0"/>
                <w:color w:val="auto"/>
                <w:spacing w:val="0"/>
                <w:w w:val="100"/>
                <w:kern w:val="2"/>
                <w:position w:val="0"/>
                <w:sz w:val="21"/>
                <w:szCs w:val="21"/>
                <w:highlight w:val="none"/>
                <w:lang w:val="en-US" w:eastAsia="zh-CN"/>
              </w:rPr>
              <w:t>其余分散式水井约</w:t>
            </w:r>
            <w:r>
              <w:rPr>
                <w:rFonts w:hint="eastAsia" w:ascii="Times New Roman" w:hAnsi="Times New Roman" w:cs="Times New Roman"/>
                <w:caps w:val="0"/>
                <w:smallCaps w:val="0"/>
                <w:color w:val="auto"/>
                <w:spacing w:val="0"/>
                <w:w w:val="100"/>
                <w:kern w:val="2"/>
                <w:position w:val="0"/>
                <w:sz w:val="21"/>
                <w:szCs w:val="21"/>
                <w:highlight w:val="none"/>
                <w:lang w:val="en-US" w:eastAsia="zh-CN"/>
              </w:rPr>
              <w:t>60</w:t>
            </w:r>
            <w:r>
              <w:rPr>
                <w:rFonts w:hint="default" w:ascii="Times New Roman" w:hAnsi="Times New Roman" w:cs="Times New Roman"/>
                <w:caps w:val="0"/>
                <w:smallCaps w:val="0"/>
                <w:color w:val="auto"/>
                <w:spacing w:val="0"/>
                <w:w w:val="100"/>
                <w:kern w:val="2"/>
                <w:position w:val="0"/>
                <w:sz w:val="21"/>
                <w:szCs w:val="21"/>
                <w:highlight w:val="none"/>
                <w:lang w:val="en-US" w:eastAsia="zh-CN"/>
              </w:rPr>
              <w:t>口</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default" w:ascii="Times New Roman" w:hAnsi="Times New Roman" w:cs="Times New Roman"/>
                <w:caps w:val="0"/>
                <w:smallCaps w:val="0"/>
                <w:color w:val="auto"/>
                <w:spacing w:val="0"/>
                <w:w w:val="100"/>
                <w:kern w:val="2"/>
                <w:position w:val="0"/>
                <w:sz w:val="21"/>
                <w:szCs w:val="21"/>
                <w:highlight w:val="none"/>
                <w:lang w:val="en-US" w:eastAsia="zh-CN"/>
              </w:rPr>
              <w:t>15~</w:t>
            </w:r>
            <w:r>
              <w:rPr>
                <w:rFonts w:hint="default" w:ascii="Times New Roman" w:hAnsi="Times New Roman" w:cs="Times New Roman"/>
                <w:caps w:val="0"/>
                <w:smallCaps w:val="0"/>
                <w:color w:val="auto"/>
                <w:spacing w:val="0"/>
                <w:w w:val="100"/>
                <w:kern w:val="2"/>
                <w:position w:val="0"/>
                <w:sz w:val="21"/>
                <w:szCs w:val="21"/>
                <w:highlight w:val="none"/>
                <w:lang w:eastAsia="zh-CN"/>
              </w:rPr>
              <w:t>20m左右，用于喂养牲畜及灌溉</w:t>
            </w:r>
          </w:p>
        </w:tc>
        <w:tc>
          <w:tcPr>
            <w:tcW w:w="1127" w:type="pct"/>
            <w:vMerge w:val="continue"/>
            <w:vAlign w:val="center"/>
          </w:tcPr>
          <w:p w14:paraId="7B2E48A4">
            <w:pPr>
              <w:widowControl w:val="0"/>
              <w:snapToGrid w:val="0"/>
              <w:spacing w:line="320" w:lineRule="exact"/>
              <w:jc w:val="center"/>
              <w:rPr>
                <w:rFonts w:ascii="Times New Roman" w:hAnsi="Times New Roman" w:cs="Times New Roman"/>
                <w:caps w:val="0"/>
                <w:smallCaps w:val="0"/>
                <w:color w:val="auto"/>
                <w:spacing w:val="0"/>
                <w:w w:val="100"/>
                <w:position w:val="0"/>
                <w:sz w:val="21"/>
                <w:szCs w:val="21"/>
                <w:highlight w:val="none"/>
              </w:rPr>
            </w:pPr>
          </w:p>
        </w:tc>
      </w:tr>
      <w:tr w14:paraId="79F18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20A90359">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82" w:type="pct"/>
            <w:shd w:val="clear" w:color="auto" w:fill="auto"/>
            <w:vAlign w:val="center"/>
          </w:tcPr>
          <w:p w14:paraId="56227EF4">
            <w:pPr>
              <w:spacing w:line="320" w:lineRule="exact"/>
              <w:jc w:val="cente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bidi="ar-SA"/>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车家窝棚水井</w:t>
            </w:r>
          </w:p>
        </w:tc>
        <w:tc>
          <w:tcPr>
            <w:tcW w:w="659" w:type="pct"/>
            <w:vAlign w:val="center"/>
          </w:tcPr>
          <w:p w14:paraId="624C2FB2">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position w:val="0"/>
                <w:highlight w:val="none"/>
                <w:lang w:val="en-US" w:eastAsia="zh-CN"/>
              </w:rPr>
              <w:t>拟建管线西侧670m</w:t>
            </w:r>
          </w:p>
        </w:tc>
        <w:tc>
          <w:tcPr>
            <w:tcW w:w="2124" w:type="pct"/>
            <w:gridSpan w:val="2"/>
            <w:vAlign w:val="center"/>
          </w:tcPr>
          <w:p w14:paraId="1011EEFF">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分散式饮用水井1</w:t>
            </w:r>
            <w:r>
              <w:rPr>
                <w:rFonts w:hint="default" w:ascii="Times New Roman" w:hAnsi="Times New Roman" w:cs="Times New Roman"/>
                <w:caps w:val="0"/>
                <w:smallCaps w:val="0"/>
                <w:color w:val="auto"/>
                <w:spacing w:val="0"/>
                <w:w w:val="100"/>
                <w:kern w:val="2"/>
                <w:position w:val="0"/>
                <w:sz w:val="21"/>
                <w:szCs w:val="21"/>
                <w:highlight w:val="none"/>
                <w:lang w:val="en-US" w:eastAsia="zh-CN"/>
              </w:rPr>
              <w:t>口</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eastAsia" w:ascii="Times New Roman" w:hAnsi="Times New Roman" w:cs="Times New Roman"/>
                <w:caps w:val="0"/>
                <w:smallCaps w:val="0"/>
                <w:color w:val="auto"/>
                <w:spacing w:val="0"/>
                <w:w w:val="100"/>
                <w:kern w:val="2"/>
                <w:position w:val="0"/>
                <w:sz w:val="21"/>
                <w:szCs w:val="21"/>
                <w:highlight w:val="none"/>
                <w:lang w:val="en-US" w:eastAsia="zh-CN"/>
              </w:rPr>
              <w:t>112</w:t>
            </w:r>
            <w:r>
              <w:rPr>
                <w:rFonts w:hint="default" w:ascii="Times New Roman" w:hAnsi="Times New Roman" w:cs="Times New Roman"/>
                <w:caps w:val="0"/>
                <w:smallCaps w:val="0"/>
                <w:color w:val="auto"/>
                <w:spacing w:val="0"/>
                <w:w w:val="100"/>
                <w:kern w:val="2"/>
                <w:position w:val="0"/>
                <w:sz w:val="21"/>
                <w:szCs w:val="21"/>
                <w:highlight w:val="none"/>
                <w:lang w:eastAsia="zh-CN"/>
              </w:rPr>
              <w:t>m，供本村</w:t>
            </w:r>
            <w:r>
              <w:rPr>
                <w:rFonts w:hint="eastAsia" w:ascii="Times New Roman" w:hAnsi="Times New Roman" w:cs="Times New Roman"/>
                <w:caps w:val="0"/>
                <w:smallCaps w:val="0"/>
                <w:color w:val="auto"/>
                <w:spacing w:val="0"/>
                <w:w w:val="100"/>
                <w:kern w:val="2"/>
                <w:position w:val="0"/>
                <w:sz w:val="21"/>
                <w:szCs w:val="21"/>
                <w:highlight w:val="none"/>
                <w:lang w:val="en-US" w:eastAsia="zh-CN"/>
              </w:rPr>
              <w:t>及小烧锅屯共550人</w:t>
            </w:r>
            <w:r>
              <w:rPr>
                <w:rFonts w:hint="default" w:ascii="Times New Roman" w:hAnsi="Times New Roman" w:cs="Times New Roman"/>
                <w:caps w:val="0"/>
                <w:smallCaps w:val="0"/>
                <w:color w:val="auto"/>
                <w:spacing w:val="0"/>
                <w:w w:val="100"/>
                <w:kern w:val="2"/>
                <w:position w:val="0"/>
                <w:sz w:val="21"/>
                <w:szCs w:val="21"/>
                <w:highlight w:val="none"/>
                <w:lang w:eastAsia="zh-CN"/>
              </w:rPr>
              <w:t>饮用，</w:t>
            </w:r>
            <w:r>
              <w:rPr>
                <w:rFonts w:hint="default" w:ascii="Times New Roman" w:hAnsi="Times New Roman" w:cs="Times New Roman"/>
                <w:caps w:val="0"/>
                <w:smallCaps w:val="0"/>
                <w:color w:val="auto"/>
                <w:spacing w:val="0"/>
                <w:w w:val="100"/>
                <w:kern w:val="2"/>
                <w:position w:val="0"/>
                <w:sz w:val="21"/>
                <w:szCs w:val="21"/>
                <w:highlight w:val="none"/>
                <w:lang w:val="en-US" w:eastAsia="zh-CN"/>
              </w:rPr>
              <w:t>其余分散式水井约</w:t>
            </w:r>
            <w:r>
              <w:rPr>
                <w:rFonts w:hint="eastAsia" w:ascii="Times New Roman" w:hAnsi="Times New Roman" w:cs="Times New Roman"/>
                <w:caps w:val="0"/>
                <w:smallCaps w:val="0"/>
                <w:color w:val="auto"/>
                <w:spacing w:val="0"/>
                <w:w w:val="100"/>
                <w:kern w:val="2"/>
                <w:position w:val="0"/>
                <w:sz w:val="21"/>
                <w:szCs w:val="21"/>
                <w:highlight w:val="none"/>
                <w:lang w:val="en-US" w:eastAsia="zh-CN"/>
              </w:rPr>
              <w:t>70</w:t>
            </w:r>
            <w:r>
              <w:rPr>
                <w:rFonts w:hint="default" w:ascii="Times New Roman" w:hAnsi="Times New Roman" w:cs="Times New Roman"/>
                <w:caps w:val="0"/>
                <w:smallCaps w:val="0"/>
                <w:color w:val="auto"/>
                <w:spacing w:val="0"/>
                <w:w w:val="100"/>
                <w:kern w:val="2"/>
                <w:position w:val="0"/>
                <w:sz w:val="21"/>
                <w:szCs w:val="21"/>
                <w:highlight w:val="none"/>
                <w:lang w:val="en-US" w:eastAsia="zh-CN"/>
              </w:rPr>
              <w:t>口</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default" w:ascii="Times New Roman" w:hAnsi="Times New Roman" w:cs="Times New Roman"/>
                <w:caps w:val="0"/>
                <w:smallCaps w:val="0"/>
                <w:color w:val="auto"/>
                <w:spacing w:val="0"/>
                <w:w w:val="100"/>
                <w:kern w:val="2"/>
                <w:position w:val="0"/>
                <w:sz w:val="21"/>
                <w:szCs w:val="21"/>
                <w:highlight w:val="none"/>
                <w:lang w:val="en-US" w:eastAsia="zh-CN"/>
              </w:rPr>
              <w:t>15~</w:t>
            </w:r>
            <w:r>
              <w:rPr>
                <w:rFonts w:hint="default" w:ascii="Times New Roman" w:hAnsi="Times New Roman" w:cs="Times New Roman"/>
                <w:caps w:val="0"/>
                <w:smallCaps w:val="0"/>
                <w:color w:val="auto"/>
                <w:spacing w:val="0"/>
                <w:w w:val="100"/>
                <w:kern w:val="2"/>
                <w:position w:val="0"/>
                <w:sz w:val="21"/>
                <w:szCs w:val="21"/>
                <w:highlight w:val="none"/>
                <w:lang w:eastAsia="zh-CN"/>
              </w:rPr>
              <w:t>20m左右，用于喂养牲畜及灌溉</w:t>
            </w:r>
          </w:p>
        </w:tc>
        <w:tc>
          <w:tcPr>
            <w:tcW w:w="1127" w:type="pct"/>
            <w:vMerge w:val="continue"/>
            <w:vAlign w:val="center"/>
          </w:tcPr>
          <w:p w14:paraId="0CCD6D03">
            <w:pPr>
              <w:widowControl w:val="0"/>
              <w:snapToGrid w:val="0"/>
              <w:spacing w:line="320" w:lineRule="exact"/>
              <w:jc w:val="center"/>
              <w:rPr>
                <w:rFonts w:ascii="Times New Roman" w:hAnsi="Times New Roman" w:cs="Times New Roman"/>
                <w:caps w:val="0"/>
                <w:smallCaps w:val="0"/>
                <w:color w:val="auto"/>
                <w:spacing w:val="0"/>
                <w:w w:val="100"/>
                <w:position w:val="0"/>
                <w:sz w:val="21"/>
                <w:szCs w:val="21"/>
                <w:highlight w:val="none"/>
              </w:rPr>
            </w:pPr>
          </w:p>
        </w:tc>
      </w:tr>
      <w:tr w14:paraId="4E5DB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516C0B5C">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82" w:type="pct"/>
            <w:shd w:val="clear" w:color="auto" w:fill="auto"/>
            <w:vAlign w:val="center"/>
          </w:tcPr>
          <w:p w14:paraId="40622F4A">
            <w:pPr>
              <w:spacing w:line="320" w:lineRule="exact"/>
              <w:jc w:val="cente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bidi="ar-SA"/>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新立屯水井</w:t>
            </w:r>
          </w:p>
        </w:tc>
        <w:tc>
          <w:tcPr>
            <w:tcW w:w="659" w:type="pct"/>
            <w:vAlign w:val="center"/>
          </w:tcPr>
          <w:p w14:paraId="60ABE106">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拟建管线南侧900m</w:t>
            </w:r>
          </w:p>
        </w:tc>
        <w:tc>
          <w:tcPr>
            <w:tcW w:w="2124" w:type="pct"/>
            <w:gridSpan w:val="2"/>
            <w:vAlign w:val="center"/>
          </w:tcPr>
          <w:p w14:paraId="38BF87F3">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分散式饮用水井1</w:t>
            </w:r>
            <w:r>
              <w:rPr>
                <w:rFonts w:hint="default" w:ascii="Times New Roman" w:hAnsi="Times New Roman" w:cs="Times New Roman"/>
                <w:caps w:val="0"/>
                <w:smallCaps w:val="0"/>
                <w:color w:val="auto"/>
                <w:spacing w:val="0"/>
                <w:w w:val="100"/>
                <w:kern w:val="2"/>
                <w:position w:val="0"/>
                <w:sz w:val="21"/>
                <w:szCs w:val="21"/>
                <w:highlight w:val="none"/>
                <w:lang w:val="en-US" w:eastAsia="zh-CN"/>
              </w:rPr>
              <w:t>口</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eastAsia" w:ascii="Times New Roman" w:hAnsi="Times New Roman" w:cs="Times New Roman"/>
                <w:caps w:val="0"/>
                <w:smallCaps w:val="0"/>
                <w:color w:val="auto"/>
                <w:spacing w:val="0"/>
                <w:w w:val="100"/>
                <w:kern w:val="2"/>
                <w:position w:val="0"/>
                <w:sz w:val="21"/>
                <w:szCs w:val="21"/>
                <w:highlight w:val="none"/>
                <w:lang w:val="en-US" w:eastAsia="zh-CN"/>
              </w:rPr>
              <w:t>118</w:t>
            </w:r>
            <w:r>
              <w:rPr>
                <w:rFonts w:hint="default" w:ascii="Times New Roman" w:hAnsi="Times New Roman" w:cs="Times New Roman"/>
                <w:caps w:val="0"/>
                <w:smallCaps w:val="0"/>
                <w:color w:val="auto"/>
                <w:spacing w:val="0"/>
                <w:w w:val="100"/>
                <w:kern w:val="2"/>
                <w:position w:val="0"/>
                <w:sz w:val="21"/>
                <w:szCs w:val="21"/>
                <w:highlight w:val="none"/>
                <w:lang w:eastAsia="zh-CN"/>
              </w:rPr>
              <w:t>m，供本村</w:t>
            </w:r>
            <w:r>
              <w:rPr>
                <w:rFonts w:hint="eastAsia" w:ascii="Times New Roman" w:hAnsi="Times New Roman" w:cs="Times New Roman"/>
                <w:caps w:val="0"/>
                <w:smallCaps w:val="0"/>
                <w:color w:val="auto"/>
                <w:spacing w:val="0"/>
                <w:w w:val="100"/>
                <w:kern w:val="2"/>
                <w:position w:val="0"/>
                <w:sz w:val="21"/>
                <w:szCs w:val="21"/>
                <w:highlight w:val="none"/>
                <w:lang w:val="en-US" w:eastAsia="zh-CN"/>
              </w:rPr>
              <w:t>250人</w:t>
            </w:r>
            <w:r>
              <w:rPr>
                <w:rFonts w:hint="default" w:ascii="Times New Roman" w:hAnsi="Times New Roman" w:cs="Times New Roman"/>
                <w:caps w:val="0"/>
                <w:smallCaps w:val="0"/>
                <w:color w:val="auto"/>
                <w:spacing w:val="0"/>
                <w:w w:val="100"/>
                <w:kern w:val="2"/>
                <w:position w:val="0"/>
                <w:sz w:val="21"/>
                <w:szCs w:val="21"/>
                <w:highlight w:val="none"/>
                <w:lang w:eastAsia="zh-CN"/>
              </w:rPr>
              <w:t>饮用，</w:t>
            </w:r>
            <w:r>
              <w:rPr>
                <w:rFonts w:hint="default" w:ascii="Times New Roman" w:hAnsi="Times New Roman" w:cs="Times New Roman"/>
                <w:caps w:val="0"/>
                <w:smallCaps w:val="0"/>
                <w:color w:val="auto"/>
                <w:spacing w:val="0"/>
                <w:w w:val="100"/>
                <w:kern w:val="2"/>
                <w:position w:val="0"/>
                <w:sz w:val="21"/>
                <w:szCs w:val="21"/>
                <w:highlight w:val="none"/>
                <w:lang w:val="en-US" w:eastAsia="zh-CN"/>
              </w:rPr>
              <w:t>其余分散式水井约</w:t>
            </w:r>
            <w:r>
              <w:rPr>
                <w:rFonts w:hint="eastAsia" w:ascii="Times New Roman" w:hAnsi="Times New Roman" w:cs="Times New Roman"/>
                <w:caps w:val="0"/>
                <w:smallCaps w:val="0"/>
                <w:color w:val="auto"/>
                <w:spacing w:val="0"/>
                <w:w w:val="100"/>
                <w:kern w:val="2"/>
                <w:position w:val="0"/>
                <w:sz w:val="21"/>
                <w:szCs w:val="21"/>
                <w:highlight w:val="none"/>
                <w:lang w:val="en-US" w:eastAsia="zh-CN"/>
              </w:rPr>
              <w:t>50</w:t>
            </w:r>
            <w:r>
              <w:rPr>
                <w:rFonts w:hint="default" w:ascii="Times New Roman" w:hAnsi="Times New Roman" w:cs="Times New Roman"/>
                <w:caps w:val="0"/>
                <w:smallCaps w:val="0"/>
                <w:color w:val="auto"/>
                <w:spacing w:val="0"/>
                <w:w w:val="100"/>
                <w:kern w:val="2"/>
                <w:position w:val="0"/>
                <w:sz w:val="21"/>
                <w:szCs w:val="21"/>
                <w:highlight w:val="none"/>
                <w:lang w:val="en-US" w:eastAsia="zh-CN"/>
              </w:rPr>
              <w:t>口</w:t>
            </w:r>
            <w:r>
              <w:rPr>
                <w:rFonts w:hint="default" w:ascii="Times New Roman" w:hAnsi="Times New Roman" w:cs="Times New Roman"/>
                <w:caps w:val="0"/>
                <w:smallCaps w:val="0"/>
                <w:color w:val="auto"/>
                <w:spacing w:val="0"/>
                <w:w w:val="100"/>
                <w:kern w:val="2"/>
                <w:position w:val="0"/>
                <w:sz w:val="21"/>
                <w:szCs w:val="21"/>
                <w:highlight w:val="none"/>
                <w:lang w:eastAsia="zh-CN"/>
              </w:rPr>
              <w:t>，井深</w:t>
            </w:r>
            <w:r>
              <w:rPr>
                <w:rFonts w:hint="default" w:ascii="Times New Roman" w:hAnsi="Times New Roman" w:cs="Times New Roman"/>
                <w:caps w:val="0"/>
                <w:smallCaps w:val="0"/>
                <w:color w:val="auto"/>
                <w:spacing w:val="0"/>
                <w:w w:val="100"/>
                <w:kern w:val="2"/>
                <w:position w:val="0"/>
                <w:sz w:val="21"/>
                <w:szCs w:val="21"/>
                <w:highlight w:val="none"/>
                <w:lang w:val="en-US" w:eastAsia="zh-CN"/>
              </w:rPr>
              <w:t>15~</w:t>
            </w:r>
            <w:r>
              <w:rPr>
                <w:rFonts w:hint="default" w:ascii="Times New Roman" w:hAnsi="Times New Roman" w:cs="Times New Roman"/>
                <w:caps w:val="0"/>
                <w:smallCaps w:val="0"/>
                <w:color w:val="auto"/>
                <w:spacing w:val="0"/>
                <w:w w:val="100"/>
                <w:kern w:val="2"/>
                <w:position w:val="0"/>
                <w:sz w:val="21"/>
                <w:szCs w:val="21"/>
                <w:highlight w:val="none"/>
                <w:lang w:eastAsia="zh-CN"/>
              </w:rPr>
              <w:t>20m左右，用于喂养牲畜及灌溉</w:t>
            </w:r>
          </w:p>
        </w:tc>
        <w:tc>
          <w:tcPr>
            <w:tcW w:w="1127" w:type="pct"/>
            <w:vMerge w:val="continue"/>
            <w:vAlign w:val="center"/>
          </w:tcPr>
          <w:p w14:paraId="3C89777C">
            <w:pPr>
              <w:widowControl w:val="0"/>
              <w:snapToGrid w:val="0"/>
              <w:spacing w:line="320" w:lineRule="exact"/>
              <w:jc w:val="center"/>
              <w:rPr>
                <w:rFonts w:ascii="Times New Roman" w:hAnsi="Times New Roman" w:cs="Times New Roman"/>
                <w:caps w:val="0"/>
                <w:smallCaps w:val="0"/>
                <w:color w:val="auto"/>
                <w:spacing w:val="0"/>
                <w:w w:val="100"/>
                <w:position w:val="0"/>
                <w:sz w:val="21"/>
                <w:szCs w:val="21"/>
                <w:highlight w:val="none"/>
              </w:rPr>
            </w:pPr>
          </w:p>
        </w:tc>
      </w:tr>
      <w:tr w14:paraId="23E82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restart"/>
            <w:vAlign w:val="center"/>
          </w:tcPr>
          <w:p w14:paraId="54E3FC48">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土壤环境</w:t>
            </w:r>
          </w:p>
        </w:tc>
        <w:tc>
          <w:tcPr>
            <w:tcW w:w="3565" w:type="pct"/>
            <w:gridSpan w:val="4"/>
            <w:vAlign w:val="center"/>
          </w:tcPr>
          <w:p w14:paraId="5FF614D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拟建管线工程边界两侧向外延伸0.2 km的</w:t>
            </w:r>
            <w:r>
              <w:rPr>
                <w:rFonts w:hint="eastAsia" w:ascii="Times New Roman" w:hAnsi="Times New Roman" w:cs="Times New Roman"/>
                <w:caps w:val="0"/>
                <w:smallCaps w:val="0"/>
                <w:color w:val="auto"/>
                <w:spacing w:val="0"/>
                <w:w w:val="100"/>
                <w:kern w:val="2"/>
                <w:position w:val="0"/>
                <w:sz w:val="21"/>
                <w:szCs w:val="21"/>
                <w:highlight w:val="none"/>
              </w:rPr>
              <w:t>油田</w:t>
            </w:r>
            <w:r>
              <w:rPr>
                <w:rFonts w:ascii="Times New Roman" w:hAnsi="Times New Roman" w:cs="Times New Roman"/>
                <w:caps w:val="0"/>
                <w:smallCaps w:val="0"/>
                <w:color w:val="auto"/>
                <w:spacing w:val="0"/>
                <w:w w:val="100"/>
                <w:kern w:val="2"/>
                <w:position w:val="0"/>
                <w:sz w:val="21"/>
                <w:szCs w:val="21"/>
                <w:highlight w:val="none"/>
              </w:rPr>
              <w:t>用地土壤环境，土壤类型为为</w:t>
            </w:r>
            <w:r>
              <w:rPr>
                <w:rFonts w:ascii="Times New Roman" w:hAnsi="Times New Roman" w:cs="Times New Roman"/>
                <w:caps w:val="0"/>
                <w:smallCaps w:val="0"/>
                <w:color w:val="auto"/>
                <w:spacing w:val="0"/>
                <w:w w:val="100"/>
                <w:kern w:val="2"/>
                <w:position w:val="0"/>
                <w:sz w:val="21"/>
                <w:szCs w:val="21"/>
                <w:highlight w:val="none"/>
              </w:rPr>
              <w:t>草甸土</w:t>
            </w:r>
          </w:p>
        </w:tc>
        <w:tc>
          <w:tcPr>
            <w:tcW w:w="1127" w:type="pct"/>
            <w:vAlign w:val="center"/>
          </w:tcPr>
          <w:p w14:paraId="1B84E710">
            <w:pPr>
              <w:widowControl w:val="0"/>
              <w:snapToGrid w:val="0"/>
              <w:spacing w:line="320" w:lineRule="exact"/>
              <w:jc w:val="both"/>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《土壤环境质量 建设用地土壤污染风险管控标准（试行）》（GB36600-2018）第</w:t>
            </w:r>
            <w:r>
              <w:rPr>
                <w:rFonts w:hint="eastAsia" w:ascii="Times New Roman" w:hAnsi="Times New Roman" w:cs="Times New Roman"/>
                <w:caps w:val="0"/>
                <w:smallCaps w:val="0"/>
                <w:color w:val="auto"/>
                <w:spacing w:val="0"/>
                <w:w w:val="100"/>
                <w:kern w:val="2"/>
                <w:position w:val="0"/>
                <w:sz w:val="21"/>
                <w:szCs w:val="21"/>
                <w:highlight w:val="none"/>
              </w:rPr>
              <w:t>二</w:t>
            </w:r>
            <w:r>
              <w:rPr>
                <w:rFonts w:ascii="Times New Roman" w:hAnsi="Times New Roman" w:cs="Times New Roman"/>
                <w:caps w:val="0"/>
                <w:smallCaps w:val="0"/>
                <w:color w:val="auto"/>
                <w:spacing w:val="0"/>
                <w:w w:val="100"/>
                <w:kern w:val="2"/>
                <w:position w:val="0"/>
                <w:sz w:val="21"/>
                <w:szCs w:val="21"/>
                <w:highlight w:val="none"/>
              </w:rPr>
              <w:t>类用地筛选值</w:t>
            </w:r>
          </w:p>
        </w:tc>
      </w:tr>
      <w:tr w14:paraId="0EC25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0156C468">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3565" w:type="pct"/>
            <w:gridSpan w:val="4"/>
            <w:vAlign w:val="center"/>
          </w:tcPr>
          <w:p w14:paraId="6660C33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拟建管线临时占地范围内及工程边界两侧向外延伸0.2 km的农用地土壤，主要为草地</w:t>
            </w:r>
            <w:r>
              <w:rPr>
                <w:rFonts w:hint="eastAsia" w:ascii="Times New Roman" w:hAnsi="Times New Roman" w:cs="Times New Roman"/>
                <w:caps w:val="0"/>
                <w:smallCaps w:val="0"/>
                <w:color w:val="auto"/>
                <w:spacing w:val="0"/>
                <w:w w:val="100"/>
                <w:kern w:val="2"/>
                <w:position w:val="0"/>
                <w:sz w:val="21"/>
                <w:szCs w:val="21"/>
                <w:highlight w:val="none"/>
                <w:lang w:val="en-US" w:eastAsia="zh-CN"/>
              </w:rPr>
              <w:t>和耕地</w:t>
            </w:r>
            <w:r>
              <w:rPr>
                <w:rFonts w:ascii="Times New Roman" w:hAnsi="Times New Roman" w:cs="Times New Roman"/>
                <w:caps w:val="0"/>
                <w:smallCaps w:val="0"/>
                <w:color w:val="auto"/>
                <w:spacing w:val="0"/>
                <w:w w:val="100"/>
                <w:kern w:val="2"/>
                <w:position w:val="0"/>
                <w:sz w:val="21"/>
                <w:szCs w:val="21"/>
                <w:highlight w:val="none"/>
              </w:rPr>
              <w:t>，土壤类型为</w:t>
            </w:r>
            <w:r>
              <w:rPr>
                <w:rFonts w:ascii="Times New Roman" w:hAnsi="Times New Roman" w:cs="Times New Roman"/>
                <w:caps w:val="0"/>
                <w:smallCaps w:val="0"/>
                <w:color w:val="auto"/>
                <w:spacing w:val="0"/>
                <w:w w:val="100"/>
                <w:kern w:val="2"/>
                <w:position w:val="0"/>
                <w:sz w:val="21"/>
                <w:szCs w:val="21"/>
                <w:highlight w:val="none"/>
              </w:rPr>
              <w:t>草甸土</w:t>
            </w:r>
          </w:p>
        </w:tc>
        <w:tc>
          <w:tcPr>
            <w:tcW w:w="1127" w:type="pct"/>
            <w:vAlign w:val="center"/>
          </w:tcPr>
          <w:p w14:paraId="65102165">
            <w:pPr>
              <w:widowControl w:val="0"/>
              <w:snapToGrid w:val="0"/>
              <w:spacing w:line="320" w:lineRule="exact"/>
              <w:jc w:val="both"/>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《土壤环境质量 农用地土壤污染风险管控标准（试行）》（GB15618-2018）表1中农用地土壤污染风险筛选值</w:t>
            </w:r>
          </w:p>
        </w:tc>
      </w:tr>
      <w:tr w14:paraId="242AC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Align w:val="center"/>
          </w:tcPr>
          <w:p w14:paraId="6A1F95E3">
            <w:pPr>
              <w:widowControl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生态环境</w:t>
            </w:r>
          </w:p>
        </w:tc>
        <w:tc>
          <w:tcPr>
            <w:tcW w:w="3565" w:type="pct"/>
            <w:gridSpan w:val="4"/>
            <w:vAlign w:val="center"/>
          </w:tcPr>
          <w:p w14:paraId="52DF1238">
            <w:pPr>
              <w:widowControl w:val="0"/>
              <w:adjustRightInd w:val="0"/>
              <w:snapToGrid w:val="0"/>
              <w:spacing w:line="320" w:lineRule="exact"/>
              <w:jc w:val="cente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pPr>
            <w:r>
              <w:rPr>
                <w:rFonts w:ascii="Times New Roman" w:hAnsi="Times New Roman" w:cs="Times New Roman"/>
                <w:caps w:val="0"/>
                <w:smallCaps w:val="0"/>
                <w:color w:val="auto"/>
                <w:spacing w:val="0"/>
                <w:w w:val="100"/>
                <w:kern w:val="2"/>
                <w:position w:val="0"/>
                <w:sz w:val="21"/>
                <w:szCs w:val="21"/>
                <w:highlight w:val="none"/>
              </w:rPr>
              <w:t>拟建管线及废弃管线沿线两侧外扩300m区域的生态环境，主要为草地、</w:t>
            </w:r>
            <w:r>
              <w:rPr>
                <w:rFonts w:hint="eastAsia" w:ascii="Times New Roman" w:hAnsi="Times New Roman" w:cs="Times New Roman"/>
                <w:caps w:val="0"/>
                <w:smallCaps w:val="0"/>
                <w:color w:val="auto"/>
                <w:spacing w:val="0"/>
                <w:w w:val="100"/>
                <w:kern w:val="2"/>
                <w:position w:val="0"/>
                <w:sz w:val="21"/>
                <w:szCs w:val="21"/>
                <w:highlight w:val="none"/>
                <w:lang w:val="en-US" w:eastAsia="zh-CN"/>
              </w:rPr>
              <w:t>耕地</w:t>
            </w:r>
          </w:p>
        </w:tc>
        <w:tc>
          <w:tcPr>
            <w:tcW w:w="1127" w:type="pct"/>
            <w:vAlign w:val="center"/>
          </w:tcPr>
          <w:p w14:paraId="6402AA04">
            <w:pPr>
              <w:widowControl w:val="0"/>
              <w:adjustRightInd w:val="0"/>
              <w:snapToGrid w:val="0"/>
              <w:spacing w:line="320" w:lineRule="exact"/>
              <w:jc w:val="both"/>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临时占地进行恢复，恢复面积</w:t>
            </w:r>
            <w:r>
              <w:rPr>
                <w:rFonts w:hint="eastAsia" w:ascii="Times New Roman" w:hAnsi="Times New Roman" w:cs="Times New Roman"/>
                <w:caps w:val="0"/>
                <w:smallCaps w:val="0"/>
                <w:color w:val="auto"/>
                <w:spacing w:val="0"/>
                <w:w w:val="100"/>
                <w:kern w:val="2"/>
                <w:position w:val="0"/>
                <w:sz w:val="21"/>
                <w:szCs w:val="21"/>
                <w:highlight w:val="none"/>
                <w:lang w:val="en-US" w:eastAsia="zh-CN"/>
              </w:rPr>
              <w:t>21.88</w:t>
            </w:r>
            <w:r>
              <w:rPr>
                <w:rFonts w:ascii="Times New Roman" w:hAnsi="Times New Roman" w:cs="Times New Roman"/>
                <w:caps w:val="0"/>
                <w:smallCaps w:val="0"/>
                <w:color w:val="auto"/>
                <w:spacing w:val="0"/>
                <w:w w:val="100"/>
                <w:kern w:val="2"/>
                <w:position w:val="0"/>
                <w:sz w:val="21"/>
                <w:szCs w:val="21"/>
                <w:highlight w:val="none"/>
              </w:rPr>
              <w:t>hm</w:t>
            </w:r>
            <w:r>
              <w:rPr>
                <w:rFonts w:ascii="Times New Roman" w:hAnsi="Times New Roman" w:cs="Times New Roman"/>
                <w:caps w:val="0"/>
                <w:smallCaps w:val="0"/>
                <w:color w:val="auto"/>
                <w:spacing w:val="0"/>
                <w:w w:val="100"/>
                <w:kern w:val="2"/>
                <w:position w:val="0"/>
                <w:sz w:val="21"/>
                <w:szCs w:val="21"/>
                <w:highlight w:val="none"/>
                <w:vertAlign w:val="superscript"/>
              </w:rPr>
              <w:t>2</w:t>
            </w:r>
            <w:r>
              <w:rPr>
                <w:rFonts w:ascii="Times New Roman" w:hAnsi="Times New Roman" w:cs="Times New Roman"/>
                <w:caps w:val="0"/>
                <w:smallCaps w:val="0"/>
                <w:color w:val="auto"/>
                <w:spacing w:val="0"/>
                <w:w w:val="100"/>
                <w:kern w:val="2"/>
                <w:position w:val="0"/>
                <w:sz w:val="21"/>
                <w:szCs w:val="21"/>
                <w:highlight w:val="none"/>
              </w:rPr>
              <w:t>。</w:t>
            </w:r>
          </w:p>
        </w:tc>
      </w:tr>
    </w:tbl>
    <w:p w14:paraId="7F445756">
      <w:pPr>
        <w:pStyle w:val="3"/>
        <w:widowControl w:val="0"/>
        <w:spacing w:before="180" w:after="180" w:line="440" w:lineRule="exact"/>
        <w:rPr>
          <w:rFonts w:ascii="Times New Roman" w:hAnsi="Times New Roman" w:eastAsia="宋体"/>
          <w:b/>
          <w:caps w:val="0"/>
          <w:smallCaps w:val="0"/>
          <w:snapToGrid w:val="0"/>
          <w:color w:val="auto"/>
          <w:spacing w:val="0"/>
          <w:w w:val="100"/>
          <w:position w:val="0"/>
          <w:sz w:val="30"/>
          <w:szCs w:val="30"/>
          <w:highlight w:val="none"/>
        </w:rPr>
        <w:sectPr>
          <w:headerReference r:id="rId6" w:type="default"/>
          <w:footerReference r:id="rId7" w:type="default"/>
          <w:type w:val="nextColumn"/>
          <w:pgSz w:w="11906" w:h="16838"/>
          <w:pgMar w:top="1418" w:right="1418" w:bottom="1418" w:left="1418" w:header="851" w:footer="992" w:gutter="0"/>
          <w:cols w:space="720" w:num="1"/>
          <w:docGrid w:linePitch="312" w:charSpace="0"/>
        </w:sectPr>
      </w:pPr>
    </w:p>
    <w:bookmarkEnd w:id="114"/>
    <w:bookmarkEnd w:id="389"/>
    <w:p w14:paraId="410A0E81">
      <w:pPr>
        <w:pStyle w:val="3"/>
        <w:widowControl w:val="0"/>
        <w:spacing w:before="180" w:after="180" w:line="500" w:lineRule="exact"/>
        <w:rPr>
          <w:rFonts w:ascii="Times New Roman" w:hAnsi="Times New Roman" w:eastAsiaTheme="minorEastAsia"/>
          <w:b/>
          <w:caps w:val="0"/>
          <w:smallCaps w:val="0"/>
          <w:snapToGrid w:val="0"/>
          <w:color w:val="auto"/>
          <w:spacing w:val="0"/>
          <w:w w:val="100"/>
          <w:position w:val="0"/>
          <w:sz w:val="30"/>
          <w:szCs w:val="30"/>
          <w:highlight w:val="none"/>
        </w:rPr>
      </w:pPr>
      <w:bookmarkStart w:id="390" w:name="_Toc219900378"/>
      <w:bookmarkStart w:id="391" w:name="_Toc502736463"/>
      <w:r>
        <w:rPr>
          <w:rFonts w:ascii="Times New Roman" w:hAnsi="Times New Roman" w:eastAsiaTheme="minorEastAsia"/>
          <w:b/>
          <w:caps w:val="0"/>
          <w:smallCaps w:val="0"/>
          <w:snapToGrid w:val="0"/>
          <w:color w:val="auto"/>
          <w:spacing w:val="0"/>
          <w:w w:val="100"/>
          <w:position w:val="0"/>
          <w:sz w:val="30"/>
          <w:szCs w:val="30"/>
          <w:highlight w:val="none"/>
        </w:rPr>
        <w:t>3建设项目工程分析</w:t>
      </w:r>
      <w:bookmarkEnd w:id="390"/>
      <w:bookmarkEnd w:id="391"/>
    </w:p>
    <w:p w14:paraId="63F2DF67">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392" w:name="_Toc219900379"/>
      <w:bookmarkStart w:id="393" w:name="_Toc502736464"/>
      <w:r>
        <w:rPr>
          <w:rFonts w:ascii="Times New Roman" w:hAnsi="Times New Roman" w:eastAsiaTheme="minorEastAsia"/>
          <w:b/>
          <w:caps w:val="0"/>
          <w:smallCaps w:val="0"/>
          <w:snapToGrid w:val="0"/>
          <w:color w:val="auto"/>
          <w:spacing w:val="0"/>
          <w:w w:val="100"/>
          <w:position w:val="0"/>
          <w:highlight w:val="none"/>
        </w:rPr>
        <w:t>3.1现有工程分析</w:t>
      </w:r>
      <w:bookmarkEnd w:id="392"/>
    </w:p>
    <w:p w14:paraId="480C18A4">
      <w:pPr>
        <w:keepNext/>
        <w:keepLines/>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bookmarkStart w:id="394" w:name="_Toc131167278"/>
      <w:bookmarkStart w:id="395" w:name="_Toc186444262"/>
      <w:bookmarkStart w:id="396" w:name="_Toc127192327"/>
      <w:bookmarkStart w:id="397" w:name="_Toc143099565"/>
      <w:bookmarkStart w:id="398" w:name="_Toc126863378"/>
      <w:bookmarkStart w:id="399" w:name="_Toc77067672"/>
      <w:bookmarkStart w:id="400" w:name="_Toc110438466"/>
      <w:bookmarkStart w:id="401" w:name="_Toc80971391"/>
      <w:bookmarkStart w:id="402" w:name="_Toc67860143"/>
      <w:bookmarkStart w:id="403" w:name="_Toc76976256"/>
      <w:bookmarkStart w:id="404" w:name="_Toc80588269"/>
      <w:bookmarkStart w:id="405" w:name="_Toc83209489"/>
      <w:bookmarkStart w:id="406" w:name="_Toc84929245"/>
      <w:bookmarkStart w:id="407" w:name="_Toc85640769"/>
      <w:bookmarkStart w:id="408" w:name="_Toc70050190"/>
      <w:bookmarkStart w:id="409" w:name="_Toc78816474"/>
      <w:bookmarkStart w:id="410" w:name="_Toc86141922"/>
      <w:r>
        <w:rPr>
          <w:rFonts w:ascii="Times New Roman" w:hAnsi="Times New Roman" w:cs="Times New Roman"/>
          <w:b/>
          <w:bCs/>
          <w:caps w:val="0"/>
          <w:smallCaps w:val="0"/>
          <w:color w:val="auto"/>
          <w:spacing w:val="0"/>
          <w:w w:val="100"/>
          <w:kern w:val="2"/>
          <w:position w:val="0"/>
          <w:highlight w:val="none"/>
        </w:rPr>
        <w:t>3.1.1现有区块开发情况</w:t>
      </w:r>
      <w:bookmarkEnd w:id="394"/>
      <w:bookmarkEnd w:id="395"/>
      <w:bookmarkEnd w:id="396"/>
      <w:bookmarkEnd w:id="397"/>
      <w:bookmarkEnd w:id="398"/>
    </w:p>
    <w:p w14:paraId="165A18D5">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（1）现有区块开发历程</w:t>
      </w:r>
    </w:p>
    <w:p w14:paraId="6C24189F">
      <w:pPr>
        <w:pStyle w:val="149"/>
        <w:widowControl w:val="0"/>
        <w:spacing w:line="440" w:lineRule="exact"/>
        <w:ind w:firstLine="473"/>
        <w:jc w:val="both"/>
        <w:rPr>
          <w:rFonts w:hint="eastAsia" w:ascii="Times New Roman" w:hAnsi="Times New Roman" w:eastAsiaTheme="minorEastAsia"/>
          <w:color w:val="auto"/>
          <w:w w:val="99"/>
          <w:highlight w:val="none"/>
          <w:lang w:val="en-US" w:eastAsia="zh-CN"/>
        </w:rPr>
      </w:pPr>
      <w:bookmarkStart w:id="411" w:name="_Toc308604868"/>
      <w:r>
        <w:rPr>
          <w:rFonts w:hint="eastAsia" w:ascii="Times New Roman" w:hAnsi="Times New Roman" w:eastAsiaTheme="minorEastAsia"/>
          <w:color w:val="auto"/>
          <w:w w:val="99"/>
          <w:highlight w:val="none"/>
          <w:lang w:val="en-US" w:eastAsia="zh-CN"/>
        </w:rPr>
        <w:t>本项目建设地点位于绥化市安达市昌德镇境内，拟更换管道分布于</w:t>
      </w:r>
      <w:r>
        <w:rPr>
          <w:rFonts w:hint="eastAsia" w:ascii="Times New Roman" w:hAnsi="Times New Roman" w:eastAsiaTheme="minorEastAsia"/>
          <w:color w:val="auto"/>
          <w:w w:val="99"/>
          <w:highlight w:val="none"/>
        </w:rPr>
        <w:t>大庆油田有限责任公司第十一采油厂</w:t>
      </w:r>
      <w:r>
        <w:rPr>
          <w:rFonts w:hint="eastAsia" w:ascii="Times New Roman" w:hAnsi="Times New Roman" w:eastAsiaTheme="minorEastAsia"/>
          <w:color w:val="auto"/>
          <w:w w:val="99"/>
          <w:highlight w:val="none"/>
          <w:lang w:val="en-US" w:eastAsia="zh-CN"/>
        </w:rPr>
        <w:t>已开发区块庆新</w:t>
      </w:r>
      <w:r>
        <w:rPr>
          <w:rFonts w:hint="eastAsia" w:ascii="Times New Roman" w:hAnsi="Times New Roman" w:eastAsiaTheme="minorEastAsia"/>
          <w:color w:val="auto"/>
          <w:w w:val="99"/>
          <w:highlight w:val="none"/>
        </w:rPr>
        <w:t>油田</w:t>
      </w:r>
      <w:r>
        <w:rPr>
          <w:rFonts w:hint="eastAsia" w:ascii="Times New Roman" w:hAnsi="Times New Roman" w:eastAsiaTheme="minorEastAsia"/>
          <w:color w:val="auto"/>
          <w:w w:val="99"/>
          <w:highlight w:val="none"/>
          <w:lang w:val="en-US" w:eastAsia="zh-CN"/>
        </w:rPr>
        <w:t>，截止2025年12月，庆新油田已建各类管道1400条，总长度1075.73km，投产投产15年以上管道297.2km，占总量27.6%。其中集输系统管道609.3km，投产15年以上管道168.1km，占总量27.6%，注入系统管道358.4km，投产15年以上的69.1km，占总量的19.3%。</w:t>
      </w:r>
    </w:p>
    <w:p w14:paraId="4B23D76D">
      <w:pPr>
        <w:widowControl w:val="0"/>
        <w:adjustRightInd/>
        <w:snapToGrid/>
        <w:spacing w:after="0" w:line="480" w:lineRule="exact"/>
        <w:ind w:firstLine="474" w:firstLineChars="200"/>
        <w:jc w:val="both"/>
        <w:rPr>
          <w:rFonts w:ascii="Times New Roman" w:hAnsi="Times New Roman" w:cs="宋体" w:eastAsiaTheme="minorEastAsia"/>
          <w:color w:val="auto"/>
          <w:w w:val="99"/>
          <w:highlight w:val="none"/>
        </w:rPr>
      </w:pPr>
      <w:r>
        <w:rPr>
          <w:rFonts w:hint="eastAsia" w:ascii="Times New Roman" w:hAnsi="Times New Roman" w:eastAsiaTheme="minorEastAsia"/>
          <w:color w:val="auto"/>
          <w:w w:val="99"/>
          <w:highlight w:val="none"/>
          <w:lang w:val="en-US" w:eastAsia="zh-CN"/>
        </w:rPr>
        <w:t>自2019年进行管道失效治理后，失效率已由2018年最严重时的1.25次/(公里·年)下降至202年的0.08</w:t>
      </w:r>
      <w:r>
        <w:rPr>
          <w:rFonts w:hint="default" w:ascii="Times New Roman" w:hAnsi="Times New Roman" w:cs="Times New Roman" w:eastAsiaTheme="minorEastAsia"/>
          <w:color w:val="auto"/>
          <w:w w:val="99"/>
          <w:highlight w:val="none"/>
          <w:lang w:val="en-US" w:eastAsia="zh-CN"/>
        </w:rPr>
        <w:t>3次/(km·a)</w:t>
      </w:r>
      <w:r>
        <w:rPr>
          <w:rFonts w:hint="eastAsia" w:ascii="Times New Roman" w:hAnsi="Times New Roman" w:eastAsiaTheme="minorEastAsia"/>
          <w:color w:val="auto"/>
          <w:w w:val="99"/>
          <w:highlight w:val="none"/>
          <w:lang w:val="en-US" w:eastAsia="zh-CN"/>
        </w:rPr>
        <w:t>，得</w:t>
      </w:r>
      <w:r>
        <w:rPr>
          <w:rFonts w:ascii="Times New Roman" w:hAnsi="Times New Roman" w:eastAsiaTheme="minorEastAsia"/>
          <w:color w:val="auto"/>
          <w:w w:val="99"/>
          <w:highlight w:val="none"/>
        </w:rPr>
        <w:t>到了有效控制。但仍有部分管道因投产时间长，土壤腐蚀性强等因素发生失效，且近年来，失效有再次上升的趋势，管道腐蚀穿孔问题仍十分严峻。202</w:t>
      </w:r>
      <w:r>
        <w:rPr>
          <w:rFonts w:hint="eastAsia" w:ascii="Times New Roman" w:hAnsi="Times New Roman" w:eastAsiaTheme="minorEastAsia"/>
          <w:color w:val="auto"/>
          <w:w w:val="99"/>
          <w:highlight w:val="none"/>
          <w:lang w:val="en-US" w:eastAsia="zh-CN"/>
        </w:rPr>
        <w:t>2</w:t>
      </w:r>
      <w:r>
        <w:rPr>
          <w:rFonts w:ascii="Times New Roman" w:hAnsi="Times New Roman" w:eastAsiaTheme="minorEastAsia"/>
          <w:color w:val="auto"/>
          <w:w w:val="99"/>
          <w:highlight w:val="none"/>
        </w:rPr>
        <w:t>年至2024年，结合管道压力试验，失效呈逐年上升趋势。其中2024年，全厂累计失效72次，失效率为：0.0683次/(km·a)</w:t>
      </w:r>
      <w:r>
        <w:rPr>
          <w:rFonts w:hint="eastAsia" w:ascii="Times New Roman" w:hAnsi="Times New Roman" w:eastAsiaTheme="minorEastAsia"/>
          <w:color w:val="auto"/>
          <w:w w:val="99"/>
          <w:highlight w:val="none"/>
          <w:lang w:eastAsia="zh-CN"/>
        </w:rPr>
        <w:t>，</w:t>
      </w:r>
      <w:r>
        <w:rPr>
          <w:rFonts w:ascii="Times New Roman" w:hAnsi="Times New Roman" w:eastAsiaTheme="minorEastAsia"/>
          <w:color w:val="auto"/>
          <w:w w:val="99"/>
          <w:highlight w:val="none"/>
        </w:rPr>
        <w:t>Ⅲ类管道失效70次， 占失效总量97.22%。其中，集输系统失效41次，占失效总量58.57%</w:t>
      </w:r>
      <w:r>
        <w:rPr>
          <w:rFonts w:hint="eastAsia" w:ascii="Times New Roman" w:hAnsi="Times New Roman" w:eastAsiaTheme="minorEastAsia"/>
          <w:color w:val="auto"/>
          <w:w w:val="99"/>
          <w:highlight w:val="none"/>
          <w:lang w:eastAsia="zh-CN"/>
        </w:rPr>
        <w:t>，</w:t>
      </w:r>
      <w:r>
        <w:rPr>
          <w:rFonts w:ascii="Times New Roman" w:hAnsi="Times New Roman" w:eastAsiaTheme="minorEastAsia"/>
          <w:color w:val="auto"/>
          <w:w w:val="99"/>
          <w:highlight w:val="none"/>
        </w:rPr>
        <w:t>注入系统失效29次，占失效总量43.06%。Ⅲ类管道中的集输系统和注入系统是降低第十一采油厂管道失效率的关键。由于管道暴露在空气中，随着投产年限的增加，受风吹日晒雨淋，防腐保温层加速脆化、老化，外腐蚀情况加重。邻近水渠的管道发生腐蚀穿孔后，泄露污染物容易流入水域，造成环境污染</w:t>
      </w:r>
      <w:r>
        <w:rPr>
          <w:rFonts w:ascii="Times New Roman" w:hAnsi="Times New Roman" w:cs="宋体" w:eastAsiaTheme="minorEastAsia"/>
          <w:color w:val="auto"/>
          <w:w w:val="99"/>
          <w:highlight w:val="none"/>
        </w:rPr>
        <w:t>，存在较大的安全环保隐患。腐蚀老化严重的管道是本次治理重点。</w:t>
      </w:r>
    </w:p>
    <w:p w14:paraId="6D37CA3C">
      <w:pPr>
        <w:widowControl w:val="0"/>
        <w:spacing w:line="440" w:lineRule="exact"/>
        <w:ind w:firstLine="474" w:firstLineChars="200"/>
        <w:jc w:val="both"/>
        <w:rPr>
          <w:rFonts w:hint="eastAsia" w:ascii="Times New Roman" w:hAnsi="Times New Roman" w:cs="宋体" w:eastAsiaTheme="minorEastAsia"/>
          <w:color w:val="auto"/>
          <w:w w:val="99"/>
          <w:highlight w:val="none"/>
          <w:lang w:val="en-US" w:eastAsia="zh-CN"/>
        </w:rPr>
      </w:pPr>
      <w:r>
        <w:rPr>
          <w:rFonts w:ascii="Times New Roman" w:hAnsi="Times New Roman" w:cs="宋体" w:eastAsiaTheme="minorEastAsia"/>
          <w:color w:val="auto"/>
          <w:w w:val="99"/>
          <w:highlight w:val="none"/>
        </w:rPr>
        <w:t>拟更换的管线分布于大庆油田有限责任公司第</w:t>
      </w:r>
      <w:r>
        <w:rPr>
          <w:rFonts w:hint="eastAsia" w:ascii="Times New Roman" w:hAnsi="Times New Roman" w:cs="宋体" w:eastAsiaTheme="minorEastAsia"/>
          <w:color w:val="auto"/>
          <w:w w:val="99"/>
          <w:highlight w:val="none"/>
          <w:lang w:val="en-US" w:eastAsia="zh-CN"/>
        </w:rPr>
        <w:t>十一</w:t>
      </w:r>
      <w:r>
        <w:rPr>
          <w:rFonts w:ascii="Times New Roman" w:hAnsi="Times New Roman" w:cs="宋体" w:eastAsiaTheme="minorEastAsia"/>
          <w:color w:val="auto"/>
          <w:w w:val="99"/>
          <w:highlight w:val="none"/>
        </w:rPr>
        <w:t>采油厂</w:t>
      </w:r>
      <w:r>
        <w:rPr>
          <w:rFonts w:hint="eastAsia" w:ascii="Times New Roman" w:hAnsi="Times New Roman" w:cs="宋体" w:eastAsiaTheme="minorEastAsia"/>
          <w:color w:val="auto"/>
          <w:w w:val="99"/>
          <w:highlight w:val="none"/>
          <w:lang w:val="en-US" w:eastAsia="zh-CN"/>
        </w:rPr>
        <w:t>庆新油田3</w:t>
      </w:r>
      <w:r>
        <w:rPr>
          <w:rFonts w:ascii="Times New Roman" w:hAnsi="Times New Roman" w:cs="宋体" w:eastAsiaTheme="minorEastAsia"/>
          <w:color w:val="auto"/>
          <w:w w:val="99"/>
          <w:highlight w:val="none"/>
        </w:rPr>
        <w:t>个</w:t>
      </w:r>
      <w:r>
        <w:rPr>
          <w:rFonts w:hint="eastAsia" w:ascii="Times New Roman" w:hAnsi="Times New Roman" w:cs="宋体" w:eastAsiaTheme="minorEastAsia"/>
          <w:color w:val="auto"/>
          <w:w w:val="99"/>
          <w:highlight w:val="none"/>
          <w:lang w:val="en-US" w:eastAsia="zh-CN"/>
        </w:rPr>
        <w:t>已</w:t>
      </w:r>
      <w:r>
        <w:rPr>
          <w:rFonts w:ascii="Times New Roman" w:hAnsi="Times New Roman" w:cs="宋体" w:eastAsiaTheme="minorEastAsia"/>
          <w:color w:val="auto"/>
          <w:w w:val="99"/>
          <w:highlight w:val="none"/>
        </w:rPr>
        <w:t>开发区块内，</w:t>
      </w:r>
      <w:r>
        <w:rPr>
          <w:rFonts w:hint="eastAsia" w:ascii="Times New Roman" w:hAnsi="Times New Roman" w:cs="宋体" w:eastAsiaTheme="minorEastAsia"/>
          <w:color w:val="auto"/>
          <w:w w:val="99"/>
          <w:highlight w:val="none"/>
          <w:lang w:val="en-US" w:eastAsia="zh-CN"/>
        </w:rPr>
        <w:t>分别为太11区块、卫19区块、卫21区块。</w:t>
      </w:r>
    </w:p>
    <w:p w14:paraId="6A353417">
      <w:pPr>
        <w:pStyle w:val="149"/>
        <w:widowControl w:val="0"/>
        <w:spacing w:line="440" w:lineRule="exact"/>
        <w:ind w:firstLine="473"/>
        <w:jc w:val="both"/>
        <w:rPr>
          <w:rFonts w:hint="eastAsia" w:ascii="Times New Roman" w:hAnsi="Times New Roman" w:cs="Times New Roman" w:eastAsiaTheme="minorEastAsia"/>
          <w:bCs/>
          <w:color w:val="auto"/>
          <w:w w:val="99"/>
          <w:kern w:val="0"/>
          <w:sz w:val="24"/>
          <w:szCs w:val="24"/>
          <w:highlight w:val="none"/>
          <w:lang w:val="en-US" w:eastAsia="zh-CN" w:bidi="ar-SA"/>
        </w:rPr>
      </w:pPr>
      <w:r>
        <w:rPr>
          <w:rFonts w:hint="eastAsia" w:ascii="Times New Roman" w:hAnsi="Times New Roman" w:cs="Times New Roman" w:eastAsiaTheme="minorEastAsia"/>
          <w:bCs/>
          <w:color w:val="auto"/>
          <w:w w:val="99"/>
          <w:sz w:val="24"/>
          <w:szCs w:val="24"/>
          <w:highlight w:val="none"/>
          <w:lang w:val="en-US" w:eastAsia="zh-CN" w:bidi="ar-SA"/>
        </w:rPr>
        <w:t>卫星油田太11区块已完钻128口油水井，单井平均砂岩厚度15.1m，含油面积0.374km</w:t>
      </w:r>
      <w:r>
        <w:rPr>
          <w:rFonts w:hint="eastAsia" w:ascii="Times New Roman" w:hAnsi="Times New Roman" w:cs="Times New Roman" w:eastAsiaTheme="minorEastAsia"/>
          <w:bCs/>
          <w:color w:val="auto"/>
          <w:w w:val="99"/>
          <w:sz w:val="24"/>
          <w:szCs w:val="24"/>
          <w:highlight w:val="none"/>
          <w:vertAlign w:val="superscript"/>
          <w:lang w:val="en-US" w:eastAsia="zh-CN" w:bidi="ar-SA"/>
        </w:rPr>
        <w:t>2</w:t>
      </w:r>
      <w:r>
        <w:rPr>
          <w:rFonts w:hint="eastAsia" w:ascii="Times New Roman" w:hAnsi="Times New Roman" w:cs="Times New Roman" w:eastAsiaTheme="minorEastAsia"/>
          <w:bCs/>
          <w:color w:val="auto"/>
          <w:w w:val="99"/>
          <w:sz w:val="24"/>
          <w:szCs w:val="24"/>
          <w:highlight w:val="none"/>
          <w:lang w:val="en-US" w:eastAsia="zh-CN" w:bidi="ar-SA"/>
        </w:rPr>
        <w:t>，地质储量233700t；卫19区块已完钻52口油水井，单井平均砂岩厚度15.8m，含油面积0.087km</w:t>
      </w:r>
      <w:r>
        <w:rPr>
          <w:rFonts w:hint="eastAsia" w:ascii="Times New Roman" w:hAnsi="Times New Roman" w:cs="Times New Roman" w:eastAsiaTheme="minorEastAsia"/>
          <w:bCs/>
          <w:color w:val="auto"/>
          <w:w w:val="99"/>
          <w:sz w:val="24"/>
          <w:szCs w:val="24"/>
          <w:highlight w:val="none"/>
          <w:vertAlign w:val="superscript"/>
          <w:lang w:val="en-US" w:eastAsia="zh-CN" w:bidi="ar-SA"/>
        </w:rPr>
        <w:t>2</w:t>
      </w:r>
      <w:r>
        <w:rPr>
          <w:rFonts w:hint="eastAsia" w:ascii="Times New Roman" w:hAnsi="Times New Roman" w:cs="Times New Roman" w:eastAsiaTheme="minorEastAsia"/>
          <w:bCs/>
          <w:color w:val="auto"/>
          <w:w w:val="99"/>
          <w:sz w:val="24"/>
          <w:szCs w:val="24"/>
          <w:highlight w:val="none"/>
          <w:lang w:val="en-US" w:eastAsia="zh-CN" w:bidi="ar-SA"/>
        </w:rPr>
        <w:t>，地质储量38900t；卫21区块已完钻143口油水井，单井平均砂岩厚度15.1m，含油面积0.064km</w:t>
      </w:r>
      <w:r>
        <w:rPr>
          <w:rFonts w:hint="eastAsia" w:ascii="Times New Roman" w:hAnsi="Times New Roman" w:cs="Times New Roman" w:eastAsiaTheme="minorEastAsia"/>
          <w:bCs/>
          <w:color w:val="auto"/>
          <w:w w:val="99"/>
          <w:sz w:val="24"/>
          <w:szCs w:val="24"/>
          <w:highlight w:val="none"/>
          <w:vertAlign w:val="superscript"/>
          <w:lang w:val="en-US" w:eastAsia="zh-CN" w:bidi="ar-SA"/>
        </w:rPr>
        <w:t>2</w:t>
      </w:r>
      <w:r>
        <w:rPr>
          <w:rFonts w:hint="eastAsia" w:ascii="Times New Roman" w:hAnsi="Times New Roman" w:cs="Times New Roman" w:eastAsiaTheme="minorEastAsia"/>
          <w:bCs/>
          <w:color w:val="auto"/>
          <w:w w:val="99"/>
          <w:sz w:val="24"/>
          <w:szCs w:val="24"/>
          <w:highlight w:val="none"/>
          <w:lang w:val="en-US" w:eastAsia="zh-CN" w:bidi="ar-SA"/>
        </w:rPr>
        <w:t>，地质储量32600t。太11区块已于《卫星油田太11、太12、卫2-35-27区块葡萄花油层井网加密钻井及注采系统调整工程环境影响报告表》中进行评价，该项目环评文件于2018年5月21日取得绥化市环保局批复（绥环函〔2018〕157号），于2019年5月23日完成自主验收。卫19区块已于《2022年卫星油田卫19等区块产能建设地面工程环境影响报告书》中进行评价，该项目环评文件于2022年5月24日取得绥化市环保局批复（绥环审〔2022〕28号），于2024年8月20日完成自主验收。卫21区块已于《卫星油田卫21、卫 251 区块补充井工程环境影响报告书》中进行评价，该项目环评文件于2015年11月25日取得绥化市</w:t>
      </w:r>
      <w:r>
        <w:rPr>
          <w:rFonts w:hint="eastAsia" w:ascii="Times New Roman" w:hAnsi="Times New Roman" w:cs="Times New Roman" w:eastAsiaTheme="minorEastAsia"/>
          <w:bCs/>
          <w:color w:val="auto"/>
          <w:w w:val="99"/>
          <w:kern w:val="0"/>
          <w:sz w:val="24"/>
          <w:szCs w:val="24"/>
          <w:highlight w:val="none"/>
          <w:lang w:val="en-US" w:eastAsia="zh-CN" w:bidi="ar-SA"/>
        </w:rPr>
        <w:t>环保局批复（绥环函〔2015〕490号），于2017年5月4日完成竣工验收（绥环函〔2017〕95号）。</w:t>
      </w:r>
    </w:p>
    <w:bookmarkEnd w:id="411"/>
    <w:p w14:paraId="3445C7B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w:t>
      </w:r>
      <w:r>
        <w:rPr>
          <w:rFonts w:hint="eastAsia" w:ascii="Times New Roman" w:hAnsi="Times New Roman" w:cs="Times New Roman"/>
          <w:caps w:val="0"/>
          <w:smallCaps w:val="0"/>
          <w:color w:val="auto"/>
          <w:spacing w:val="0"/>
          <w:w w:val="100"/>
          <w:kern w:val="2"/>
          <w:position w:val="0"/>
          <w:highlight w:val="none"/>
          <w:lang w:val="en-US" w:eastAsia="zh-CN"/>
        </w:rPr>
        <w:t>2</w:t>
      </w:r>
      <w:r>
        <w:rPr>
          <w:rFonts w:ascii="Times New Roman" w:hAnsi="Times New Roman" w:cs="Times New Roman"/>
          <w:caps w:val="0"/>
          <w:smallCaps w:val="0"/>
          <w:color w:val="auto"/>
          <w:spacing w:val="0"/>
          <w:w w:val="100"/>
          <w:kern w:val="2"/>
          <w:position w:val="0"/>
          <w:highlight w:val="none"/>
        </w:rPr>
        <w:t>）现有工程主要内容</w:t>
      </w:r>
    </w:p>
    <w:p w14:paraId="54889EF2">
      <w:pPr>
        <w:widowControl w:val="0"/>
        <w:spacing w:line="440" w:lineRule="exact"/>
        <w:ind w:firstLine="480" w:firstLineChars="200"/>
        <w:jc w:val="both"/>
        <w:rPr>
          <w:rFonts w:ascii="Times New Roman" w:hAnsi="Times New Roman" w:cs="Times New Roman"/>
          <w:bCs/>
          <w:caps w:val="0"/>
          <w:smallCaps w:val="0"/>
          <w:color w:val="auto"/>
          <w:spacing w:val="0"/>
          <w:w w:val="100"/>
          <w:kern w:val="2"/>
          <w:position w:val="0"/>
          <w:highlight w:val="none"/>
        </w:rPr>
      </w:pPr>
      <w:r>
        <w:rPr>
          <w:rFonts w:ascii="Times New Roman" w:hAnsi="Times New Roman" w:cs="Times New Roman"/>
          <w:bCs/>
          <w:caps w:val="0"/>
          <w:smallCaps w:val="0"/>
          <w:color w:val="auto"/>
          <w:spacing w:val="0"/>
          <w:w w:val="100"/>
          <w:kern w:val="2"/>
          <w:position w:val="0"/>
          <w:highlight w:val="none"/>
        </w:rPr>
        <w:t>区块内建有较为完善的油、气、水、电、路、信等工程。现有工程的主要内容见表3.1-1。</w:t>
      </w:r>
    </w:p>
    <w:p w14:paraId="087D26F0">
      <w:pPr>
        <w:widowControl w:val="0"/>
        <w:spacing w:line="440" w:lineRule="exact"/>
        <w:ind w:firstLine="482"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b/>
          <w:caps w:val="0"/>
          <w:smallCaps w:val="0"/>
          <w:snapToGrid w:val="0"/>
          <w:color w:val="auto"/>
          <w:spacing w:val="0"/>
          <w:w w:val="100"/>
          <w:position w:val="0"/>
          <w:highlight w:val="none"/>
        </w:rPr>
        <w:t xml:space="preserve">表3.1-1    </w:t>
      </w:r>
      <w:r>
        <w:rPr>
          <w:rFonts w:ascii="Times New Roman" w:hAnsi="Times New Roman" w:cs="Times New Roman"/>
          <w:b/>
          <w:bCs/>
          <w:caps w:val="0"/>
          <w:smallCaps w:val="0"/>
          <w:snapToGrid w:val="0"/>
          <w:color w:val="auto"/>
          <w:spacing w:val="0"/>
          <w:w w:val="100"/>
          <w:position w:val="0"/>
          <w:highlight w:val="none"/>
        </w:rPr>
        <w:t>现有工程的主要内容汇总表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8"/>
        <w:gridCol w:w="1154"/>
        <w:gridCol w:w="7602"/>
      </w:tblGrid>
      <w:tr w14:paraId="76A32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Align w:val="center"/>
          </w:tcPr>
          <w:p w14:paraId="395BBB34">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工程类别</w:t>
            </w:r>
          </w:p>
        </w:tc>
        <w:tc>
          <w:tcPr>
            <w:tcW w:w="605" w:type="pct"/>
            <w:vAlign w:val="center"/>
          </w:tcPr>
          <w:p w14:paraId="7FDB7831">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现有工程组成</w:t>
            </w:r>
          </w:p>
        </w:tc>
        <w:tc>
          <w:tcPr>
            <w:tcW w:w="3986" w:type="pct"/>
            <w:vAlign w:val="center"/>
          </w:tcPr>
          <w:p w14:paraId="529436C4">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建设内容及规模</w:t>
            </w:r>
          </w:p>
        </w:tc>
      </w:tr>
      <w:tr w14:paraId="5FB71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restart"/>
            <w:vAlign w:val="center"/>
          </w:tcPr>
          <w:p w14:paraId="33C536A2">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主体工程</w:t>
            </w:r>
          </w:p>
        </w:tc>
        <w:tc>
          <w:tcPr>
            <w:tcW w:w="605" w:type="pct"/>
            <w:vAlign w:val="center"/>
          </w:tcPr>
          <w:p w14:paraId="0A9ED8C4">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1"/>
                <w:position w:val="0"/>
                <w:sz w:val="21"/>
                <w:szCs w:val="21"/>
                <w:highlight w:val="none"/>
              </w:rPr>
              <w:t>井场</w:t>
            </w:r>
          </w:p>
        </w:tc>
        <w:tc>
          <w:tcPr>
            <w:tcW w:w="3986" w:type="pct"/>
            <w:vAlign w:val="center"/>
          </w:tcPr>
          <w:p w14:paraId="7FACA1BD">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eastAsiaTheme="minorEastAsia"/>
                <w:bCs/>
                <w:color w:val="auto"/>
                <w:sz w:val="21"/>
                <w:highlight w:val="none"/>
                <w:lang w:val="en-US" w:eastAsia="zh-CN" w:bidi="zh-CN"/>
              </w:rPr>
              <w:t>太11区块、卫19区块、卫21区块</w:t>
            </w:r>
            <w:r>
              <w:rPr>
                <w:rFonts w:hint="eastAsia" w:ascii="Times New Roman" w:hAnsi="Times New Roman" w:eastAsiaTheme="minorEastAsia"/>
                <w:bCs/>
                <w:color w:val="auto"/>
                <w:sz w:val="21"/>
                <w:highlight w:val="none"/>
                <w:lang w:bidi="zh-CN"/>
              </w:rPr>
              <w:t>现有</w:t>
            </w:r>
            <w:r>
              <w:rPr>
                <w:rFonts w:ascii="Times New Roman" w:hAnsi="Times New Roman" w:eastAsiaTheme="minorEastAsia"/>
                <w:bCs/>
                <w:color w:val="auto"/>
                <w:sz w:val="21"/>
                <w:highlight w:val="none"/>
                <w:lang w:bidi="zh-CN"/>
              </w:rPr>
              <w:t>运行油水井</w:t>
            </w:r>
            <w:r>
              <w:rPr>
                <w:rFonts w:hint="eastAsia" w:ascii="Times New Roman" w:hAnsi="Times New Roman" w:eastAsiaTheme="minorEastAsia"/>
                <w:bCs/>
                <w:color w:val="auto"/>
                <w:sz w:val="21"/>
                <w:highlight w:val="none"/>
                <w:lang w:val="en-US" w:bidi="zh-CN"/>
              </w:rPr>
              <w:t>201</w:t>
            </w:r>
            <w:r>
              <w:rPr>
                <w:rFonts w:ascii="Times New Roman" w:hAnsi="Times New Roman" w:eastAsiaTheme="minorEastAsia"/>
                <w:bCs/>
                <w:color w:val="auto"/>
                <w:sz w:val="21"/>
                <w:highlight w:val="none"/>
                <w:lang w:bidi="zh-CN"/>
              </w:rPr>
              <w:t>口，</w:t>
            </w:r>
            <w:r>
              <w:rPr>
                <w:rFonts w:hint="eastAsia" w:ascii="Times New Roman" w:hAnsi="Times New Roman" w:eastAsiaTheme="minorEastAsia"/>
                <w:bCs/>
                <w:color w:val="auto"/>
                <w:sz w:val="21"/>
                <w:highlight w:val="none"/>
                <w:lang w:bidi="zh-CN"/>
              </w:rPr>
              <w:t>目前实际</w:t>
            </w:r>
            <w:r>
              <w:rPr>
                <w:rFonts w:ascii="Times New Roman" w:hAnsi="Times New Roman" w:eastAsiaTheme="minorEastAsia"/>
                <w:bCs/>
                <w:color w:val="auto"/>
                <w:sz w:val="21"/>
                <w:highlight w:val="none"/>
                <w:lang w:bidi="zh-CN"/>
              </w:rPr>
              <w:t>年产油</w:t>
            </w:r>
            <w:r>
              <w:rPr>
                <w:rFonts w:hint="eastAsia" w:ascii="Times New Roman" w:hAnsi="Times New Roman" w:eastAsiaTheme="minorEastAsia"/>
                <w:bCs/>
                <w:color w:val="auto"/>
                <w:sz w:val="21"/>
                <w:highlight w:val="none"/>
                <w:lang w:val="en-US" w:bidi="zh-CN"/>
              </w:rPr>
              <w:t>18.5</w:t>
            </w:r>
            <w:r>
              <w:rPr>
                <w:rFonts w:ascii="Times New Roman" w:hAnsi="Times New Roman" w:eastAsiaTheme="minorEastAsia"/>
                <w:bCs/>
                <w:color w:val="auto"/>
                <w:sz w:val="21"/>
                <w:highlight w:val="none"/>
                <w:lang w:bidi="zh-CN"/>
              </w:rPr>
              <w:t>×10</w:t>
            </w:r>
            <w:r>
              <w:rPr>
                <w:rFonts w:ascii="Times New Roman" w:hAnsi="Times New Roman" w:eastAsiaTheme="minorEastAsia"/>
                <w:bCs/>
                <w:color w:val="auto"/>
                <w:sz w:val="21"/>
                <w:highlight w:val="none"/>
                <w:vertAlign w:val="superscript"/>
                <w:lang w:bidi="zh-CN"/>
              </w:rPr>
              <w:t>4</w:t>
            </w:r>
            <w:r>
              <w:rPr>
                <w:rFonts w:ascii="Times New Roman" w:hAnsi="Times New Roman" w:eastAsiaTheme="minorEastAsia"/>
                <w:bCs/>
                <w:color w:val="auto"/>
                <w:sz w:val="21"/>
                <w:highlight w:val="none"/>
                <w:lang w:bidi="zh-CN"/>
              </w:rPr>
              <w:t>t。</w:t>
            </w:r>
          </w:p>
        </w:tc>
      </w:tr>
      <w:tr w14:paraId="76CC3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7D53F38D">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Align w:val="center"/>
          </w:tcPr>
          <w:p w14:paraId="7FC5C6B3">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油气处理工程</w:t>
            </w:r>
          </w:p>
        </w:tc>
        <w:tc>
          <w:tcPr>
            <w:tcW w:w="3986" w:type="pct"/>
            <w:vAlign w:val="center"/>
          </w:tcPr>
          <w:p w14:paraId="6A4D3185">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bCs/>
                <w:color w:val="auto"/>
                <w:sz w:val="21"/>
                <w:szCs w:val="21"/>
                <w:highlight w:val="none"/>
              </w:rPr>
              <w:t>现有依托且运行的场站包括卫一转油站、</w:t>
            </w:r>
            <w:r>
              <w:rPr>
                <w:rFonts w:hint="eastAsia" w:ascii="Times New Roman" w:hAnsi="Times New Roman"/>
                <w:bCs/>
                <w:color w:val="auto"/>
                <w:sz w:val="21"/>
                <w:szCs w:val="21"/>
                <w:highlight w:val="none"/>
              </w:rPr>
              <w:t>卫二转油站和卫一联合站，</w:t>
            </w:r>
            <w:r>
              <w:rPr>
                <w:rFonts w:ascii="Times New Roman" w:hAnsi="Times New Roman"/>
                <w:bCs/>
                <w:color w:val="auto"/>
                <w:sz w:val="21"/>
                <w:szCs w:val="21"/>
                <w:highlight w:val="none"/>
              </w:rPr>
              <w:t>目前场站均稳定运行。</w:t>
            </w:r>
          </w:p>
        </w:tc>
      </w:tr>
      <w:tr w14:paraId="45C7B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restart"/>
            <w:vAlign w:val="center"/>
          </w:tcPr>
          <w:p w14:paraId="4E8A8119">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辅助工程</w:t>
            </w:r>
          </w:p>
        </w:tc>
        <w:tc>
          <w:tcPr>
            <w:tcW w:w="605" w:type="pct"/>
            <w:vAlign w:val="center"/>
          </w:tcPr>
          <w:p w14:paraId="42179547">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集输管线</w:t>
            </w:r>
          </w:p>
        </w:tc>
        <w:tc>
          <w:tcPr>
            <w:tcW w:w="3986" w:type="pct"/>
            <w:vAlign w:val="center"/>
          </w:tcPr>
          <w:p w14:paraId="3AFDAAAE">
            <w:pPr>
              <w:spacing w:line="340" w:lineRule="exact"/>
              <w:jc w:val="both"/>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bCs/>
                <w:color w:val="auto"/>
                <w:sz w:val="21"/>
                <w:szCs w:val="21"/>
                <w:highlight w:val="none"/>
              </w:rPr>
              <w:t>区块</w:t>
            </w:r>
            <w:r>
              <w:rPr>
                <w:rFonts w:ascii="Times New Roman" w:hAnsi="Times New Roman"/>
                <w:bCs/>
                <w:color w:val="auto"/>
                <w:sz w:val="21"/>
                <w:szCs w:val="21"/>
                <w:highlight w:val="none"/>
              </w:rPr>
              <w:t>内站外集油系统采用环状掺水集油工艺，现有集油掺水管线</w:t>
            </w:r>
            <w:r>
              <w:rPr>
                <w:rFonts w:hint="eastAsia" w:ascii="Times New Roman" w:hAnsi="Times New Roman"/>
                <w:bCs/>
                <w:color w:val="auto"/>
                <w:sz w:val="21"/>
                <w:szCs w:val="21"/>
                <w:highlight w:val="none"/>
                <w:lang w:val="en-US" w:eastAsia="zh-CN"/>
              </w:rPr>
              <w:t>39.4</w:t>
            </w:r>
            <w:r>
              <w:rPr>
                <w:rFonts w:ascii="Times New Roman" w:hAnsi="Times New Roman"/>
                <w:bCs/>
                <w:color w:val="auto"/>
                <w:sz w:val="21"/>
                <w:szCs w:val="21"/>
                <w:highlight w:val="none"/>
              </w:rPr>
              <w:t>km。</w:t>
            </w:r>
            <w:r>
              <w:rPr>
                <w:rFonts w:hint="eastAsia" w:ascii="Times New Roman" w:hAnsi="Times New Roman"/>
                <w:bCs/>
                <w:color w:val="auto"/>
                <w:sz w:val="21"/>
                <w:szCs w:val="21"/>
                <w:highlight w:val="none"/>
              </w:rPr>
              <w:t>区块</w:t>
            </w:r>
            <w:r>
              <w:rPr>
                <w:rFonts w:ascii="Times New Roman" w:hAnsi="Times New Roman"/>
                <w:bCs/>
                <w:color w:val="auto"/>
                <w:sz w:val="21"/>
                <w:szCs w:val="21"/>
                <w:highlight w:val="none"/>
              </w:rPr>
              <w:t>内注水系统主要采用</w:t>
            </w:r>
            <w:r>
              <w:rPr>
                <w:rFonts w:hint="eastAsia" w:ascii="Times New Roman" w:hAnsi="Times New Roman"/>
                <w:bCs/>
                <w:color w:val="auto"/>
                <w:sz w:val="21"/>
                <w:szCs w:val="21"/>
                <w:highlight w:val="none"/>
              </w:rPr>
              <w:t>分散</w:t>
            </w:r>
            <w:r>
              <w:rPr>
                <w:rFonts w:ascii="Times New Roman" w:hAnsi="Times New Roman"/>
                <w:bCs/>
                <w:color w:val="auto"/>
                <w:sz w:val="21"/>
                <w:szCs w:val="21"/>
                <w:highlight w:val="none"/>
              </w:rPr>
              <w:t>注水工艺，现有注水</w:t>
            </w:r>
            <w:r>
              <w:rPr>
                <w:rFonts w:hint="eastAsia" w:ascii="Times New Roman" w:hAnsi="Times New Roman"/>
                <w:bCs/>
                <w:color w:val="auto"/>
                <w:sz w:val="21"/>
                <w:szCs w:val="21"/>
                <w:highlight w:val="none"/>
              </w:rPr>
              <w:t>管道</w:t>
            </w:r>
            <w:r>
              <w:rPr>
                <w:rFonts w:hint="eastAsia" w:ascii="Times New Roman" w:hAnsi="Times New Roman"/>
                <w:bCs/>
                <w:color w:val="auto"/>
                <w:sz w:val="21"/>
                <w:szCs w:val="21"/>
                <w:highlight w:val="none"/>
                <w:lang w:val="en-US" w:eastAsia="zh-CN"/>
              </w:rPr>
              <w:t>33.7</w:t>
            </w:r>
            <w:r>
              <w:rPr>
                <w:rFonts w:ascii="Times New Roman" w:hAnsi="Times New Roman"/>
                <w:bCs/>
                <w:color w:val="auto"/>
                <w:sz w:val="21"/>
                <w:szCs w:val="21"/>
                <w:highlight w:val="none"/>
              </w:rPr>
              <w:t>km</w:t>
            </w:r>
            <w:r>
              <w:rPr>
                <w:rFonts w:hint="eastAsia" w:ascii="Times New Roman" w:hAnsi="Times New Roman"/>
                <w:bCs/>
                <w:color w:val="auto"/>
                <w:sz w:val="21"/>
                <w:szCs w:val="21"/>
                <w:highlight w:val="none"/>
              </w:rPr>
              <w:t>。</w:t>
            </w:r>
          </w:p>
        </w:tc>
      </w:tr>
      <w:tr w14:paraId="244C5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32DA823F">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Align w:val="center"/>
          </w:tcPr>
          <w:p w14:paraId="079ED1AF">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内部道路</w:t>
            </w:r>
          </w:p>
        </w:tc>
        <w:tc>
          <w:tcPr>
            <w:tcW w:w="3986" w:type="pct"/>
            <w:vAlign w:val="center"/>
          </w:tcPr>
          <w:p w14:paraId="7F7EE5B3">
            <w:pPr>
              <w:spacing w:line="340" w:lineRule="exact"/>
              <w:jc w:val="both"/>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区块</w:t>
            </w:r>
            <w:r>
              <w:rPr>
                <w:rFonts w:ascii="Times New Roman" w:hAnsi="Times New Roman" w:cs="Times New Roman"/>
                <w:caps w:val="0"/>
                <w:smallCaps w:val="0"/>
                <w:color w:val="auto"/>
                <w:spacing w:val="0"/>
                <w:w w:val="100"/>
                <w:kern w:val="2"/>
                <w:position w:val="0"/>
                <w:sz w:val="21"/>
                <w:szCs w:val="21"/>
                <w:highlight w:val="none"/>
              </w:rPr>
              <w:t>现有井排路</w:t>
            </w:r>
            <w:r>
              <w:rPr>
                <w:rFonts w:hint="eastAsia" w:ascii="Times New Roman" w:hAnsi="Times New Roman" w:cs="Times New Roman"/>
                <w:caps w:val="0"/>
                <w:smallCaps w:val="0"/>
                <w:color w:val="auto"/>
                <w:spacing w:val="0"/>
                <w:w w:val="100"/>
                <w:kern w:val="2"/>
                <w:position w:val="0"/>
                <w:sz w:val="21"/>
                <w:szCs w:val="21"/>
                <w:highlight w:val="none"/>
                <w:lang w:val="en-US" w:eastAsia="zh-CN"/>
              </w:rPr>
              <w:t>9</w:t>
            </w:r>
            <w:r>
              <w:rPr>
                <w:rFonts w:ascii="Times New Roman" w:hAnsi="Times New Roman" w:cs="Times New Roman"/>
                <w:caps w:val="0"/>
                <w:smallCaps w:val="0"/>
                <w:color w:val="auto"/>
                <w:spacing w:val="0"/>
                <w:w w:val="100"/>
                <w:kern w:val="2"/>
                <w:position w:val="0"/>
                <w:sz w:val="21"/>
                <w:szCs w:val="21"/>
                <w:highlight w:val="none"/>
              </w:rPr>
              <w:t>km，通井路</w:t>
            </w:r>
            <w:r>
              <w:rPr>
                <w:rFonts w:hint="eastAsia" w:ascii="Times New Roman" w:hAnsi="Times New Roman" w:cs="Times New Roman"/>
                <w:caps w:val="0"/>
                <w:smallCaps w:val="0"/>
                <w:color w:val="auto"/>
                <w:spacing w:val="0"/>
                <w:w w:val="100"/>
                <w:kern w:val="2"/>
                <w:position w:val="0"/>
                <w:sz w:val="21"/>
                <w:szCs w:val="21"/>
                <w:highlight w:val="none"/>
                <w:lang w:val="en-US" w:eastAsia="zh-CN"/>
              </w:rPr>
              <w:t>17</w:t>
            </w:r>
            <w:r>
              <w:rPr>
                <w:rFonts w:ascii="Times New Roman" w:hAnsi="Times New Roman" w:cs="Times New Roman"/>
                <w:caps w:val="0"/>
                <w:smallCaps w:val="0"/>
                <w:color w:val="auto"/>
                <w:spacing w:val="0"/>
                <w:w w:val="100"/>
                <w:kern w:val="2"/>
                <w:position w:val="0"/>
                <w:sz w:val="21"/>
                <w:szCs w:val="21"/>
                <w:highlight w:val="none"/>
              </w:rPr>
              <w:t>km。</w:t>
            </w:r>
          </w:p>
        </w:tc>
      </w:tr>
      <w:tr w14:paraId="19FB6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restart"/>
            <w:vAlign w:val="center"/>
          </w:tcPr>
          <w:p w14:paraId="63525ED6">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公用工程</w:t>
            </w:r>
          </w:p>
        </w:tc>
        <w:tc>
          <w:tcPr>
            <w:tcW w:w="605" w:type="pct"/>
            <w:vAlign w:val="center"/>
          </w:tcPr>
          <w:p w14:paraId="621088DB">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供水系统</w:t>
            </w:r>
          </w:p>
        </w:tc>
        <w:tc>
          <w:tcPr>
            <w:tcW w:w="7403" w:type="dxa"/>
            <w:vAlign w:val="center"/>
          </w:tcPr>
          <w:p w14:paraId="1D1F71A4">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olor w:val="auto"/>
                <w:sz w:val="21"/>
                <w:szCs w:val="21"/>
                <w:highlight w:val="none"/>
              </w:rPr>
              <w:t>现有区块内场站生活用水采用桶装水</w:t>
            </w:r>
            <w:r>
              <w:rPr>
                <w:rFonts w:hint="eastAsia" w:ascii="Times New Roman" w:hAnsi="Times New Roman"/>
                <w:color w:val="auto"/>
                <w:sz w:val="21"/>
                <w:szCs w:val="21"/>
                <w:highlight w:val="none"/>
              </w:rPr>
              <w:t>；</w:t>
            </w:r>
            <w:r>
              <w:rPr>
                <w:rFonts w:ascii="Times New Roman" w:hAnsi="Times New Roman"/>
                <w:color w:val="auto"/>
                <w:sz w:val="21"/>
                <w:szCs w:val="21"/>
                <w:highlight w:val="none"/>
              </w:rPr>
              <w:t>运营期油水井作业用水、洗井用水、回注水来源为</w:t>
            </w:r>
            <w:r>
              <w:rPr>
                <w:rFonts w:hint="eastAsia" w:ascii="Times New Roman" w:hAnsi="Times New Roman"/>
                <w:bCs/>
                <w:color w:val="auto"/>
                <w:sz w:val="21"/>
                <w:szCs w:val="21"/>
                <w:highlight w:val="none"/>
              </w:rPr>
              <w:t>卫一联</w:t>
            </w:r>
            <w:r>
              <w:rPr>
                <w:rFonts w:ascii="Times New Roman" w:hAnsi="Times New Roman"/>
                <w:bCs/>
                <w:color w:val="auto"/>
                <w:sz w:val="21"/>
                <w:szCs w:val="21"/>
                <w:highlight w:val="none"/>
              </w:rPr>
              <w:t>含油污水深度处理站</w:t>
            </w:r>
            <w:r>
              <w:rPr>
                <w:rFonts w:ascii="Times New Roman" w:hAnsi="Times New Roman"/>
                <w:color w:val="auto"/>
                <w:sz w:val="21"/>
                <w:szCs w:val="21"/>
                <w:highlight w:val="none"/>
              </w:rPr>
              <w:t>的深度处理水水质为</w:t>
            </w:r>
            <w:r>
              <w:rPr>
                <w:rFonts w:ascii="Times New Roman" w:hAnsi="Times New Roman"/>
                <w:bCs/>
                <w:color w:val="auto"/>
                <w:sz w:val="21"/>
                <w:szCs w:val="21"/>
                <w:highlight w:val="none"/>
              </w:rPr>
              <w:t>含油量≤8mg/L、悬浮固体含量≤3mg/L、悬浮物颗粒直径中值≤2μm</w:t>
            </w:r>
            <w:r>
              <w:rPr>
                <w:rFonts w:ascii="Times New Roman" w:hAnsi="Times New Roman"/>
                <w:color w:val="auto"/>
                <w:sz w:val="21"/>
                <w:szCs w:val="21"/>
                <w:highlight w:val="none"/>
              </w:rPr>
              <w:t>。</w:t>
            </w:r>
          </w:p>
        </w:tc>
      </w:tr>
      <w:tr w14:paraId="41CDF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245386C3">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Align w:val="center"/>
          </w:tcPr>
          <w:p w14:paraId="5EFD7612">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排水系统</w:t>
            </w:r>
          </w:p>
        </w:tc>
        <w:tc>
          <w:tcPr>
            <w:tcW w:w="7403" w:type="dxa"/>
            <w:vAlign w:val="center"/>
          </w:tcPr>
          <w:p w14:paraId="1C1681CB">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olor w:val="auto"/>
                <w:sz w:val="21"/>
                <w:szCs w:val="21"/>
                <w:highlight w:val="none"/>
              </w:rPr>
              <w:t>现有场站生活污水</w:t>
            </w:r>
            <w:r>
              <w:rPr>
                <w:rFonts w:ascii="Times New Roman" w:hAnsi="Times New Roman"/>
                <w:bCs/>
                <w:color w:val="auto"/>
                <w:sz w:val="21"/>
                <w:szCs w:val="21"/>
                <w:highlight w:val="none"/>
              </w:rPr>
              <w:t>排入站内</w:t>
            </w:r>
            <w:r>
              <w:rPr>
                <w:rFonts w:hint="eastAsia" w:ascii="Times New Roman" w:hAnsi="Times New Roman"/>
                <w:bCs/>
                <w:color w:val="auto"/>
                <w:sz w:val="21"/>
                <w:szCs w:val="21"/>
                <w:highlight w:val="none"/>
              </w:rPr>
              <w:t>化粪池</w:t>
            </w:r>
            <w:r>
              <w:rPr>
                <w:rFonts w:ascii="Times New Roman" w:hAnsi="Times New Roman"/>
                <w:bCs/>
                <w:color w:val="auto"/>
                <w:sz w:val="21"/>
                <w:szCs w:val="21"/>
                <w:highlight w:val="none"/>
              </w:rPr>
              <w:t>，定期</w:t>
            </w:r>
            <w:r>
              <w:rPr>
                <w:rFonts w:hint="eastAsia" w:ascii="Times New Roman" w:hAnsi="Times New Roman"/>
                <w:bCs/>
                <w:color w:val="auto"/>
                <w:sz w:val="21"/>
                <w:szCs w:val="21"/>
                <w:highlight w:val="none"/>
              </w:rPr>
              <w:t>由</w:t>
            </w:r>
            <w:r>
              <w:rPr>
                <w:rFonts w:hint="eastAsia" w:ascii="Times New Roman" w:hAnsi="Times New Roman"/>
                <w:bCs/>
                <w:color w:val="auto"/>
                <w:sz w:val="21"/>
                <w:szCs w:val="21"/>
                <w:highlight w:val="none"/>
                <w:lang w:eastAsia="zh-CN"/>
              </w:rPr>
              <w:t>安达市同昌油田工程有限公司拉运至大庆市净源环保科技有限公司进行处理</w:t>
            </w:r>
            <w:r>
              <w:rPr>
                <w:rFonts w:ascii="Times New Roman" w:hAnsi="Times New Roman"/>
                <w:bCs/>
                <w:color w:val="auto"/>
                <w:sz w:val="21"/>
                <w:szCs w:val="21"/>
                <w:highlight w:val="none"/>
              </w:rPr>
              <w:t>。现有区块</w:t>
            </w:r>
            <w:r>
              <w:rPr>
                <w:rFonts w:ascii="Times New Roman" w:hAnsi="Times New Roman"/>
                <w:color w:val="auto"/>
                <w:sz w:val="21"/>
                <w:szCs w:val="21"/>
                <w:highlight w:val="none"/>
              </w:rPr>
              <w:t>油田采出水、油水井作业污水、洗井污水进入</w:t>
            </w:r>
            <w:r>
              <w:rPr>
                <w:rFonts w:hint="eastAsia" w:ascii="Times New Roman" w:hAnsi="Times New Roman"/>
                <w:bCs/>
                <w:color w:val="auto"/>
                <w:sz w:val="21"/>
                <w:szCs w:val="21"/>
                <w:highlight w:val="none"/>
              </w:rPr>
              <w:t>卫一联</w:t>
            </w:r>
            <w:r>
              <w:rPr>
                <w:rFonts w:ascii="Times New Roman" w:hAnsi="Times New Roman"/>
                <w:bCs/>
                <w:color w:val="auto"/>
                <w:sz w:val="21"/>
                <w:szCs w:val="21"/>
                <w:highlight w:val="none"/>
              </w:rPr>
              <w:t>含油污水深度处理站</w:t>
            </w:r>
            <w:r>
              <w:rPr>
                <w:rFonts w:ascii="Times New Roman" w:hAnsi="Times New Roman"/>
                <w:color w:val="auto"/>
                <w:sz w:val="21"/>
                <w:szCs w:val="21"/>
                <w:highlight w:val="none"/>
              </w:rPr>
              <w:t>处理达标后回注油层。</w:t>
            </w:r>
          </w:p>
        </w:tc>
      </w:tr>
      <w:tr w14:paraId="2C33E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58B84279">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Align w:val="center"/>
          </w:tcPr>
          <w:p w14:paraId="2D84E654">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供热系统</w:t>
            </w:r>
          </w:p>
        </w:tc>
        <w:tc>
          <w:tcPr>
            <w:tcW w:w="7403" w:type="dxa"/>
            <w:vAlign w:val="center"/>
          </w:tcPr>
          <w:p w14:paraId="2A71B2B5">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olor w:val="auto"/>
                <w:sz w:val="21"/>
                <w:szCs w:val="21"/>
                <w:highlight w:val="none"/>
              </w:rPr>
              <w:t>现有区块内场站供热依托现有天然气采暖炉进行供热。</w:t>
            </w:r>
          </w:p>
        </w:tc>
      </w:tr>
      <w:tr w14:paraId="56CDC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3E6B75E3">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Align w:val="center"/>
          </w:tcPr>
          <w:p w14:paraId="565F89AF">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供电系统</w:t>
            </w:r>
          </w:p>
        </w:tc>
        <w:tc>
          <w:tcPr>
            <w:tcW w:w="7403" w:type="dxa"/>
            <w:vAlign w:val="center"/>
          </w:tcPr>
          <w:p w14:paraId="10D48732">
            <w:pPr>
              <w:pStyle w:val="31"/>
              <w:widowControl w:val="0"/>
              <w:ind w:firstLine="420" w:firstLineChars="200"/>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olor w:val="auto"/>
                <w:sz w:val="21"/>
                <w:szCs w:val="21"/>
                <w:highlight w:val="none"/>
              </w:rPr>
              <w:t>现有区块内主要由</w:t>
            </w:r>
            <w:r>
              <w:rPr>
                <w:rFonts w:hint="eastAsia" w:ascii="Times New Roman" w:hAnsi="Times New Roman"/>
                <w:color w:val="auto"/>
                <w:sz w:val="21"/>
                <w:szCs w:val="21"/>
                <w:highlight w:val="none"/>
              </w:rPr>
              <w:t>昌德</w:t>
            </w:r>
            <w:r>
              <w:rPr>
                <w:rFonts w:ascii="Times New Roman" w:hAnsi="Times New Roman"/>
                <w:color w:val="auto"/>
                <w:sz w:val="21"/>
                <w:szCs w:val="21"/>
                <w:highlight w:val="none"/>
              </w:rPr>
              <w:t>变电站进行供电。</w:t>
            </w:r>
          </w:p>
        </w:tc>
      </w:tr>
      <w:tr w14:paraId="62E78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restart"/>
            <w:tcBorders>
              <w:right w:val="single" w:color="auto" w:sz="4" w:space="0"/>
            </w:tcBorders>
            <w:vAlign w:val="center"/>
          </w:tcPr>
          <w:p w14:paraId="01A0F7B5">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环保工程</w:t>
            </w:r>
          </w:p>
        </w:tc>
        <w:tc>
          <w:tcPr>
            <w:tcW w:w="605" w:type="pct"/>
            <w:vMerge w:val="restart"/>
            <w:tcBorders>
              <w:left w:val="single" w:color="auto" w:sz="4" w:space="0"/>
            </w:tcBorders>
            <w:vAlign w:val="center"/>
          </w:tcPr>
          <w:p w14:paraId="3F436AF0">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废气处理工程</w:t>
            </w:r>
          </w:p>
        </w:tc>
        <w:tc>
          <w:tcPr>
            <w:tcW w:w="7403" w:type="dxa"/>
            <w:vAlign w:val="center"/>
          </w:tcPr>
          <w:p w14:paraId="1816A568">
            <w:pPr>
              <w:pStyle w:val="31"/>
              <w:widowControl w:val="0"/>
              <w:ind w:firstLine="420" w:firstLineChars="200"/>
              <w:rPr>
                <w:rFonts w:ascii="Times New Roman" w:hAnsi="Times New Roman" w:cs="Times New Roman"/>
                <w:caps w:val="0"/>
                <w:smallCaps w:val="0"/>
                <w:color w:val="auto"/>
                <w:spacing w:val="0"/>
                <w:w w:val="100"/>
                <w:position w:val="0"/>
                <w:sz w:val="21"/>
                <w:szCs w:val="21"/>
                <w:highlight w:val="none"/>
              </w:rPr>
            </w:pPr>
            <w:r>
              <w:rPr>
                <w:rFonts w:ascii="Times New Roman" w:hAnsi="Times New Roman"/>
                <w:bCs/>
                <w:color w:val="auto"/>
                <w:sz w:val="21"/>
                <w:szCs w:val="21"/>
                <w:highlight w:val="none"/>
              </w:rPr>
              <w:t>现有区块场站内</w:t>
            </w:r>
            <w:r>
              <w:rPr>
                <w:rFonts w:ascii="Times New Roman" w:hAnsi="Times New Roman"/>
                <w:color w:val="auto"/>
                <w:sz w:val="21"/>
                <w:szCs w:val="21"/>
                <w:highlight w:val="none"/>
              </w:rPr>
              <w:t>加热炉采用清洁能源天然气作为燃料，并采用低氮燃烧器，加热炉燃烧产生的废气均经不低于8m的烟囱高空排放。</w:t>
            </w:r>
          </w:p>
        </w:tc>
      </w:tr>
      <w:tr w14:paraId="27BBB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0EEB7E0A">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Merge w:val="continue"/>
            <w:tcBorders>
              <w:left w:val="single" w:color="auto" w:sz="4" w:space="0"/>
            </w:tcBorders>
            <w:vAlign w:val="center"/>
          </w:tcPr>
          <w:p w14:paraId="2D32F63C">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403" w:type="dxa"/>
            <w:vAlign w:val="center"/>
          </w:tcPr>
          <w:p w14:paraId="4E459073">
            <w:pPr>
              <w:pStyle w:val="31"/>
              <w:widowControl w:val="0"/>
              <w:ind w:firstLine="420" w:firstLineChars="200"/>
              <w:rPr>
                <w:rFonts w:ascii="Times New Roman" w:hAnsi="Times New Roman" w:cs="Times New Roman"/>
                <w:caps w:val="0"/>
                <w:smallCaps w:val="0"/>
                <w:color w:val="auto"/>
                <w:spacing w:val="0"/>
                <w:w w:val="100"/>
                <w:position w:val="0"/>
                <w:sz w:val="21"/>
                <w:szCs w:val="21"/>
                <w:highlight w:val="none"/>
              </w:rPr>
            </w:pPr>
            <w:r>
              <w:rPr>
                <w:rFonts w:ascii="Times New Roman" w:hAnsi="Times New Roman"/>
                <w:bCs/>
                <w:color w:val="auto"/>
                <w:sz w:val="21"/>
                <w:szCs w:val="21"/>
                <w:highlight w:val="none"/>
              </w:rPr>
              <w:t>现有工程在油气集输过程采取了全密闭工艺流程，油井井口均安装了密封垫、管线均埋地敷设、依托场站内各关键接口法兰均进行了密闭处理，有效的控制了无组织气体的挥发</w:t>
            </w:r>
            <w:r>
              <w:rPr>
                <w:rFonts w:ascii="Times New Roman" w:hAnsi="Times New Roman"/>
                <w:color w:val="auto"/>
                <w:sz w:val="21"/>
                <w:szCs w:val="21"/>
                <w:highlight w:val="none"/>
              </w:rPr>
              <w:t>。</w:t>
            </w:r>
          </w:p>
        </w:tc>
      </w:tr>
      <w:tr w14:paraId="0E249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5D1E6CDC">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Merge w:val="restart"/>
            <w:tcBorders>
              <w:left w:val="single" w:color="auto" w:sz="4" w:space="0"/>
            </w:tcBorders>
            <w:vAlign w:val="center"/>
          </w:tcPr>
          <w:p w14:paraId="13A2E507">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废水处理工程</w:t>
            </w:r>
          </w:p>
        </w:tc>
        <w:tc>
          <w:tcPr>
            <w:tcW w:w="7403" w:type="dxa"/>
            <w:vAlign w:val="center"/>
          </w:tcPr>
          <w:p w14:paraId="6E9A23E2">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bCs/>
                <w:color w:val="auto"/>
                <w:sz w:val="21"/>
                <w:szCs w:val="21"/>
                <w:highlight w:val="none"/>
              </w:rPr>
              <w:t>现有区块油田采出水、油水井作业污水、洗井污水最终由</w:t>
            </w:r>
            <w:r>
              <w:rPr>
                <w:rFonts w:hint="eastAsia" w:ascii="Times New Roman" w:hAnsi="Times New Roman"/>
                <w:bCs/>
                <w:color w:val="auto"/>
                <w:sz w:val="21"/>
                <w:szCs w:val="21"/>
                <w:highlight w:val="none"/>
              </w:rPr>
              <w:t>卫一联</w:t>
            </w:r>
            <w:r>
              <w:rPr>
                <w:rFonts w:ascii="Times New Roman" w:hAnsi="Times New Roman"/>
                <w:bCs/>
                <w:color w:val="auto"/>
                <w:sz w:val="21"/>
                <w:szCs w:val="21"/>
                <w:highlight w:val="none"/>
              </w:rPr>
              <w:t>含油污水深度处理站处理达标后回注油层</w:t>
            </w:r>
            <w:r>
              <w:rPr>
                <w:rFonts w:ascii="Times New Roman" w:hAnsi="Times New Roman"/>
                <w:color w:val="auto"/>
                <w:sz w:val="21"/>
                <w:szCs w:val="21"/>
                <w:highlight w:val="none"/>
              </w:rPr>
              <w:t>。</w:t>
            </w:r>
          </w:p>
        </w:tc>
      </w:tr>
      <w:tr w14:paraId="60BFA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0036332B">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Merge w:val="continue"/>
            <w:tcBorders>
              <w:left w:val="single" w:color="auto" w:sz="4" w:space="0"/>
            </w:tcBorders>
            <w:vAlign w:val="center"/>
          </w:tcPr>
          <w:p w14:paraId="382D7B3B">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403" w:type="dxa"/>
            <w:vAlign w:val="center"/>
          </w:tcPr>
          <w:p w14:paraId="7824592A">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bCs/>
                <w:color w:val="auto"/>
                <w:sz w:val="21"/>
                <w:szCs w:val="21"/>
                <w:highlight w:val="none"/>
              </w:rPr>
              <w:t>现有场站生活污水排入场站内生活污水收集装置，定期</w:t>
            </w:r>
            <w:r>
              <w:rPr>
                <w:rFonts w:hint="eastAsia" w:ascii="Times New Roman" w:hAnsi="Times New Roman"/>
                <w:bCs/>
                <w:color w:val="auto"/>
                <w:sz w:val="21"/>
                <w:szCs w:val="21"/>
                <w:highlight w:val="none"/>
              </w:rPr>
              <w:t>由</w:t>
            </w:r>
            <w:r>
              <w:rPr>
                <w:rFonts w:hint="eastAsia" w:ascii="Times New Roman" w:hAnsi="Times New Roman"/>
                <w:bCs/>
                <w:color w:val="auto"/>
                <w:sz w:val="21"/>
                <w:szCs w:val="21"/>
                <w:highlight w:val="none"/>
                <w:lang w:eastAsia="zh-CN"/>
              </w:rPr>
              <w:t>安达市同昌油田工程有限公司拉运至大庆市净源环保科技有限公司进行处理</w:t>
            </w:r>
            <w:r>
              <w:rPr>
                <w:rFonts w:ascii="Times New Roman" w:hAnsi="Times New Roman"/>
                <w:bCs/>
                <w:color w:val="auto"/>
                <w:sz w:val="21"/>
                <w:szCs w:val="21"/>
                <w:highlight w:val="none"/>
              </w:rPr>
              <w:t>。</w:t>
            </w:r>
          </w:p>
        </w:tc>
      </w:tr>
      <w:tr w14:paraId="45FAF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1CCC3565">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tcBorders>
              <w:left w:val="single" w:color="auto" w:sz="4" w:space="0"/>
            </w:tcBorders>
            <w:vAlign w:val="center"/>
          </w:tcPr>
          <w:p w14:paraId="2C0066E7">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噪声防治工程</w:t>
            </w:r>
          </w:p>
        </w:tc>
        <w:tc>
          <w:tcPr>
            <w:tcW w:w="7403" w:type="dxa"/>
            <w:vAlign w:val="center"/>
          </w:tcPr>
          <w:p w14:paraId="08A4B98A">
            <w:pPr>
              <w:pStyle w:val="31"/>
              <w:widowControl w:val="0"/>
              <w:ind w:firstLine="420" w:firstLineChars="200"/>
              <w:rPr>
                <w:rFonts w:ascii="Times New Roman" w:hAnsi="Times New Roman" w:cs="Times New Roman"/>
                <w:caps w:val="0"/>
                <w:smallCaps w:val="0"/>
                <w:color w:val="auto"/>
                <w:spacing w:val="0"/>
                <w:w w:val="100"/>
                <w:position w:val="0"/>
                <w:sz w:val="21"/>
                <w:szCs w:val="21"/>
                <w:highlight w:val="none"/>
              </w:rPr>
            </w:pPr>
            <w:r>
              <w:rPr>
                <w:rFonts w:ascii="Times New Roman" w:hAnsi="Times New Roman"/>
                <w:bCs/>
                <w:color w:val="auto"/>
                <w:sz w:val="21"/>
                <w:szCs w:val="21"/>
                <w:highlight w:val="none"/>
              </w:rPr>
              <w:t>现有区块内噪声源主要来自抽油机及场站</w:t>
            </w:r>
            <w:r>
              <w:rPr>
                <w:rFonts w:ascii="Times New Roman" w:hAnsi="Times New Roman"/>
                <w:color w:val="auto"/>
                <w:sz w:val="21"/>
                <w:szCs w:val="21"/>
                <w:highlight w:val="none"/>
              </w:rPr>
              <w:t>。抽油机电机等发声设备选用了低噪声设备，定期对进场设备进行维护和保养；场站机泵均布置在室内，采用隔声门窗及机泵加装减震设施等降低噪声源强。</w:t>
            </w:r>
          </w:p>
        </w:tc>
      </w:tr>
      <w:tr w14:paraId="0F68F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0F5650D2">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Merge w:val="restart"/>
            <w:tcBorders>
              <w:left w:val="single" w:color="auto" w:sz="4" w:space="0"/>
            </w:tcBorders>
            <w:vAlign w:val="center"/>
          </w:tcPr>
          <w:p w14:paraId="285E0922">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固体废物收集处理处置工程</w:t>
            </w:r>
          </w:p>
        </w:tc>
        <w:tc>
          <w:tcPr>
            <w:tcW w:w="7403" w:type="dxa"/>
            <w:vAlign w:val="center"/>
          </w:tcPr>
          <w:p w14:paraId="7B2817D3">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olor w:val="auto"/>
                <w:sz w:val="21"/>
                <w:szCs w:val="21"/>
                <w:highlight w:val="none"/>
              </w:rPr>
              <w:t>现有区块内油水井在进行作业过程中产生的油污泥</w:t>
            </w:r>
            <w:r>
              <w:rPr>
                <w:rFonts w:ascii="Times New Roman" w:hAnsi="Times New Roman"/>
                <w:bCs/>
                <w:color w:val="auto"/>
                <w:sz w:val="21"/>
                <w:szCs w:val="21"/>
                <w:highlight w:val="none"/>
              </w:rPr>
              <w:t>委托大庆博昕晶化科技有限公司处理满足相关要求后，用作油田垫井场和通井路。</w:t>
            </w:r>
          </w:p>
        </w:tc>
      </w:tr>
      <w:tr w14:paraId="6F845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607D92F1">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Merge w:val="continue"/>
            <w:tcBorders>
              <w:left w:val="single" w:color="auto" w:sz="4" w:space="0"/>
            </w:tcBorders>
            <w:vAlign w:val="center"/>
          </w:tcPr>
          <w:p w14:paraId="5683F1BB">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403" w:type="dxa"/>
            <w:vAlign w:val="center"/>
          </w:tcPr>
          <w:p w14:paraId="59BFF9D3">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olor w:val="auto"/>
                <w:sz w:val="21"/>
                <w:szCs w:val="21"/>
                <w:highlight w:val="none"/>
              </w:rPr>
              <w:t>现有区块内油水井作业产生的含油废防渗布委托有资质单位处置。</w:t>
            </w:r>
          </w:p>
        </w:tc>
      </w:tr>
      <w:tr w14:paraId="633D0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3B191A82">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Merge w:val="continue"/>
            <w:tcBorders>
              <w:left w:val="single" w:color="auto" w:sz="4" w:space="0"/>
            </w:tcBorders>
            <w:vAlign w:val="center"/>
          </w:tcPr>
          <w:p w14:paraId="56AE77D8">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403" w:type="dxa"/>
            <w:vAlign w:val="center"/>
          </w:tcPr>
          <w:p w14:paraId="1D7A51D9">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olor w:val="auto"/>
                <w:sz w:val="21"/>
                <w:szCs w:val="21"/>
                <w:highlight w:val="none"/>
              </w:rPr>
              <w:t>现有区块含油污水处理站内产生的废滤料定期交由</w:t>
            </w:r>
            <w:r>
              <w:rPr>
                <w:rFonts w:ascii="Times New Roman" w:hAnsi="Times New Roman" w:eastAsiaTheme="minorEastAsia"/>
                <w:color w:val="auto"/>
                <w:sz w:val="21"/>
                <w:highlight w:val="none"/>
              </w:rPr>
              <w:t>大庆蓝星环保工程有限公司</w:t>
            </w:r>
            <w:r>
              <w:rPr>
                <w:rFonts w:ascii="Times New Roman" w:hAnsi="Times New Roman"/>
                <w:color w:val="auto"/>
                <w:sz w:val="21"/>
                <w:szCs w:val="21"/>
                <w:highlight w:val="none"/>
              </w:rPr>
              <w:t>处理。</w:t>
            </w:r>
          </w:p>
        </w:tc>
      </w:tr>
      <w:tr w14:paraId="1E6A2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6ECE4B0D">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vMerge w:val="continue"/>
            <w:tcBorders>
              <w:left w:val="single" w:color="auto" w:sz="4" w:space="0"/>
            </w:tcBorders>
            <w:vAlign w:val="center"/>
          </w:tcPr>
          <w:p w14:paraId="30C9C87D">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7403" w:type="dxa"/>
            <w:vAlign w:val="center"/>
          </w:tcPr>
          <w:p w14:paraId="0F611417">
            <w:pPr>
              <w:pStyle w:val="31"/>
              <w:widowControl w:val="0"/>
              <w:ind w:firstLine="420" w:firstLineChars="200"/>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olor w:val="auto"/>
                <w:sz w:val="21"/>
                <w:szCs w:val="21"/>
                <w:highlight w:val="none"/>
              </w:rPr>
              <w:t>现有区块内场站</w:t>
            </w:r>
            <w:r>
              <w:rPr>
                <w:rFonts w:ascii="Times New Roman" w:hAnsi="Times New Roman"/>
                <w:bCs/>
                <w:color w:val="auto"/>
                <w:sz w:val="21"/>
                <w:szCs w:val="21"/>
                <w:highlight w:val="none"/>
              </w:rPr>
              <w:t>生活垃圾</w:t>
            </w:r>
            <w:r>
              <w:rPr>
                <w:rFonts w:ascii="Times New Roman" w:hAnsi="Times New Roman"/>
                <w:color w:val="auto"/>
                <w:sz w:val="21"/>
                <w:szCs w:val="21"/>
                <w:highlight w:val="none"/>
              </w:rPr>
              <w:t>集中收集后拉运至安达市生活垃圾填埋场进行处</w:t>
            </w:r>
            <w:r>
              <w:rPr>
                <w:rFonts w:ascii="Times New Roman" w:hAnsi="Times New Roman"/>
                <w:bCs/>
                <w:color w:val="auto"/>
                <w:sz w:val="21"/>
                <w:szCs w:val="21"/>
                <w:highlight w:val="none"/>
              </w:rPr>
              <w:t>理</w:t>
            </w:r>
            <w:r>
              <w:rPr>
                <w:rFonts w:ascii="Times New Roman" w:hAnsi="Times New Roman"/>
                <w:color w:val="auto"/>
                <w:sz w:val="21"/>
                <w:szCs w:val="21"/>
                <w:highlight w:val="none"/>
              </w:rPr>
              <w:t>。</w:t>
            </w:r>
          </w:p>
        </w:tc>
      </w:tr>
      <w:tr w14:paraId="7970C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385BB366">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605" w:type="pct"/>
            <w:tcBorders>
              <w:left w:val="single" w:color="auto" w:sz="4" w:space="0"/>
            </w:tcBorders>
            <w:vAlign w:val="center"/>
          </w:tcPr>
          <w:p w14:paraId="1A7C755A">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环境风险防控工程</w:t>
            </w:r>
          </w:p>
        </w:tc>
        <w:tc>
          <w:tcPr>
            <w:tcW w:w="3986" w:type="pct"/>
            <w:vAlign w:val="center"/>
          </w:tcPr>
          <w:p w14:paraId="4ED2AA9F">
            <w:pPr>
              <w:spacing w:line="340" w:lineRule="exact"/>
              <w:jc w:val="both"/>
              <w:rPr>
                <w:rFonts w:ascii="Times New Roman" w:hAnsi="Times New Roman" w:cs="Times New Roman"/>
                <w:caps w:val="0"/>
                <w:smallCaps w:val="0"/>
                <w:color w:val="auto"/>
                <w:spacing w:val="0"/>
                <w:w w:val="100"/>
                <w:position w:val="0"/>
                <w:sz w:val="21"/>
                <w:highlight w:val="none"/>
              </w:rPr>
            </w:pPr>
            <w:r>
              <w:rPr>
                <w:rFonts w:hint="eastAsia" w:ascii="Times New Roman" w:hAnsi="Times New Roman" w:cs="Times New Roman"/>
                <w:bCs/>
                <w:caps w:val="0"/>
                <w:smallCaps w:val="0"/>
                <w:color w:val="auto"/>
                <w:spacing w:val="0"/>
                <w:w w:val="100"/>
                <w:position w:val="0"/>
                <w:sz w:val="21"/>
                <w:highlight w:val="none"/>
                <w:lang w:eastAsia="zh-CN"/>
              </w:rPr>
              <w:t>大庆油田有限责任公司第十一采油厂</w:t>
            </w:r>
            <w:r>
              <w:rPr>
                <w:rFonts w:ascii="Times New Roman" w:hAnsi="Times New Roman" w:cs="Times New Roman"/>
                <w:bCs/>
                <w:caps w:val="0"/>
                <w:smallCaps w:val="0"/>
                <w:color w:val="auto"/>
                <w:spacing w:val="0"/>
                <w:w w:val="100"/>
                <w:position w:val="0"/>
                <w:sz w:val="21"/>
                <w:highlight w:val="none"/>
              </w:rPr>
              <w:t>已建立较完善的应急预案体系，预案为《</w:t>
            </w:r>
            <w:r>
              <w:rPr>
                <w:rFonts w:hint="eastAsia" w:ascii="Times New Roman" w:hAnsi="Times New Roman" w:cs="Times New Roman"/>
                <w:bCs/>
                <w:caps w:val="0"/>
                <w:smallCaps w:val="0"/>
                <w:color w:val="auto"/>
                <w:spacing w:val="0"/>
                <w:w w:val="100"/>
                <w:position w:val="0"/>
                <w:sz w:val="21"/>
                <w:highlight w:val="none"/>
                <w:lang w:eastAsia="zh-CN"/>
              </w:rPr>
              <w:t>大庆油田有限责任公司第十一采油厂</w:t>
            </w:r>
            <w:r>
              <w:rPr>
                <w:rFonts w:hint="eastAsia" w:ascii="Times New Roman" w:hAnsi="Times New Roman" w:cs="Times New Roman"/>
                <w:bCs/>
                <w:caps w:val="0"/>
                <w:smallCaps w:val="0"/>
                <w:color w:val="auto"/>
                <w:spacing w:val="0"/>
                <w:w w:val="100"/>
                <w:position w:val="0"/>
                <w:sz w:val="21"/>
                <w:highlight w:val="none"/>
                <w:lang w:val="en-US" w:eastAsia="zh-CN"/>
              </w:rPr>
              <w:t>突发环境事件</w:t>
            </w:r>
            <w:r>
              <w:rPr>
                <w:rFonts w:ascii="Times New Roman" w:hAnsi="Times New Roman" w:cs="Times New Roman"/>
                <w:bCs/>
                <w:caps w:val="0"/>
                <w:smallCaps w:val="0"/>
                <w:color w:val="auto"/>
                <w:spacing w:val="0"/>
                <w:w w:val="100"/>
                <w:position w:val="0"/>
                <w:sz w:val="21"/>
                <w:highlight w:val="none"/>
              </w:rPr>
              <w:t>应急预案》，并于</w:t>
            </w:r>
            <w:r>
              <w:rPr>
                <w:rFonts w:hint="eastAsia" w:ascii="Times New Roman" w:hAnsi="Times New Roman" w:cs="Times New Roman"/>
                <w:bCs/>
                <w:caps w:val="0"/>
                <w:smallCaps w:val="0"/>
                <w:color w:val="auto"/>
                <w:spacing w:val="0"/>
                <w:w w:val="100"/>
                <w:position w:val="0"/>
                <w:sz w:val="21"/>
                <w:highlight w:val="none"/>
                <w:lang w:val="en-US" w:eastAsia="zh-CN"/>
              </w:rPr>
              <w:t>2025</w:t>
            </w:r>
            <w:r>
              <w:rPr>
                <w:rFonts w:ascii="Times New Roman" w:hAnsi="Times New Roman" w:cs="Times New Roman"/>
                <w:bCs/>
                <w:caps w:val="0"/>
                <w:smallCaps w:val="0"/>
                <w:color w:val="auto"/>
                <w:spacing w:val="0"/>
                <w:w w:val="100"/>
                <w:position w:val="0"/>
                <w:sz w:val="21"/>
                <w:highlight w:val="none"/>
              </w:rPr>
              <w:t>年</w:t>
            </w:r>
            <w:r>
              <w:rPr>
                <w:rFonts w:hint="eastAsia" w:ascii="Times New Roman" w:hAnsi="Times New Roman" w:cs="Times New Roman"/>
                <w:bCs/>
                <w:caps w:val="0"/>
                <w:smallCaps w:val="0"/>
                <w:color w:val="auto"/>
                <w:spacing w:val="0"/>
                <w:w w:val="100"/>
                <w:position w:val="0"/>
                <w:sz w:val="21"/>
                <w:highlight w:val="none"/>
                <w:lang w:val="en-US" w:eastAsia="zh-CN"/>
              </w:rPr>
              <w:t>3</w:t>
            </w:r>
            <w:r>
              <w:rPr>
                <w:rFonts w:ascii="Times New Roman" w:hAnsi="Times New Roman" w:cs="Times New Roman"/>
                <w:bCs/>
                <w:caps w:val="0"/>
                <w:smallCaps w:val="0"/>
                <w:color w:val="auto"/>
                <w:spacing w:val="0"/>
                <w:w w:val="100"/>
                <w:position w:val="0"/>
                <w:sz w:val="21"/>
                <w:highlight w:val="none"/>
              </w:rPr>
              <w:t>月</w:t>
            </w:r>
            <w:r>
              <w:rPr>
                <w:rFonts w:hint="eastAsia" w:ascii="Times New Roman" w:hAnsi="Times New Roman" w:cs="Times New Roman"/>
                <w:bCs/>
                <w:caps w:val="0"/>
                <w:smallCaps w:val="0"/>
                <w:color w:val="auto"/>
                <w:spacing w:val="0"/>
                <w:w w:val="100"/>
                <w:position w:val="0"/>
                <w:sz w:val="21"/>
                <w:highlight w:val="none"/>
                <w:lang w:val="en-US" w:eastAsia="zh-CN"/>
              </w:rPr>
              <w:t>25</w:t>
            </w:r>
            <w:r>
              <w:rPr>
                <w:rFonts w:ascii="Times New Roman" w:hAnsi="Times New Roman" w:cs="Times New Roman"/>
                <w:bCs/>
                <w:caps w:val="0"/>
                <w:smallCaps w:val="0"/>
                <w:color w:val="auto"/>
                <w:spacing w:val="0"/>
                <w:w w:val="100"/>
                <w:position w:val="0"/>
                <w:sz w:val="21"/>
                <w:highlight w:val="none"/>
              </w:rPr>
              <w:t>日在</w:t>
            </w:r>
            <w:r>
              <w:rPr>
                <w:rFonts w:hint="eastAsia" w:ascii="Times New Roman" w:hAnsi="Times New Roman" w:cs="Times New Roman"/>
                <w:bCs/>
                <w:caps w:val="0"/>
                <w:smallCaps w:val="0"/>
                <w:color w:val="auto"/>
                <w:spacing w:val="0"/>
                <w:w w:val="100"/>
                <w:position w:val="0"/>
                <w:sz w:val="21"/>
                <w:highlight w:val="none"/>
                <w:lang w:val="en-US" w:eastAsia="zh-CN"/>
              </w:rPr>
              <w:t>绥化市安达市</w:t>
            </w:r>
            <w:r>
              <w:rPr>
                <w:rFonts w:ascii="Times New Roman" w:hAnsi="Times New Roman" w:cs="Times New Roman"/>
                <w:bCs/>
                <w:caps w:val="0"/>
                <w:smallCaps w:val="0"/>
                <w:color w:val="auto"/>
                <w:spacing w:val="0"/>
                <w:w w:val="100"/>
                <w:position w:val="0"/>
                <w:sz w:val="21"/>
                <w:highlight w:val="none"/>
              </w:rPr>
              <w:t xml:space="preserve">生态环境局进行了备案，备案编号为 </w:t>
            </w:r>
            <w:r>
              <w:rPr>
                <w:rFonts w:hint="eastAsia" w:ascii="Times New Roman" w:hAnsi="Times New Roman" w:cs="Times New Roman"/>
                <w:bCs/>
                <w:caps w:val="0"/>
                <w:smallCaps w:val="0"/>
                <w:color w:val="auto"/>
                <w:spacing w:val="0"/>
                <w:w w:val="100"/>
                <w:position w:val="0"/>
                <w:sz w:val="21"/>
                <w:highlight w:val="none"/>
              </w:rPr>
              <w:t>231281-2025-014-L</w:t>
            </w:r>
            <w:r>
              <w:rPr>
                <w:rFonts w:ascii="Times New Roman" w:hAnsi="Times New Roman" w:cs="Times New Roman"/>
                <w:bCs/>
                <w:caps w:val="0"/>
                <w:smallCaps w:val="0"/>
                <w:color w:val="auto"/>
                <w:spacing w:val="0"/>
                <w:w w:val="100"/>
                <w:position w:val="0"/>
                <w:sz w:val="21"/>
                <w:highlight w:val="none"/>
              </w:rPr>
              <w:t>。设置了相应的环境应急预案体系、应急组织机构、监测与预警、应急处置与应急响应措施、环境风险防范设施等；日常加强应急演练；</w:t>
            </w:r>
            <w:r>
              <w:rPr>
                <w:rFonts w:hint="eastAsia" w:ascii="Times New Roman" w:hAnsi="Times New Roman" w:cs="Times New Roman"/>
                <w:bCs/>
                <w:caps w:val="0"/>
                <w:smallCaps w:val="0"/>
                <w:color w:val="auto"/>
                <w:spacing w:val="0"/>
                <w:w w:val="100"/>
                <w:position w:val="0"/>
                <w:sz w:val="21"/>
                <w:highlight w:val="none"/>
                <w:lang w:eastAsia="zh-CN"/>
              </w:rPr>
              <w:t>大庆油田有限责任公司第十一采油厂</w:t>
            </w:r>
            <w:r>
              <w:rPr>
                <w:rFonts w:ascii="Times New Roman" w:hAnsi="Times New Roman" w:cs="Times New Roman"/>
                <w:bCs/>
                <w:caps w:val="0"/>
                <w:smallCaps w:val="0"/>
                <w:color w:val="auto"/>
                <w:spacing w:val="0"/>
                <w:w w:val="100"/>
                <w:position w:val="0"/>
                <w:sz w:val="21"/>
                <w:highlight w:val="none"/>
              </w:rPr>
              <w:t>的应急预案与大庆油田集团公司应急预案为有效衔接，大庆油田集团公司应急预案与大庆市政府的应急预案为有效衔接，从大庆市到集团公司到建设单位建立了应急响应和风险防范的联动机制。</w:t>
            </w:r>
          </w:p>
        </w:tc>
      </w:tr>
      <w:tr w14:paraId="44AE0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13" w:type="pct"/>
            <w:gridSpan w:val="2"/>
            <w:vAlign w:val="center"/>
          </w:tcPr>
          <w:p w14:paraId="6378F780">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退役工程</w:t>
            </w:r>
          </w:p>
        </w:tc>
        <w:tc>
          <w:tcPr>
            <w:tcW w:w="3986" w:type="pct"/>
            <w:vAlign w:val="center"/>
          </w:tcPr>
          <w:p w14:paraId="1F142665">
            <w:pPr>
              <w:spacing w:line="340" w:lineRule="exact"/>
              <w:jc w:val="both"/>
              <w:rPr>
                <w:rFonts w:ascii="Times New Roman" w:hAnsi="Times New Roman" w:cs="Times New Roman"/>
                <w:caps w:val="0"/>
                <w:smallCaps w:val="0"/>
                <w:color w:val="auto"/>
                <w:spacing w:val="0"/>
                <w:w w:val="100"/>
                <w:position w:val="0"/>
                <w:sz w:val="21"/>
                <w:highlight w:val="none"/>
              </w:rPr>
            </w:pPr>
            <w:r>
              <w:rPr>
                <w:rFonts w:ascii="Times New Roman" w:hAnsi="Times New Roman" w:cs="Times New Roman"/>
                <w:bCs/>
                <w:caps w:val="0"/>
                <w:smallCaps w:val="0"/>
                <w:color w:val="auto"/>
                <w:spacing w:val="0"/>
                <w:w w:val="100"/>
                <w:position w:val="0"/>
                <w:sz w:val="21"/>
                <w:highlight w:val="none"/>
              </w:rPr>
              <w:t>目前现有区块内没有退役的油水井、管线、场站等。</w:t>
            </w:r>
          </w:p>
        </w:tc>
      </w:tr>
    </w:tbl>
    <w:p w14:paraId="21458242">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（4）现有区块环评及验收手续</w:t>
      </w:r>
    </w:p>
    <w:p w14:paraId="14F1794E">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szCs w:val="20"/>
          <w:highlight w:val="none"/>
        </w:rPr>
      </w:pPr>
      <w:r>
        <w:rPr>
          <w:rFonts w:ascii="Times New Roman" w:hAnsi="Times New Roman" w:cs="Times New Roman"/>
          <w:caps w:val="0"/>
          <w:smallCaps w:val="0"/>
          <w:color w:val="auto"/>
          <w:spacing w:val="0"/>
          <w:w w:val="100"/>
          <w:kern w:val="21"/>
          <w:position w:val="0"/>
          <w:szCs w:val="20"/>
          <w:highlight w:val="none"/>
        </w:rPr>
        <w:t>现有</w:t>
      </w:r>
      <w:r>
        <w:rPr>
          <w:rFonts w:ascii="Times New Roman" w:hAnsi="Times New Roman" w:cs="Times New Roman"/>
          <w:caps w:val="0"/>
          <w:smallCaps w:val="0"/>
          <w:color w:val="auto"/>
          <w:spacing w:val="0"/>
          <w:w w:val="100"/>
          <w:kern w:val="21"/>
          <w:position w:val="0"/>
          <w:szCs w:val="22"/>
          <w:highlight w:val="none"/>
          <w:lang w:bidi="zh-CN"/>
        </w:rPr>
        <w:t>工程</w:t>
      </w:r>
      <w:r>
        <w:rPr>
          <w:rFonts w:ascii="Times New Roman" w:hAnsi="Times New Roman" w:cs="Times New Roman"/>
          <w:caps w:val="0"/>
          <w:smallCaps w:val="0"/>
          <w:color w:val="auto"/>
          <w:spacing w:val="0"/>
          <w:w w:val="100"/>
          <w:kern w:val="21"/>
          <w:position w:val="0"/>
          <w:szCs w:val="20"/>
          <w:highlight w:val="none"/>
        </w:rPr>
        <w:t>环评及验收情况见表3.1-2。</w:t>
      </w:r>
    </w:p>
    <w:p w14:paraId="59B642D3">
      <w:pPr>
        <w:widowControl w:val="0"/>
        <w:spacing w:line="440" w:lineRule="exact"/>
        <w:ind w:firstLine="482" w:firstLineChars="200"/>
        <w:jc w:val="both"/>
        <w:rPr>
          <w:rFonts w:ascii="Times New Roman" w:hAnsi="Times New Roman" w:cs="Times New Roman"/>
          <w:caps w:val="0"/>
          <w:smallCaps w:val="0"/>
          <w:color w:val="auto"/>
          <w:spacing w:val="0"/>
          <w:w w:val="100"/>
          <w:kern w:val="21"/>
          <w:position w:val="0"/>
          <w:szCs w:val="20"/>
          <w:highlight w:val="none"/>
        </w:rPr>
      </w:pPr>
      <w:r>
        <w:rPr>
          <w:rFonts w:ascii="Times New Roman" w:hAnsi="Times New Roman" w:cs="Times New Roman"/>
          <w:b/>
          <w:caps w:val="0"/>
          <w:smallCaps w:val="0"/>
          <w:color w:val="auto"/>
          <w:spacing w:val="0"/>
          <w:w w:val="100"/>
          <w:kern w:val="21"/>
          <w:position w:val="0"/>
          <w:szCs w:val="22"/>
          <w:highlight w:val="none"/>
          <w:lang w:val="zh-CN" w:bidi="zh-CN"/>
        </w:rPr>
        <w:t>表3.1-2</w:t>
      </w:r>
      <w:r>
        <w:rPr>
          <w:rFonts w:ascii="Times New Roman" w:hAnsi="Times New Roman" w:cs="Times New Roman"/>
          <w:b/>
          <w:caps w:val="0"/>
          <w:smallCaps w:val="0"/>
          <w:color w:val="auto"/>
          <w:spacing w:val="0"/>
          <w:w w:val="100"/>
          <w:kern w:val="21"/>
          <w:position w:val="0"/>
          <w:szCs w:val="22"/>
          <w:highlight w:val="none"/>
          <w:lang w:bidi="zh-CN"/>
        </w:rPr>
        <w:t xml:space="preserve">    现有工程环评及验收情况调查表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8"/>
        <w:gridCol w:w="1186"/>
        <w:gridCol w:w="4020"/>
        <w:gridCol w:w="1786"/>
        <w:gridCol w:w="1794"/>
      </w:tblGrid>
      <w:tr w14:paraId="3D549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9" w:type="dxa"/>
            <w:vAlign w:val="center"/>
          </w:tcPr>
          <w:p w14:paraId="3694071C">
            <w:pPr>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序号</w:t>
            </w:r>
          </w:p>
        </w:tc>
        <w:tc>
          <w:tcPr>
            <w:tcW w:w="1155" w:type="dxa"/>
            <w:vAlign w:val="center"/>
          </w:tcPr>
          <w:p w14:paraId="7D7E14CF">
            <w:pPr>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区块名称</w:t>
            </w:r>
          </w:p>
        </w:tc>
        <w:tc>
          <w:tcPr>
            <w:tcW w:w="3915" w:type="dxa"/>
            <w:vAlign w:val="center"/>
          </w:tcPr>
          <w:p w14:paraId="01F90BBF">
            <w:pPr>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项目名称</w:t>
            </w:r>
          </w:p>
        </w:tc>
        <w:tc>
          <w:tcPr>
            <w:tcW w:w="1740" w:type="dxa"/>
            <w:vAlign w:val="center"/>
          </w:tcPr>
          <w:p w14:paraId="745A6613">
            <w:pPr>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环评批复</w:t>
            </w:r>
          </w:p>
        </w:tc>
        <w:tc>
          <w:tcPr>
            <w:tcW w:w="1747" w:type="dxa"/>
            <w:vAlign w:val="center"/>
          </w:tcPr>
          <w:p w14:paraId="14A914F8">
            <w:pPr>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验收情况</w:t>
            </w:r>
          </w:p>
        </w:tc>
      </w:tr>
      <w:tr w14:paraId="09E25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9" w:type="dxa"/>
            <w:vAlign w:val="center"/>
          </w:tcPr>
          <w:p w14:paraId="6A043248">
            <w:pPr>
              <w:adjustRightInd w:val="0"/>
              <w:snapToGrid w:val="0"/>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olor w:val="auto"/>
                <w:sz w:val="21"/>
                <w:szCs w:val="21"/>
                <w:highlight w:val="none"/>
              </w:rPr>
              <w:t>1</w:t>
            </w:r>
          </w:p>
        </w:tc>
        <w:tc>
          <w:tcPr>
            <w:tcW w:w="1155" w:type="dxa"/>
            <w:vAlign w:val="center"/>
          </w:tcPr>
          <w:p w14:paraId="4A23BDDC">
            <w:pPr>
              <w:adjustRightInd w:val="0"/>
              <w:snapToGrid w:val="0"/>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olor w:val="auto"/>
                <w:sz w:val="21"/>
                <w:szCs w:val="21"/>
                <w:highlight w:val="none"/>
              </w:rPr>
              <w:t>卫2</w:t>
            </w:r>
            <w:r>
              <w:rPr>
                <w:rFonts w:ascii="Times New Roman" w:hAnsi="Times New Roman" w:cs="Times New Roman"/>
                <w:bCs/>
                <w:color w:val="auto"/>
                <w:sz w:val="21"/>
                <w:szCs w:val="21"/>
                <w:highlight w:val="none"/>
              </w:rPr>
              <w:t>1</w:t>
            </w:r>
          </w:p>
        </w:tc>
        <w:tc>
          <w:tcPr>
            <w:tcW w:w="3915" w:type="dxa"/>
            <w:vAlign w:val="center"/>
          </w:tcPr>
          <w:p w14:paraId="1991A91F">
            <w:pPr>
              <w:adjustRightInd w:val="0"/>
              <w:snapToGrid w:val="0"/>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snapToGrid w:val="0"/>
                <w:color w:val="auto"/>
                <w:sz w:val="21"/>
                <w:szCs w:val="21"/>
                <w:highlight w:val="none"/>
              </w:rPr>
              <w:t>《卫星油田</w:t>
            </w:r>
            <w:r>
              <w:rPr>
                <w:rFonts w:hint="eastAsia" w:ascii="Times New Roman" w:hAnsi="Times New Roman"/>
                <w:snapToGrid w:val="0"/>
                <w:color w:val="auto"/>
                <w:sz w:val="21"/>
                <w:szCs w:val="21"/>
                <w:highlight w:val="none"/>
              </w:rPr>
              <w:t>卫</w:t>
            </w:r>
            <w:r>
              <w:rPr>
                <w:rFonts w:ascii="Times New Roman" w:hAnsi="Times New Roman"/>
                <w:snapToGrid w:val="0"/>
                <w:color w:val="auto"/>
                <w:sz w:val="21"/>
                <w:szCs w:val="21"/>
                <w:highlight w:val="none"/>
              </w:rPr>
              <w:t>21、卫 251 区块补充井工程环境影响报告书》</w:t>
            </w:r>
          </w:p>
        </w:tc>
        <w:tc>
          <w:tcPr>
            <w:tcW w:w="1740" w:type="dxa"/>
            <w:vAlign w:val="center"/>
          </w:tcPr>
          <w:p w14:paraId="2B0ACF9E">
            <w:pPr>
              <w:widowControl w:val="0"/>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snapToGrid w:val="0"/>
                <w:color w:val="auto"/>
                <w:sz w:val="21"/>
                <w:szCs w:val="21"/>
                <w:highlight w:val="none"/>
              </w:rPr>
              <w:t>绥环函〔201</w:t>
            </w:r>
            <w:r>
              <w:rPr>
                <w:rFonts w:ascii="Times New Roman" w:hAnsi="Times New Roman"/>
                <w:snapToGrid w:val="0"/>
                <w:color w:val="auto"/>
                <w:sz w:val="21"/>
                <w:szCs w:val="21"/>
                <w:highlight w:val="none"/>
              </w:rPr>
              <w:t>5</w:t>
            </w:r>
            <w:r>
              <w:rPr>
                <w:rFonts w:hint="eastAsia" w:ascii="Times New Roman" w:hAnsi="Times New Roman"/>
                <w:snapToGrid w:val="0"/>
                <w:color w:val="auto"/>
                <w:sz w:val="21"/>
                <w:szCs w:val="21"/>
                <w:highlight w:val="none"/>
              </w:rPr>
              <w:t>〕</w:t>
            </w:r>
            <w:r>
              <w:rPr>
                <w:rFonts w:ascii="Times New Roman" w:hAnsi="Times New Roman"/>
                <w:snapToGrid w:val="0"/>
                <w:color w:val="auto"/>
                <w:sz w:val="21"/>
                <w:szCs w:val="21"/>
                <w:highlight w:val="none"/>
              </w:rPr>
              <w:t>490</w:t>
            </w:r>
            <w:r>
              <w:rPr>
                <w:rFonts w:hint="eastAsia" w:ascii="Times New Roman" w:hAnsi="Times New Roman"/>
                <w:snapToGrid w:val="0"/>
                <w:color w:val="auto"/>
                <w:sz w:val="21"/>
                <w:szCs w:val="21"/>
                <w:highlight w:val="none"/>
              </w:rPr>
              <w:t>号</w:t>
            </w:r>
          </w:p>
        </w:tc>
        <w:tc>
          <w:tcPr>
            <w:tcW w:w="1747" w:type="dxa"/>
            <w:vAlign w:val="center"/>
          </w:tcPr>
          <w:p w14:paraId="16B3A06B">
            <w:pPr>
              <w:adjustRightInd w:val="0"/>
              <w:snapToGrid w:val="0"/>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snapToGrid w:val="0"/>
                <w:color w:val="auto"/>
                <w:sz w:val="21"/>
                <w:szCs w:val="21"/>
                <w:highlight w:val="none"/>
              </w:rPr>
              <w:t>绥环函〔201</w:t>
            </w:r>
            <w:r>
              <w:rPr>
                <w:rFonts w:ascii="Times New Roman" w:hAnsi="Times New Roman"/>
                <w:snapToGrid w:val="0"/>
                <w:color w:val="auto"/>
                <w:sz w:val="21"/>
                <w:szCs w:val="21"/>
                <w:highlight w:val="none"/>
              </w:rPr>
              <w:t>7</w:t>
            </w:r>
            <w:r>
              <w:rPr>
                <w:rFonts w:hint="eastAsia" w:ascii="Times New Roman" w:hAnsi="Times New Roman"/>
                <w:snapToGrid w:val="0"/>
                <w:color w:val="auto"/>
                <w:sz w:val="21"/>
                <w:szCs w:val="21"/>
                <w:highlight w:val="none"/>
              </w:rPr>
              <w:t>〕</w:t>
            </w:r>
            <w:r>
              <w:rPr>
                <w:rFonts w:ascii="Times New Roman" w:hAnsi="Times New Roman"/>
                <w:snapToGrid w:val="0"/>
                <w:color w:val="auto"/>
                <w:sz w:val="21"/>
                <w:szCs w:val="21"/>
                <w:highlight w:val="none"/>
              </w:rPr>
              <w:t>95</w:t>
            </w:r>
            <w:r>
              <w:rPr>
                <w:rFonts w:hint="eastAsia" w:ascii="Times New Roman" w:hAnsi="Times New Roman"/>
                <w:snapToGrid w:val="0"/>
                <w:color w:val="auto"/>
                <w:sz w:val="21"/>
                <w:szCs w:val="21"/>
                <w:highlight w:val="none"/>
              </w:rPr>
              <w:t>号</w:t>
            </w:r>
          </w:p>
        </w:tc>
      </w:tr>
      <w:tr w14:paraId="54243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9" w:type="dxa"/>
            <w:vAlign w:val="center"/>
          </w:tcPr>
          <w:p w14:paraId="114C0A63">
            <w:pPr>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bCs/>
                <w:color w:val="auto"/>
                <w:sz w:val="21"/>
                <w:szCs w:val="21"/>
                <w:highlight w:val="none"/>
              </w:rPr>
              <w:t>2</w:t>
            </w:r>
          </w:p>
        </w:tc>
        <w:tc>
          <w:tcPr>
            <w:tcW w:w="1155" w:type="dxa"/>
            <w:vAlign w:val="center"/>
          </w:tcPr>
          <w:p w14:paraId="41162B20">
            <w:pPr>
              <w:adjustRightInd w:val="0"/>
              <w:snapToGrid w:val="0"/>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snapToGrid w:val="0"/>
                <w:color w:val="auto"/>
                <w:sz w:val="21"/>
                <w:szCs w:val="21"/>
                <w:highlight w:val="none"/>
              </w:rPr>
              <w:t>太11</w:t>
            </w:r>
          </w:p>
        </w:tc>
        <w:tc>
          <w:tcPr>
            <w:tcW w:w="3915" w:type="dxa"/>
            <w:vAlign w:val="center"/>
          </w:tcPr>
          <w:p w14:paraId="7D3D6AD0">
            <w:pPr>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snapToGrid w:val="0"/>
                <w:color w:val="auto"/>
                <w:sz w:val="21"/>
                <w:szCs w:val="21"/>
                <w:highlight w:val="none"/>
              </w:rPr>
              <w:t>《</w:t>
            </w:r>
            <w:r>
              <w:rPr>
                <w:rFonts w:hint="eastAsia" w:ascii="Times New Roman" w:hAnsi="Times New Roman"/>
                <w:snapToGrid w:val="0"/>
                <w:color w:val="auto"/>
                <w:sz w:val="21"/>
                <w:szCs w:val="21"/>
                <w:highlight w:val="none"/>
              </w:rPr>
              <w:t>卫星油田太11、太12、卫2-35-27区块葡萄花油层井网加密钻井及注采系统调整工程环境影响报告表</w:t>
            </w:r>
            <w:r>
              <w:rPr>
                <w:rFonts w:ascii="Times New Roman" w:hAnsi="Times New Roman"/>
                <w:snapToGrid w:val="0"/>
                <w:color w:val="auto"/>
                <w:sz w:val="21"/>
                <w:szCs w:val="21"/>
                <w:highlight w:val="none"/>
              </w:rPr>
              <w:t>》</w:t>
            </w:r>
          </w:p>
        </w:tc>
        <w:tc>
          <w:tcPr>
            <w:tcW w:w="1740" w:type="dxa"/>
            <w:vAlign w:val="center"/>
          </w:tcPr>
          <w:p w14:paraId="5E2A780C">
            <w:pPr>
              <w:widowControl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snapToGrid w:val="0"/>
                <w:color w:val="auto"/>
                <w:sz w:val="21"/>
                <w:szCs w:val="21"/>
                <w:highlight w:val="none"/>
              </w:rPr>
              <w:t>绥环函〔2018〕157号</w:t>
            </w:r>
          </w:p>
        </w:tc>
        <w:tc>
          <w:tcPr>
            <w:tcW w:w="1747" w:type="dxa"/>
            <w:vAlign w:val="center"/>
          </w:tcPr>
          <w:p w14:paraId="155C5539">
            <w:pPr>
              <w:adjustRightInd w:val="0"/>
              <w:snapToGrid w:val="0"/>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snapToGrid w:val="0"/>
                <w:color w:val="auto"/>
                <w:sz w:val="21"/>
                <w:szCs w:val="21"/>
                <w:highlight w:val="none"/>
              </w:rPr>
              <w:t>2019年5月23日完成自主验收</w:t>
            </w:r>
          </w:p>
        </w:tc>
      </w:tr>
      <w:tr w14:paraId="0A26C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9" w:type="dxa"/>
            <w:vAlign w:val="center"/>
          </w:tcPr>
          <w:p w14:paraId="5F33A29B">
            <w:pPr>
              <w:adjustRightInd w:val="0"/>
              <w:snapToGrid w:val="0"/>
              <w:spacing w:line="360" w:lineRule="exact"/>
              <w:jc w:val="center"/>
              <w:rPr>
                <w:rFonts w:hint="eastAsia" w:ascii="Times New Roman" w:hAnsi="Times New Roman" w:cs="Times New Roman" w:eastAsiaTheme="minorEastAsia"/>
                <w:bCs/>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position w:val="0"/>
                <w:sz w:val="21"/>
                <w:szCs w:val="21"/>
                <w:highlight w:val="none"/>
                <w:lang w:val="en-US" w:eastAsia="zh-CN"/>
              </w:rPr>
              <w:t>3</w:t>
            </w:r>
          </w:p>
        </w:tc>
        <w:tc>
          <w:tcPr>
            <w:tcW w:w="1155" w:type="dxa"/>
            <w:vAlign w:val="center"/>
          </w:tcPr>
          <w:p w14:paraId="2E4FC71C">
            <w:pPr>
              <w:widowControl w:val="0"/>
              <w:adjustRightInd w:val="0"/>
              <w:snapToGri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卫19</w:t>
            </w:r>
          </w:p>
        </w:tc>
        <w:tc>
          <w:tcPr>
            <w:tcW w:w="3915" w:type="dxa"/>
            <w:vAlign w:val="center"/>
          </w:tcPr>
          <w:p w14:paraId="73F5E1D3">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《2022年卫星油田卫19等区块产能建设地面工程环境影响报告书》</w:t>
            </w:r>
          </w:p>
        </w:tc>
        <w:tc>
          <w:tcPr>
            <w:tcW w:w="1740" w:type="dxa"/>
            <w:vAlign w:val="center"/>
          </w:tcPr>
          <w:p w14:paraId="7248A199">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bCs/>
                <w:color w:val="auto"/>
                <w:w w:val="99"/>
                <w:sz w:val="24"/>
                <w:szCs w:val="24"/>
                <w:highlight w:val="none"/>
                <w:lang w:val="en-US" w:eastAsia="zh-CN" w:bidi="ar-SA"/>
              </w:rPr>
              <w:t>绥环审〔2022〕28号</w:t>
            </w:r>
          </w:p>
        </w:tc>
        <w:tc>
          <w:tcPr>
            <w:tcW w:w="1747" w:type="dxa"/>
            <w:vAlign w:val="center"/>
          </w:tcPr>
          <w:p w14:paraId="1538A920">
            <w:pPr>
              <w:adjustRightInd w:val="0"/>
              <w:snapToGrid w:val="0"/>
              <w:spacing w:line="36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hint="eastAsia" w:ascii="Times New Roman" w:hAnsi="Times New Roman" w:cs="Times New Roman" w:eastAsiaTheme="minorEastAsia"/>
                <w:bCs/>
                <w:caps w:val="0"/>
                <w:smallCaps w:val="0"/>
                <w:color w:val="auto"/>
                <w:spacing w:val="0"/>
                <w:w w:val="100"/>
                <w:position w:val="0"/>
                <w:sz w:val="21"/>
                <w:szCs w:val="21"/>
                <w:highlight w:val="none"/>
                <w:lang w:val="en-US" w:eastAsia="zh-CN"/>
              </w:rPr>
              <w:t>2024年8月20日完成自主验收</w:t>
            </w:r>
          </w:p>
        </w:tc>
      </w:tr>
    </w:tbl>
    <w:p w14:paraId="2B6FD71B">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p>
    <w:tbl>
      <w:tblPr>
        <w:tblStyle w:val="8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7"/>
        <w:gridCol w:w="4523"/>
      </w:tblGrid>
      <w:tr w14:paraId="2344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tcPr>
          <w:p w14:paraId="6F93AD5E">
            <w:pPr>
              <w:jc w:val="center"/>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position w:val="0"/>
                <w:highlight w:val="none"/>
              </w:rPr>
              <w:drawing>
                <wp:inline distT="0" distB="0" distL="0" distR="0">
                  <wp:extent cx="2759075" cy="2335530"/>
                  <wp:effectExtent l="0" t="0" r="3175"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0"/>
                          <a:stretch>
                            <a:fillRect/>
                          </a:stretch>
                        </pic:blipFill>
                        <pic:spPr>
                          <a:xfrm>
                            <a:off x="0" y="0"/>
                            <a:ext cx="2760910" cy="2337185"/>
                          </a:xfrm>
                          <a:prstGeom prst="rect">
                            <a:avLst/>
                          </a:prstGeom>
                        </pic:spPr>
                      </pic:pic>
                    </a:graphicData>
                  </a:graphic>
                </wp:inline>
              </w:drawing>
            </w:r>
          </w:p>
        </w:tc>
        <w:tc>
          <w:tcPr>
            <w:tcW w:w="4523" w:type="dxa"/>
          </w:tcPr>
          <w:p w14:paraId="214D02CA">
            <w:pPr>
              <w:jc w:val="center"/>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position w:val="0"/>
                <w:highlight w:val="none"/>
              </w:rPr>
              <w:drawing>
                <wp:inline distT="0" distB="0" distL="0" distR="0">
                  <wp:extent cx="2752725" cy="23653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1"/>
                          <a:stretch>
                            <a:fillRect/>
                          </a:stretch>
                        </pic:blipFill>
                        <pic:spPr>
                          <a:xfrm>
                            <a:off x="0" y="0"/>
                            <a:ext cx="2770453" cy="2381002"/>
                          </a:xfrm>
                          <a:prstGeom prst="rect">
                            <a:avLst/>
                          </a:prstGeom>
                        </pic:spPr>
                      </pic:pic>
                    </a:graphicData>
                  </a:graphic>
                </wp:inline>
              </w:drawing>
            </w:r>
          </w:p>
        </w:tc>
      </w:tr>
      <w:tr w14:paraId="3EF3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tcPr>
          <w:p w14:paraId="69797CB2">
            <w:pPr>
              <w:jc w:val="center"/>
              <w:rPr>
                <w:rFonts w:ascii="Times New Roman" w:hAnsi="Times New Roman" w:cs="Times New Roman"/>
                <w:caps w:val="0"/>
                <w:smallCaps w:val="0"/>
                <w:color w:val="auto"/>
                <w:spacing w:val="0"/>
                <w:w w:val="100"/>
                <w:kern w:val="2"/>
                <w:position w:val="0"/>
                <w:szCs w:val="22"/>
                <w:highlight w:val="none"/>
              </w:rPr>
            </w:pPr>
            <w:r>
              <w:rPr>
                <w:rFonts w:ascii="Times New Roman" w:hAnsi="Times New Roman" w:cs="Times New Roman"/>
                <w:caps w:val="0"/>
                <w:smallCaps w:val="0"/>
                <w:color w:val="auto"/>
                <w:spacing w:val="0"/>
                <w:w w:val="100"/>
                <w:kern w:val="2"/>
                <w:position w:val="0"/>
                <w:szCs w:val="22"/>
                <w:highlight w:val="none"/>
              </w:rPr>
              <w:t>现有井场</w:t>
            </w:r>
          </w:p>
        </w:tc>
        <w:tc>
          <w:tcPr>
            <w:tcW w:w="4523" w:type="dxa"/>
          </w:tcPr>
          <w:p w14:paraId="4AA4A27E">
            <w:pPr>
              <w:jc w:val="center"/>
              <w:rPr>
                <w:rFonts w:ascii="Times New Roman" w:hAnsi="Times New Roman" w:cs="Times New Roman"/>
                <w:caps w:val="0"/>
                <w:smallCaps w:val="0"/>
                <w:color w:val="auto"/>
                <w:spacing w:val="0"/>
                <w:w w:val="100"/>
                <w:kern w:val="2"/>
                <w:position w:val="0"/>
                <w:szCs w:val="22"/>
                <w:highlight w:val="none"/>
              </w:rPr>
            </w:pPr>
            <w:r>
              <w:rPr>
                <w:rFonts w:ascii="Times New Roman" w:hAnsi="Times New Roman" w:cs="Times New Roman"/>
                <w:caps w:val="0"/>
                <w:smallCaps w:val="0"/>
                <w:color w:val="auto"/>
                <w:spacing w:val="0"/>
                <w:w w:val="100"/>
                <w:kern w:val="2"/>
                <w:position w:val="0"/>
                <w:szCs w:val="22"/>
                <w:highlight w:val="none"/>
              </w:rPr>
              <w:t>现有井场</w:t>
            </w:r>
          </w:p>
        </w:tc>
      </w:tr>
    </w:tbl>
    <w:p w14:paraId="2801A580">
      <w:pPr>
        <w:widowControl w:val="0"/>
        <w:spacing w:line="440" w:lineRule="exact"/>
        <w:jc w:val="center"/>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szCs w:val="22"/>
          <w:highlight w:val="none"/>
        </w:rPr>
        <w:t xml:space="preserve">图3.1-1   </w:t>
      </w:r>
      <w:r>
        <w:rPr>
          <w:rFonts w:hint="eastAsia" w:ascii="Times New Roman" w:hAnsi="Times New Roman" w:cs="Times New Roman"/>
          <w:b/>
          <w:bCs/>
          <w:caps w:val="0"/>
          <w:smallCaps w:val="0"/>
          <w:color w:val="auto"/>
          <w:spacing w:val="0"/>
          <w:w w:val="100"/>
          <w:kern w:val="2"/>
          <w:position w:val="0"/>
          <w:szCs w:val="22"/>
          <w:highlight w:val="none"/>
          <w:lang w:val="en-US" w:eastAsia="zh-CN"/>
        </w:rPr>
        <w:t>区块</w:t>
      </w:r>
      <w:r>
        <w:rPr>
          <w:rFonts w:ascii="Times New Roman" w:hAnsi="Times New Roman" w:cs="Times New Roman"/>
          <w:b/>
          <w:bCs/>
          <w:caps w:val="0"/>
          <w:smallCaps w:val="0"/>
          <w:color w:val="auto"/>
          <w:spacing w:val="0"/>
          <w:w w:val="100"/>
          <w:kern w:val="2"/>
          <w:position w:val="0"/>
          <w:szCs w:val="22"/>
          <w:highlight w:val="none"/>
        </w:rPr>
        <w:t>井场建设情况</w:t>
      </w:r>
    </w:p>
    <w:p w14:paraId="365E90C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（5）现有区块排污许可执行情况</w:t>
      </w:r>
    </w:p>
    <w:p w14:paraId="56BC7A27">
      <w:pPr>
        <w:widowControl w:val="0"/>
        <w:spacing w:line="440" w:lineRule="exact"/>
        <w:ind w:firstLine="482"/>
        <w:jc w:val="both"/>
        <w:rPr>
          <w:rFonts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lang w:eastAsia="zh-CN"/>
        </w:rPr>
        <w:t>大庆油田有限责任公司第十一采油厂</w:t>
      </w:r>
      <w:r>
        <w:rPr>
          <w:rFonts w:ascii="Times New Roman" w:hAnsi="Times New Roman" w:cs="Times New Roman" w:eastAsiaTheme="minorEastAsia"/>
          <w:color w:val="auto"/>
          <w:w w:val="99"/>
          <w:highlight w:val="none"/>
        </w:rPr>
        <w:t>已于</w:t>
      </w:r>
      <w:r>
        <w:rPr>
          <w:rFonts w:hint="eastAsia" w:ascii="Times New Roman" w:hAnsi="Times New Roman" w:cs="Times New Roman" w:eastAsiaTheme="minorEastAsia"/>
          <w:color w:val="auto"/>
          <w:w w:val="99"/>
          <w:highlight w:val="none"/>
          <w:lang w:val="en-US" w:eastAsia="zh-CN"/>
        </w:rPr>
        <w:t>2025</w:t>
      </w:r>
      <w:r>
        <w:rPr>
          <w:rFonts w:ascii="Times New Roman" w:hAnsi="Times New Roman" w:cs="Times New Roman" w:eastAsiaTheme="minorEastAsia"/>
          <w:color w:val="auto"/>
          <w:w w:val="99"/>
          <w:highlight w:val="none"/>
        </w:rPr>
        <w:t>年</w:t>
      </w:r>
      <w:r>
        <w:rPr>
          <w:rFonts w:hint="eastAsia" w:ascii="Times New Roman" w:hAnsi="Times New Roman" w:cs="Times New Roman" w:eastAsiaTheme="minorEastAsia"/>
          <w:color w:val="auto"/>
          <w:w w:val="99"/>
          <w:highlight w:val="none"/>
          <w:lang w:val="en-US" w:eastAsia="zh-CN"/>
        </w:rPr>
        <w:t>8</w:t>
      </w:r>
      <w:r>
        <w:rPr>
          <w:rFonts w:ascii="Times New Roman" w:hAnsi="Times New Roman" w:cs="Times New Roman" w:eastAsiaTheme="minorEastAsia"/>
          <w:color w:val="auto"/>
          <w:w w:val="99"/>
          <w:highlight w:val="none"/>
        </w:rPr>
        <w:t>月</w:t>
      </w:r>
      <w:r>
        <w:rPr>
          <w:rFonts w:hint="eastAsia" w:ascii="Times New Roman" w:hAnsi="Times New Roman" w:cs="Times New Roman" w:eastAsiaTheme="minorEastAsia"/>
          <w:color w:val="auto"/>
          <w:w w:val="99"/>
          <w:highlight w:val="none"/>
          <w:lang w:val="en-US" w:eastAsia="zh-CN"/>
        </w:rPr>
        <w:t>21</w:t>
      </w:r>
      <w:r>
        <w:rPr>
          <w:rFonts w:ascii="Times New Roman" w:hAnsi="Times New Roman" w:cs="Times New Roman" w:eastAsiaTheme="minorEastAsia"/>
          <w:color w:val="auto"/>
          <w:w w:val="99"/>
          <w:highlight w:val="none"/>
        </w:rPr>
        <w:t>日更新排污许可证，行业类别为陆地石油开采，水处理通用工序，锅炉，工业窑炉，管理类别为简化管理。该许可证已经包含</w:t>
      </w:r>
      <w:r>
        <w:rPr>
          <w:rFonts w:hint="eastAsia" w:ascii="Times New Roman" w:hAnsi="Times New Roman" w:cs="Times New Roman" w:eastAsiaTheme="minorEastAsia"/>
          <w:color w:val="auto"/>
          <w:w w:val="99"/>
          <w:highlight w:val="none"/>
          <w:lang w:val="en-US" w:eastAsia="zh-CN"/>
        </w:rPr>
        <w:t>大庆油田有限责任公司第十一采油厂</w:t>
      </w:r>
      <w:r>
        <w:rPr>
          <w:rFonts w:ascii="Times New Roman" w:hAnsi="Times New Roman" w:cs="Times New Roman" w:eastAsiaTheme="minorEastAsia"/>
          <w:color w:val="auto"/>
          <w:w w:val="99"/>
          <w:highlight w:val="none"/>
        </w:rPr>
        <w:t>所辖的现有油田开发区域的各场站排放的相关污染物，许可证编号为</w:t>
      </w:r>
      <w:r>
        <w:rPr>
          <w:rFonts w:hint="eastAsia" w:ascii="Times New Roman" w:hAnsi="Times New Roman" w:cs="Times New Roman" w:eastAsiaTheme="minorEastAsia"/>
          <w:color w:val="auto"/>
          <w:w w:val="99"/>
          <w:highlight w:val="none"/>
          <w:lang w:val="en-US" w:eastAsia="zh-CN"/>
        </w:rPr>
        <w:t>912312817028111747001X</w:t>
      </w:r>
      <w:r>
        <w:rPr>
          <w:rFonts w:ascii="Times New Roman" w:hAnsi="Times New Roman" w:cs="Times New Roman" w:eastAsiaTheme="minorEastAsia"/>
          <w:color w:val="auto"/>
          <w:w w:val="99"/>
          <w:highlight w:val="none"/>
        </w:rPr>
        <w:t>，有效期为</w:t>
      </w:r>
      <w:r>
        <w:rPr>
          <w:rFonts w:hint="eastAsia" w:ascii="Times New Roman" w:hAnsi="Times New Roman" w:cs="Times New Roman" w:eastAsiaTheme="minorEastAsia"/>
          <w:color w:val="auto"/>
          <w:w w:val="99"/>
          <w:highlight w:val="none"/>
          <w:lang w:val="en-US" w:eastAsia="zh-CN"/>
        </w:rPr>
        <w:t>2025</w:t>
      </w:r>
      <w:r>
        <w:rPr>
          <w:rFonts w:ascii="Times New Roman" w:hAnsi="Times New Roman" w:cs="Times New Roman" w:eastAsiaTheme="minorEastAsia"/>
          <w:color w:val="auto"/>
          <w:w w:val="99"/>
          <w:highlight w:val="none"/>
        </w:rPr>
        <w:t>年</w:t>
      </w:r>
      <w:r>
        <w:rPr>
          <w:rFonts w:hint="eastAsia" w:ascii="Times New Roman" w:hAnsi="Times New Roman" w:cs="Times New Roman" w:eastAsiaTheme="minorEastAsia"/>
          <w:color w:val="auto"/>
          <w:w w:val="99"/>
          <w:highlight w:val="none"/>
          <w:lang w:val="en-US" w:eastAsia="zh-CN"/>
        </w:rPr>
        <w:t>08</w:t>
      </w:r>
      <w:r>
        <w:rPr>
          <w:rFonts w:ascii="Times New Roman" w:hAnsi="Times New Roman" w:cs="Times New Roman" w:eastAsiaTheme="minorEastAsia"/>
          <w:color w:val="auto"/>
          <w:w w:val="99"/>
          <w:highlight w:val="none"/>
        </w:rPr>
        <w:t>月</w:t>
      </w:r>
      <w:r>
        <w:rPr>
          <w:rFonts w:hint="eastAsia" w:ascii="Times New Roman" w:hAnsi="Times New Roman" w:cs="Times New Roman" w:eastAsiaTheme="minorEastAsia"/>
          <w:color w:val="auto"/>
          <w:w w:val="99"/>
          <w:highlight w:val="none"/>
          <w:lang w:val="en-US" w:eastAsia="zh-CN"/>
        </w:rPr>
        <w:t>21</w:t>
      </w:r>
      <w:r>
        <w:rPr>
          <w:rFonts w:ascii="Times New Roman" w:hAnsi="Times New Roman" w:cs="Times New Roman" w:eastAsiaTheme="minorEastAsia"/>
          <w:color w:val="auto"/>
          <w:w w:val="99"/>
          <w:highlight w:val="none"/>
        </w:rPr>
        <w:t>日至</w:t>
      </w:r>
      <w:r>
        <w:rPr>
          <w:rFonts w:hint="eastAsia" w:ascii="Times New Roman" w:hAnsi="Times New Roman" w:cs="Times New Roman" w:eastAsiaTheme="minorEastAsia"/>
          <w:color w:val="auto"/>
          <w:w w:val="99"/>
          <w:highlight w:val="none"/>
          <w:lang w:val="en-US" w:eastAsia="zh-CN"/>
        </w:rPr>
        <w:t>2030</w:t>
      </w:r>
      <w:r>
        <w:rPr>
          <w:rFonts w:ascii="Times New Roman" w:hAnsi="Times New Roman" w:cs="Times New Roman" w:eastAsiaTheme="minorEastAsia"/>
          <w:color w:val="auto"/>
          <w:w w:val="99"/>
          <w:highlight w:val="none"/>
        </w:rPr>
        <w:t>年</w:t>
      </w:r>
      <w:r>
        <w:rPr>
          <w:rFonts w:hint="eastAsia" w:ascii="Times New Roman" w:hAnsi="Times New Roman" w:cs="Times New Roman" w:eastAsiaTheme="minorEastAsia"/>
          <w:color w:val="auto"/>
          <w:w w:val="99"/>
          <w:highlight w:val="none"/>
          <w:lang w:val="en-US" w:eastAsia="zh-CN"/>
        </w:rPr>
        <w:t>08</w:t>
      </w:r>
      <w:r>
        <w:rPr>
          <w:rFonts w:ascii="Times New Roman" w:hAnsi="Times New Roman" w:cs="Times New Roman" w:eastAsiaTheme="minorEastAsia"/>
          <w:color w:val="auto"/>
          <w:w w:val="99"/>
          <w:highlight w:val="none"/>
        </w:rPr>
        <w:t>月</w:t>
      </w:r>
      <w:r>
        <w:rPr>
          <w:rFonts w:hint="eastAsia" w:ascii="Times New Roman" w:hAnsi="Times New Roman" w:cs="Times New Roman" w:eastAsiaTheme="minorEastAsia"/>
          <w:color w:val="auto"/>
          <w:w w:val="99"/>
          <w:highlight w:val="none"/>
          <w:lang w:val="en-US" w:eastAsia="zh-CN"/>
        </w:rPr>
        <w:t>20</w:t>
      </w:r>
      <w:r>
        <w:rPr>
          <w:rFonts w:ascii="Times New Roman" w:hAnsi="Times New Roman" w:cs="Times New Roman" w:eastAsiaTheme="minorEastAsia"/>
          <w:color w:val="auto"/>
          <w:w w:val="99"/>
          <w:highlight w:val="none"/>
        </w:rPr>
        <w:t>日，排污许可证详见附件</w:t>
      </w:r>
      <w:r>
        <w:rPr>
          <w:rFonts w:hint="eastAsia" w:ascii="Times New Roman" w:hAnsi="Times New Roman" w:cs="Times New Roman" w:eastAsiaTheme="minorEastAsia"/>
          <w:color w:val="auto"/>
          <w:w w:val="99"/>
          <w:highlight w:val="none"/>
          <w:lang w:val="en-US" w:eastAsia="zh-CN"/>
        </w:rPr>
        <w:t>5</w:t>
      </w:r>
      <w:r>
        <w:rPr>
          <w:rFonts w:ascii="Times New Roman" w:hAnsi="Times New Roman" w:cs="Times New Roman" w:eastAsiaTheme="minorEastAsia"/>
          <w:color w:val="auto"/>
          <w:w w:val="99"/>
          <w:highlight w:val="none"/>
        </w:rPr>
        <w:t>。</w:t>
      </w:r>
    </w:p>
    <w:p w14:paraId="7FCEA0D5">
      <w:pPr>
        <w:widowControl w:val="0"/>
        <w:spacing w:line="440" w:lineRule="exact"/>
        <w:ind w:firstLine="482"/>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根据《排污许可管理条例》《排污许可管理办法》等相关要求，</w:t>
      </w:r>
      <w:r>
        <w:rPr>
          <w:rFonts w:hint="eastAsia" w:ascii="Times New Roman" w:hAnsi="Times New Roman" w:cs="Times New Roman" w:eastAsiaTheme="minorEastAsia"/>
          <w:color w:val="auto"/>
          <w:w w:val="99"/>
          <w:highlight w:val="none"/>
          <w:lang w:val="en-US" w:eastAsia="zh-CN"/>
        </w:rPr>
        <w:t>大庆油田有限责任公司第十一采油厂</w:t>
      </w:r>
      <w:r>
        <w:rPr>
          <w:rFonts w:ascii="Times New Roman" w:hAnsi="Times New Roman" w:cs="Times New Roman" w:eastAsiaTheme="minorEastAsia"/>
          <w:color w:val="auto"/>
          <w:w w:val="99"/>
          <w:highlight w:val="none"/>
        </w:rPr>
        <w:t>建立了自行监测制度及监测方案，目前已按照排污许可证要求定期开展了自行监测。</w:t>
      </w:r>
      <w:r>
        <w:rPr>
          <w:rFonts w:hint="eastAsia" w:ascii="Times New Roman" w:hAnsi="Times New Roman" w:cs="Times New Roman" w:eastAsiaTheme="minorEastAsia"/>
          <w:color w:val="auto"/>
          <w:w w:val="99"/>
          <w:highlight w:val="none"/>
          <w:lang w:val="en-US" w:eastAsia="zh-CN"/>
        </w:rPr>
        <w:t>大庆油田有限责任公司第十一采油厂</w:t>
      </w:r>
      <w:r>
        <w:rPr>
          <w:rFonts w:ascii="Times New Roman" w:hAnsi="Times New Roman" w:cs="Times New Roman" w:eastAsiaTheme="minorEastAsia"/>
          <w:color w:val="auto"/>
          <w:w w:val="99"/>
          <w:highlight w:val="none"/>
        </w:rPr>
        <w:t>各污染物防治设施正常运行，设置了规范的排污口和环境标志。建立了环境管理台账记录制度，详细记录了污染物防治设施的基本情况、运行管理情况、监测信息等内容。</w:t>
      </w:r>
      <w:r>
        <w:rPr>
          <w:rFonts w:hint="eastAsia" w:ascii="Times New Roman" w:hAnsi="Times New Roman" w:cs="Times New Roman" w:eastAsiaTheme="minorEastAsia"/>
          <w:color w:val="auto"/>
          <w:w w:val="99"/>
          <w:highlight w:val="none"/>
          <w:lang w:val="en-US" w:eastAsia="zh-CN"/>
        </w:rPr>
        <w:t>大庆油田有限责任公司第十一采油厂</w:t>
      </w:r>
      <w:r>
        <w:rPr>
          <w:rFonts w:ascii="Times New Roman" w:hAnsi="Times New Roman" w:cs="Times New Roman" w:eastAsiaTheme="minorEastAsia"/>
          <w:color w:val="auto"/>
          <w:w w:val="99"/>
          <w:highlight w:val="none"/>
        </w:rPr>
        <w:t>定期将各场站污染源监测数据填报在全国排污许可证管理信息平台上，公开</w:t>
      </w:r>
      <w:r>
        <w:rPr>
          <w:rFonts w:hint="eastAsia" w:ascii="Times New Roman" w:hAnsi="Times New Roman" w:cs="Times New Roman" w:eastAsiaTheme="minorEastAsia"/>
          <w:color w:val="auto"/>
          <w:w w:val="99"/>
          <w:highlight w:val="none"/>
          <w:lang w:val="en-US" w:eastAsia="zh-CN"/>
        </w:rPr>
        <w:t>大庆油田有限责任公司第十一采油厂</w:t>
      </w:r>
      <w:r>
        <w:rPr>
          <w:rFonts w:ascii="Times New Roman" w:hAnsi="Times New Roman" w:cs="Times New Roman" w:eastAsiaTheme="minorEastAsia"/>
          <w:color w:val="auto"/>
          <w:w w:val="99"/>
          <w:highlight w:val="none"/>
        </w:rPr>
        <w:t>各场站污染源的污染物排放信息，包括污染物排放种类、排放浓度和排放量、排污许可证执行报告、自行监测数据等。根据调查，</w:t>
      </w:r>
      <w:r>
        <w:rPr>
          <w:rFonts w:hint="eastAsia" w:ascii="Times New Roman" w:hAnsi="Times New Roman" w:cs="Times New Roman" w:eastAsiaTheme="minorEastAsia"/>
          <w:color w:val="auto"/>
          <w:w w:val="99"/>
          <w:highlight w:val="none"/>
          <w:lang w:val="en-US" w:eastAsia="zh-CN"/>
        </w:rPr>
        <w:t>大庆油田有限责任公司第十一采油厂</w:t>
      </w:r>
      <w:r>
        <w:rPr>
          <w:rFonts w:ascii="Times New Roman" w:hAnsi="Times New Roman" w:cs="Times New Roman" w:eastAsiaTheme="minorEastAsia"/>
          <w:color w:val="auto"/>
          <w:w w:val="99"/>
          <w:highlight w:val="none"/>
        </w:rPr>
        <w:t>已完成各年度的年报填报工作。</w:t>
      </w:r>
    </w:p>
    <w:p w14:paraId="09C995B1">
      <w:pPr>
        <w:widowControl w:val="0"/>
        <w:spacing w:line="440" w:lineRule="exact"/>
        <w:ind w:firstLine="482"/>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综上可知，</w:t>
      </w:r>
      <w:r>
        <w:rPr>
          <w:rFonts w:hint="eastAsia" w:ascii="Times New Roman" w:hAnsi="Times New Roman" w:cs="Times New Roman" w:eastAsiaTheme="minorEastAsia"/>
          <w:color w:val="auto"/>
          <w:w w:val="99"/>
          <w:highlight w:val="none"/>
          <w:lang w:val="en-US" w:eastAsia="zh-CN"/>
        </w:rPr>
        <w:t>大庆油田有限责任公司第十一采油厂</w:t>
      </w:r>
      <w:r>
        <w:rPr>
          <w:rFonts w:ascii="Times New Roman" w:hAnsi="Times New Roman" w:cs="Times New Roman" w:eastAsiaTheme="minorEastAsia"/>
          <w:color w:val="auto"/>
          <w:w w:val="99"/>
          <w:highlight w:val="none"/>
        </w:rPr>
        <w:t>已按要求进行了执行报告、自行监测、台账记录等内容，符合《排污许可管理条例》（2021年3月1日起施行）、《排污许可管理办法》（2024年7月1日起施行）中相关要求。</w:t>
      </w:r>
    </w:p>
    <w:p w14:paraId="78F4D768">
      <w:pPr>
        <w:keepNext/>
        <w:keepLines/>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3.1.2现有工程污染防治设施运行和排放情况</w:t>
      </w:r>
    </w:p>
    <w:p w14:paraId="1273C57C">
      <w:pPr>
        <w:widowControl w:val="0"/>
        <w:spacing w:line="440" w:lineRule="exact"/>
        <w:ind w:firstLine="480" w:firstLineChars="200"/>
        <w:jc w:val="both"/>
        <w:rPr>
          <w:rFonts w:ascii="Times New Roman" w:hAnsi="Times New Roman" w:cs="Times New Roman"/>
          <w:bCs/>
          <w:caps w:val="0"/>
          <w:smallCaps w:val="0"/>
          <w:color w:val="auto"/>
          <w:spacing w:val="0"/>
          <w:w w:val="100"/>
          <w:kern w:val="2"/>
          <w:position w:val="0"/>
          <w:szCs w:val="20"/>
          <w:highlight w:val="none"/>
        </w:rPr>
      </w:pPr>
      <w:r>
        <w:rPr>
          <w:rFonts w:ascii="Times New Roman" w:hAnsi="Times New Roman" w:cs="Times New Roman"/>
          <w:bCs/>
          <w:caps w:val="0"/>
          <w:smallCaps w:val="0"/>
          <w:color w:val="auto"/>
          <w:spacing w:val="0"/>
          <w:w w:val="100"/>
          <w:kern w:val="2"/>
          <w:position w:val="0"/>
          <w:szCs w:val="20"/>
          <w:highlight w:val="none"/>
        </w:rPr>
        <w:t>（1）废气</w:t>
      </w:r>
    </w:p>
    <w:p w14:paraId="3B0B7AB5">
      <w:pPr>
        <w:widowControl w:val="0"/>
        <w:spacing w:line="440" w:lineRule="exact"/>
        <w:ind w:firstLine="480" w:firstLineChars="200"/>
        <w:jc w:val="both"/>
        <w:rPr>
          <w:rFonts w:ascii="Times New Roman" w:hAnsi="Times New Roman" w:cs="Times New Roman"/>
          <w:bCs/>
          <w:caps w:val="0"/>
          <w:smallCaps w:val="0"/>
          <w:color w:val="auto"/>
          <w:spacing w:val="0"/>
          <w:w w:val="100"/>
          <w:kern w:val="2"/>
          <w:position w:val="0"/>
          <w:szCs w:val="20"/>
          <w:highlight w:val="none"/>
        </w:rPr>
      </w:pPr>
      <w:r>
        <w:rPr>
          <w:rFonts w:hint="eastAsia"/>
          <w:bCs/>
          <w:caps w:val="0"/>
          <w:smallCaps w:val="0"/>
          <w:color w:val="auto"/>
          <w:spacing w:val="0"/>
          <w:w w:val="100"/>
          <w:kern w:val="2"/>
          <w:position w:val="0"/>
          <w:szCs w:val="20"/>
          <w:highlight w:val="none"/>
        </w:rPr>
        <w:t>①</w:t>
      </w:r>
      <w:r>
        <w:rPr>
          <w:rFonts w:ascii="Times New Roman" w:hAnsi="Times New Roman" w:cs="Times New Roman"/>
          <w:bCs/>
          <w:caps w:val="0"/>
          <w:smallCaps w:val="0"/>
          <w:color w:val="auto"/>
          <w:spacing w:val="0"/>
          <w:w w:val="100"/>
          <w:kern w:val="2"/>
          <w:position w:val="0"/>
          <w:szCs w:val="20"/>
          <w:highlight w:val="none"/>
        </w:rPr>
        <w:t>非甲烷总烃</w:t>
      </w:r>
    </w:p>
    <w:p w14:paraId="1CD4B095">
      <w:pPr>
        <w:pStyle w:val="31"/>
        <w:widowControl w:val="0"/>
        <w:spacing w:line="440" w:lineRule="exact"/>
        <w:ind w:firstLine="474" w:firstLineChars="200"/>
        <w:jc w:val="both"/>
        <w:rPr>
          <w:rFonts w:ascii="Times New Roman" w:hAnsi="Times New Roman" w:eastAsia="宋体" w:cs="Times New Roman"/>
          <w:bCs/>
          <w:color w:val="auto"/>
          <w:w w:val="99"/>
          <w:szCs w:val="20"/>
          <w:highlight w:val="none"/>
        </w:rPr>
      </w:pPr>
      <w:r>
        <w:rPr>
          <w:rFonts w:ascii="Times New Roman" w:hAnsi="Times New Roman" w:eastAsia="宋体" w:cs="Times New Roman"/>
          <w:bCs/>
          <w:color w:val="auto"/>
          <w:w w:val="99"/>
          <w:szCs w:val="20"/>
          <w:highlight w:val="none"/>
        </w:rPr>
        <w:t>现有工程排放的废气主要为</w:t>
      </w:r>
      <w:r>
        <w:rPr>
          <w:rFonts w:hint="eastAsia" w:ascii="Times New Roman" w:hAnsi="Times New Roman" w:eastAsia="宋体" w:cs="Times New Roman"/>
          <w:bCs/>
          <w:color w:val="auto"/>
          <w:w w:val="99"/>
          <w:szCs w:val="20"/>
          <w:highlight w:val="none"/>
        </w:rPr>
        <w:t>区块</w:t>
      </w:r>
      <w:r>
        <w:rPr>
          <w:rFonts w:ascii="Times New Roman" w:hAnsi="Times New Roman" w:eastAsia="宋体" w:cs="Times New Roman"/>
          <w:bCs/>
          <w:color w:val="auto"/>
          <w:w w:val="99"/>
          <w:szCs w:val="20"/>
          <w:highlight w:val="none"/>
        </w:rPr>
        <w:t>内油井以及集输管线在运行过程中无组织挥发的非甲烷总烃，根据建设单位提供资料，</w:t>
      </w:r>
      <w:r>
        <w:rPr>
          <w:rFonts w:hint="eastAsia" w:ascii="Times New Roman" w:hAnsi="Times New Roman" w:eastAsia="宋体" w:cs="Times New Roman"/>
          <w:bCs/>
          <w:color w:val="auto"/>
          <w:w w:val="99"/>
          <w:szCs w:val="20"/>
          <w:highlight w:val="none"/>
        </w:rPr>
        <w:t>本项目涉及区块</w:t>
      </w:r>
      <w:r>
        <w:rPr>
          <w:rFonts w:ascii="Times New Roman" w:hAnsi="Times New Roman" w:eastAsia="宋体" w:cs="Times New Roman"/>
          <w:bCs/>
          <w:color w:val="auto"/>
          <w:w w:val="99"/>
          <w:szCs w:val="20"/>
          <w:highlight w:val="none"/>
        </w:rPr>
        <w:t>目前产油约</w:t>
      </w:r>
      <w:r>
        <w:rPr>
          <w:rFonts w:hint="eastAsia" w:ascii="Times New Roman" w:hAnsi="Times New Roman" w:eastAsia="宋体" w:cs="Times New Roman"/>
          <w:bCs/>
          <w:color w:val="auto"/>
          <w:w w:val="99"/>
          <w:szCs w:val="20"/>
          <w:highlight w:val="none"/>
          <w:lang w:val="en-US" w:eastAsia="zh-CN"/>
        </w:rPr>
        <w:t>18.5</w:t>
      </w:r>
      <w:r>
        <w:rPr>
          <w:rFonts w:ascii="Times New Roman" w:hAnsi="Times New Roman" w:eastAsia="宋体" w:cs="Times New Roman"/>
          <w:bCs/>
          <w:color w:val="auto"/>
          <w:w w:val="99"/>
          <w:szCs w:val="20"/>
          <w:highlight w:val="none"/>
        </w:rPr>
        <w:t>×10</w:t>
      </w:r>
      <w:r>
        <w:rPr>
          <w:rFonts w:ascii="Times New Roman" w:hAnsi="Times New Roman" w:eastAsia="宋体" w:cs="Times New Roman"/>
          <w:bCs/>
          <w:color w:val="auto"/>
          <w:w w:val="99"/>
          <w:szCs w:val="20"/>
          <w:highlight w:val="none"/>
          <w:vertAlign w:val="superscript"/>
        </w:rPr>
        <w:t>4</w:t>
      </w:r>
      <w:r>
        <w:rPr>
          <w:rFonts w:ascii="Times New Roman" w:hAnsi="Times New Roman" w:eastAsia="宋体" w:cs="Times New Roman"/>
          <w:bCs/>
          <w:color w:val="auto"/>
          <w:w w:val="99"/>
          <w:szCs w:val="20"/>
          <w:highlight w:val="none"/>
        </w:rPr>
        <w:t>t/a。根据《大气挥发性有机物源排放清单编制技术指南（试行）》中石油化工业天然原油和天然气开采，石油开采挥发性有机物产生系数1.4175g/kg原油，则现有区块非甲烷总烃挥发量为</w:t>
      </w:r>
      <w:r>
        <w:rPr>
          <w:rFonts w:hint="eastAsia" w:ascii="Times New Roman" w:hAnsi="Times New Roman" w:eastAsia="宋体" w:cs="Times New Roman"/>
          <w:bCs/>
          <w:color w:val="auto"/>
          <w:w w:val="99"/>
          <w:szCs w:val="20"/>
          <w:highlight w:val="none"/>
          <w:lang w:val="en-US" w:eastAsia="zh-CN"/>
        </w:rPr>
        <w:t>262.24</w:t>
      </w:r>
      <w:r>
        <w:rPr>
          <w:rFonts w:ascii="Times New Roman" w:hAnsi="Times New Roman" w:eastAsia="宋体" w:cs="Times New Roman"/>
          <w:bCs/>
          <w:color w:val="auto"/>
          <w:w w:val="99"/>
          <w:szCs w:val="20"/>
          <w:highlight w:val="none"/>
        </w:rPr>
        <w:t>t/a。</w:t>
      </w:r>
    </w:p>
    <w:p w14:paraId="5A88B74A">
      <w:pPr>
        <w:widowControl w:val="0"/>
        <w:spacing w:line="440" w:lineRule="exact"/>
        <w:ind w:firstLine="480" w:firstLineChars="200"/>
        <w:jc w:val="both"/>
        <w:rPr>
          <w:rFonts w:hint="eastAsia" w:ascii="Times New Roman" w:hAnsi="Times New Roman" w:eastAsia="宋体" w:cs="Times New Roman"/>
          <w:bCs/>
          <w:color w:val="auto"/>
          <w:szCs w:val="20"/>
          <w:highlight w:val="none"/>
          <w:lang w:eastAsia="zh-CN"/>
        </w:rPr>
      </w:pPr>
      <w:r>
        <w:rPr>
          <w:rFonts w:ascii="Times New Roman" w:hAnsi="Times New Roman" w:cs="Times New Roman"/>
          <w:bCs/>
          <w:color w:val="auto"/>
          <w:szCs w:val="20"/>
          <w:highlight w:val="none"/>
        </w:rPr>
        <w:t>现有工程在油气集输过程采取了全密闭工艺流程，油井井口均安装了密封垫、管线均埋地敷设、依托场站内各关键接口法兰均进行了密闭处理，有效的控制了无组织气体的挥发。根据现有工程及依托场站竣工环境保护验收调查报告</w:t>
      </w:r>
      <w:r>
        <w:rPr>
          <w:rFonts w:hint="eastAsia" w:ascii="Times New Roman" w:hAnsi="Times New Roman" w:cs="Times New Roman"/>
          <w:bCs/>
          <w:color w:val="auto"/>
          <w:szCs w:val="20"/>
          <w:highlight w:val="none"/>
        </w:rPr>
        <w:t>和本工程监测报告</w:t>
      </w:r>
      <w:r>
        <w:rPr>
          <w:rFonts w:ascii="Times New Roman" w:hAnsi="Times New Roman" w:cs="Times New Roman"/>
          <w:bCs/>
          <w:color w:val="auto"/>
          <w:szCs w:val="20"/>
          <w:highlight w:val="none"/>
        </w:rPr>
        <w:t>（见附件</w:t>
      </w:r>
      <w:r>
        <w:rPr>
          <w:rFonts w:hint="eastAsia" w:ascii="Times New Roman" w:hAnsi="Times New Roman" w:cs="Times New Roman"/>
          <w:bCs/>
          <w:color w:val="auto"/>
          <w:szCs w:val="20"/>
          <w:highlight w:val="none"/>
        </w:rPr>
        <w:t>4、附件6</w:t>
      </w:r>
      <w:r>
        <w:rPr>
          <w:rFonts w:ascii="Times New Roman" w:hAnsi="Times New Roman" w:cs="Times New Roman"/>
          <w:bCs/>
          <w:color w:val="auto"/>
          <w:szCs w:val="20"/>
          <w:highlight w:val="none"/>
        </w:rPr>
        <w:t>）</w:t>
      </w:r>
      <w:r>
        <w:rPr>
          <w:rFonts w:ascii="Times New Roman" w:hAnsi="Times New Roman" w:cs="Times New Roman"/>
          <w:bCs/>
          <w:color w:val="auto"/>
          <w:szCs w:val="20"/>
          <w:highlight w:val="none"/>
        </w:rPr>
        <w:t>，</w:t>
      </w:r>
      <w:r>
        <w:rPr>
          <w:rFonts w:hint="eastAsia" w:ascii="Times New Roman" w:hAnsi="Times New Roman" w:cs="Times New Roman"/>
          <w:bCs/>
          <w:color w:val="auto"/>
          <w:szCs w:val="20"/>
          <w:highlight w:val="none"/>
        </w:rPr>
        <w:t>卫一转油站</w:t>
      </w:r>
      <w:r>
        <w:rPr>
          <w:rFonts w:ascii="Times New Roman" w:hAnsi="Times New Roman" w:cs="Times New Roman"/>
          <w:bCs/>
          <w:color w:val="auto"/>
          <w:szCs w:val="20"/>
          <w:highlight w:val="none"/>
        </w:rPr>
        <w:t>厂界非甲烷总烃浓度在</w:t>
      </w:r>
      <w:r>
        <w:rPr>
          <w:rFonts w:hint="eastAsia" w:ascii="Times New Roman" w:hAnsi="Times New Roman" w:cs="Times New Roman"/>
          <w:bCs/>
          <w:color w:val="auto"/>
          <w:szCs w:val="20"/>
          <w:highlight w:val="none"/>
          <w:lang w:val="en-US" w:eastAsia="zh-CN"/>
        </w:rPr>
        <w:t>0.41-0.62</w:t>
      </w:r>
      <w:r>
        <w:rPr>
          <w:rFonts w:ascii="Times New Roman" w:hAnsi="Times New Roman" w:cs="Times New Roman"/>
          <w:bCs/>
          <w:color w:val="auto"/>
          <w:szCs w:val="20"/>
          <w:highlight w:val="none"/>
        </w:rPr>
        <w:t>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之间，站内非甲烷总烃1h平均浓度值在</w:t>
      </w:r>
      <w:r>
        <w:rPr>
          <w:rFonts w:hint="eastAsia" w:ascii="Times New Roman" w:hAnsi="Times New Roman" w:cs="Times New Roman"/>
          <w:bCs/>
          <w:color w:val="auto"/>
          <w:szCs w:val="20"/>
          <w:highlight w:val="none"/>
          <w:lang w:val="en-US" w:eastAsia="zh-CN"/>
        </w:rPr>
        <w:t>0.50-0.63</w:t>
      </w:r>
      <w:r>
        <w:rPr>
          <w:rFonts w:ascii="Times New Roman" w:hAnsi="Times New Roman" w:cs="Times New Roman"/>
          <w:bCs/>
          <w:color w:val="auto"/>
          <w:szCs w:val="20"/>
          <w:highlight w:val="none"/>
        </w:rPr>
        <w:t>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之间，任意一次浓度值在0.</w:t>
      </w:r>
      <w:r>
        <w:rPr>
          <w:rFonts w:hint="eastAsia" w:ascii="Times New Roman" w:hAnsi="Times New Roman" w:cs="Times New Roman"/>
          <w:bCs/>
          <w:color w:val="auto"/>
          <w:szCs w:val="20"/>
          <w:highlight w:val="none"/>
        </w:rPr>
        <w:t>51</w:t>
      </w:r>
      <w:r>
        <w:rPr>
          <w:rFonts w:ascii="Times New Roman" w:hAnsi="Times New Roman" w:cs="Times New Roman"/>
          <w:bCs/>
          <w:color w:val="auto"/>
          <w:szCs w:val="20"/>
          <w:highlight w:val="none"/>
        </w:rPr>
        <w:t>~0.</w:t>
      </w:r>
      <w:r>
        <w:rPr>
          <w:rFonts w:hint="eastAsia" w:ascii="Times New Roman" w:hAnsi="Times New Roman" w:cs="Times New Roman"/>
          <w:bCs/>
          <w:color w:val="auto"/>
          <w:szCs w:val="20"/>
          <w:highlight w:val="none"/>
        </w:rPr>
        <w:t>56</w:t>
      </w:r>
      <w:r>
        <w:rPr>
          <w:rFonts w:ascii="Times New Roman" w:hAnsi="Times New Roman" w:cs="Times New Roman"/>
          <w:bCs/>
          <w:color w:val="auto"/>
          <w:szCs w:val="20"/>
          <w:highlight w:val="none"/>
        </w:rPr>
        <w:t>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w:t>
      </w:r>
      <w:r>
        <w:rPr>
          <w:rFonts w:hint="eastAsia" w:ascii="Times New Roman" w:hAnsi="Times New Roman" w:cs="Times New Roman"/>
          <w:bCs/>
          <w:color w:val="auto"/>
          <w:szCs w:val="20"/>
          <w:highlight w:val="none"/>
        </w:rPr>
        <w:t>卫二转油站</w:t>
      </w:r>
      <w:r>
        <w:rPr>
          <w:rFonts w:ascii="Times New Roman" w:hAnsi="Times New Roman" w:cs="Times New Roman"/>
          <w:bCs/>
          <w:color w:val="auto"/>
          <w:szCs w:val="20"/>
          <w:highlight w:val="none"/>
        </w:rPr>
        <w:t>厂界非甲烷总烃浓度在0.</w:t>
      </w:r>
      <w:r>
        <w:rPr>
          <w:rFonts w:hint="eastAsia" w:ascii="Times New Roman" w:hAnsi="Times New Roman" w:cs="Times New Roman"/>
          <w:bCs/>
          <w:color w:val="auto"/>
          <w:szCs w:val="20"/>
          <w:highlight w:val="none"/>
        </w:rPr>
        <w:t>44</w:t>
      </w:r>
      <w:r>
        <w:rPr>
          <w:rFonts w:ascii="Times New Roman" w:hAnsi="Times New Roman" w:cs="Times New Roman"/>
          <w:bCs/>
          <w:color w:val="auto"/>
          <w:szCs w:val="20"/>
          <w:highlight w:val="none"/>
        </w:rPr>
        <w:t>~0.</w:t>
      </w:r>
      <w:r>
        <w:rPr>
          <w:rFonts w:hint="eastAsia" w:ascii="Times New Roman" w:hAnsi="Times New Roman" w:cs="Times New Roman"/>
          <w:bCs/>
          <w:color w:val="auto"/>
          <w:szCs w:val="20"/>
          <w:highlight w:val="none"/>
        </w:rPr>
        <w:t>61</w:t>
      </w:r>
      <w:r>
        <w:rPr>
          <w:rFonts w:ascii="Times New Roman" w:hAnsi="Times New Roman" w:cs="Times New Roman"/>
          <w:bCs/>
          <w:color w:val="auto"/>
          <w:szCs w:val="20"/>
          <w:highlight w:val="none"/>
        </w:rPr>
        <w:t>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之间，站内非甲烷总烃1h平均浓度值在0.</w:t>
      </w:r>
      <w:r>
        <w:rPr>
          <w:rFonts w:hint="eastAsia" w:ascii="Times New Roman" w:hAnsi="Times New Roman" w:cs="Times New Roman"/>
          <w:bCs/>
          <w:color w:val="auto"/>
          <w:szCs w:val="20"/>
          <w:highlight w:val="none"/>
        </w:rPr>
        <w:t>51</w:t>
      </w:r>
      <w:r>
        <w:rPr>
          <w:rFonts w:ascii="Times New Roman" w:hAnsi="Times New Roman" w:cs="Times New Roman"/>
          <w:bCs/>
          <w:color w:val="auto"/>
          <w:szCs w:val="20"/>
          <w:highlight w:val="none"/>
        </w:rPr>
        <w:t>~0.</w:t>
      </w:r>
      <w:r>
        <w:rPr>
          <w:rFonts w:hint="eastAsia" w:ascii="Times New Roman" w:hAnsi="Times New Roman" w:cs="Times New Roman"/>
          <w:bCs/>
          <w:color w:val="auto"/>
          <w:szCs w:val="20"/>
          <w:highlight w:val="none"/>
        </w:rPr>
        <w:t>6</w:t>
      </w:r>
      <w:r>
        <w:rPr>
          <w:rFonts w:ascii="Times New Roman" w:hAnsi="Times New Roman" w:cs="Times New Roman"/>
          <w:bCs/>
          <w:color w:val="auto"/>
          <w:szCs w:val="20"/>
          <w:highlight w:val="none"/>
        </w:rPr>
        <w:t>1mg/m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之间，任意一次浓度值在0.</w:t>
      </w:r>
      <w:r>
        <w:rPr>
          <w:rFonts w:hint="eastAsia" w:ascii="Times New Roman" w:hAnsi="Times New Roman" w:cs="Times New Roman"/>
          <w:bCs/>
          <w:color w:val="auto"/>
          <w:szCs w:val="20"/>
          <w:highlight w:val="none"/>
        </w:rPr>
        <w:t>57</w:t>
      </w:r>
      <w:r>
        <w:rPr>
          <w:rFonts w:ascii="Times New Roman" w:hAnsi="Times New Roman" w:cs="Times New Roman"/>
          <w:bCs/>
          <w:color w:val="auto"/>
          <w:szCs w:val="20"/>
          <w:highlight w:val="none"/>
        </w:rPr>
        <w:t>~0.6</w:t>
      </w:r>
      <w:r>
        <w:rPr>
          <w:rFonts w:hint="eastAsia" w:ascii="Times New Roman" w:hAnsi="Times New Roman" w:cs="Times New Roman"/>
          <w:bCs/>
          <w:color w:val="auto"/>
          <w:szCs w:val="20"/>
          <w:highlight w:val="none"/>
        </w:rPr>
        <w:t>2</w:t>
      </w:r>
      <w:r>
        <w:rPr>
          <w:rFonts w:ascii="Times New Roman" w:hAnsi="Times New Roman" w:cs="Times New Roman"/>
          <w:bCs/>
          <w:color w:val="auto"/>
          <w:szCs w:val="20"/>
          <w:highlight w:val="none"/>
        </w:rPr>
        <w:t>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w:t>
      </w:r>
      <w:r>
        <w:rPr>
          <w:rFonts w:hint="eastAsia" w:ascii="Times New Roman" w:hAnsi="Times New Roman" w:cs="Times New Roman"/>
          <w:bCs/>
          <w:color w:val="auto"/>
          <w:szCs w:val="20"/>
          <w:highlight w:val="none"/>
        </w:rPr>
        <w:t>卫一联合站</w:t>
      </w:r>
      <w:r>
        <w:rPr>
          <w:rFonts w:ascii="Times New Roman" w:hAnsi="Times New Roman" w:cs="Times New Roman"/>
          <w:bCs/>
          <w:color w:val="auto"/>
          <w:szCs w:val="20"/>
          <w:highlight w:val="none"/>
        </w:rPr>
        <w:t>厂界非甲烷总烃浓度在0.4</w:t>
      </w:r>
      <w:r>
        <w:rPr>
          <w:rFonts w:hint="eastAsia" w:ascii="Times New Roman" w:hAnsi="Times New Roman" w:cs="Times New Roman"/>
          <w:bCs/>
          <w:color w:val="auto"/>
          <w:szCs w:val="20"/>
          <w:highlight w:val="none"/>
          <w:lang w:val="en-US" w:eastAsia="zh-CN"/>
        </w:rPr>
        <w:t>1</w:t>
      </w:r>
      <w:r>
        <w:rPr>
          <w:rFonts w:ascii="Times New Roman" w:hAnsi="Times New Roman" w:cs="Times New Roman"/>
          <w:bCs/>
          <w:color w:val="auto"/>
          <w:szCs w:val="20"/>
          <w:highlight w:val="none"/>
        </w:rPr>
        <w:t>~0.</w:t>
      </w:r>
      <w:r>
        <w:rPr>
          <w:rFonts w:hint="eastAsia" w:ascii="Times New Roman" w:hAnsi="Times New Roman" w:cs="Times New Roman"/>
          <w:bCs/>
          <w:color w:val="auto"/>
          <w:szCs w:val="20"/>
          <w:highlight w:val="none"/>
        </w:rPr>
        <w:t>6</w:t>
      </w:r>
      <w:r>
        <w:rPr>
          <w:rFonts w:hint="eastAsia" w:ascii="Times New Roman" w:hAnsi="Times New Roman" w:cs="Times New Roman"/>
          <w:bCs/>
          <w:color w:val="auto"/>
          <w:szCs w:val="20"/>
          <w:highlight w:val="none"/>
          <w:lang w:val="en-US" w:eastAsia="zh-CN"/>
        </w:rPr>
        <w:t>1</w:t>
      </w:r>
      <w:r>
        <w:rPr>
          <w:rFonts w:ascii="Times New Roman" w:hAnsi="Times New Roman" w:cs="Times New Roman"/>
          <w:bCs/>
          <w:color w:val="auto"/>
          <w:szCs w:val="20"/>
          <w:highlight w:val="none"/>
        </w:rPr>
        <w:t>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之间，站内非甲烷总烃1h平均浓度值在0.</w:t>
      </w:r>
      <w:r>
        <w:rPr>
          <w:rFonts w:hint="eastAsia" w:ascii="Times New Roman" w:hAnsi="Times New Roman" w:cs="Times New Roman"/>
          <w:bCs/>
          <w:color w:val="auto"/>
          <w:szCs w:val="20"/>
          <w:highlight w:val="none"/>
          <w:lang w:val="en-US" w:eastAsia="zh-CN"/>
        </w:rPr>
        <w:t>48</w:t>
      </w:r>
      <w:r>
        <w:rPr>
          <w:rFonts w:ascii="Times New Roman" w:hAnsi="Times New Roman" w:cs="Times New Roman"/>
          <w:bCs/>
          <w:color w:val="auto"/>
          <w:szCs w:val="20"/>
          <w:highlight w:val="none"/>
        </w:rPr>
        <w:t>~0.</w:t>
      </w:r>
      <w:r>
        <w:rPr>
          <w:rFonts w:hint="eastAsia" w:ascii="Times New Roman" w:hAnsi="Times New Roman" w:cs="Times New Roman"/>
          <w:bCs/>
          <w:color w:val="auto"/>
          <w:szCs w:val="20"/>
          <w:highlight w:val="none"/>
        </w:rPr>
        <w:t>6</w:t>
      </w:r>
      <w:r>
        <w:rPr>
          <w:rFonts w:hint="eastAsia" w:ascii="Times New Roman" w:hAnsi="Times New Roman" w:cs="Times New Roman"/>
          <w:bCs/>
          <w:color w:val="auto"/>
          <w:szCs w:val="20"/>
          <w:highlight w:val="none"/>
          <w:lang w:val="en-US" w:eastAsia="zh-CN"/>
        </w:rPr>
        <w:t>1</w:t>
      </w:r>
      <w:r>
        <w:rPr>
          <w:rFonts w:ascii="Times New Roman" w:hAnsi="Times New Roman" w:cs="Times New Roman"/>
          <w:bCs/>
          <w:color w:val="auto"/>
          <w:szCs w:val="20"/>
          <w:highlight w:val="none"/>
        </w:rPr>
        <w:t>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之间，任意一次浓度值在0.</w:t>
      </w:r>
      <w:r>
        <w:rPr>
          <w:rFonts w:hint="eastAsia" w:ascii="Times New Roman" w:hAnsi="Times New Roman" w:cs="Times New Roman"/>
          <w:bCs/>
          <w:color w:val="auto"/>
          <w:szCs w:val="20"/>
          <w:highlight w:val="none"/>
        </w:rPr>
        <w:t>53</w:t>
      </w:r>
      <w:r>
        <w:rPr>
          <w:rFonts w:ascii="Times New Roman" w:hAnsi="Times New Roman" w:cs="Times New Roman"/>
          <w:bCs/>
          <w:color w:val="auto"/>
          <w:szCs w:val="20"/>
          <w:highlight w:val="none"/>
        </w:rPr>
        <w:t>~0.</w:t>
      </w:r>
      <w:r>
        <w:rPr>
          <w:rFonts w:hint="eastAsia" w:ascii="Times New Roman" w:hAnsi="Times New Roman" w:cs="Times New Roman"/>
          <w:bCs/>
          <w:color w:val="auto"/>
          <w:szCs w:val="20"/>
          <w:highlight w:val="none"/>
        </w:rPr>
        <w:t>60</w:t>
      </w:r>
      <w:r>
        <w:rPr>
          <w:rFonts w:ascii="Times New Roman" w:hAnsi="Times New Roman" w:cs="Times New Roman"/>
          <w:bCs/>
          <w:color w:val="auto"/>
          <w:szCs w:val="20"/>
          <w:highlight w:val="none"/>
        </w:rPr>
        <w:t>mg/m</w:t>
      </w:r>
      <w:r>
        <w:rPr>
          <w:rFonts w:ascii="Times New Roman" w:hAnsi="Times New Roman" w:cs="Times New Roman"/>
          <w:bCs/>
          <w:color w:val="auto"/>
          <w:szCs w:val="20"/>
          <w:highlight w:val="none"/>
          <w:vertAlign w:val="superscript"/>
        </w:rPr>
        <w:t>3</w:t>
      </w:r>
      <w:r>
        <w:rPr>
          <w:rFonts w:ascii="Times New Roman" w:hAnsi="Times New Roman" w:cs="Times New Roman"/>
          <w:bCs/>
          <w:color w:val="auto"/>
          <w:szCs w:val="20"/>
          <w:highlight w:val="none"/>
        </w:rPr>
        <w:t>之间；现有区块内井场、各场站排放的非甲烷总烃边界能够满足《陆上石油天然气开采工业大气污染物排放标准》（GB39728-2020）5.9中规定要求</w:t>
      </w:r>
      <w:r>
        <w:rPr>
          <w:rFonts w:hint="eastAsia" w:ascii="Times New Roman" w:hAnsi="Times New Roman" w:cs="Times New Roman"/>
          <w:bCs/>
          <w:color w:val="auto"/>
          <w:szCs w:val="20"/>
          <w:highlight w:val="none"/>
          <w:lang w:eastAsia="zh-CN"/>
        </w:rPr>
        <w:t>。</w:t>
      </w:r>
    </w:p>
    <w:p w14:paraId="086CA7EC">
      <w:pPr>
        <w:widowControl w:val="0"/>
        <w:spacing w:line="440" w:lineRule="exact"/>
        <w:ind w:firstLine="480" w:firstLineChars="200"/>
        <w:jc w:val="both"/>
        <w:rPr>
          <w:rFonts w:ascii="Times New Roman" w:hAnsi="Times New Roman" w:cs="Times New Roman"/>
          <w:bCs/>
          <w:caps w:val="0"/>
          <w:smallCaps w:val="0"/>
          <w:color w:val="auto"/>
          <w:spacing w:val="0"/>
          <w:w w:val="100"/>
          <w:kern w:val="2"/>
          <w:position w:val="0"/>
          <w:szCs w:val="20"/>
          <w:highlight w:val="none"/>
        </w:rPr>
      </w:pPr>
      <w:r>
        <w:rPr>
          <w:rFonts w:hint="eastAsia"/>
          <w:bCs/>
          <w:caps w:val="0"/>
          <w:smallCaps w:val="0"/>
          <w:color w:val="auto"/>
          <w:spacing w:val="0"/>
          <w:w w:val="100"/>
          <w:kern w:val="2"/>
          <w:position w:val="0"/>
          <w:szCs w:val="20"/>
          <w:highlight w:val="none"/>
        </w:rPr>
        <w:t>②</w:t>
      </w:r>
      <w:r>
        <w:rPr>
          <w:rFonts w:ascii="Times New Roman" w:hAnsi="Times New Roman" w:cs="Times New Roman"/>
          <w:bCs/>
          <w:caps w:val="0"/>
          <w:smallCaps w:val="0"/>
          <w:color w:val="auto"/>
          <w:spacing w:val="0"/>
          <w:w w:val="100"/>
          <w:kern w:val="2"/>
          <w:position w:val="0"/>
          <w:szCs w:val="20"/>
          <w:highlight w:val="none"/>
        </w:rPr>
        <w:t>加热炉烟气</w:t>
      </w:r>
    </w:p>
    <w:p w14:paraId="23A4F684">
      <w:pPr>
        <w:widowControl w:val="0"/>
        <w:spacing w:line="440" w:lineRule="exact"/>
        <w:ind w:firstLine="480" w:firstLineChars="200"/>
        <w:jc w:val="both"/>
        <w:rPr>
          <w:rFonts w:ascii="Times New Roman" w:hAnsi="Times New Roman" w:cs="Times New Roman" w:eastAsiaTheme="minorEastAsia"/>
          <w:bCs/>
          <w:color w:val="auto"/>
          <w:kern w:val="2"/>
          <w:szCs w:val="20"/>
          <w:highlight w:val="none"/>
        </w:rPr>
      </w:pPr>
      <w:r>
        <w:rPr>
          <w:rFonts w:ascii="Times New Roman" w:hAnsi="Times New Roman" w:cs="Times New Roman" w:eastAsiaTheme="minorEastAsia"/>
          <w:color w:val="auto"/>
          <w:kern w:val="2"/>
          <w:szCs w:val="20"/>
          <w:highlight w:val="none"/>
        </w:rPr>
        <w:t>现有区块运行期产生的</w:t>
      </w:r>
      <w:r>
        <w:rPr>
          <w:rFonts w:ascii="Times New Roman" w:hAnsi="Times New Roman" w:cs="Times New Roman"/>
          <w:bCs/>
          <w:color w:val="auto"/>
          <w:szCs w:val="20"/>
          <w:highlight w:val="none"/>
        </w:rPr>
        <w:t>加热炉烟气</w:t>
      </w:r>
      <w:r>
        <w:rPr>
          <w:rFonts w:ascii="Times New Roman" w:hAnsi="Times New Roman" w:cs="Times New Roman" w:eastAsiaTheme="minorEastAsia"/>
          <w:color w:val="auto"/>
          <w:kern w:val="2"/>
          <w:szCs w:val="20"/>
          <w:highlight w:val="none"/>
        </w:rPr>
        <w:t>主要来自区块内的</w:t>
      </w:r>
      <w:r>
        <w:rPr>
          <w:rFonts w:hint="eastAsia" w:ascii="Times New Roman" w:hAnsi="Times New Roman" w:cs="Times New Roman" w:eastAsiaTheme="minorEastAsia"/>
          <w:color w:val="auto"/>
          <w:kern w:val="2"/>
          <w:szCs w:val="20"/>
          <w:highlight w:val="none"/>
        </w:rPr>
        <w:t>卫一转油站</w:t>
      </w:r>
      <w:r>
        <w:rPr>
          <w:rFonts w:ascii="Times New Roman" w:hAnsi="Times New Roman" w:cs="Times New Roman" w:eastAsiaTheme="minorEastAsia"/>
          <w:color w:val="auto"/>
          <w:kern w:val="2"/>
          <w:szCs w:val="20"/>
          <w:highlight w:val="none"/>
        </w:rPr>
        <w:t>、</w:t>
      </w:r>
      <w:r>
        <w:rPr>
          <w:rFonts w:hint="eastAsia" w:ascii="Times New Roman" w:hAnsi="Times New Roman" w:cs="Times New Roman" w:eastAsiaTheme="minorEastAsia"/>
          <w:color w:val="auto"/>
          <w:kern w:val="2"/>
          <w:szCs w:val="20"/>
          <w:highlight w:val="none"/>
        </w:rPr>
        <w:t>卫二转油站</w:t>
      </w:r>
      <w:r>
        <w:rPr>
          <w:rFonts w:ascii="Times New Roman" w:hAnsi="Times New Roman" w:cs="Times New Roman" w:eastAsiaTheme="minorEastAsia"/>
          <w:color w:val="auto"/>
          <w:kern w:val="2"/>
          <w:szCs w:val="20"/>
          <w:highlight w:val="none"/>
        </w:rPr>
        <w:t>、</w:t>
      </w:r>
      <w:r>
        <w:rPr>
          <w:rFonts w:hint="eastAsia" w:ascii="Times New Roman" w:hAnsi="Times New Roman" w:cs="Times New Roman" w:eastAsiaTheme="minorEastAsia"/>
          <w:color w:val="auto"/>
          <w:kern w:val="2"/>
          <w:szCs w:val="20"/>
          <w:highlight w:val="none"/>
        </w:rPr>
        <w:t>卫一联合站</w:t>
      </w:r>
      <w:r>
        <w:rPr>
          <w:rFonts w:ascii="Times New Roman" w:hAnsi="Times New Roman" w:cs="Times New Roman" w:eastAsiaTheme="minorEastAsia"/>
          <w:color w:val="auto"/>
          <w:kern w:val="2"/>
          <w:szCs w:val="20"/>
          <w:highlight w:val="none"/>
        </w:rPr>
        <w:t>。卫一转油站</w:t>
      </w:r>
      <w:r>
        <w:rPr>
          <w:rFonts w:hint="eastAsia" w:ascii="Times New Roman" w:hAnsi="Times New Roman" w:cs="Times New Roman" w:eastAsiaTheme="minorEastAsia"/>
          <w:color w:val="auto"/>
          <w:kern w:val="2"/>
          <w:szCs w:val="20"/>
          <w:highlight w:val="none"/>
        </w:rPr>
        <w:t>共4台加热炉</w:t>
      </w:r>
      <w:r>
        <w:rPr>
          <w:rFonts w:ascii="Times New Roman" w:hAnsi="Times New Roman" w:cs="Times New Roman" w:eastAsiaTheme="minorEastAsia"/>
          <w:color w:val="auto"/>
          <w:kern w:val="2"/>
          <w:szCs w:val="20"/>
          <w:highlight w:val="none"/>
        </w:rPr>
        <w:t>（其中3台0.5MW加热炉，1台2MW</w:t>
      </w:r>
      <w:r>
        <w:rPr>
          <w:rFonts w:hint="eastAsia" w:ascii="Times New Roman" w:hAnsi="Times New Roman" w:cs="Times New Roman" w:eastAsiaTheme="minorEastAsia"/>
          <w:color w:val="auto"/>
          <w:kern w:val="2"/>
          <w:szCs w:val="20"/>
          <w:highlight w:val="none"/>
        </w:rPr>
        <w:t>加热炉</w:t>
      </w:r>
      <w:r>
        <w:rPr>
          <w:rFonts w:ascii="Times New Roman" w:hAnsi="Times New Roman" w:cs="Times New Roman" w:eastAsiaTheme="minorEastAsia"/>
          <w:color w:val="auto"/>
          <w:kern w:val="2"/>
          <w:szCs w:val="20"/>
          <w:highlight w:val="none"/>
        </w:rPr>
        <w:t>）</w:t>
      </w:r>
      <w:r>
        <w:rPr>
          <w:rFonts w:hint="eastAsia" w:ascii="Times New Roman" w:hAnsi="Times New Roman" w:cs="Times New Roman" w:eastAsiaTheme="minorEastAsia"/>
          <w:color w:val="auto"/>
          <w:kern w:val="2"/>
          <w:szCs w:val="20"/>
          <w:highlight w:val="none"/>
        </w:rPr>
        <w:t>，</w:t>
      </w:r>
      <w:r>
        <w:rPr>
          <w:rFonts w:ascii="Times New Roman" w:hAnsi="Times New Roman" w:cs="Times New Roman" w:eastAsiaTheme="minorEastAsia"/>
          <w:color w:val="auto"/>
          <w:kern w:val="2"/>
          <w:szCs w:val="20"/>
          <w:highlight w:val="none"/>
        </w:rPr>
        <w:t>卫二转油站共5台加热炉（其中4台2MW加热炉，1台0.29MW采暖炉）；卫一联合站共13台加热炉（其中10台0.315-3.7MW的加热炉，3台</w:t>
      </w:r>
      <w:r>
        <w:rPr>
          <w:rFonts w:hint="eastAsia" w:ascii="Times New Roman" w:hAnsi="Times New Roman" w:cs="Times New Roman" w:eastAsiaTheme="minorEastAsia"/>
          <w:color w:val="auto"/>
          <w:kern w:val="2"/>
          <w:szCs w:val="20"/>
          <w:highlight w:val="none"/>
        </w:rPr>
        <w:t>0.117</w:t>
      </w:r>
      <w:r>
        <w:rPr>
          <w:rFonts w:ascii="Times New Roman" w:hAnsi="Times New Roman" w:cs="Times New Roman" w:eastAsiaTheme="minorEastAsia"/>
          <w:color w:val="auto"/>
          <w:kern w:val="2"/>
          <w:szCs w:val="20"/>
          <w:highlight w:val="none"/>
        </w:rPr>
        <w:t>-2MW的采暖炉），</w:t>
      </w:r>
      <w:r>
        <w:rPr>
          <w:rFonts w:hint="eastAsia" w:ascii="Times New Roman" w:hAnsi="Times New Roman" w:cs="Times New Roman" w:eastAsiaTheme="minorEastAsia"/>
          <w:color w:val="auto"/>
          <w:kern w:val="2"/>
          <w:szCs w:val="20"/>
          <w:highlight w:val="none"/>
        </w:rPr>
        <w:t>加热炉使用清洁燃料天然气，并采用低氮燃烧器</w:t>
      </w:r>
      <w:r>
        <w:rPr>
          <w:rFonts w:ascii="Times New Roman" w:hAnsi="Times New Roman" w:cs="Times New Roman" w:eastAsiaTheme="minorEastAsia"/>
          <w:color w:val="auto"/>
          <w:kern w:val="2"/>
          <w:szCs w:val="20"/>
          <w:highlight w:val="none"/>
        </w:rPr>
        <w:t>。根据本次工程监测报告可知，卫一转油站加热炉排放的废气中颗粒物</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w:t>
      </w:r>
      <w:r>
        <w:rPr>
          <w:rFonts w:hint="eastAsia" w:ascii="Times New Roman" w:hAnsi="Times New Roman" w:cs="Times New Roman" w:eastAsiaTheme="minorEastAsia"/>
          <w:color w:val="auto"/>
          <w:kern w:val="2"/>
          <w:szCs w:val="20"/>
          <w:highlight w:val="none"/>
        </w:rPr>
        <w:t>8.7</w:t>
      </w:r>
      <w:r>
        <w:rPr>
          <w:rFonts w:ascii="Times New Roman" w:hAnsi="Times New Roman" w:cs="Times New Roman" w:eastAsiaTheme="minorEastAsia"/>
          <w:color w:val="auto"/>
          <w:kern w:val="2"/>
          <w:szCs w:val="20"/>
          <w:highlight w:val="none"/>
        </w:rPr>
        <w:t>mg/m</w:t>
      </w:r>
      <w:r>
        <w:rPr>
          <w:rFonts w:ascii="Times New Roman" w:hAnsi="Times New Roman" w:cs="Times New Roman" w:eastAsiaTheme="minorEastAsia"/>
          <w:color w:val="auto"/>
          <w:kern w:val="2"/>
          <w:szCs w:val="20"/>
          <w:highlight w:val="none"/>
          <w:vertAlign w:val="superscript"/>
        </w:rPr>
        <w:t>3</w:t>
      </w:r>
      <w:r>
        <w:rPr>
          <w:rFonts w:ascii="Times New Roman" w:hAnsi="Times New Roman" w:cs="Times New Roman" w:eastAsiaTheme="minorEastAsia"/>
          <w:color w:val="auto"/>
          <w:kern w:val="2"/>
          <w:szCs w:val="20"/>
          <w:highlight w:val="none"/>
        </w:rPr>
        <w:t>，NO</w:t>
      </w:r>
      <w:r>
        <w:rPr>
          <w:rFonts w:ascii="Times New Roman" w:hAnsi="Times New Roman" w:cs="Times New Roman" w:eastAsiaTheme="minorEastAsia"/>
          <w:color w:val="auto"/>
          <w:kern w:val="2"/>
          <w:szCs w:val="20"/>
          <w:highlight w:val="none"/>
          <w:vertAlign w:val="subscript"/>
        </w:rPr>
        <w:t>x</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w:t>
      </w:r>
      <w:r>
        <w:rPr>
          <w:rFonts w:hint="eastAsia" w:ascii="Times New Roman" w:hAnsi="Times New Roman" w:cs="Times New Roman" w:eastAsiaTheme="minorEastAsia"/>
          <w:color w:val="auto"/>
          <w:kern w:val="2"/>
          <w:szCs w:val="20"/>
          <w:highlight w:val="none"/>
        </w:rPr>
        <w:t>74.2</w:t>
      </w:r>
      <w:r>
        <w:rPr>
          <w:rFonts w:ascii="Times New Roman" w:hAnsi="Times New Roman" w:cs="Times New Roman" w:eastAsiaTheme="minorEastAsia"/>
          <w:color w:val="auto"/>
          <w:kern w:val="2"/>
          <w:szCs w:val="20"/>
          <w:highlight w:val="none"/>
        </w:rPr>
        <w:t>mg/m</w:t>
      </w:r>
      <w:r>
        <w:rPr>
          <w:rFonts w:ascii="Times New Roman" w:hAnsi="Times New Roman" w:cs="Times New Roman" w:eastAsiaTheme="minorEastAsia"/>
          <w:color w:val="auto"/>
          <w:kern w:val="2"/>
          <w:szCs w:val="20"/>
          <w:highlight w:val="none"/>
          <w:vertAlign w:val="superscript"/>
        </w:rPr>
        <w:t>3</w:t>
      </w:r>
      <w:r>
        <w:rPr>
          <w:rFonts w:ascii="Times New Roman" w:hAnsi="Times New Roman" w:cs="Times New Roman" w:eastAsiaTheme="minorEastAsia"/>
          <w:color w:val="auto"/>
          <w:kern w:val="2"/>
          <w:szCs w:val="20"/>
          <w:highlight w:val="none"/>
        </w:rPr>
        <w:t>，SO</w:t>
      </w:r>
      <w:r>
        <w:rPr>
          <w:rFonts w:ascii="Times New Roman" w:hAnsi="Times New Roman" w:cs="Times New Roman" w:eastAsiaTheme="minorEastAsia"/>
          <w:color w:val="auto"/>
          <w:kern w:val="2"/>
          <w:szCs w:val="20"/>
          <w:highlight w:val="none"/>
          <w:vertAlign w:val="subscript"/>
        </w:rPr>
        <w:t>2</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w:t>
      </w:r>
      <w:r>
        <w:rPr>
          <w:rFonts w:hint="eastAsia" w:ascii="Times New Roman" w:hAnsi="Times New Roman" w:cs="Times New Roman" w:eastAsiaTheme="minorEastAsia"/>
          <w:color w:val="auto"/>
          <w:kern w:val="2"/>
          <w:szCs w:val="20"/>
          <w:highlight w:val="none"/>
        </w:rPr>
        <w:t>8</w:t>
      </w:r>
      <w:r>
        <w:rPr>
          <w:rFonts w:ascii="Times New Roman" w:hAnsi="Times New Roman" w:cs="Times New Roman" w:eastAsiaTheme="minorEastAsia"/>
          <w:color w:val="auto"/>
          <w:kern w:val="2"/>
          <w:szCs w:val="20"/>
          <w:highlight w:val="none"/>
        </w:rPr>
        <w:t>mg/m</w:t>
      </w:r>
      <w:r>
        <w:rPr>
          <w:rFonts w:ascii="Times New Roman" w:hAnsi="Times New Roman" w:cs="Times New Roman" w:eastAsiaTheme="minorEastAsia"/>
          <w:color w:val="auto"/>
          <w:kern w:val="2"/>
          <w:szCs w:val="20"/>
          <w:highlight w:val="none"/>
          <w:vertAlign w:val="superscript"/>
        </w:rPr>
        <w:t>3</w:t>
      </w:r>
      <w:r>
        <w:rPr>
          <w:rFonts w:ascii="Times New Roman" w:hAnsi="Times New Roman" w:cs="Times New Roman" w:eastAsiaTheme="minorEastAsia"/>
          <w:color w:val="auto"/>
          <w:kern w:val="2"/>
          <w:szCs w:val="20"/>
          <w:highlight w:val="none"/>
        </w:rPr>
        <w:t>；卫二转油站加热炉排放的废气中颗粒物</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w:t>
      </w:r>
      <w:r>
        <w:rPr>
          <w:rFonts w:hint="eastAsia" w:ascii="Times New Roman" w:hAnsi="Times New Roman" w:cs="Times New Roman" w:eastAsiaTheme="minorEastAsia"/>
          <w:color w:val="auto"/>
          <w:kern w:val="2"/>
          <w:szCs w:val="20"/>
          <w:highlight w:val="none"/>
        </w:rPr>
        <w:t>1</w:t>
      </w:r>
      <w:r>
        <w:rPr>
          <w:rFonts w:ascii="Times New Roman" w:hAnsi="Times New Roman" w:cs="Times New Roman" w:eastAsiaTheme="minorEastAsia"/>
          <w:color w:val="auto"/>
          <w:kern w:val="2"/>
          <w:szCs w:val="20"/>
          <w:highlight w:val="none"/>
        </w:rPr>
        <w:t>0</w:t>
      </w:r>
      <w:r>
        <w:rPr>
          <w:rFonts w:hint="eastAsia" w:ascii="Times New Roman" w:hAnsi="Times New Roman" w:cs="Times New Roman" w:eastAsiaTheme="minorEastAsia"/>
          <w:color w:val="auto"/>
          <w:kern w:val="2"/>
          <w:szCs w:val="20"/>
          <w:highlight w:val="none"/>
        </w:rPr>
        <w:t>.3</w:t>
      </w:r>
      <w:r>
        <w:rPr>
          <w:rFonts w:ascii="Times New Roman" w:hAnsi="Times New Roman" w:cs="Times New Roman" w:eastAsiaTheme="minorEastAsia"/>
          <w:color w:val="auto"/>
          <w:kern w:val="2"/>
          <w:szCs w:val="20"/>
          <w:highlight w:val="none"/>
        </w:rPr>
        <w:t>mg/m</w:t>
      </w:r>
      <w:r>
        <w:rPr>
          <w:rFonts w:ascii="Times New Roman" w:hAnsi="Times New Roman" w:cs="Times New Roman" w:eastAsiaTheme="minorEastAsia"/>
          <w:color w:val="auto"/>
          <w:kern w:val="2"/>
          <w:szCs w:val="20"/>
          <w:highlight w:val="none"/>
          <w:vertAlign w:val="superscript"/>
        </w:rPr>
        <w:t>3</w:t>
      </w:r>
      <w:r>
        <w:rPr>
          <w:rFonts w:ascii="Times New Roman" w:hAnsi="Times New Roman" w:cs="Times New Roman" w:eastAsiaTheme="minorEastAsia"/>
          <w:color w:val="auto"/>
          <w:kern w:val="2"/>
          <w:szCs w:val="20"/>
          <w:highlight w:val="none"/>
        </w:rPr>
        <w:t>，NO</w:t>
      </w:r>
      <w:r>
        <w:rPr>
          <w:rFonts w:ascii="Times New Roman" w:hAnsi="Times New Roman" w:cs="Times New Roman" w:eastAsiaTheme="minorEastAsia"/>
          <w:color w:val="auto"/>
          <w:kern w:val="2"/>
          <w:szCs w:val="20"/>
          <w:highlight w:val="none"/>
          <w:vertAlign w:val="subscript"/>
        </w:rPr>
        <w:t>x</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为7</w:t>
      </w:r>
      <w:r>
        <w:rPr>
          <w:rFonts w:hint="eastAsia" w:ascii="Times New Roman" w:hAnsi="Times New Roman" w:cs="Times New Roman" w:eastAsiaTheme="minorEastAsia"/>
          <w:color w:val="auto"/>
          <w:kern w:val="2"/>
          <w:szCs w:val="20"/>
          <w:highlight w:val="none"/>
        </w:rPr>
        <w:t>2.2</w:t>
      </w:r>
      <w:r>
        <w:rPr>
          <w:rFonts w:ascii="Times New Roman" w:hAnsi="Times New Roman" w:cs="Times New Roman" w:eastAsiaTheme="minorEastAsia"/>
          <w:color w:val="auto"/>
          <w:kern w:val="2"/>
          <w:szCs w:val="20"/>
          <w:highlight w:val="none"/>
        </w:rPr>
        <w:t>mg/m</w:t>
      </w:r>
      <w:r>
        <w:rPr>
          <w:rFonts w:ascii="Times New Roman" w:hAnsi="Times New Roman" w:cs="Times New Roman" w:eastAsiaTheme="minorEastAsia"/>
          <w:color w:val="auto"/>
          <w:kern w:val="2"/>
          <w:szCs w:val="20"/>
          <w:highlight w:val="none"/>
          <w:vertAlign w:val="superscript"/>
        </w:rPr>
        <w:t>3</w:t>
      </w:r>
      <w:r>
        <w:rPr>
          <w:rFonts w:ascii="Times New Roman" w:hAnsi="Times New Roman" w:cs="Times New Roman" w:eastAsiaTheme="minorEastAsia"/>
          <w:color w:val="auto"/>
          <w:kern w:val="2"/>
          <w:szCs w:val="20"/>
          <w:highlight w:val="none"/>
        </w:rPr>
        <w:t>，SO</w:t>
      </w:r>
      <w:r>
        <w:rPr>
          <w:rFonts w:ascii="Times New Roman" w:hAnsi="Times New Roman" w:cs="Times New Roman" w:eastAsiaTheme="minorEastAsia"/>
          <w:color w:val="auto"/>
          <w:kern w:val="2"/>
          <w:szCs w:val="20"/>
          <w:highlight w:val="none"/>
          <w:vertAlign w:val="subscript"/>
        </w:rPr>
        <w:t>2</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w:t>
      </w:r>
      <w:r>
        <w:rPr>
          <w:rFonts w:hint="eastAsia" w:ascii="Times New Roman" w:hAnsi="Times New Roman" w:cs="Times New Roman" w:eastAsiaTheme="minorEastAsia"/>
          <w:color w:val="auto"/>
          <w:kern w:val="2"/>
          <w:szCs w:val="20"/>
          <w:highlight w:val="none"/>
        </w:rPr>
        <w:t>8</w:t>
      </w:r>
      <w:r>
        <w:rPr>
          <w:rFonts w:ascii="Times New Roman" w:hAnsi="Times New Roman" w:cs="Times New Roman" w:eastAsiaTheme="minorEastAsia"/>
          <w:color w:val="auto"/>
          <w:kern w:val="2"/>
          <w:szCs w:val="20"/>
          <w:highlight w:val="none"/>
        </w:rPr>
        <w:t>.5mg/m</w:t>
      </w:r>
      <w:r>
        <w:rPr>
          <w:rFonts w:ascii="Times New Roman" w:hAnsi="Times New Roman" w:cs="Times New Roman" w:eastAsiaTheme="minorEastAsia"/>
          <w:color w:val="auto"/>
          <w:kern w:val="2"/>
          <w:szCs w:val="20"/>
          <w:highlight w:val="none"/>
          <w:vertAlign w:val="superscript"/>
        </w:rPr>
        <w:t>3</w:t>
      </w:r>
      <w:r>
        <w:rPr>
          <w:rFonts w:ascii="Times New Roman" w:hAnsi="Times New Roman" w:cs="Times New Roman" w:eastAsiaTheme="minorEastAsia"/>
          <w:color w:val="auto"/>
          <w:kern w:val="2"/>
          <w:szCs w:val="20"/>
          <w:highlight w:val="none"/>
        </w:rPr>
        <w:t>；卫一联合站加热炉排放的废气中颗粒物</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w:t>
      </w:r>
      <w:r>
        <w:rPr>
          <w:rFonts w:hint="eastAsia" w:ascii="Times New Roman" w:hAnsi="Times New Roman" w:cs="Times New Roman" w:eastAsiaTheme="minorEastAsia"/>
          <w:color w:val="auto"/>
          <w:kern w:val="2"/>
          <w:szCs w:val="20"/>
          <w:highlight w:val="none"/>
        </w:rPr>
        <w:t>7</w:t>
      </w:r>
      <w:r>
        <w:rPr>
          <w:rFonts w:ascii="Times New Roman" w:hAnsi="Times New Roman" w:cs="Times New Roman" w:eastAsiaTheme="minorEastAsia"/>
          <w:color w:val="auto"/>
          <w:kern w:val="2"/>
          <w:szCs w:val="20"/>
          <w:highlight w:val="none"/>
        </w:rPr>
        <w:t>.8mg/m</w:t>
      </w:r>
      <w:r>
        <w:rPr>
          <w:rFonts w:ascii="Times New Roman" w:hAnsi="Times New Roman" w:cs="Times New Roman" w:eastAsiaTheme="minorEastAsia"/>
          <w:color w:val="auto"/>
          <w:kern w:val="2"/>
          <w:szCs w:val="20"/>
          <w:highlight w:val="none"/>
          <w:vertAlign w:val="superscript"/>
        </w:rPr>
        <w:t>3</w:t>
      </w:r>
      <w:r>
        <w:rPr>
          <w:rFonts w:ascii="Times New Roman" w:hAnsi="Times New Roman" w:cs="Times New Roman" w:eastAsiaTheme="minorEastAsia"/>
          <w:color w:val="auto"/>
          <w:kern w:val="2"/>
          <w:szCs w:val="20"/>
          <w:highlight w:val="none"/>
        </w:rPr>
        <w:t>，NO</w:t>
      </w:r>
      <w:r>
        <w:rPr>
          <w:rFonts w:ascii="Times New Roman" w:hAnsi="Times New Roman" w:cs="Times New Roman" w:eastAsiaTheme="minorEastAsia"/>
          <w:color w:val="auto"/>
          <w:kern w:val="2"/>
          <w:szCs w:val="20"/>
          <w:highlight w:val="none"/>
          <w:vertAlign w:val="subscript"/>
        </w:rPr>
        <w:t>x</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为7</w:t>
      </w:r>
      <w:r>
        <w:rPr>
          <w:rFonts w:hint="eastAsia" w:ascii="Times New Roman" w:hAnsi="Times New Roman" w:cs="Times New Roman" w:eastAsiaTheme="minorEastAsia"/>
          <w:color w:val="auto"/>
          <w:kern w:val="2"/>
          <w:szCs w:val="20"/>
          <w:highlight w:val="none"/>
        </w:rPr>
        <w:t>6.7</w:t>
      </w:r>
      <w:r>
        <w:rPr>
          <w:rFonts w:ascii="Times New Roman" w:hAnsi="Times New Roman" w:cs="Times New Roman" w:eastAsiaTheme="minorEastAsia"/>
          <w:color w:val="auto"/>
          <w:kern w:val="2"/>
          <w:szCs w:val="20"/>
          <w:highlight w:val="none"/>
        </w:rPr>
        <w:t>mg/m</w:t>
      </w:r>
      <w:r>
        <w:rPr>
          <w:rFonts w:ascii="Times New Roman" w:hAnsi="Times New Roman" w:cs="Times New Roman" w:eastAsiaTheme="minorEastAsia"/>
          <w:color w:val="auto"/>
          <w:kern w:val="2"/>
          <w:szCs w:val="20"/>
          <w:highlight w:val="none"/>
          <w:vertAlign w:val="superscript"/>
        </w:rPr>
        <w:t>3</w:t>
      </w:r>
      <w:r>
        <w:rPr>
          <w:rFonts w:ascii="Times New Roman" w:hAnsi="Times New Roman" w:cs="Times New Roman" w:eastAsiaTheme="minorEastAsia"/>
          <w:color w:val="auto"/>
          <w:kern w:val="2"/>
          <w:szCs w:val="20"/>
          <w:highlight w:val="none"/>
        </w:rPr>
        <w:t>，SO</w:t>
      </w:r>
      <w:r>
        <w:rPr>
          <w:rFonts w:ascii="Times New Roman" w:hAnsi="Times New Roman" w:cs="Times New Roman" w:eastAsiaTheme="minorEastAsia"/>
          <w:color w:val="auto"/>
          <w:kern w:val="2"/>
          <w:szCs w:val="20"/>
          <w:highlight w:val="none"/>
          <w:vertAlign w:val="subscript"/>
        </w:rPr>
        <w:t>2</w:t>
      </w:r>
      <w:r>
        <w:rPr>
          <w:rFonts w:hint="eastAsia" w:ascii="Times New Roman" w:hAnsi="Times New Roman" w:cs="Times New Roman" w:eastAsiaTheme="minorEastAsia"/>
          <w:color w:val="auto"/>
          <w:kern w:val="2"/>
          <w:szCs w:val="20"/>
          <w:highlight w:val="none"/>
        </w:rPr>
        <w:t>均值</w:t>
      </w:r>
      <w:r>
        <w:rPr>
          <w:rFonts w:ascii="Times New Roman" w:hAnsi="Times New Roman" w:cs="Times New Roman" w:eastAsiaTheme="minorEastAsia"/>
          <w:color w:val="auto"/>
          <w:kern w:val="2"/>
          <w:szCs w:val="20"/>
          <w:highlight w:val="none"/>
        </w:rPr>
        <w:t>为8.</w:t>
      </w:r>
      <w:r>
        <w:rPr>
          <w:rFonts w:hint="eastAsia" w:ascii="Times New Roman" w:hAnsi="Times New Roman" w:cs="Times New Roman" w:eastAsiaTheme="minorEastAsia"/>
          <w:color w:val="auto"/>
          <w:kern w:val="2"/>
          <w:szCs w:val="20"/>
          <w:highlight w:val="none"/>
        </w:rPr>
        <w:t>5</w:t>
      </w:r>
      <w:r>
        <w:rPr>
          <w:rFonts w:ascii="Times New Roman" w:hAnsi="Times New Roman" w:cs="Times New Roman" w:eastAsiaTheme="minorEastAsia"/>
          <w:color w:val="auto"/>
          <w:kern w:val="2"/>
          <w:szCs w:val="20"/>
          <w:highlight w:val="none"/>
        </w:rPr>
        <w:t>mg/m</w:t>
      </w:r>
      <w:r>
        <w:rPr>
          <w:rFonts w:ascii="Times New Roman" w:hAnsi="Times New Roman" w:cs="Times New Roman" w:eastAsiaTheme="minorEastAsia"/>
          <w:color w:val="auto"/>
          <w:kern w:val="2"/>
          <w:szCs w:val="20"/>
          <w:highlight w:val="none"/>
          <w:vertAlign w:val="superscript"/>
        </w:rPr>
        <w:t>3</w:t>
      </w:r>
      <w:r>
        <w:rPr>
          <w:rFonts w:hint="eastAsia" w:ascii="Times New Roman" w:hAnsi="Times New Roman" w:cs="Times New Roman" w:eastAsiaTheme="minorEastAsia"/>
          <w:color w:val="auto"/>
          <w:kern w:val="2"/>
          <w:szCs w:val="20"/>
          <w:highlight w:val="none"/>
        </w:rPr>
        <w:t>，</w:t>
      </w:r>
      <w:r>
        <w:rPr>
          <w:rFonts w:hint="eastAsia" w:ascii="Times New Roman" w:hAnsi="Times New Roman" w:cs="Times New Roman" w:eastAsiaTheme="minorEastAsia"/>
          <w:bCs/>
          <w:color w:val="auto"/>
          <w:kern w:val="2"/>
          <w:szCs w:val="20"/>
          <w:highlight w:val="none"/>
        </w:rPr>
        <w:t>依托场站加热炉烟气黑度均≤1，</w:t>
      </w:r>
      <w:r>
        <w:rPr>
          <w:rFonts w:hint="eastAsia" w:ascii="Times New Roman" w:hAnsi="Times New Roman" w:cs="Times New Roman" w:eastAsiaTheme="minorEastAsia"/>
          <w:color w:val="auto"/>
          <w:kern w:val="2"/>
          <w:szCs w:val="20"/>
          <w:highlight w:val="none"/>
        </w:rPr>
        <w:t>加热炉</w:t>
      </w:r>
      <w:r>
        <w:rPr>
          <w:rFonts w:ascii="Times New Roman" w:hAnsi="Times New Roman" w:cs="Times New Roman" w:eastAsiaTheme="minorEastAsia"/>
          <w:color w:val="auto"/>
          <w:kern w:val="2"/>
          <w:szCs w:val="20"/>
          <w:highlight w:val="none"/>
        </w:rPr>
        <w:t>烟气排放均</w:t>
      </w:r>
      <w:r>
        <w:rPr>
          <w:rFonts w:hint="eastAsia" w:ascii="Times New Roman" w:hAnsi="Times New Roman" w:cs="Times New Roman" w:eastAsiaTheme="minorEastAsia"/>
          <w:color w:val="auto"/>
          <w:kern w:val="2"/>
          <w:szCs w:val="20"/>
          <w:highlight w:val="none"/>
        </w:rPr>
        <w:t>满足</w:t>
      </w:r>
      <w:r>
        <w:rPr>
          <w:rFonts w:ascii="Times New Roman" w:hAnsi="Times New Roman" w:cs="Times New Roman" w:eastAsiaTheme="minorEastAsia"/>
          <w:color w:val="auto"/>
          <w:kern w:val="2"/>
          <w:szCs w:val="20"/>
          <w:highlight w:val="none"/>
        </w:rPr>
        <w:t>《锅炉大气污染物排放标准》（GB13271-2014）表2中新建燃气锅炉标准限值要求。</w:t>
      </w:r>
      <w:r>
        <w:rPr>
          <w:rFonts w:hint="eastAsia" w:ascii="Times New Roman" w:hAnsi="Times New Roman" w:cs="Times New Roman" w:eastAsiaTheme="minorEastAsia"/>
          <w:bCs/>
          <w:color w:val="auto"/>
          <w:kern w:val="2"/>
          <w:szCs w:val="20"/>
          <w:highlight w:val="none"/>
        </w:rPr>
        <w:t>根据本次工程监测报告</w:t>
      </w:r>
      <w:r>
        <w:rPr>
          <w:rFonts w:ascii="Times New Roman" w:hAnsi="Times New Roman" w:cs="Times New Roman" w:eastAsiaTheme="minorEastAsia"/>
          <w:bCs/>
          <w:color w:val="auto"/>
          <w:kern w:val="2"/>
          <w:szCs w:val="20"/>
          <w:highlight w:val="none"/>
        </w:rPr>
        <w:t>对现有区块场站加热炉的监测结果进行核算。</w:t>
      </w:r>
      <w:r>
        <w:rPr>
          <w:rFonts w:ascii="Times New Roman" w:hAnsi="Times New Roman" w:cs="Times New Roman" w:eastAsiaTheme="minorEastAsia"/>
          <w:color w:val="auto"/>
          <w:highlight w:val="none"/>
        </w:rPr>
        <w:t>现有区块内场站加热炉污染物排放浓度统计见表3.1-3</w:t>
      </w:r>
      <w:r>
        <w:rPr>
          <w:rFonts w:ascii="Times New Roman" w:hAnsi="Times New Roman" w:cs="Times New Roman" w:eastAsiaTheme="minorEastAsia"/>
          <w:bCs/>
          <w:color w:val="auto"/>
          <w:kern w:val="2"/>
          <w:szCs w:val="20"/>
          <w:highlight w:val="none"/>
        </w:rPr>
        <w:t>。</w:t>
      </w:r>
    </w:p>
    <w:p w14:paraId="0A91E4F9">
      <w:pPr>
        <w:widowControl w:val="0"/>
        <w:spacing w:line="440" w:lineRule="exact"/>
        <w:ind w:firstLine="482" w:firstLineChars="200"/>
        <w:jc w:val="both"/>
        <w:rPr>
          <w:rFonts w:ascii="Times New Roman" w:hAnsi="Times New Roman" w:cs="Times New Roman" w:eastAsiaTheme="minorEastAsia"/>
          <w:b/>
          <w:color w:val="auto"/>
          <w:highlight w:val="none"/>
        </w:rPr>
      </w:pPr>
      <w:r>
        <w:rPr>
          <w:rFonts w:ascii="Times New Roman" w:hAnsi="Times New Roman" w:cs="Times New Roman" w:eastAsiaTheme="minorEastAsia"/>
          <w:b/>
          <w:color w:val="auto"/>
          <w:kern w:val="2"/>
          <w:szCs w:val="20"/>
          <w:highlight w:val="none"/>
        </w:rPr>
        <w:t>表3.1-3</w:t>
      </w:r>
      <w:r>
        <w:rPr>
          <w:rFonts w:ascii="Times New Roman" w:hAnsi="Times New Roman" w:cs="Times New Roman" w:eastAsiaTheme="minorEastAsia"/>
          <w:b/>
          <w:color w:val="auto"/>
          <w:highlight w:val="none"/>
        </w:rPr>
        <w:t xml:space="preserve">    现有区块内场站加热炉污染物排放浓度统计表</w:t>
      </w:r>
    </w:p>
    <w:tbl>
      <w:tblPr>
        <w:tblStyle w:val="80"/>
        <w:tblW w:w="499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59"/>
        <w:gridCol w:w="1068"/>
        <w:gridCol w:w="1247"/>
        <w:gridCol w:w="1195"/>
        <w:gridCol w:w="1664"/>
        <w:gridCol w:w="914"/>
        <w:gridCol w:w="1058"/>
        <w:gridCol w:w="912"/>
      </w:tblGrid>
      <w:tr w14:paraId="3D282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Merge w:val="restart"/>
            <w:vAlign w:val="center"/>
          </w:tcPr>
          <w:p w14:paraId="01A66955">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场站名称</w:t>
            </w:r>
          </w:p>
        </w:tc>
        <w:tc>
          <w:tcPr>
            <w:tcW w:w="561" w:type="pct"/>
            <w:vMerge w:val="restart"/>
            <w:vAlign w:val="center"/>
          </w:tcPr>
          <w:p w14:paraId="682385EB">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排气筒高度（m）</w:t>
            </w:r>
          </w:p>
        </w:tc>
        <w:tc>
          <w:tcPr>
            <w:tcW w:w="655" w:type="pct"/>
            <w:vMerge w:val="restart"/>
            <w:vAlign w:val="center"/>
          </w:tcPr>
          <w:p w14:paraId="35D57060">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燃气量（Nm</w:t>
            </w:r>
            <w:r>
              <w:rPr>
                <w:rFonts w:ascii="Times New Roman" w:hAnsi="Times New Roman" w:cs="Times New Roman" w:eastAsiaTheme="minorEastAsia"/>
                <w:color w:val="auto"/>
                <w:sz w:val="21"/>
                <w:szCs w:val="21"/>
                <w:highlight w:val="none"/>
                <w:vertAlign w:val="superscript"/>
              </w:rPr>
              <w:t>3</w:t>
            </w:r>
            <w:r>
              <w:rPr>
                <w:rFonts w:ascii="Times New Roman" w:hAnsi="Times New Roman" w:cs="Times New Roman" w:eastAsiaTheme="minorEastAsia"/>
                <w:color w:val="auto"/>
                <w:sz w:val="21"/>
                <w:szCs w:val="21"/>
                <w:highlight w:val="none"/>
              </w:rPr>
              <w:t>/h）</w:t>
            </w:r>
          </w:p>
        </w:tc>
        <w:tc>
          <w:tcPr>
            <w:tcW w:w="628" w:type="pct"/>
            <w:vMerge w:val="restart"/>
            <w:vAlign w:val="center"/>
          </w:tcPr>
          <w:p w14:paraId="5844D64F">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年运行时间（h）</w:t>
            </w:r>
          </w:p>
        </w:tc>
        <w:tc>
          <w:tcPr>
            <w:tcW w:w="874" w:type="pct"/>
            <w:vMerge w:val="restart"/>
            <w:vAlign w:val="center"/>
          </w:tcPr>
          <w:p w14:paraId="63DE80D2">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站内加热炉总烟气量（万Nm</w:t>
            </w:r>
            <w:r>
              <w:rPr>
                <w:rFonts w:ascii="Times New Roman" w:hAnsi="Times New Roman" w:cs="Times New Roman" w:eastAsiaTheme="minorEastAsia"/>
                <w:color w:val="auto"/>
                <w:sz w:val="21"/>
                <w:szCs w:val="21"/>
                <w:highlight w:val="none"/>
                <w:vertAlign w:val="superscript"/>
              </w:rPr>
              <w:t>3</w:t>
            </w:r>
            <w:r>
              <w:rPr>
                <w:rFonts w:ascii="Times New Roman" w:hAnsi="Times New Roman" w:cs="Times New Roman" w:eastAsiaTheme="minorEastAsia"/>
                <w:color w:val="auto"/>
                <w:sz w:val="21"/>
                <w:szCs w:val="21"/>
                <w:highlight w:val="none"/>
              </w:rPr>
              <w:t>/a）</w:t>
            </w:r>
          </w:p>
        </w:tc>
        <w:tc>
          <w:tcPr>
            <w:tcW w:w="1515" w:type="pct"/>
            <w:gridSpan w:val="3"/>
            <w:vAlign w:val="center"/>
          </w:tcPr>
          <w:p w14:paraId="6A00D63F">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污染物排放情况（t/a）</w:t>
            </w:r>
          </w:p>
        </w:tc>
      </w:tr>
      <w:tr w14:paraId="75DB7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Merge w:val="continue"/>
            <w:vAlign w:val="center"/>
          </w:tcPr>
          <w:p w14:paraId="485BA5C5">
            <w:pPr>
              <w:spacing w:line="320" w:lineRule="exact"/>
              <w:jc w:val="center"/>
              <w:rPr>
                <w:rFonts w:ascii="Times New Roman" w:hAnsi="Times New Roman" w:cs="Times New Roman" w:eastAsiaTheme="minorEastAsia"/>
                <w:color w:val="auto"/>
                <w:sz w:val="21"/>
                <w:szCs w:val="21"/>
                <w:highlight w:val="none"/>
              </w:rPr>
            </w:pPr>
          </w:p>
        </w:tc>
        <w:tc>
          <w:tcPr>
            <w:tcW w:w="561" w:type="pct"/>
            <w:vMerge w:val="continue"/>
            <w:vAlign w:val="center"/>
          </w:tcPr>
          <w:p w14:paraId="7EF35965">
            <w:pPr>
              <w:spacing w:line="320" w:lineRule="exact"/>
              <w:jc w:val="center"/>
              <w:rPr>
                <w:rFonts w:ascii="Times New Roman" w:hAnsi="Times New Roman" w:cs="Times New Roman" w:eastAsiaTheme="minorEastAsia"/>
                <w:color w:val="auto"/>
                <w:sz w:val="21"/>
                <w:szCs w:val="21"/>
                <w:highlight w:val="none"/>
              </w:rPr>
            </w:pPr>
          </w:p>
        </w:tc>
        <w:tc>
          <w:tcPr>
            <w:tcW w:w="655" w:type="pct"/>
            <w:vMerge w:val="continue"/>
            <w:vAlign w:val="center"/>
          </w:tcPr>
          <w:p w14:paraId="58B967EF">
            <w:pPr>
              <w:spacing w:line="320" w:lineRule="exact"/>
              <w:jc w:val="center"/>
              <w:rPr>
                <w:rFonts w:ascii="Times New Roman" w:hAnsi="Times New Roman" w:cs="Times New Roman" w:eastAsiaTheme="minorEastAsia"/>
                <w:color w:val="auto"/>
                <w:sz w:val="21"/>
                <w:szCs w:val="21"/>
                <w:highlight w:val="none"/>
              </w:rPr>
            </w:pPr>
          </w:p>
        </w:tc>
        <w:tc>
          <w:tcPr>
            <w:tcW w:w="628" w:type="pct"/>
            <w:vMerge w:val="continue"/>
            <w:vAlign w:val="center"/>
          </w:tcPr>
          <w:p w14:paraId="5BD5198F">
            <w:pPr>
              <w:spacing w:line="320" w:lineRule="exact"/>
              <w:jc w:val="center"/>
              <w:rPr>
                <w:rFonts w:ascii="Times New Roman" w:hAnsi="Times New Roman" w:cs="Times New Roman" w:eastAsiaTheme="minorEastAsia"/>
                <w:color w:val="auto"/>
                <w:sz w:val="21"/>
                <w:szCs w:val="21"/>
                <w:highlight w:val="none"/>
              </w:rPr>
            </w:pPr>
          </w:p>
        </w:tc>
        <w:tc>
          <w:tcPr>
            <w:tcW w:w="874" w:type="pct"/>
            <w:vMerge w:val="continue"/>
            <w:vAlign w:val="center"/>
          </w:tcPr>
          <w:p w14:paraId="194265B5">
            <w:pPr>
              <w:spacing w:line="320" w:lineRule="exact"/>
              <w:jc w:val="center"/>
              <w:rPr>
                <w:rFonts w:ascii="Times New Roman" w:hAnsi="Times New Roman" w:cs="Times New Roman" w:eastAsiaTheme="minorEastAsia"/>
                <w:color w:val="auto"/>
                <w:sz w:val="21"/>
                <w:szCs w:val="21"/>
                <w:highlight w:val="none"/>
              </w:rPr>
            </w:pPr>
          </w:p>
        </w:tc>
        <w:tc>
          <w:tcPr>
            <w:tcW w:w="480" w:type="pct"/>
            <w:vAlign w:val="center"/>
          </w:tcPr>
          <w:p w14:paraId="234493AB">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颗粒物</w:t>
            </w:r>
          </w:p>
        </w:tc>
        <w:tc>
          <w:tcPr>
            <w:tcW w:w="556" w:type="pct"/>
            <w:vAlign w:val="center"/>
          </w:tcPr>
          <w:p w14:paraId="18E1C278">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NO</w:t>
            </w:r>
            <w:r>
              <w:rPr>
                <w:rFonts w:ascii="Times New Roman" w:hAnsi="Times New Roman" w:cs="Times New Roman" w:eastAsiaTheme="minorEastAsia"/>
                <w:color w:val="auto"/>
                <w:sz w:val="21"/>
                <w:szCs w:val="21"/>
                <w:highlight w:val="none"/>
                <w:vertAlign w:val="subscript"/>
              </w:rPr>
              <w:t>x</w:t>
            </w:r>
          </w:p>
        </w:tc>
        <w:tc>
          <w:tcPr>
            <w:tcW w:w="479" w:type="pct"/>
            <w:vAlign w:val="center"/>
          </w:tcPr>
          <w:p w14:paraId="27EE23AD">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SO</w:t>
            </w:r>
            <w:r>
              <w:rPr>
                <w:rFonts w:ascii="Times New Roman" w:hAnsi="Times New Roman" w:cs="Times New Roman" w:eastAsiaTheme="minorEastAsia"/>
                <w:color w:val="auto"/>
                <w:sz w:val="21"/>
                <w:szCs w:val="21"/>
                <w:highlight w:val="none"/>
                <w:vertAlign w:val="subscript"/>
              </w:rPr>
              <w:t>2</w:t>
            </w:r>
          </w:p>
        </w:tc>
      </w:tr>
      <w:tr w14:paraId="1717E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Align w:val="center"/>
          </w:tcPr>
          <w:p w14:paraId="7EC54DE0">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color w:val="auto"/>
                <w:kern w:val="2"/>
                <w:sz w:val="21"/>
                <w:szCs w:val="21"/>
                <w:highlight w:val="none"/>
                <w:lang w:val="zh-CN" w:bidi="zh-CN"/>
              </w:rPr>
              <w:t>卫一转油站</w:t>
            </w:r>
          </w:p>
        </w:tc>
        <w:tc>
          <w:tcPr>
            <w:tcW w:w="561" w:type="pct"/>
            <w:vAlign w:val="center"/>
          </w:tcPr>
          <w:p w14:paraId="72498A6D">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color w:val="auto"/>
                <w:sz w:val="21"/>
                <w:szCs w:val="21"/>
                <w:highlight w:val="none"/>
              </w:rPr>
              <w:t>10m</w:t>
            </w:r>
          </w:p>
        </w:tc>
        <w:tc>
          <w:tcPr>
            <w:tcW w:w="655" w:type="pct"/>
            <w:vAlign w:val="center"/>
          </w:tcPr>
          <w:p w14:paraId="0A5061C6">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color w:val="auto"/>
                <w:kern w:val="2"/>
                <w:sz w:val="21"/>
                <w:szCs w:val="21"/>
                <w:highlight w:val="none"/>
              </w:rPr>
              <w:t>412.6</w:t>
            </w:r>
          </w:p>
        </w:tc>
        <w:tc>
          <w:tcPr>
            <w:tcW w:w="628" w:type="pct"/>
            <w:vAlign w:val="center"/>
          </w:tcPr>
          <w:p w14:paraId="48C3AB3E">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8760</w:t>
            </w:r>
          </w:p>
        </w:tc>
        <w:tc>
          <w:tcPr>
            <w:tcW w:w="874" w:type="pct"/>
            <w:vAlign w:val="center"/>
          </w:tcPr>
          <w:p w14:paraId="158D39D9">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color w:val="auto"/>
                <w:sz w:val="21"/>
                <w:szCs w:val="21"/>
                <w:highlight w:val="none"/>
              </w:rPr>
              <w:t>5157.5</w:t>
            </w:r>
          </w:p>
        </w:tc>
        <w:tc>
          <w:tcPr>
            <w:tcW w:w="480" w:type="pct"/>
            <w:vAlign w:val="center"/>
          </w:tcPr>
          <w:p w14:paraId="65F108E1">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0.40</w:t>
            </w:r>
          </w:p>
        </w:tc>
        <w:tc>
          <w:tcPr>
            <w:tcW w:w="556" w:type="pct"/>
            <w:vAlign w:val="center"/>
          </w:tcPr>
          <w:p w14:paraId="6AEE91C7">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3.96</w:t>
            </w:r>
          </w:p>
        </w:tc>
        <w:tc>
          <w:tcPr>
            <w:tcW w:w="479" w:type="pct"/>
            <w:vAlign w:val="center"/>
          </w:tcPr>
          <w:p w14:paraId="5D5B6AAA">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0.44</w:t>
            </w:r>
          </w:p>
        </w:tc>
      </w:tr>
      <w:tr w14:paraId="0FB14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Align w:val="center"/>
          </w:tcPr>
          <w:p w14:paraId="0A194CDC">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color w:val="auto"/>
                <w:kern w:val="2"/>
                <w:sz w:val="21"/>
                <w:szCs w:val="21"/>
                <w:highlight w:val="none"/>
              </w:rPr>
              <w:t>卫二转油站</w:t>
            </w:r>
          </w:p>
        </w:tc>
        <w:tc>
          <w:tcPr>
            <w:tcW w:w="561" w:type="pct"/>
            <w:vAlign w:val="center"/>
          </w:tcPr>
          <w:p w14:paraId="07A6429B">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color w:val="auto"/>
                <w:sz w:val="21"/>
                <w:szCs w:val="21"/>
                <w:highlight w:val="none"/>
              </w:rPr>
              <w:t>18m</w:t>
            </w:r>
          </w:p>
        </w:tc>
        <w:tc>
          <w:tcPr>
            <w:tcW w:w="655" w:type="pct"/>
            <w:vAlign w:val="center"/>
          </w:tcPr>
          <w:p w14:paraId="1055EE02">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color w:val="auto"/>
                <w:kern w:val="2"/>
                <w:sz w:val="21"/>
                <w:szCs w:val="21"/>
                <w:highlight w:val="none"/>
              </w:rPr>
              <w:t>373.4</w:t>
            </w:r>
          </w:p>
        </w:tc>
        <w:tc>
          <w:tcPr>
            <w:tcW w:w="628" w:type="pct"/>
            <w:vAlign w:val="center"/>
          </w:tcPr>
          <w:p w14:paraId="4B9870F5">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8760</w:t>
            </w:r>
          </w:p>
        </w:tc>
        <w:tc>
          <w:tcPr>
            <w:tcW w:w="874" w:type="pct"/>
            <w:vAlign w:val="center"/>
          </w:tcPr>
          <w:p w14:paraId="3232439E">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color w:val="auto"/>
                <w:sz w:val="21"/>
                <w:szCs w:val="21"/>
                <w:highlight w:val="none"/>
              </w:rPr>
              <w:t>4667.5</w:t>
            </w:r>
          </w:p>
        </w:tc>
        <w:tc>
          <w:tcPr>
            <w:tcW w:w="480" w:type="pct"/>
            <w:vAlign w:val="center"/>
          </w:tcPr>
          <w:p w14:paraId="4D58CB5B">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0.47</w:t>
            </w:r>
          </w:p>
        </w:tc>
        <w:tc>
          <w:tcPr>
            <w:tcW w:w="556" w:type="pct"/>
            <w:vAlign w:val="center"/>
          </w:tcPr>
          <w:p w14:paraId="627E3C6C">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3.64</w:t>
            </w:r>
          </w:p>
        </w:tc>
        <w:tc>
          <w:tcPr>
            <w:tcW w:w="479" w:type="pct"/>
            <w:vAlign w:val="center"/>
          </w:tcPr>
          <w:p w14:paraId="1FE0D753">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0.54</w:t>
            </w:r>
          </w:p>
        </w:tc>
      </w:tr>
      <w:tr w14:paraId="0088D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Align w:val="center"/>
          </w:tcPr>
          <w:p w14:paraId="1F184884">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color w:val="auto"/>
                <w:kern w:val="2"/>
                <w:sz w:val="21"/>
                <w:szCs w:val="21"/>
                <w:highlight w:val="none"/>
              </w:rPr>
              <w:t>卫一联转油脱水站</w:t>
            </w:r>
          </w:p>
        </w:tc>
        <w:tc>
          <w:tcPr>
            <w:tcW w:w="561" w:type="pct"/>
            <w:vAlign w:val="center"/>
          </w:tcPr>
          <w:p w14:paraId="01A2A30F">
            <w:pPr>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color w:val="auto"/>
                <w:sz w:val="21"/>
                <w:szCs w:val="21"/>
                <w:highlight w:val="none"/>
              </w:rPr>
              <w:t>10m</w:t>
            </w:r>
          </w:p>
        </w:tc>
        <w:tc>
          <w:tcPr>
            <w:tcW w:w="655" w:type="pct"/>
            <w:vAlign w:val="center"/>
          </w:tcPr>
          <w:p w14:paraId="57562547">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color w:val="auto"/>
                <w:kern w:val="2"/>
                <w:sz w:val="21"/>
                <w:szCs w:val="21"/>
                <w:highlight w:val="none"/>
              </w:rPr>
              <w:t>632.2</w:t>
            </w:r>
          </w:p>
        </w:tc>
        <w:tc>
          <w:tcPr>
            <w:tcW w:w="628" w:type="pct"/>
            <w:vAlign w:val="center"/>
          </w:tcPr>
          <w:p w14:paraId="1EE102CB">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8760</w:t>
            </w:r>
          </w:p>
        </w:tc>
        <w:tc>
          <w:tcPr>
            <w:tcW w:w="874" w:type="pct"/>
            <w:vAlign w:val="center"/>
          </w:tcPr>
          <w:p w14:paraId="3934D733">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color w:val="auto"/>
                <w:sz w:val="21"/>
                <w:szCs w:val="21"/>
                <w:highlight w:val="none"/>
              </w:rPr>
              <w:t>7902.5</w:t>
            </w:r>
          </w:p>
        </w:tc>
        <w:tc>
          <w:tcPr>
            <w:tcW w:w="480" w:type="pct"/>
            <w:vAlign w:val="center"/>
          </w:tcPr>
          <w:p w14:paraId="3B3094DF">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0.70</w:t>
            </w:r>
          </w:p>
        </w:tc>
        <w:tc>
          <w:tcPr>
            <w:tcW w:w="556" w:type="pct"/>
            <w:vAlign w:val="center"/>
          </w:tcPr>
          <w:p w14:paraId="51CC0494">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5.86</w:t>
            </w:r>
          </w:p>
        </w:tc>
        <w:tc>
          <w:tcPr>
            <w:tcW w:w="479" w:type="pct"/>
            <w:vAlign w:val="center"/>
          </w:tcPr>
          <w:p w14:paraId="1AD88C3E">
            <w:pPr>
              <w:spacing w:line="320" w:lineRule="exact"/>
              <w:jc w:val="center"/>
              <w:rPr>
                <w:rFonts w:ascii="Times New Roman" w:hAnsi="Times New Roman" w:cs="Times New Roman" w:eastAsiaTheme="minorEastAsia"/>
                <w:bCs/>
                <w:color w:val="auto"/>
                <w:sz w:val="21"/>
                <w:szCs w:val="21"/>
                <w:highlight w:val="none"/>
              </w:rPr>
            </w:pPr>
            <w:r>
              <w:rPr>
                <w:rFonts w:ascii="Times New Roman" w:hAnsi="Times New Roman" w:cs="Times New Roman" w:eastAsiaTheme="minorEastAsia"/>
                <w:bCs/>
                <w:color w:val="auto"/>
                <w:sz w:val="21"/>
                <w:szCs w:val="21"/>
                <w:highlight w:val="none"/>
              </w:rPr>
              <w:t>0.63</w:t>
            </w:r>
          </w:p>
        </w:tc>
      </w:tr>
    </w:tbl>
    <w:p w14:paraId="2E899F2D">
      <w:pPr>
        <w:pStyle w:val="31"/>
        <w:widowControl w:val="0"/>
        <w:spacing w:line="440" w:lineRule="exact"/>
        <w:ind w:firstLine="480" w:firstLineChars="200"/>
        <w:jc w:val="both"/>
        <w:rPr>
          <w:rFonts w:ascii="Times New Roman" w:hAnsi="Times New Roman"/>
          <w:bCs/>
          <w:color w:val="auto"/>
          <w:szCs w:val="20"/>
          <w:highlight w:val="none"/>
        </w:rPr>
      </w:pPr>
      <w:r>
        <w:rPr>
          <w:rFonts w:ascii="Times New Roman" w:hAnsi="Times New Roman" w:eastAsiaTheme="minorEastAsia"/>
          <w:bCs/>
          <w:color w:val="auto"/>
          <w:szCs w:val="20"/>
          <w:highlight w:val="none"/>
        </w:rPr>
        <w:t>由以上分析可知，本项目依托场站</w:t>
      </w:r>
      <w:r>
        <w:rPr>
          <w:rFonts w:hint="eastAsia" w:ascii="Times New Roman" w:hAnsi="Times New Roman" w:eastAsiaTheme="minorEastAsia"/>
          <w:bCs/>
          <w:color w:val="auto"/>
          <w:szCs w:val="20"/>
          <w:highlight w:val="none"/>
        </w:rPr>
        <w:t>加热炉</w:t>
      </w:r>
      <w:r>
        <w:rPr>
          <w:rFonts w:ascii="Times New Roman" w:hAnsi="Times New Roman" w:eastAsiaTheme="minorEastAsia"/>
          <w:bCs/>
          <w:color w:val="auto"/>
          <w:szCs w:val="20"/>
          <w:highlight w:val="none"/>
        </w:rPr>
        <w:t>烟气排放均满足《锅炉大气污染物排放标准》（GB13271-2014）表2中新建燃气锅炉标准限值要求</w:t>
      </w:r>
      <w:r>
        <w:rPr>
          <w:rFonts w:ascii="Times New Roman" w:hAnsi="Times New Roman"/>
          <w:bCs/>
          <w:color w:val="auto"/>
          <w:szCs w:val="20"/>
          <w:highlight w:val="none"/>
        </w:rPr>
        <w:t>。</w:t>
      </w:r>
    </w:p>
    <w:p w14:paraId="6344168B">
      <w:pPr>
        <w:widowControl w:val="0"/>
        <w:spacing w:line="440" w:lineRule="exact"/>
        <w:ind w:firstLine="480" w:firstLineChars="200"/>
        <w:jc w:val="both"/>
        <w:rPr>
          <w:rFonts w:ascii="Times New Roman" w:hAnsi="Times New Roman" w:cs="Times New Roman"/>
          <w:bCs/>
          <w:caps w:val="0"/>
          <w:smallCaps w:val="0"/>
          <w:color w:val="auto"/>
          <w:spacing w:val="0"/>
          <w:w w:val="100"/>
          <w:kern w:val="2"/>
          <w:position w:val="0"/>
          <w:szCs w:val="20"/>
          <w:highlight w:val="none"/>
        </w:rPr>
      </w:pPr>
      <w:r>
        <w:rPr>
          <w:rFonts w:ascii="Times New Roman" w:hAnsi="Times New Roman" w:cs="Times New Roman"/>
          <w:bCs/>
          <w:caps w:val="0"/>
          <w:smallCaps w:val="0"/>
          <w:color w:val="auto"/>
          <w:spacing w:val="0"/>
          <w:w w:val="100"/>
          <w:kern w:val="2"/>
          <w:position w:val="0"/>
          <w:szCs w:val="20"/>
          <w:highlight w:val="none"/>
        </w:rPr>
        <w:t>（2）废水</w:t>
      </w:r>
    </w:p>
    <w:p w14:paraId="04DE93A9">
      <w:pPr>
        <w:pStyle w:val="31"/>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现有区块</w:t>
      </w:r>
      <w:r>
        <w:rPr>
          <w:rFonts w:hint="eastAsia" w:ascii="Times New Roman" w:hAnsi="Times New Roman" w:eastAsiaTheme="minorEastAsia"/>
          <w:bCs/>
          <w:color w:val="auto"/>
          <w:w w:val="99"/>
          <w:highlight w:val="none"/>
          <w:lang w:val="en-US" w:eastAsia="zh-CN"/>
        </w:rPr>
        <w:t>产能为141.7×10</w:t>
      </w:r>
      <w:r>
        <w:rPr>
          <w:rFonts w:hint="default" w:ascii="Times New Roman" w:hAnsi="Times New Roman" w:eastAsiaTheme="minorEastAsia"/>
          <w:bCs/>
          <w:color w:val="auto"/>
          <w:w w:val="99"/>
          <w:highlight w:val="none"/>
          <w:vertAlign w:val="superscript"/>
          <w:lang w:val="en-US" w:eastAsia="zh-CN"/>
        </w:rPr>
        <w:t>4</w:t>
      </w:r>
      <w:r>
        <w:rPr>
          <w:rFonts w:hint="default" w:ascii="Times New Roman" w:hAnsi="Times New Roman" w:eastAsiaTheme="minorEastAsia"/>
          <w:bCs/>
          <w:color w:val="auto"/>
          <w:w w:val="99"/>
          <w:highlight w:val="none"/>
          <w:lang w:val="en-US" w:eastAsia="zh-CN"/>
        </w:rPr>
        <w:t>t/a</w:t>
      </w:r>
      <w:r>
        <w:rPr>
          <w:rFonts w:hint="eastAsia" w:ascii="Times New Roman" w:hAnsi="Times New Roman" w:eastAsiaTheme="minorEastAsia"/>
          <w:bCs/>
          <w:color w:val="auto"/>
          <w:w w:val="99"/>
          <w:highlight w:val="none"/>
          <w:lang w:val="en-US" w:eastAsia="zh-CN"/>
        </w:rPr>
        <w:t>，综合含水85.97%</w:t>
      </w:r>
      <w:r>
        <w:rPr>
          <w:rFonts w:ascii="Times New Roman" w:hAnsi="Times New Roman"/>
          <w:color w:val="auto"/>
          <w:w w:val="99"/>
          <w:highlight w:val="none"/>
        </w:rPr>
        <w:t>，则现有区块油田采出水量为</w:t>
      </w:r>
      <w:r>
        <w:rPr>
          <w:rFonts w:hint="eastAsia" w:ascii="Times New Roman" w:hAnsi="Times New Roman"/>
          <w:color w:val="auto"/>
          <w:w w:val="99"/>
          <w:highlight w:val="none"/>
          <w:lang w:val="en-US" w:eastAsia="zh-CN"/>
        </w:rPr>
        <w:t>121.8</w:t>
      </w:r>
      <w:r>
        <w:rPr>
          <w:rFonts w:ascii="Times New Roman" w:hAnsi="Times New Roman"/>
          <w:color w:val="auto"/>
          <w:w w:val="99"/>
          <w:highlight w:val="none"/>
        </w:rPr>
        <w:t>×10</w:t>
      </w:r>
      <w:r>
        <w:rPr>
          <w:rFonts w:ascii="Times New Roman" w:hAnsi="Times New Roman"/>
          <w:color w:val="auto"/>
          <w:w w:val="99"/>
          <w:highlight w:val="none"/>
          <w:vertAlign w:val="superscript"/>
        </w:rPr>
        <w:t>4</w:t>
      </w:r>
      <w:r>
        <w:rPr>
          <w:rFonts w:ascii="Times New Roman" w:hAnsi="Times New Roman"/>
          <w:color w:val="auto"/>
          <w:w w:val="99"/>
          <w:highlight w:val="none"/>
        </w:rPr>
        <w:t>t/a；</w:t>
      </w:r>
      <w:r>
        <w:rPr>
          <w:rFonts w:ascii="Times New Roman" w:hAnsi="Times New Roman"/>
          <w:bCs/>
          <w:color w:val="auto"/>
          <w:w w:val="99"/>
          <w:szCs w:val="20"/>
          <w:highlight w:val="none"/>
        </w:rPr>
        <w:t>现有区块油水井作业（修井）产生的作业污水共计约</w:t>
      </w:r>
      <w:r>
        <w:rPr>
          <w:rFonts w:hint="eastAsia" w:ascii="Times New Roman" w:hAnsi="Times New Roman"/>
          <w:bCs/>
          <w:color w:val="auto"/>
          <w:w w:val="99"/>
          <w:szCs w:val="20"/>
          <w:highlight w:val="none"/>
          <w:lang w:val="en-US" w:eastAsia="zh-CN"/>
        </w:rPr>
        <w:t>9884.67</w:t>
      </w:r>
      <w:r>
        <w:rPr>
          <w:rFonts w:ascii="Times New Roman" w:hAnsi="Times New Roman"/>
          <w:bCs/>
          <w:color w:val="auto"/>
          <w:w w:val="99"/>
          <w:szCs w:val="20"/>
          <w:highlight w:val="none"/>
        </w:rPr>
        <w:t>m</w:t>
      </w:r>
      <w:r>
        <w:rPr>
          <w:rFonts w:ascii="Times New Roman" w:hAnsi="Times New Roman"/>
          <w:bCs/>
          <w:color w:val="auto"/>
          <w:w w:val="99"/>
          <w:szCs w:val="20"/>
          <w:highlight w:val="none"/>
          <w:vertAlign w:val="superscript"/>
        </w:rPr>
        <w:t>3</w:t>
      </w:r>
      <w:r>
        <w:rPr>
          <w:rFonts w:ascii="Times New Roman" w:hAnsi="Times New Roman"/>
          <w:bCs/>
          <w:color w:val="auto"/>
          <w:w w:val="99"/>
          <w:szCs w:val="20"/>
          <w:highlight w:val="none"/>
        </w:rPr>
        <w:t>/a；现有区块水井洗井产生的洗井污水共计约</w:t>
      </w:r>
      <w:r>
        <w:rPr>
          <w:rFonts w:hint="eastAsia" w:ascii="Times New Roman" w:hAnsi="Times New Roman"/>
          <w:bCs/>
          <w:color w:val="auto"/>
          <w:w w:val="99"/>
          <w:szCs w:val="20"/>
          <w:highlight w:val="none"/>
          <w:lang w:val="en-US" w:eastAsia="zh-CN"/>
        </w:rPr>
        <w:t>32520</w:t>
      </w:r>
      <w:r>
        <w:rPr>
          <w:rFonts w:ascii="Times New Roman" w:hAnsi="Times New Roman"/>
          <w:bCs/>
          <w:color w:val="auto"/>
          <w:w w:val="99"/>
          <w:szCs w:val="20"/>
          <w:highlight w:val="none"/>
        </w:rPr>
        <w:t>m</w:t>
      </w:r>
      <w:r>
        <w:rPr>
          <w:rFonts w:ascii="Times New Roman" w:hAnsi="Times New Roman"/>
          <w:bCs/>
          <w:color w:val="auto"/>
          <w:w w:val="99"/>
          <w:szCs w:val="20"/>
          <w:highlight w:val="none"/>
          <w:vertAlign w:val="superscript"/>
        </w:rPr>
        <w:t>3</w:t>
      </w:r>
      <w:r>
        <w:rPr>
          <w:rFonts w:ascii="Times New Roman" w:hAnsi="Times New Roman"/>
          <w:bCs/>
          <w:color w:val="auto"/>
          <w:w w:val="99"/>
          <w:szCs w:val="20"/>
          <w:highlight w:val="none"/>
        </w:rPr>
        <w:t>/a。现有区块油田采出水、油水井作业污水、洗井污水最终均由</w:t>
      </w:r>
      <w:r>
        <w:rPr>
          <w:rFonts w:hint="eastAsia" w:ascii="Times New Roman" w:hAnsi="Times New Roman"/>
          <w:bCs/>
          <w:color w:val="auto"/>
          <w:w w:val="99"/>
          <w:szCs w:val="20"/>
          <w:highlight w:val="none"/>
          <w:lang w:val="en-US" w:eastAsia="zh-CN"/>
        </w:rPr>
        <w:t>卫一联含油污水深度处理站</w:t>
      </w:r>
      <w:r>
        <w:rPr>
          <w:rFonts w:ascii="Times New Roman" w:hAnsi="Times New Roman"/>
          <w:bCs/>
          <w:color w:val="auto"/>
          <w:w w:val="99"/>
          <w:szCs w:val="20"/>
          <w:highlight w:val="none"/>
        </w:rPr>
        <w:t>处理达标后回注油层，根据</w:t>
      </w:r>
      <w:r>
        <w:rPr>
          <w:rFonts w:ascii="Times New Roman" w:hAnsi="Times New Roman" w:eastAsiaTheme="minorEastAsia"/>
          <w:color w:val="auto"/>
          <w:w w:val="99"/>
          <w:highlight w:val="none"/>
        </w:rPr>
        <w:t>本次对</w:t>
      </w:r>
      <w:r>
        <w:rPr>
          <w:rFonts w:hint="eastAsia" w:ascii="Times New Roman" w:hAnsi="Times New Roman"/>
          <w:bCs/>
          <w:color w:val="auto"/>
          <w:w w:val="99"/>
          <w:szCs w:val="20"/>
          <w:highlight w:val="none"/>
          <w:lang w:val="en-US" w:eastAsia="zh-CN"/>
        </w:rPr>
        <w:t>卫一联含油污水深度处理站</w:t>
      </w:r>
      <w:r>
        <w:rPr>
          <w:rFonts w:ascii="Times New Roman" w:hAnsi="Times New Roman" w:eastAsiaTheme="minorEastAsia"/>
          <w:color w:val="auto"/>
          <w:w w:val="99"/>
          <w:highlight w:val="none"/>
        </w:rPr>
        <w:t>的监测结果可知</w:t>
      </w:r>
      <w:r>
        <w:rPr>
          <w:rFonts w:ascii="Times New Roman" w:hAnsi="Times New Roman" w:eastAsia="宋体" w:cs="Times New Roman"/>
          <w:bCs/>
          <w:color w:val="auto"/>
          <w:w w:val="99"/>
          <w:szCs w:val="20"/>
          <w:highlight w:val="none"/>
        </w:rPr>
        <w:t>，含油量为</w:t>
      </w:r>
      <w:r>
        <w:rPr>
          <w:rFonts w:hint="eastAsia" w:ascii="Times New Roman" w:hAnsi="Times New Roman" w:eastAsia="宋体" w:cs="Times New Roman"/>
          <w:bCs/>
          <w:color w:val="auto"/>
          <w:w w:val="99"/>
          <w:szCs w:val="20"/>
          <w:highlight w:val="none"/>
          <w:lang w:val="en-US" w:eastAsia="zh-CN"/>
        </w:rPr>
        <w:t>1.85-2.43</w:t>
      </w:r>
      <w:r>
        <w:rPr>
          <w:rFonts w:ascii="Times New Roman" w:hAnsi="Times New Roman" w:eastAsia="宋体" w:cs="Times New Roman"/>
          <w:bCs/>
          <w:color w:val="auto"/>
          <w:w w:val="99"/>
          <w:szCs w:val="20"/>
          <w:highlight w:val="none"/>
        </w:rPr>
        <w:t>mg/L，悬浮固体含量为2~3mg/L</w:t>
      </w:r>
      <w:r>
        <w:rPr>
          <w:rFonts w:hint="eastAsia" w:ascii="Times New Roman" w:hAnsi="Times New Roman" w:eastAsia="宋体" w:cs="Times New Roman"/>
          <w:bCs/>
          <w:color w:val="auto"/>
          <w:w w:val="99"/>
          <w:szCs w:val="20"/>
          <w:highlight w:val="none"/>
          <w:lang w:eastAsia="zh-CN"/>
        </w:rPr>
        <w:t>，</w:t>
      </w:r>
      <w:r>
        <w:rPr>
          <w:rFonts w:ascii="Times New Roman" w:hAnsi="Times New Roman" w:eastAsiaTheme="minorEastAsia"/>
          <w:color w:val="auto"/>
          <w:w w:val="99"/>
          <w:highlight w:val="none"/>
        </w:rPr>
        <w:t>处理后的污水</w:t>
      </w:r>
      <w:r>
        <w:rPr>
          <w:rFonts w:hint="eastAsia" w:ascii="Times New Roman" w:hAnsi="Times New Roman"/>
          <w:bCs/>
          <w:color w:val="auto"/>
          <w:w w:val="99"/>
          <w:szCs w:val="20"/>
          <w:highlight w:val="none"/>
        </w:rPr>
        <w:t>满足《大庆油田地面工程建设设计规定》（</w:t>
      </w:r>
      <w:r>
        <w:rPr>
          <w:rFonts w:ascii="Times New Roman" w:hAnsi="Times New Roman"/>
          <w:bCs/>
          <w:color w:val="auto"/>
          <w:w w:val="99"/>
          <w:szCs w:val="20"/>
          <w:highlight w:val="none"/>
        </w:rPr>
        <w:t>Q/SYDQ0639-2015）及《碎屑岩油藏注水水质指标技术要求及分析方法》（SY/T5329-2022）限值要求。</w:t>
      </w:r>
    </w:p>
    <w:p w14:paraId="6C444E77">
      <w:pPr>
        <w:pStyle w:val="31"/>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现有区块场站内的生活污水产生量约</w:t>
      </w:r>
      <w:r>
        <w:rPr>
          <w:rFonts w:hint="eastAsia" w:ascii="Times New Roman" w:hAnsi="Times New Roman"/>
          <w:bCs/>
          <w:color w:val="auto"/>
          <w:w w:val="99"/>
          <w:szCs w:val="20"/>
          <w:highlight w:val="none"/>
          <w:lang w:val="en-US" w:eastAsia="zh-CN"/>
        </w:rPr>
        <w:t>96</w:t>
      </w:r>
      <w:r>
        <w:rPr>
          <w:rFonts w:ascii="Times New Roman" w:hAnsi="Times New Roman"/>
          <w:bCs/>
          <w:color w:val="auto"/>
          <w:w w:val="99"/>
          <w:szCs w:val="20"/>
          <w:highlight w:val="none"/>
        </w:rPr>
        <w:t>m</w:t>
      </w:r>
      <w:r>
        <w:rPr>
          <w:rFonts w:ascii="Times New Roman" w:hAnsi="Times New Roman"/>
          <w:bCs/>
          <w:color w:val="auto"/>
          <w:w w:val="99"/>
          <w:szCs w:val="20"/>
          <w:highlight w:val="none"/>
          <w:vertAlign w:val="superscript"/>
        </w:rPr>
        <w:t>3</w:t>
      </w:r>
      <w:r>
        <w:rPr>
          <w:rFonts w:ascii="Times New Roman" w:hAnsi="Times New Roman"/>
          <w:bCs/>
          <w:color w:val="auto"/>
          <w:w w:val="99"/>
          <w:szCs w:val="20"/>
          <w:highlight w:val="none"/>
        </w:rPr>
        <w:t>/a，</w:t>
      </w:r>
      <w:r>
        <w:rPr>
          <w:rFonts w:hint="eastAsia" w:ascii="Times New Roman" w:hAnsi="Times New Roman" w:eastAsiaTheme="minorEastAsia"/>
          <w:color w:val="auto"/>
          <w:w w:val="99"/>
          <w:highlight w:val="none"/>
        </w:rPr>
        <w:t>生活污水</w:t>
      </w:r>
      <w:r>
        <w:rPr>
          <w:rFonts w:ascii="Times New Roman" w:hAnsi="Times New Roman" w:eastAsiaTheme="minorEastAsia"/>
          <w:color w:val="auto"/>
          <w:w w:val="99"/>
          <w:highlight w:val="none"/>
        </w:rPr>
        <w:t>排入场站内已建防渗旱厕，定期进行清掏堆肥</w:t>
      </w:r>
      <w:r>
        <w:rPr>
          <w:rFonts w:hint="eastAsia" w:ascii="Times New Roman" w:hAnsi="Times New Roman" w:eastAsiaTheme="minorEastAsia"/>
          <w:color w:val="auto"/>
          <w:w w:val="99"/>
          <w:highlight w:val="none"/>
        </w:rPr>
        <w:t>。</w:t>
      </w:r>
    </w:p>
    <w:p w14:paraId="690AFA9D">
      <w:pPr>
        <w:widowControl w:val="0"/>
        <w:spacing w:line="440" w:lineRule="exact"/>
        <w:ind w:firstLine="480" w:firstLineChars="200"/>
        <w:jc w:val="both"/>
        <w:rPr>
          <w:rFonts w:ascii="Times New Roman" w:hAnsi="Times New Roman" w:cs="Times New Roman"/>
          <w:bCs/>
          <w:caps w:val="0"/>
          <w:smallCaps w:val="0"/>
          <w:color w:val="auto"/>
          <w:spacing w:val="0"/>
          <w:w w:val="100"/>
          <w:position w:val="0"/>
          <w:szCs w:val="20"/>
          <w:highlight w:val="none"/>
        </w:rPr>
      </w:pPr>
      <w:r>
        <w:rPr>
          <w:rFonts w:ascii="Times New Roman" w:hAnsi="Times New Roman" w:cs="Times New Roman"/>
          <w:bCs/>
          <w:caps w:val="0"/>
          <w:smallCaps w:val="0"/>
          <w:color w:val="auto"/>
          <w:spacing w:val="0"/>
          <w:w w:val="100"/>
          <w:position w:val="0"/>
          <w:szCs w:val="20"/>
          <w:highlight w:val="none"/>
        </w:rPr>
        <w:t>（3）噪声</w:t>
      </w:r>
    </w:p>
    <w:p w14:paraId="3FF0A61E">
      <w:pPr>
        <w:widowControl w:val="0"/>
        <w:spacing w:line="440" w:lineRule="exact"/>
        <w:ind w:firstLine="480" w:firstLineChars="200"/>
        <w:jc w:val="both"/>
        <w:rPr>
          <w:rFonts w:ascii="Times New Roman" w:hAnsi="Times New Roman" w:cs="Times New Roman"/>
          <w:bCs/>
          <w:color w:val="auto"/>
          <w:szCs w:val="20"/>
          <w:highlight w:val="none"/>
        </w:rPr>
      </w:pPr>
      <w:r>
        <w:rPr>
          <w:rFonts w:ascii="Times New Roman" w:hAnsi="Times New Roman" w:cs="Times New Roman"/>
          <w:bCs/>
          <w:color w:val="auto"/>
          <w:szCs w:val="20"/>
          <w:highlight w:val="none"/>
        </w:rPr>
        <w:t>现有区块内噪声源主要来自抽油机及场站，抽油机噪声源强为65~80dB(A)，为连续稳态声源，场站噪声主要为各类机泵噪声，源强约在80～85dB(A)之间。抽油机电机等发声设备选用了低噪声设备，定期对进场设备进行维护和保养；场站机泵均布置在室内，采用隔声门窗及机泵加装减震设施等降低噪声源强。根据现有区块内验收调查报告</w:t>
      </w:r>
      <w:r>
        <w:rPr>
          <w:rFonts w:hint="eastAsia" w:ascii="Times New Roman" w:hAnsi="Times New Roman" w:cs="Times New Roman"/>
          <w:bCs/>
          <w:color w:val="auto"/>
          <w:szCs w:val="20"/>
          <w:highlight w:val="none"/>
        </w:rPr>
        <w:t>和本项目监测报告</w:t>
      </w:r>
      <w:r>
        <w:rPr>
          <w:rFonts w:ascii="Times New Roman" w:hAnsi="Times New Roman" w:cs="Times New Roman"/>
          <w:bCs/>
          <w:color w:val="auto"/>
          <w:szCs w:val="20"/>
          <w:highlight w:val="none"/>
        </w:rPr>
        <w:t>监测结果可知，</w:t>
      </w:r>
      <w:r>
        <w:rPr>
          <w:rFonts w:hint="eastAsia" w:ascii="Times New Roman" w:hAnsi="Times New Roman" w:cs="Times New Roman"/>
          <w:bCs/>
          <w:color w:val="auto"/>
          <w:szCs w:val="20"/>
          <w:highlight w:val="none"/>
        </w:rPr>
        <w:t>卫一转油站</w:t>
      </w:r>
      <w:r>
        <w:rPr>
          <w:rFonts w:ascii="Times New Roman" w:hAnsi="Times New Roman" w:cs="Times New Roman"/>
          <w:bCs/>
          <w:color w:val="auto"/>
          <w:szCs w:val="20"/>
          <w:highlight w:val="none"/>
        </w:rPr>
        <w:t>厂界噪声昼间在</w:t>
      </w:r>
      <w:r>
        <w:rPr>
          <w:rFonts w:hint="eastAsia" w:ascii="Times New Roman" w:hAnsi="Times New Roman" w:cs="Times New Roman"/>
          <w:bCs/>
          <w:color w:val="auto"/>
          <w:szCs w:val="20"/>
          <w:highlight w:val="none"/>
          <w:lang w:val="en-US" w:eastAsia="zh-CN"/>
        </w:rPr>
        <w:t>45.7-48.3</w:t>
      </w:r>
      <w:r>
        <w:rPr>
          <w:rFonts w:ascii="Times New Roman" w:hAnsi="Times New Roman" w:cs="Times New Roman"/>
          <w:bCs/>
          <w:color w:val="auto"/>
          <w:szCs w:val="20"/>
          <w:highlight w:val="none"/>
        </w:rPr>
        <w:t>dB(A)之间，夜间在</w:t>
      </w:r>
      <w:r>
        <w:rPr>
          <w:rFonts w:hint="eastAsia" w:ascii="Times New Roman" w:hAnsi="Times New Roman" w:cs="Times New Roman"/>
          <w:bCs/>
          <w:color w:val="auto"/>
          <w:szCs w:val="20"/>
          <w:highlight w:val="none"/>
          <w:lang w:val="en-US" w:eastAsia="zh-CN"/>
        </w:rPr>
        <w:t>42.5-45.8</w:t>
      </w:r>
      <w:r>
        <w:rPr>
          <w:rFonts w:ascii="Times New Roman" w:hAnsi="Times New Roman" w:cs="Times New Roman"/>
          <w:bCs/>
          <w:color w:val="auto"/>
          <w:szCs w:val="20"/>
          <w:highlight w:val="none"/>
        </w:rPr>
        <w:t>dB(A)之间；</w:t>
      </w:r>
      <w:r>
        <w:rPr>
          <w:rFonts w:hint="eastAsia" w:ascii="Times New Roman" w:hAnsi="Times New Roman" w:cs="Times New Roman"/>
          <w:bCs/>
          <w:color w:val="auto"/>
          <w:szCs w:val="20"/>
          <w:highlight w:val="none"/>
        </w:rPr>
        <w:t>卫二转油站</w:t>
      </w:r>
      <w:r>
        <w:rPr>
          <w:rFonts w:ascii="Times New Roman" w:hAnsi="Times New Roman" w:cs="Times New Roman"/>
          <w:bCs/>
          <w:color w:val="auto"/>
          <w:szCs w:val="20"/>
          <w:highlight w:val="none"/>
        </w:rPr>
        <w:t>厂界噪声昼间在4</w:t>
      </w:r>
      <w:r>
        <w:rPr>
          <w:rFonts w:hint="eastAsia" w:ascii="Times New Roman" w:hAnsi="Times New Roman" w:cs="Times New Roman"/>
          <w:bCs/>
          <w:color w:val="auto"/>
          <w:szCs w:val="20"/>
          <w:highlight w:val="none"/>
        </w:rPr>
        <w:t>6.6</w:t>
      </w:r>
      <w:r>
        <w:rPr>
          <w:rFonts w:ascii="Times New Roman" w:hAnsi="Times New Roman" w:cs="Times New Roman"/>
          <w:bCs/>
          <w:color w:val="auto"/>
          <w:szCs w:val="20"/>
          <w:highlight w:val="none"/>
        </w:rPr>
        <w:t>~</w:t>
      </w:r>
      <w:r>
        <w:rPr>
          <w:rFonts w:hint="eastAsia" w:ascii="Times New Roman" w:hAnsi="Times New Roman" w:cs="Times New Roman"/>
          <w:bCs/>
          <w:color w:val="auto"/>
          <w:szCs w:val="20"/>
          <w:highlight w:val="none"/>
        </w:rPr>
        <w:t>49.7</w:t>
      </w:r>
      <w:r>
        <w:rPr>
          <w:rFonts w:ascii="Times New Roman" w:hAnsi="Times New Roman" w:cs="Times New Roman"/>
          <w:bCs/>
          <w:color w:val="auto"/>
          <w:szCs w:val="20"/>
          <w:highlight w:val="none"/>
        </w:rPr>
        <w:t>dB(A)之间，夜间在4</w:t>
      </w:r>
      <w:r>
        <w:rPr>
          <w:rFonts w:hint="eastAsia" w:ascii="Times New Roman" w:hAnsi="Times New Roman" w:cs="Times New Roman"/>
          <w:bCs/>
          <w:color w:val="auto"/>
          <w:szCs w:val="20"/>
          <w:highlight w:val="none"/>
        </w:rPr>
        <w:t>2.2</w:t>
      </w:r>
      <w:r>
        <w:rPr>
          <w:rFonts w:ascii="Times New Roman" w:hAnsi="Times New Roman" w:cs="Times New Roman"/>
          <w:bCs/>
          <w:color w:val="auto"/>
          <w:szCs w:val="20"/>
          <w:highlight w:val="none"/>
        </w:rPr>
        <w:t>~4</w:t>
      </w:r>
      <w:r>
        <w:rPr>
          <w:rFonts w:hint="eastAsia" w:ascii="Times New Roman" w:hAnsi="Times New Roman" w:cs="Times New Roman"/>
          <w:bCs/>
          <w:color w:val="auto"/>
          <w:szCs w:val="20"/>
          <w:highlight w:val="none"/>
        </w:rPr>
        <w:t>5.7</w:t>
      </w:r>
      <w:r>
        <w:rPr>
          <w:rFonts w:ascii="Times New Roman" w:hAnsi="Times New Roman" w:cs="Times New Roman"/>
          <w:bCs/>
          <w:color w:val="auto"/>
          <w:szCs w:val="20"/>
          <w:highlight w:val="none"/>
        </w:rPr>
        <w:t>dB(A)之间；</w:t>
      </w:r>
      <w:r>
        <w:rPr>
          <w:rFonts w:hint="eastAsia" w:ascii="Times New Roman" w:hAnsi="Times New Roman" w:cs="Times New Roman"/>
          <w:bCs/>
          <w:color w:val="auto"/>
          <w:szCs w:val="20"/>
          <w:highlight w:val="none"/>
        </w:rPr>
        <w:t>卫一</w:t>
      </w:r>
      <w:r>
        <w:rPr>
          <w:rFonts w:ascii="Times New Roman" w:hAnsi="Times New Roman" w:cs="Times New Roman"/>
          <w:bCs/>
          <w:color w:val="auto"/>
          <w:szCs w:val="20"/>
          <w:highlight w:val="none"/>
        </w:rPr>
        <w:t>联合站厂界噪声昼间在</w:t>
      </w:r>
      <w:r>
        <w:rPr>
          <w:rFonts w:hint="eastAsia" w:ascii="Times New Roman" w:hAnsi="Times New Roman" w:cs="Times New Roman"/>
          <w:bCs/>
          <w:color w:val="auto"/>
          <w:szCs w:val="20"/>
          <w:highlight w:val="none"/>
          <w:lang w:val="en-US" w:eastAsia="zh-CN"/>
        </w:rPr>
        <w:t>45.2-48.7</w:t>
      </w:r>
      <w:r>
        <w:rPr>
          <w:rFonts w:ascii="Times New Roman" w:hAnsi="Times New Roman" w:cs="Times New Roman"/>
          <w:bCs/>
          <w:color w:val="auto"/>
          <w:szCs w:val="20"/>
          <w:highlight w:val="none"/>
        </w:rPr>
        <w:t>dB(A)之间，夜间在</w:t>
      </w:r>
      <w:r>
        <w:rPr>
          <w:rFonts w:hint="eastAsia" w:ascii="Times New Roman" w:hAnsi="Times New Roman" w:cs="Times New Roman"/>
          <w:bCs/>
          <w:color w:val="auto"/>
          <w:szCs w:val="20"/>
          <w:highlight w:val="none"/>
          <w:lang w:val="en-US" w:eastAsia="zh-CN"/>
        </w:rPr>
        <w:t>42.8-45.5</w:t>
      </w:r>
      <w:r>
        <w:rPr>
          <w:rFonts w:ascii="Times New Roman" w:hAnsi="Times New Roman" w:cs="Times New Roman"/>
          <w:bCs/>
          <w:color w:val="auto"/>
          <w:szCs w:val="20"/>
          <w:highlight w:val="none"/>
        </w:rPr>
        <w:t>dB(A)之间。现有区块内场站厂界噪声满足《工业企业厂界环境噪声排放标准》（GB12348-2008）2类标准。</w:t>
      </w:r>
    </w:p>
    <w:p w14:paraId="607E1EF8">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（4）固体废物</w:t>
      </w:r>
    </w:p>
    <w:p w14:paraId="3DC68095">
      <w:pPr>
        <w:widowControl w:val="0"/>
        <w:spacing w:line="440" w:lineRule="exact"/>
        <w:ind w:firstLine="474" w:firstLineChars="200"/>
        <w:jc w:val="both"/>
        <w:rPr>
          <w:rFonts w:ascii="Times New Roman" w:hAnsi="Times New Roman" w:eastAsia="宋体" w:cs="Times New Roman"/>
          <w:bCs/>
          <w:color w:val="auto"/>
          <w:w w:val="99"/>
          <w:szCs w:val="20"/>
          <w:highlight w:val="none"/>
        </w:rPr>
      </w:pPr>
      <w:r>
        <w:rPr>
          <w:rFonts w:ascii="Times New Roman" w:hAnsi="Times New Roman" w:eastAsia="宋体" w:cs="Times New Roman"/>
          <w:bCs/>
          <w:color w:val="auto"/>
          <w:w w:val="99"/>
          <w:szCs w:val="20"/>
          <w:highlight w:val="none"/>
        </w:rPr>
        <w:t>现有工程区块内油井在进行作业过程中产生的含油污泥以及场站罐体清淤污泥量约</w:t>
      </w:r>
      <w:r>
        <w:rPr>
          <w:rFonts w:hint="eastAsia" w:ascii="Times New Roman" w:hAnsi="Times New Roman" w:eastAsia="宋体" w:cs="Times New Roman"/>
          <w:bCs/>
          <w:color w:val="auto"/>
          <w:w w:val="99"/>
          <w:szCs w:val="20"/>
          <w:highlight w:val="none"/>
          <w:lang w:val="en-US" w:eastAsia="zh-CN"/>
        </w:rPr>
        <w:t>3.37</w:t>
      </w:r>
      <w:r>
        <w:rPr>
          <w:rFonts w:ascii="Times New Roman" w:hAnsi="Times New Roman" w:eastAsia="宋体" w:cs="Times New Roman"/>
          <w:bCs/>
          <w:color w:val="auto"/>
          <w:w w:val="99"/>
          <w:szCs w:val="20"/>
          <w:highlight w:val="none"/>
        </w:rPr>
        <w:t>t/a，含油污泥委托大庆博昕晶化科技有限公司进行处理，处理后泥渣满足《油田含油污泥处置与利用污染控制要求》（DB23/T 3104-2022）表1标准要求后，在油田作业区域内用于通井路和井场建设、筑路和铺路。区块油井作业产生含油防渗布约</w:t>
      </w:r>
      <w:r>
        <w:rPr>
          <w:rFonts w:hint="eastAsia" w:ascii="Times New Roman" w:hAnsi="Times New Roman" w:eastAsia="宋体" w:cs="Times New Roman"/>
          <w:bCs/>
          <w:color w:val="auto"/>
          <w:w w:val="99"/>
          <w:szCs w:val="20"/>
          <w:highlight w:val="none"/>
          <w:lang w:val="en-US" w:eastAsia="zh-CN"/>
        </w:rPr>
        <w:t>3.65</w:t>
      </w:r>
      <w:r>
        <w:rPr>
          <w:rFonts w:ascii="Times New Roman" w:hAnsi="Times New Roman" w:eastAsia="宋体" w:cs="Times New Roman"/>
          <w:bCs/>
          <w:color w:val="auto"/>
          <w:w w:val="99"/>
          <w:szCs w:val="20"/>
          <w:highlight w:val="none"/>
        </w:rPr>
        <w:t>t/a，</w:t>
      </w:r>
      <w:r>
        <w:rPr>
          <w:rFonts w:hint="eastAsia" w:ascii="Times New Roman" w:hAnsi="Times New Roman" w:cs="Times New Roman" w:eastAsiaTheme="minorEastAsia"/>
          <w:color w:val="auto"/>
          <w:w w:val="99"/>
          <w:highlight w:val="none"/>
          <w:lang w:val="en-US" w:eastAsia="zh-CN"/>
        </w:rPr>
        <w:t>统一收集暂存于危废物贮存库，定期</w:t>
      </w:r>
      <w:r>
        <w:rPr>
          <w:rFonts w:ascii="Times New Roman" w:hAnsi="Times New Roman" w:cs="Times New Roman" w:eastAsiaTheme="minorEastAsia"/>
          <w:color w:val="auto"/>
          <w:w w:val="99"/>
          <w:highlight w:val="none"/>
        </w:rPr>
        <w:t>委托资质单位处理。</w:t>
      </w:r>
    </w:p>
    <w:p w14:paraId="08C43EA8">
      <w:pPr>
        <w:widowControl w:val="0"/>
        <w:spacing w:line="440" w:lineRule="exact"/>
        <w:ind w:firstLine="474" w:firstLineChars="200"/>
        <w:jc w:val="both"/>
        <w:rPr>
          <w:rFonts w:ascii="Times New Roman" w:hAnsi="Times New Roman" w:eastAsia="宋体" w:cs="Times New Roman"/>
          <w:bCs/>
          <w:color w:val="auto"/>
          <w:w w:val="99"/>
          <w:szCs w:val="20"/>
          <w:highlight w:val="none"/>
        </w:rPr>
      </w:pPr>
      <w:r>
        <w:rPr>
          <w:rFonts w:ascii="Times New Roman" w:hAnsi="Times New Roman" w:eastAsia="宋体" w:cs="Times New Roman"/>
          <w:bCs/>
          <w:color w:val="auto"/>
          <w:w w:val="99"/>
          <w:szCs w:val="20"/>
          <w:highlight w:val="none"/>
        </w:rPr>
        <w:t>工程依托场站共产生生活垃圾约</w:t>
      </w:r>
      <w:r>
        <w:rPr>
          <w:rFonts w:hint="eastAsia" w:ascii="Times New Roman" w:hAnsi="Times New Roman" w:eastAsia="宋体" w:cs="Times New Roman"/>
          <w:bCs/>
          <w:color w:val="auto"/>
          <w:w w:val="99"/>
          <w:szCs w:val="20"/>
          <w:highlight w:val="none"/>
          <w:lang w:val="en-US" w:eastAsia="zh-CN"/>
        </w:rPr>
        <w:t>15.3</w:t>
      </w:r>
      <w:r>
        <w:rPr>
          <w:rFonts w:ascii="Times New Roman" w:hAnsi="Times New Roman" w:eastAsia="宋体" w:cs="Times New Roman"/>
          <w:bCs/>
          <w:color w:val="auto"/>
          <w:w w:val="99"/>
          <w:szCs w:val="20"/>
          <w:highlight w:val="none"/>
        </w:rPr>
        <w:t>t/a，送</w:t>
      </w:r>
      <w:r>
        <w:rPr>
          <w:rFonts w:hint="eastAsia" w:ascii="Times New Roman" w:hAnsi="Times New Roman" w:eastAsia="宋体" w:cs="Times New Roman"/>
          <w:bCs/>
          <w:color w:val="auto"/>
          <w:w w:val="99"/>
          <w:szCs w:val="20"/>
          <w:highlight w:val="none"/>
        </w:rPr>
        <w:t>安达市</w:t>
      </w:r>
      <w:r>
        <w:rPr>
          <w:rFonts w:ascii="Times New Roman" w:hAnsi="Times New Roman" w:eastAsia="宋体" w:cs="Times New Roman"/>
          <w:bCs/>
          <w:color w:val="auto"/>
          <w:w w:val="99"/>
          <w:szCs w:val="20"/>
          <w:highlight w:val="none"/>
        </w:rPr>
        <w:t>生活垃圾填埋场处理。</w:t>
      </w:r>
    </w:p>
    <w:p w14:paraId="13127A8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highlight w:val="none"/>
        </w:rPr>
        <w:t>现有工程污染物产排污情况汇总表见表3.1-5。</w:t>
      </w:r>
    </w:p>
    <w:p w14:paraId="7D3ABC2F">
      <w:pPr>
        <w:keepNext/>
        <w:keepLines/>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3.1.3滚动开发区块回顾性分析</w:t>
      </w:r>
    </w:p>
    <w:p w14:paraId="6F332E65">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（1）地下水及土壤防护措施及效果</w:t>
      </w:r>
    </w:p>
    <w:p w14:paraId="1987D287">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现有工程集油管道采用了内缠胶带硬质聚氨酯泡沫黄夹克管，</w:t>
      </w:r>
      <w:r>
        <w:rPr>
          <w:rFonts w:hint="eastAsia" w:ascii="Times New Roman" w:hAnsi="Times New Roman"/>
          <w:color w:val="auto"/>
          <w:highlight w:val="none"/>
          <w:lang w:val="en-US" w:eastAsia="zh-CN"/>
        </w:rPr>
        <w:t>集输</w:t>
      </w:r>
      <w:r>
        <w:rPr>
          <w:rFonts w:ascii="Times New Roman" w:hAnsi="Times New Roman" w:cs="Times New Roman"/>
          <w:color w:val="auto"/>
          <w:kern w:val="2"/>
          <w:highlight w:val="none"/>
        </w:rPr>
        <w:t>管道采用了防腐无缝钢管，连接方式为焊接，防渗性能满足《环境影响评价技术导则地下水环境》（HJ610-2016）中重点防渗区防渗要求。阀组间、配水间地面采取了一般防渗措施，地面涂刷 1.5mm 厚防渗材料，防渗性能满足《环境影响评价技术导则地下水环境》( HJ610-2016)中一般防渗区的要求。油水井井场地面已进行平整夯实，防渗性能满足《环境影响评价技术导则地下水环境》简单防渗区防渗要求。</w:t>
      </w:r>
    </w:p>
    <w:p w14:paraId="0AA44602">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bCs/>
          <w:color w:val="auto"/>
          <w:kern w:val="2"/>
          <w:highlight w:val="none"/>
        </w:rPr>
        <w:t>根据本次对区块内的地下水井监测结果显示，现有区块内地下水</w:t>
      </w:r>
      <w:r>
        <w:rPr>
          <w:rFonts w:ascii="Times New Roman" w:hAnsi="Times New Roman" w:cs="Times New Roman" w:eastAsiaTheme="minorEastAsia"/>
          <w:color w:val="auto"/>
          <w:kern w:val="21"/>
          <w:highlight w:val="none"/>
        </w:rPr>
        <w:t>水质除潜水中锰外均满足《地下水质量标准》（GB/T148488-2017）中的Ⅲ类标准要求，石油类满足《地表水环境质量标准》（GB3838-2002）</w:t>
      </w:r>
      <w:r>
        <w:rPr>
          <w:rFonts w:ascii="Times New Roman" w:hAnsi="Times New Roman" w:cs="Times New Roman" w:eastAsiaTheme="minorEastAsia"/>
          <w:color w:val="auto"/>
          <w:kern w:val="21"/>
          <w:highlight w:val="none"/>
        </w:rPr>
        <w:fldChar w:fldCharType="begin"/>
      </w:r>
      <w:r>
        <w:rPr>
          <w:rFonts w:ascii="Times New Roman" w:hAnsi="Times New Roman" w:cs="Times New Roman" w:eastAsiaTheme="minorEastAsia"/>
          <w:color w:val="auto"/>
          <w:kern w:val="21"/>
          <w:highlight w:val="none"/>
        </w:rPr>
        <w:instrText xml:space="preserve"> = 2 \* ROMAN </w:instrText>
      </w:r>
      <w:r>
        <w:rPr>
          <w:rFonts w:ascii="Times New Roman" w:hAnsi="Times New Roman" w:cs="Times New Roman" w:eastAsiaTheme="minorEastAsia"/>
          <w:color w:val="auto"/>
          <w:kern w:val="21"/>
          <w:highlight w:val="none"/>
        </w:rPr>
        <w:fldChar w:fldCharType="separate"/>
      </w:r>
      <w:r>
        <w:rPr>
          <w:rFonts w:ascii="Times New Roman" w:hAnsi="Times New Roman" w:cs="Times New Roman" w:eastAsiaTheme="minorEastAsia"/>
          <w:color w:val="auto"/>
          <w:kern w:val="21"/>
          <w:highlight w:val="none"/>
        </w:rPr>
        <w:t>II</w:t>
      </w:r>
      <w:r>
        <w:rPr>
          <w:rFonts w:ascii="Times New Roman" w:hAnsi="Times New Roman" w:cs="Times New Roman" w:eastAsiaTheme="minorEastAsia"/>
          <w:color w:val="auto"/>
          <w:kern w:val="21"/>
          <w:highlight w:val="none"/>
        </w:rPr>
        <w:fldChar w:fldCharType="end"/>
      </w:r>
      <w:r>
        <w:rPr>
          <w:rFonts w:ascii="Times New Roman" w:hAnsi="Times New Roman" w:cs="Times New Roman" w:eastAsiaTheme="minorEastAsia"/>
          <w:color w:val="auto"/>
          <w:kern w:val="21"/>
          <w:highlight w:val="none"/>
        </w:rPr>
        <w:t>类标准。其中锰因子水质监测浓度占标率偏高，主要是由于评价区域地层中富含锰矿物，还原条件下转化的Mn</w:t>
      </w:r>
      <w:r>
        <w:rPr>
          <w:rFonts w:ascii="Times New Roman" w:hAnsi="Times New Roman" w:cs="Times New Roman" w:eastAsiaTheme="minorEastAsia"/>
          <w:color w:val="auto"/>
          <w:kern w:val="21"/>
          <w:highlight w:val="none"/>
          <w:vertAlign w:val="superscript"/>
        </w:rPr>
        <w:t>2+</w:t>
      </w:r>
      <w:r>
        <w:rPr>
          <w:rFonts w:ascii="Times New Roman" w:hAnsi="Times New Roman" w:cs="Times New Roman" w:eastAsiaTheme="minorEastAsia"/>
          <w:color w:val="auto"/>
          <w:kern w:val="21"/>
          <w:highlight w:val="none"/>
        </w:rPr>
        <w:t>在CO</w:t>
      </w:r>
      <w:r>
        <w:rPr>
          <w:rFonts w:ascii="Times New Roman" w:hAnsi="Times New Roman" w:cs="Times New Roman" w:eastAsiaTheme="minorEastAsia"/>
          <w:color w:val="auto"/>
          <w:kern w:val="21"/>
          <w:highlight w:val="none"/>
          <w:vertAlign w:val="subscript"/>
        </w:rPr>
        <w:t>2</w:t>
      </w:r>
      <w:r>
        <w:rPr>
          <w:rFonts w:ascii="Times New Roman" w:hAnsi="Times New Roman" w:cs="Times New Roman" w:eastAsiaTheme="minorEastAsia"/>
          <w:color w:val="auto"/>
          <w:kern w:val="21"/>
          <w:highlight w:val="none"/>
        </w:rPr>
        <w:t>作用下溶入地下水中，形成锰浓度偏高的水文地质化学环境。</w:t>
      </w:r>
      <w:r>
        <w:rPr>
          <w:rFonts w:ascii="Times New Roman" w:hAnsi="Times New Roman" w:cs="Times New Roman"/>
          <w:bCs/>
          <w:color w:val="auto"/>
          <w:kern w:val="2"/>
          <w:highlight w:val="none"/>
        </w:rPr>
        <w:t>说明在采取地下水防护措施后现有工程对区域地下水无明显影响。</w:t>
      </w:r>
    </w:p>
    <w:p w14:paraId="5B1E80B5">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bCs/>
          <w:color w:val="auto"/>
          <w:kern w:val="2"/>
          <w:highlight w:val="none"/>
        </w:rPr>
        <w:t>根据本次对</w:t>
      </w:r>
      <w:r>
        <w:rPr>
          <w:rFonts w:hint="eastAsia" w:ascii="Times New Roman" w:hAnsi="Times New Roman" w:cs="Times New Roman"/>
          <w:bCs/>
          <w:color w:val="auto"/>
          <w:kern w:val="2"/>
          <w:highlight w:val="none"/>
        </w:rPr>
        <w:t>区域</w:t>
      </w:r>
      <w:r>
        <w:rPr>
          <w:rFonts w:ascii="Times New Roman" w:hAnsi="Times New Roman" w:cs="Times New Roman"/>
          <w:bCs/>
          <w:color w:val="auto"/>
          <w:kern w:val="2"/>
          <w:highlight w:val="none"/>
        </w:rPr>
        <w:t>土壤监测结果显示，</w:t>
      </w:r>
      <w:r>
        <w:rPr>
          <w:rFonts w:hint="eastAsia" w:ascii="Times New Roman" w:hAnsi="Times New Roman" w:cs="Times New Roman"/>
          <w:bCs/>
          <w:color w:val="auto"/>
          <w:kern w:val="2"/>
          <w:highlight w:val="none"/>
          <w:lang w:val="en-US" w:eastAsia="zh-CN"/>
        </w:rPr>
        <w:t>计量间</w:t>
      </w:r>
      <w:r>
        <w:rPr>
          <w:rFonts w:ascii="Times New Roman" w:hAnsi="Times New Roman" w:cs="Times New Roman"/>
          <w:bCs/>
          <w:color w:val="auto"/>
          <w:kern w:val="2"/>
          <w:highlight w:val="none"/>
        </w:rPr>
        <w:t>永久占地内土壤满足《土壤环境质量 建设用地土壤污染风险管控标准（试行）》（GB36600-2018）中第二类用地筛选值标准，占地外农用地土壤满足《土壤环境质量 农用地土壤污染风险管控标准（试行）》（GB15618-2018）基本项目筛选值标准，现有工程在运行阶段未对区域土壤产生明显影响。</w:t>
      </w:r>
    </w:p>
    <w:p w14:paraId="3C3C929F">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（2）生态环境保护措施及效果</w:t>
      </w:r>
    </w:p>
    <w:p w14:paraId="7AD1A2B1">
      <w:pPr>
        <w:widowControl w:val="0"/>
        <w:spacing w:line="440" w:lineRule="exact"/>
        <w:ind w:firstLine="480" w:firstLineChars="200"/>
        <w:jc w:val="both"/>
        <w:rPr>
          <w:rFonts w:ascii="Times New Roman" w:hAnsi="Times New Roman" w:cs="Times New Roman"/>
          <w:bCs/>
          <w:color w:val="auto"/>
          <w:kern w:val="2"/>
          <w:highlight w:val="none"/>
        </w:rPr>
      </w:pPr>
      <w:r>
        <w:rPr>
          <w:rFonts w:ascii="Times New Roman" w:hAnsi="Times New Roman" w:cs="Times New Roman"/>
          <w:bCs/>
          <w:color w:val="auto"/>
          <w:kern w:val="2"/>
          <w:highlight w:val="none"/>
        </w:rPr>
        <w:t>为保护区域生态环境，</w:t>
      </w:r>
      <w:r>
        <w:rPr>
          <w:rFonts w:hint="eastAsia" w:ascii="Times New Roman" w:hAnsi="Times New Roman" w:eastAsiaTheme="minorEastAsia"/>
          <w:bCs/>
          <w:caps w:val="0"/>
          <w:smallCaps w:val="0"/>
          <w:color w:val="auto"/>
          <w:spacing w:val="0"/>
          <w:w w:val="100"/>
          <w:position w:val="0"/>
          <w:highlight w:val="none"/>
          <w:lang w:val="en-US" w:eastAsia="zh-CN"/>
        </w:rPr>
        <w:t>第十一采油厂</w:t>
      </w:r>
      <w:r>
        <w:rPr>
          <w:rFonts w:ascii="Times New Roman" w:hAnsi="Times New Roman" w:cs="Times New Roman"/>
          <w:bCs/>
          <w:color w:val="auto"/>
          <w:kern w:val="2"/>
          <w:highlight w:val="none"/>
        </w:rPr>
        <w:t>在钻井工程时采取了生态保护措施保护区域内耕地、草地生态系统。例如严格控制了井场的临时及永久占地，井场钻井工程施工结束后及时对临时占地进行了生态恢复，最大力度降低了油田开发对区域耕地及草地生态系统的影响。并严格控制了该区域油田作业范围，严格运行期管理，减小了对区域生态系统的扰动，保证了不因油田开发活动加重生态系统的退化、沙化、盐碱化等。针对区块内水土流失重点治理区，</w:t>
      </w:r>
      <w:r>
        <w:rPr>
          <w:rFonts w:hint="eastAsia" w:ascii="Times New Roman" w:hAnsi="Times New Roman" w:eastAsiaTheme="minorEastAsia"/>
          <w:bCs/>
          <w:caps w:val="0"/>
          <w:smallCaps w:val="0"/>
          <w:color w:val="auto"/>
          <w:spacing w:val="0"/>
          <w:w w:val="100"/>
          <w:position w:val="0"/>
          <w:highlight w:val="none"/>
          <w:lang w:val="en-US" w:eastAsia="zh-CN"/>
        </w:rPr>
        <w:t>第十一采油厂</w:t>
      </w:r>
      <w:r>
        <w:rPr>
          <w:rFonts w:ascii="Times New Roman" w:hAnsi="Times New Roman" w:cs="Times New Roman"/>
          <w:bCs/>
          <w:color w:val="auto"/>
          <w:kern w:val="2"/>
          <w:highlight w:val="none"/>
        </w:rPr>
        <w:t>采取了井场平整、压实，开挖土方已合理利用填埋，施工期间未对占地外的地表植被造成碾压和破坏；在油田道路地势较低，容易汇水形成径流冲刷的路段，设置了钢筋砼板涵，保证了道路两侧洪沟的畅通；生产期已严格作好道路泄洪桥涵洞的疏通、维修工作，保证了各类设施的泄洪能力；管道工程施工期间，划定了施工活动范围，车辆均采用“一”字型作业法，严格避免开辟新路，管沟挖、填方作业做到了互补平衡，未造成弃土方堆积和过多借土，未增加新的水土流失，管沟回填阶段均按层回填，回填后予以平整、压实，施工期间对开发建设施工材料划定了适宜的堆料场，未破坏占地外的植被，未增加裸地面积而新增的水土流失。</w:t>
      </w:r>
    </w:p>
    <w:p w14:paraId="575B64B3">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根据现场调查，现有区域内未出现大面积土壤沙化、盐渍化，通过采取相应的生态保护措施及生态恢复措施，已实施工程未对周围生态环境造成较明显的影响。工程永久占地直接减少了草地植被量和农作物的产量，区块道路网络对区域原有生态系统的分割，在一定程度上破坏了原有生态系统的连续性，但没有改变项目区域的生态系统结构与功能，区域的生态组分及生物多样性未受影响，区域生态格局变化不大，对区域生态系统环境的影响较小。</w:t>
      </w:r>
    </w:p>
    <w:p w14:paraId="6832FF5E">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根据现场勘查，现有区块内井场永久占地已平整，井场及管线施工时临时占用的耕地及草地均已进行了恢复，且生态恢复良好。</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4"/>
        <w:gridCol w:w="4516"/>
      </w:tblGrid>
      <w:tr w14:paraId="14DD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44" w:type="dxa"/>
            <w:vAlign w:val="center"/>
          </w:tcPr>
          <w:p w14:paraId="077B98E9">
            <w:pPr>
              <w:widowControl w:val="0"/>
              <w:jc w:val="center"/>
              <w:rPr>
                <w:rFonts w:ascii="Times New Roman" w:hAnsi="Times New Roman" w:cs="Times New Roman"/>
                <w:bCs/>
                <w:color w:val="auto"/>
                <w:kern w:val="2"/>
                <w:sz w:val="21"/>
                <w:szCs w:val="21"/>
                <w:highlight w:val="none"/>
              </w:rPr>
            </w:pPr>
            <w:r>
              <w:rPr>
                <w:rFonts w:ascii="Times New Roman" w:hAnsi="Times New Roman" w:cs="Times New Roman"/>
                <w:bCs/>
                <w:color w:val="auto"/>
                <w:kern w:val="2"/>
                <w:sz w:val="21"/>
                <w:szCs w:val="21"/>
                <w:highlight w:val="none"/>
              </w:rPr>
              <w:drawing>
                <wp:inline distT="0" distB="0" distL="0" distR="0">
                  <wp:extent cx="2748280" cy="1790700"/>
                  <wp:effectExtent l="0" t="0" r="13970" b="0"/>
                  <wp:docPr id="141367867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78677" name="图片 18"/>
                          <pic:cNvPicPr>
                            <a:picLocks noChangeAspect="1"/>
                          </pic:cNvPicPr>
                        </pic:nvPicPr>
                        <pic:blipFill>
                          <a:blip r:embed="rId22" cstate="print">
                            <a:extLst>
                              <a:ext uri="{28A0092B-C50C-407E-A947-70E740481C1C}">
                                <a14:useLocalDpi xmlns:a14="http://schemas.microsoft.com/office/drawing/2010/main" val="0"/>
                              </a:ext>
                            </a:extLst>
                          </a:blip>
                          <a:srcRect b="13124"/>
                          <a:stretch>
                            <a:fillRect/>
                          </a:stretch>
                        </pic:blipFill>
                        <pic:spPr>
                          <a:xfrm>
                            <a:off x="0" y="0"/>
                            <a:ext cx="2748280" cy="1790700"/>
                          </a:xfrm>
                          <a:prstGeom prst="rect">
                            <a:avLst/>
                          </a:prstGeom>
                          <a:ln>
                            <a:noFill/>
                          </a:ln>
                        </pic:spPr>
                      </pic:pic>
                    </a:graphicData>
                  </a:graphic>
                </wp:inline>
              </w:drawing>
            </w:r>
          </w:p>
        </w:tc>
        <w:tc>
          <w:tcPr>
            <w:tcW w:w="4516" w:type="dxa"/>
            <w:vAlign w:val="center"/>
          </w:tcPr>
          <w:p w14:paraId="2BA5DB5E">
            <w:pPr>
              <w:widowControl w:val="0"/>
              <w:jc w:val="center"/>
              <w:rPr>
                <w:rFonts w:ascii="Times New Roman" w:hAnsi="Times New Roman" w:cs="Times New Roman"/>
                <w:bCs/>
                <w:color w:val="auto"/>
                <w:kern w:val="2"/>
                <w:sz w:val="21"/>
                <w:szCs w:val="21"/>
                <w:highlight w:val="none"/>
              </w:rPr>
            </w:pPr>
            <w:r>
              <w:rPr>
                <w:rFonts w:ascii="Times New Roman" w:hAnsi="Times New Roman" w:cs="Times New Roman"/>
                <w:bCs/>
                <w:color w:val="auto"/>
                <w:kern w:val="2"/>
                <w:sz w:val="21"/>
                <w:szCs w:val="21"/>
                <w:highlight w:val="none"/>
              </w:rPr>
              <w:drawing>
                <wp:inline distT="0" distB="0" distL="0" distR="0">
                  <wp:extent cx="2730500" cy="1762125"/>
                  <wp:effectExtent l="0" t="0" r="12700" b="9525"/>
                  <wp:docPr id="173080750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07508" name="图片 19"/>
                          <pic:cNvPicPr>
                            <a:picLocks noChangeAspect="1"/>
                          </pic:cNvPicPr>
                        </pic:nvPicPr>
                        <pic:blipFill>
                          <a:blip r:embed="rId23" cstate="print">
                            <a:extLst>
                              <a:ext uri="{28A0092B-C50C-407E-A947-70E740481C1C}">
                                <a14:useLocalDpi xmlns:a14="http://schemas.microsoft.com/office/drawing/2010/main" val="0"/>
                              </a:ext>
                            </a:extLst>
                          </a:blip>
                          <a:srcRect b="13953"/>
                          <a:stretch>
                            <a:fillRect/>
                          </a:stretch>
                        </pic:blipFill>
                        <pic:spPr>
                          <a:xfrm>
                            <a:off x="0" y="0"/>
                            <a:ext cx="2730500" cy="1762125"/>
                          </a:xfrm>
                          <a:prstGeom prst="rect">
                            <a:avLst/>
                          </a:prstGeom>
                          <a:ln>
                            <a:noFill/>
                          </a:ln>
                        </pic:spPr>
                      </pic:pic>
                    </a:graphicData>
                  </a:graphic>
                </wp:inline>
              </w:drawing>
            </w:r>
          </w:p>
        </w:tc>
      </w:tr>
      <w:tr w14:paraId="46C5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2"/>
            <w:vAlign w:val="center"/>
          </w:tcPr>
          <w:p w14:paraId="432A3F28">
            <w:pPr>
              <w:widowControl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现有井场平整及周边生态恢复情况</w:t>
            </w:r>
          </w:p>
        </w:tc>
      </w:tr>
    </w:tbl>
    <w:p w14:paraId="52BA2072">
      <w:pPr>
        <w:widowControl w:val="0"/>
        <w:autoSpaceDE w:val="0"/>
        <w:autoSpaceDN w:val="0"/>
        <w:adjustRightInd w:val="0"/>
        <w:snapToGrid w:val="0"/>
        <w:spacing w:line="440" w:lineRule="exact"/>
        <w:ind w:firstLine="505"/>
        <w:jc w:val="center"/>
        <w:textAlignment w:val="baseline"/>
        <w:rPr>
          <w:rFonts w:ascii="Times New Roman" w:hAnsi="Times New Roman" w:cs="Times New Roman"/>
          <w:b/>
          <w:bCs/>
          <w:color w:val="auto"/>
          <w:kern w:val="2"/>
          <w:szCs w:val="22"/>
          <w:highlight w:val="none"/>
        </w:rPr>
      </w:pPr>
      <w:r>
        <w:rPr>
          <w:rFonts w:ascii="Times New Roman" w:hAnsi="Times New Roman" w:cs="Times New Roman"/>
          <w:b/>
          <w:bCs/>
          <w:color w:val="auto"/>
          <w:kern w:val="2"/>
          <w:szCs w:val="22"/>
          <w:highlight w:val="none"/>
        </w:rPr>
        <w:t>图3.1-2   现有区块内已建井场及管线周边生态恢复情况</w:t>
      </w:r>
    </w:p>
    <w:p w14:paraId="497BA774">
      <w:pPr>
        <w:widowControl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（3）现有工程环境风险回顾</w:t>
      </w:r>
    </w:p>
    <w:p w14:paraId="27D3F884">
      <w:pPr>
        <w:widowControl w:val="0"/>
        <w:spacing w:line="440" w:lineRule="exact"/>
        <w:ind w:firstLine="480" w:firstLineChars="200"/>
        <w:jc w:val="both"/>
        <w:rPr>
          <w:rFonts w:ascii="Times New Roman" w:hAnsi="Times New Roman" w:cs="Times New Roman"/>
          <w:bCs/>
          <w:color w:val="auto"/>
          <w:kern w:val="2"/>
          <w:highlight w:val="none"/>
        </w:rPr>
      </w:pPr>
      <w:r>
        <w:rPr>
          <w:rFonts w:ascii="Times New Roman" w:hAnsi="Times New Roman" w:cs="Times New Roman"/>
          <w:bCs/>
          <w:color w:val="auto"/>
          <w:kern w:val="2"/>
          <w:highlight w:val="none"/>
        </w:rPr>
        <w:t>现有工程油田生产过程中的风险物质主要包括原油、伴生气、油田采出水等，可能发生的风险事故主要为油气集输过程中发生原油及伴生气泄漏事故。为最大限度地减轻油田生产过程对区域内环境空气、水环境及生态环境的影响，减少事故的发生，确保油田安全运行，</w:t>
      </w:r>
      <w:r>
        <w:rPr>
          <w:rFonts w:hint="eastAsia" w:ascii="Times New Roman" w:hAnsi="Times New Roman" w:eastAsiaTheme="minorEastAsia"/>
          <w:bCs/>
          <w:caps w:val="0"/>
          <w:smallCaps w:val="0"/>
          <w:color w:val="auto"/>
          <w:spacing w:val="0"/>
          <w:w w:val="100"/>
          <w:position w:val="0"/>
          <w:highlight w:val="none"/>
          <w:lang w:val="en-US" w:eastAsia="zh-CN"/>
        </w:rPr>
        <w:t>第十一采油厂</w:t>
      </w:r>
      <w:r>
        <w:rPr>
          <w:rFonts w:ascii="Times New Roman" w:hAnsi="Times New Roman" w:cs="Times New Roman"/>
          <w:bCs/>
          <w:color w:val="auto"/>
          <w:kern w:val="2"/>
          <w:highlight w:val="none"/>
        </w:rPr>
        <w:t>建立和实施了HSE—安全与环境管理体系，并制定了油田各类事故应急预案。</w:t>
      </w:r>
    </w:p>
    <w:p w14:paraId="09F19E99">
      <w:pPr>
        <w:widowControl w:val="0"/>
        <w:spacing w:line="440" w:lineRule="exact"/>
        <w:ind w:firstLine="480" w:firstLineChars="200"/>
        <w:jc w:val="both"/>
        <w:rPr>
          <w:rFonts w:ascii="Times New Roman" w:hAnsi="Times New Roman" w:cs="Times New Roman"/>
          <w:bCs/>
          <w:color w:val="auto"/>
          <w:kern w:val="2"/>
          <w:highlight w:val="none"/>
        </w:rPr>
      </w:pPr>
      <w:r>
        <w:rPr>
          <w:rFonts w:ascii="Times New Roman" w:hAnsi="Times New Roman" w:cs="Times New Roman"/>
          <w:bCs/>
          <w:color w:val="auto"/>
          <w:kern w:val="2"/>
          <w:highlight w:val="none"/>
        </w:rPr>
        <w:t>根据调查，第</w:t>
      </w:r>
      <w:r>
        <w:rPr>
          <w:rFonts w:hint="eastAsia" w:ascii="Times New Roman" w:hAnsi="Times New Roman" w:cs="Times New Roman"/>
          <w:bCs/>
          <w:color w:val="auto"/>
          <w:kern w:val="2"/>
          <w:highlight w:val="none"/>
          <w:lang w:val="en-US" w:eastAsia="zh-CN"/>
        </w:rPr>
        <w:t>十一采油厂</w:t>
      </w:r>
      <w:r>
        <w:rPr>
          <w:rFonts w:ascii="Times New Roman" w:hAnsi="Times New Roman" w:cs="Times New Roman"/>
          <w:bCs/>
          <w:color w:val="auto"/>
          <w:kern w:val="2"/>
          <w:highlight w:val="none"/>
        </w:rPr>
        <w:t>按照预案要求编制完成了《大庆油田有限责任公司第第</w:t>
      </w:r>
      <w:r>
        <w:rPr>
          <w:rFonts w:hint="eastAsia" w:ascii="Times New Roman" w:hAnsi="Times New Roman" w:cs="Times New Roman"/>
          <w:bCs/>
          <w:color w:val="auto"/>
          <w:kern w:val="2"/>
          <w:highlight w:val="none"/>
          <w:lang w:val="en-US" w:eastAsia="zh-CN"/>
        </w:rPr>
        <w:t>十一采油厂</w:t>
      </w:r>
      <w:r>
        <w:rPr>
          <w:rFonts w:ascii="Times New Roman" w:hAnsi="Times New Roman" w:cs="Times New Roman"/>
          <w:bCs/>
          <w:color w:val="auto"/>
          <w:kern w:val="2"/>
          <w:highlight w:val="none"/>
        </w:rPr>
        <w:t>突发事件总体应急预案》《突发环境事件专项应急预案》等专项应急预案，主要包括应急组织机构及职责明确、监测与预警、应急处置与应急响应、恢复与重建、应急保障与培训、督查与奖惩等内容。并于</w:t>
      </w:r>
      <w:r>
        <w:rPr>
          <w:rFonts w:hint="eastAsia" w:ascii="Times New Roman" w:hAnsi="Times New Roman" w:cs="Times New Roman"/>
          <w:bCs/>
          <w:color w:val="auto"/>
          <w:kern w:val="2"/>
          <w:highlight w:val="none"/>
          <w:lang w:val="en-US" w:eastAsia="zh-CN"/>
        </w:rPr>
        <w:t>2025</w:t>
      </w:r>
      <w:r>
        <w:rPr>
          <w:rFonts w:ascii="Times New Roman" w:hAnsi="Times New Roman" w:cs="Times New Roman"/>
          <w:bCs/>
          <w:color w:val="auto"/>
          <w:kern w:val="2"/>
          <w:highlight w:val="none"/>
        </w:rPr>
        <w:t>年</w:t>
      </w:r>
      <w:r>
        <w:rPr>
          <w:rFonts w:hint="eastAsia" w:ascii="Times New Roman" w:hAnsi="Times New Roman" w:cs="Times New Roman"/>
          <w:bCs/>
          <w:color w:val="auto"/>
          <w:kern w:val="2"/>
          <w:highlight w:val="none"/>
          <w:lang w:val="en-US" w:eastAsia="zh-CN"/>
        </w:rPr>
        <w:t>3</w:t>
      </w:r>
      <w:r>
        <w:rPr>
          <w:rFonts w:ascii="Times New Roman" w:hAnsi="Times New Roman" w:cs="Times New Roman"/>
          <w:bCs/>
          <w:color w:val="auto"/>
          <w:kern w:val="2"/>
          <w:highlight w:val="none"/>
        </w:rPr>
        <w:t>月</w:t>
      </w:r>
      <w:r>
        <w:rPr>
          <w:rFonts w:hint="eastAsia" w:ascii="Times New Roman" w:hAnsi="Times New Roman" w:cs="Times New Roman"/>
          <w:bCs/>
          <w:color w:val="auto"/>
          <w:kern w:val="2"/>
          <w:highlight w:val="none"/>
          <w:lang w:val="en-US" w:eastAsia="zh-CN"/>
        </w:rPr>
        <w:t>25</w:t>
      </w:r>
      <w:r>
        <w:rPr>
          <w:rFonts w:ascii="Times New Roman" w:hAnsi="Times New Roman" w:cs="Times New Roman"/>
          <w:bCs/>
          <w:color w:val="auto"/>
          <w:kern w:val="2"/>
          <w:highlight w:val="none"/>
        </w:rPr>
        <w:t>日在</w:t>
      </w:r>
      <w:r>
        <w:rPr>
          <w:rFonts w:hint="eastAsia" w:ascii="Times New Roman" w:hAnsi="Times New Roman" w:cs="Times New Roman"/>
          <w:bCs/>
          <w:color w:val="auto"/>
          <w:kern w:val="2"/>
          <w:highlight w:val="none"/>
          <w:lang w:val="en-US" w:eastAsia="zh-CN"/>
        </w:rPr>
        <w:t>绥化市安达市</w:t>
      </w:r>
      <w:r>
        <w:rPr>
          <w:rFonts w:ascii="Times New Roman" w:hAnsi="Times New Roman" w:cs="Times New Roman"/>
          <w:bCs/>
          <w:color w:val="auto"/>
          <w:kern w:val="2"/>
          <w:highlight w:val="none"/>
        </w:rPr>
        <w:t xml:space="preserve">生态环境局进行了备案，备案编号为 </w:t>
      </w:r>
      <w:r>
        <w:rPr>
          <w:rFonts w:hint="eastAsia" w:ascii="Times New Roman" w:hAnsi="Times New Roman" w:cs="Times New Roman"/>
          <w:bCs/>
          <w:color w:val="auto"/>
          <w:kern w:val="2"/>
          <w:highlight w:val="none"/>
        </w:rPr>
        <w:t>231281-2025-014-L</w:t>
      </w:r>
      <w:r>
        <w:rPr>
          <w:rFonts w:ascii="Times New Roman" w:hAnsi="Times New Roman" w:cs="Times New Roman"/>
          <w:bCs/>
          <w:color w:val="auto"/>
          <w:kern w:val="2"/>
          <w:highlight w:val="none"/>
        </w:rPr>
        <w:t>。预案内容包括了企业基本情况、应急组织体系及职责、应急响应、应急处置、应急监测等内容，在事故发生时具有一定的可操作性和指导意义。</w:t>
      </w:r>
      <w:r>
        <w:rPr>
          <w:rFonts w:hint="eastAsia" w:ascii="Times New Roman" w:hAnsi="Times New Roman" w:eastAsiaTheme="minorEastAsia"/>
          <w:bCs/>
          <w:caps w:val="0"/>
          <w:smallCaps w:val="0"/>
          <w:color w:val="auto"/>
          <w:spacing w:val="0"/>
          <w:w w:val="100"/>
          <w:position w:val="0"/>
          <w:highlight w:val="none"/>
          <w:lang w:val="en-US" w:eastAsia="zh-CN"/>
        </w:rPr>
        <w:t>第十一采油厂</w:t>
      </w:r>
      <w:r>
        <w:rPr>
          <w:rFonts w:ascii="Times New Roman" w:hAnsi="Times New Roman" w:cs="Times New Roman"/>
          <w:bCs/>
          <w:color w:val="auto"/>
          <w:kern w:val="2"/>
          <w:highlight w:val="none"/>
        </w:rPr>
        <w:t>采取了有效的环境风险防范和应急措施，建立了应急管理体系，开展了应急培训和应急演练，具备处置突发环境事件的能力，物资储备充足，应急保障措施完善。</w:t>
      </w:r>
    </w:p>
    <w:p w14:paraId="155E015E">
      <w:pPr>
        <w:widowControl w:val="0"/>
        <w:spacing w:line="440" w:lineRule="exact"/>
        <w:ind w:firstLine="480" w:firstLineChars="200"/>
        <w:jc w:val="both"/>
        <w:rPr>
          <w:rFonts w:ascii="Times New Roman" w:hAnsi="Times New Roman" w:cs="Times New Roman"/>
          <w:bCs/>
          <w:color w:val="auto"/>
          <w:kern w:val="2"/>
          <w:highlight w:val="none"/>
        </w:rPr>
      </w:pPr>
      <w:r>
        <w:rPr>
          <w:rFonts w:ascii="Times New Roman" w:hAnsi="Times New Roman" w:cs="Times New Roman"/>
          <w:bCs/>
          <w:color w:val="auto"/>
          <w:kern w:val="2"/>
          <w:highlight w:val="none"/>
        </w:rPr>
        <w:t>现有工程主要采取的风险防范及应急措施包括：</w:t>
      </w:r>
    </w:p>
    <w:p w14:paraId="526725F3">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bCs/>
          <w:color w:val="auto"/>
          <w:kern w:val="2"/>
          <w:highlight w:val="none"/>
        </w:rPr>
        <w:t>①</w:t>
      </w:r>
      <w:r>
        <w:rPr>
          <w:rFonts w:ascii="Times New Roman" w:hAnsi="Times New Roman" w:cs="Times New Roman"/>
          <w:bCs/>
          <w:color w:val="auto"/>
          <w:kern w:val="2"/>
          <w:highlight w:val="none"/>
        </w:rPr>
        <w:t>严格按照管道施工、验收等规范进行设计、施工和验收；</w:t>
      </w:r>
    </w:p>
    <w:p w14:paraId="5A27BAF6">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bCs/>
          <w:color w:val="auto"/>
          <w:kern w:val="2"/>
          <w:highlight w:val="none"/>
        </w:rPr>
        <w:t>②</w:t>
      </w:r>
      <w:r>
        <w:rPr>
          <w:rFonts w:ascii="Times New Roman" w:hAnsi="Times New Roman" w:cs="Times New Roman"/>
          <w:bCs/>
          <w:color w:val="auto"/>
          <w:kern w:val="2"/>
          <w:highlight w:val="none"/>
        </w:rPr>
        <w:t>加强场站设备及管线防腐维护，按规定进行设备维修、保养及时更换易损及老化部件，防止原油及伴生气泄漏事故的发生；</w:t>
      </w:r>
    </w:p>
    <w:p w14:paraId="413C477C">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bCs/>
          <w:color w:val="auto"/>
          <w:kern w:val="2"/>
          <w:highlight w:val="none"/>
        </w:rPr>
        <w:t>③</w:t>
      </w:r>
      <w:r>
        <w:rPr>
          <w:rFonts w:ascii="Times New Roman" w:hAnsi="Times New Roman" w:cs="Times New Roman"/>
          <w:bCs/>
          <w:color w:val="auto"/>
          <w:kern w:val="2"/>
          <w:highlight w:val="none"/>
        </w:rPr>
        <w:t>合理设置油气进站、出站阀门，定期维护，一旦发生泄漏采取相应停产措施后，紧急关闭阀门；</w:t>
      </w:r>
    </w:p>
    <w:p w14:paraId="408F2AE7">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bCs/>
          <w:color w:val="auto"/>
          <w:kern w:val="2"/>
          <w:highlight w:val="none"/>
        </w:rPr>
        <w:t>④</w:t>
      </w:r>
      <w:r>
        <w:rPr>
          <w:rFonts w:ascii="Times New Roman" w:hAnsi="Times New Roman" w:cs="Times New Roman"/>
          <w:bCs/>
          <w:color w:val="auto"/>
          <w:kern w:val="2"/>
          <w:highlight w:val="none"/>
        </w:rPr>
        <w:t>集输管线敷设前，加强对管材和焊接质量的检查，严禁使用不合格产品。对焊接质量严格检验，防止焊接缺陷造成泄漏事故的发生；</w:t>
      </w:r>
    </w:p>
    <w:p w14:paraId="4F6DA500">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bCs/>
          <w:color w:val="auto"/>
          <w:kern w:val="2"/>
          <w:highlight w:val="none"/>
        </w:rPr>
        <w:t>⑤</w:t>
      </w:r>
      <w:r>
        <w:rPr>
          <w:rFonts w:ascii="Times New Roman" w:hAnsi="Times New Roman" w:cs="Times New Roman"/>
          <w:bCs/>
          <w:color w:val="auto"/>
          <w:kern w:val="2"/>
          <w:highlight w:val="none"/>
        </w:rPr>
        <w:t>定期对管线进行巡查，定期对管道壁厚进行检测；</w:t>
      </w:r>
    </w:p>
    <w:p w14:paraId="3C5FDCF9">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bCs/>
          <w:color w:val="auto"/>
          <w:kern w:val="2"/>
          <w:highlight w:val="none"/>
        </w:rPr>
        <w:t>⑥</w:t>
      </w:r>
      <w:r>
        <w:rPr>
          <w:rFonts w:ascii="Times New Roman" w:hAnsi="Times New Roman" w:cs="Times New Roman"/>
          <w:bCs/>
          <w:color w:val="auto"/>
          <w:kern w:val="2"/>
          <w:highlight w:val="none"/>
        </w:rPr>
        <w:t>对可能发生突发事件的区域，配备应急现场抢险救援必需的抢险设备，并标明其类型、数量、质量、性能、适用对象等，并建立专人保管、保养、维护、更新、动用等审批管理制度。</w:t>
      </w:r>
    </w:p>
    <w:p w14:paraId="44AD0C7B">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bCs/>
          <w:color w:val="auto"/>
          <w:kern w:val="2"/>
          <w:highlight w:val="none"/>
        </w:rPr>
        <w:t>⑦</w:t>
      </w:r>
      <w:r>
        <w:rPr>
          <w:rFonts w:ascii="Times New Roman" w:hAnsi="Times New Roman" w:cs="Times New Roman"/>
          <w:bCs/>
          <w:color w:val="auto"/>
          <w:kern w:val="2"/>
          <w:highlight w:val="none"/>
        </w:rPr>
        <w:t>各场站罐区严格按照要求进行地面防渗处理，四周设置围堰，并在站场雨水收集系统排放口前端设置封堵设施，以防止事故状态下有毒物质或消防废水通过雨水管网排入外环境。</w:t>
      </w:r>
    </w:p>
    <w:p w14:paraId="3DC4A439">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bCs/>
          <w:color w:val="auto"/>
          <w:kern w:val="2"/>
          <w:highlight w:val="none"/>
        </w:rPr>
        <w:t>⑧</w:t>
      </w:r>
      <w:r>
        <w:rPr>
          <w:rFonts w:ascii="Times New Roman" w:hAnsi="Times New Roman" w:cs="Times New Roman"/>
          <w:bCs/>
          <w:color w:val="auto"/>
          <w:kern w:val="2"/>
          <w:highlight w:val="none"/>
        </w:rPr>
        <w:t>各场站定期组织场站人员进行应急演练，有效提高场站人员的应急处置能力。</w:t>
      </w:r>
    </w:p>
    <w:p w14:paraId="2D00E880">
      <w:pPr>
        <w:keepNext/>
        <w:keepLines/>
        <w:widowControl w:val="0"/>
        <w:spacing w:before="60" w:after="60" w:line="440" w:lineRule="exact"/>
        <w:jc w:val="both"/>
        <w:outlineLvl w:val="2"/>
        <w:rPr>
          <w:rFonts w:ascii="Times New Roman" w:hAnsi="Times New Roman" w:cs="Times New Roman"/>
          <w:b/>
          <w:bCs/>
          <w:color w:val="auto"/>
          <w:kern w:val="2"/>
          <w:highlight w:val="none"/>
        </w:rPr>
      </w:pPr>
      <w:r>
        <w:rPr>
          <w:rFonts w:ascii="Times New Roman" w:hAnsi="Times New Roman" w:cs="Times New Roman"/>
          <w:b/>
          <w:bCs/>
          <w:color w:val="auto"/>
          <w:kern w:val="2"/>
          <w:highlight w:val="none"/>
        </w:rPr>
        <w:t>3.1.4现有工程存在的环境问题</w:t>
      </w:r>
    </w:p>
    <w:p w14:paraId="16E43C30">
      <w:pPr>
        <w:widowControl w:val="0"/>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现有区块污染防治设施与主体工程同时设计、同时施工和同时投产使用，环保设施正常稳定运转，环保设施运行完整；在工程开发建设和运营期间，工程设计、环评及其批复中要求的污染控制措施和生态保护措施都基本得到了落实，现有区块内井场临时占地地表进行了平整，草地、耕地进行了植被恢复，植被生长已经基本恢复到油田开发前状态，目前所采取的各项环保措施是有效的。</w:t>
      </w:r>
    </w:p>
    <w:p w14:paraId="22539799">
      <w:pPr>
        <w:widowControl w:val="0"/>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根据调查可知，现有区块运行至今内无投诉、督查及检查情况。本工程区域内已建井的井场永久性占地面积符合要求，井场地面均进行了平整，无油污。站场环境清洁，地面未发现污油，站内道路两侧和厂区院墙内外均已绿化，生态恢复较好。井场永久性占地面积符合设计要求，井场地面均进行了平整，在临时性占地范围内，地表基本进行了平整，并已完成了生态恢复。</w:t>
      </w:r>
    </w:p>
    <w:p w14:paraId="7BEB7EC0">
      <w:pPr>
        <w:widowControl w:val="0"/>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区块内加热炉能够达到《锅炉大气污染物排放标准》（GB13271-2014）表2中新建燃气锅炉标准限值要求；现有站场原油集输均采用密闭集输管线、装置，场站内各关键接口法兰均进行了密闭处理，可有效控制烃类物质的排放，目前现有井场、场站厂界非甲烷总烃浓度能够满足</w:t>
      </w:r>
      <w:r>
        <w:rPr>
          <w:rFonts w:ascii="Times New Roman" w:hAnsi="Times New Roman" w:cs="Times New Roman"/>
          <w:bCs/>
          <w:color w:val="auto"/>
          <w:kern w:val="21"/>
          <w:szCs w:val="22"/>
          <w:highlight w:val="none"/>
        </w:rPr>
        <w:t>《陆上石油天然气开采工业大气污染物排放标准》（GB39728-2020）5.9中规定要求</w:t>
      </w:r>
      <w:r>
        <w:rPr>
          <w:rFonts w:ascii="Times New Roman" w:hAnsi="Times New Roman" w:cs="Times New Roman"/>
          <w:bCs/>
          <w:color w:val="auto"/>
          <w:kern w:val="2"/>
          <w:szCs w:val="20"/>
          <w:highlight w:val="none"/>
        </w:rPr>
        <w:t>。由监测结果可知，现有场站厂界满足《工业企业厂界环境噪声排放标准》（GB12348-2008）2类标准。油田产生的含油污水经</w:t>
      </w:r>
      <w:r>
        <w:rPr>
          <w:rFonts w:ascii="Times New Roman" w:hAnsi="Times New Roman" w:cs="Times New Roman"/>
          <w:bCs/>
          <w:color w:val="auto"/>
          <w:szCs w:val="20"/>
          <w:highlight w:val="none"/>
        </w:rPr>
        <w:t>卫一联含油污水深度处理站</w:t>
      </w:r>
      <w:r>
        <w:rPr>
          <w:rFonts w:ascii="Times New Roman" w:hAnsi="Times New Roman" w:cs="Times New Roman"/>
          <w:bCs/>
          <w:color w:val="auto"/>
          <w:kern w:val="2"/>
          <w:szCs w:val="20"/>
          <w:highlight w:val="none"/>
        </w:rPr>
        <w:t>处理后全部回注，出水水质指标能够达到</w:t>
      </w:r>
      <w:r>
        <w:rPr>
          <w:rFonts w:ascii="Times New Roman" w:hAnsi="Times New Roman" w:cs="Times New Roman"/>
          <w:color w:val="auto"/>
          <w:kern w:val="2"/>
          <w:szCs w:val="22"/>
          <w:highlight w:val="none"/>
        </w:rPr>
        <w:t>《大庆油田地面工程建设设计规定》（Q/SYDQ0639-2015）及《碎屑岩油藏注水水质指标技术要求及分析方法》（SY/T5329-2022）限值要求</w:t>
      </w:r>
      <w:r>
        <w:rPr>
          <w:rFonts w:ascii="Times New Roman" w:hAnsi="Times New Roman" w:cs="Times New Roman"/>
          <w:bCs/>
          <w:color w:val="auto"/>
          <w:kern w:val="2"/>
          <w:szCs w:val="20"/>
          <w:highlight w:val="none"/>
        </w:rPr>
        <w:t>，均不外排；作业和清罐产生的含油污泥委托大庆博昕晶化科技有限公司处理满足相关要求后，用作油田垫井场和通井路。</w:t>
      </w:r>
    </w:p>
    <w:p w14:paraId="146A9878">
      <w:pPr>
        <w:widowControl w:val="0"/>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目前，</w:t>
      </w:r>
      <w:r>
        <w:rPr>
          <w:rFonts w:hint="eastAsia" w:ascii="Times New Roman" w:hAnsi="Times New Roman" w:cs="Times New Roman"/>
          <w:bCs/>
          <w:color w:val="auto"/>
          <w:kern w:val="2"/>
          <w:szCs w:val="20"/>
          <w:highlight w:val="none"/>
          <w:lang w:val="en-US" w:eastAsia="zh-CN"/>
        </w:rPr>
        <w:t>大庆</w:t>
      </w:r>
      <w:r>
        <w:rPr>
          <w:rFonts w:ascii="Times New Roman" w:hAnsi="Times New Roman" w:cs="Times New Roman"/>
          <w:bCs/>
          <w:color w:val="auto"/>
          <w:kern w:val="2"/>
          <w:szCs w:val="20"/>
          <w:highlight w:val="none"/>
        </w:rPr>
        <w:t>油田有限责任公司第</w:t>
      </w:r>
      <w:r>
        <w:rPr>
          <w:rFonts w:hint="eastAsia" w:ascii="Times New Roman" w:hAnsi="Times New Roman" w:cs="Times New Roman"/>
          <w:bCs/>
          <w:color w:val="auto"/>
          <w:kern w:val="2"/>
          <w:szCs w:val="20"/>
          <w:highlight w:val="none"/>
          <w:lang w:val="en-US" w:eastAsia="zh-CN"/>
        </w:rPr>
        <w:t>十一采油厂</w:t>
      </w:r>
      <w:r>
        <w:rPr>
          <w:rFonts w:hint="eastAsia" w:ascii="Times New Roman" w:hAnsi="Times New Roman" w:cs="Times New Roman"/>
          <w:bCs/>
          <w:color w:val="auto"/>
          <w:kern w:val="2"/>
          <w:szCs w:val="20"/>
          <w:highlight w:val="none"/>
        </w:rPr>
        <w:t>已针对生产指挥中心东区、生产指挥中心西区和卫二转油站完成排污许可登记</w:t>
      </w:r>
      <w:r>
        <w:rPr>
          <w:rFonts w:ascii="Times New Roman" w:hAnsi="Times New Roman" w:cs="Times New Roman"/>
          <w:bCs/>
          <w:color w:val="auto"/>
          <w:kern w:val="2"/>
          <w:szCs w:val="20"/>
          <w:highlight w:val="none"/>
        </w:rPr>
        <w:t>。</w:t>
      </w:r>
    </w:p>
    <w:p w14:paraId="5867EBDD">
      <w:pPr>
        <w:widowControl w:val="0"/>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为保护区域生态环境，第</w:t>
      </w:r>
      <w:r>
        <w:rPr>
          <w:rFonts w:hint="eastAsia" w:ascii="Times New Roman" w:hAnsi="Times New Roman" w:cs="Times New Roman"/>
          <w:bCs/>
          <w:color w:val="auto"/>
          <w:kern w:val="2"/>
          <w:szCs w:val="20"/>
          <w:highlight w:val="none"/>
          <w:lang w:val="en-US" w:eastAsia="zh-CN"/>
        </w:rPr>
        <w:t>十一采油厂</w:t>
      </w:r>
      <w:r>
        <w:rPr>
          <w:rFonts w:ascii="Times New Roman" w:hAnsi="Times New Roman" w:cs="Times New Roman"/>
          <w:bCs/>
          <w:color w:val="auto"/>
          <w:kern w:val="2"/>
          <w:szCs w:val="20"/>
          <w:highlight w:val="none"/>
        </w:rPr>
        <w:t>在钻井工程时采取了生态保护措施保护区域内耕地、草地生态系统。例如严格控制了井场的临时及永久占地，井场钻井工程施工结束后及时对临时占地进行了生态恢复，最大力度降低了油田开发对区域耕地及草地生态系统的影响。并严格控制了该区域油田作业范围，严格运行期管理，减小了对区域生态系统的扰动，保证了不因油田开发活动加重生态系统的退化、沙化、盐碱化等。针对区块内水土流失重点治理区，</w:t>
      </w:r>
      <w:r>
        <w:rPr>
          <w:rFonts w:hint="eastAsia" w:ascii="Times New Roman" w:hAnsi="Times New Roman" w:eastAsiaTheme="minorEastAsia"/>
          <w:bCs/>
          <w:caps w:val="0"/>
          <w:smallCaps w:val="0"/>
          <w:color w:val="auto"/>
          <w:spacing w:val="0"/>
          <w:w w:val="100"/>
          <w:position w:val="0"/>
          <w:highlight w:val="none"/>
          <w:lang w:val="en-US" w:eastAsia="zh-CN"/>
        </w:rPr>
        <w:t>第十一采油厂</w:t>
      </w:r>
      <w:r>
        <w:rPr>
          <w:rFonts w:ascii="Times New Roman" w:hAnsi="Times New Roman" w:cs="Times New Roman"/>
          <w:bCs/>
          <w:color w:val="auto"/>
          <w:kern w:val="2"/>
          <w:szCs w:val="20"/>
          <w:highlight w:val="none"/>
        </w:rPr>
        <w:t>采取了井场平整、压实，开挖土方已合理利用填埋，施工期间未对占地外的地表植被造成碾压和破坏；在油田道路地势较低，容易汇水形成径流冲刷的路段，设置了钢筋砼板涵，保证了道路两侧洪沟的畅通；生产期已严格作好道路泄洪桥涵洞的疏通、维修工作，保证了各类设施的泄洪能力；管道工程施工期间，划定了施工活动范围，车辆均采用“一”字型作业法，严格避免开辟新路，管沟挖、填方作业做到了互补平衡，未造成弃土方堆积和过多借土，未增加新的水土流失，管沟回填阶段均按层回填，回填后予以平整、压实，施工期间对开发建设施工材料划定了适宜的堆料场，未破坏占地外的植被，未增加裸地面积而新增的水土流失。</w:t>
      </w:r>
    </w:p>
    <w:p w14:paraId="25D066F0">
      <w:pPr>
        <w:widowControl w:val="0"/>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原有工程严格实施HSE环境管理体系，第</w:t>
      </w:r>
      <w:r>
        <w:rPr>
          <w:rFonts w:hint="eastAsia" w:ascii="Times New Roman" w:hAnsi="Times New Roman" w:cs="Times New Roman"/>
          <w:bCs/>
          <w:color w:val="auto"/>
          <w:kern w:val="2"/>
          <w:szCs w:val="20"/>
          <w:highlight w:val="none"/>
          <w:lang w:val="en-US" w:eastAsia="zh-CN"/>
        </w:rPr>
        <w:t>十一采油厂</w:t>
      </w:r>
      <w:r>
        <w:rPr>
          <w:rFonts w:ascii="Times New Roman" w:hAnsi="Times New Roman" w:cs="Times New Roman"/>
          <w:bCs/>
          <w:color w:val="auto"/>
          <w:kern w:val="2"/>
          <w:szCs w:val="20"/>
          <w:highlight w:val="none"/>
        </w:rPr>
        <w:t>逐级落实岗位责任制；各工区小队或联合站设专职环保员一名，相应采油工区队长及联合站站长为HSE管理体系的第一负责人，对单位日常生产过程中的相关环境工作进行管理。</w:t>
      </w:r>
    </w:p>
    <w:p w14:paraId="4709BD02">
      <w:pPr>
        <w:widowControl w:val="0"/>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经调查，</w:t>
      </w:r>
      <w:r>
        <w:rPr>
          <w:rFonts w:hint="eastAsia" w:ascii="Times New Roman" w:hAnsi="Times New Roman" w:cs="Times New Roman"/>
          <w:bCs/>
          <w:color w:val="auto"/>
          <w:kern w:val="2"/>
          <w:szCs w:val="20"/>
          <w:highlight w:val="none"/>
        </w:rPr>
        <w:t>本项目</w:t>
      </w:r>
      <w:r>
        <w:rPr>
          <w:rFonts w:ascii="Times New Roman" w:hAnsi="Times New Roman" w:cs="Times New Roman"/>
          <w:bCs/>
          <w:color w:val="auto"/>
          <w:kern w:val="2"/>
          <w:szCs w:val="20"/>
          <w:highlight w:val="none"/>
        </w:rPr>
        <w:t>涉及区块未发生过环境风险事故。</w:t>
      </w:r>
      <w:r>
        <w:rPr>
          <w:rFonts w:ascii="Times New Roman" w:hAnsi="Times New Roman" w:cs="Times New Roman"/>
          <w:bCs/>
          <w:color w:val="auto"/>
          <w:kern w:val="2"/>
          <w:highlight w:val="none"/>
        </w:rPr>
        <w:t>第</w:t>
      </w:r>
      <w:r>
        <w:rPr>
          <w:rFonts w:hint="eastAsia" w:ascii="Times New Roman" w:hAnsi="Times New Roman" w:cs="Times New Roman"/>
          <w:bCs/>
          <w:color w:val="auto"/>
          <w:kern w:val="2"/>
          <w:highlight w:val="none"/>
          <w:lang w:val="en-US" w:eastAsia="zh-CN"/>
        </w:rPr>
        <w:t>十一采油厂</w:t>
      </w:r>
      <w:r>
        <w:rPr>
          <w:rFonts w:ascii="Times New Roman" w:hAnsi="Times New Roman" w:cs="Times New Roman"/>
          <w:bCs/>
          <w:color w:val="auto"/>
          <w:kern w:val="2"/>
          <w:highlight w:val="none"/>
        </w:rPr>
        <w:t>按照预案要求编制完成了《大庆油田有限责任公司第第</w:t>
      </w:r>
      <w:r>
        <w:rPr>
          <w:rFonts w:hint="eastAsia" w:ascii="Times New Roman" w:hAnsi="Times New Roman" w:cs="Times New Roman"/>
          <w:bCs/>
          <w:color w:val="auto"/>
          <w:kern w:val="2"/>
          <w:highlight w:val="none"/>
          <w:lang w:val="en-US" w:eastAsia="zh-CN"/>
        </w:rPr>
        <w:t>十一采油厂</w:t>
      </w:r>
      <w:r>
        <w:rPr>
          <w:rFonts w:ascii="Times New Roman" w:hAnsi="Times New Roman" w:cs="Times New Roman"/>
          <w:bCs/>
          <w:color w:val="auto"/>
          <w:kern w:val="2"/>
          <w:highlight w:val="none"/>
        </w:rPr>
        <w:t>突发事件总体应急预案》《突发环境事件专项应急预案》等专项应急预案，主要包括应急组织机构及职责明确、监测与预警、应急处置与应急响应、恢复与重建、应急保障与培训、督查与奖惩等内容。并于</w:t>
      </w:r>
      <w:r>
        <w:rPr>
          <w:rFonts w:hint="eastAsia" w:ascii="Times New Roman" w:hAnsi="Times New Roman" w:cs="Times New Roman"/>
          <w:bCs/>
          <w:color w:val="auto"/>
          <w:kern w:val="2"/>
          <w:highlight w:val="none"/>
          <w:lang w:val="en-US" w:eastAsia="zh-CN"/>
        </w:rPr>
        <w:t>2025</w:t>
      </w:r>
      <w:r>
        <w:rPr>
          <w:rFonts w:ascii="Times New Roman" w:hAnsi="Times New Roman" w:cs="Times New Roman"/>
          <w:bCs/>
          <w:color w:val="auto"/>
          <w:kern w:val="2"/>
          <w:highlight w:val="none"/>
        </w:rPr>
        <w:t>年</w:t>
      </w:r>
      <w:r>
        <w:rPr>
          <w:rFonts w:hint="eastAsia" w:ascii="Times New Roman" w:hAnsi="Times New Roman" w:cs="Times New Roman"/>
          <w:bCs/>
          <w:color w:val="auto"/>
          <w:kern w:val="2"/>
          <w:highlight w:val="none"/>
          <w:lang w:val="en-US" w:eastAsia="zh-CN"/>
        </w:rPr>
        <w:t>3</w:t>
      </w:r>
      <w:r>
        <w:rPr>
          <w:rFonts w:ascii="Times New Roman" w:hAnsi="Times New Roman" w:cs="Times New Roman"/>
          <w:bCs/>
          <w:color w:val="auto"/>
          <w:kern w:val="2"/>
          <w:highlight w:val="none"/>
        </w:rPr>
        <w:t>月</w:t>
      </w:r>
      <w:r>
        <w:rPr>
          <w:rFonts w:hint="eastAsia" w:ascii="Times New Roman" w:hAnsi="Times New Roman" w:cs="Times New Roman"/>
          <w:bCs/>
          <w:color w:val="auto"/>
          <w:kern w:val="2"/>
          <w:highlight w:val="none"/>
          <w:lang w:val="en-US" w:eastAsia="zh-CN"/>
        </w:rPr>
        <w:t>25</w:t>
      </w:r>
      <w:r>
        <w:rPr>
          <w:rFonts w:ascii="Times New Roman" w:hAnsi="Times New Roman" w:cs="Times New Roman"/>
          <w:bCs/>
          <w:color w:val="auto"/>
          <w:kern w:val="2"/>
          <w:highlight w:val="none"/>
        </w:rPr>
        <w:t>日在</w:t>
      </w:r>
      <w:r>
        <w:rPr>
          <w:rFonts w:hint="eastAsia" w:ascii="Times New Roman" w:hAnsi="Times New Roman" w:cs="Times New Roman"/>
          <w:bCs/>
          <w:color w:val="auto"/>
          <w:kern w:val="2"/>
          <w:highlight w:val="none"/>
          <w:lang w:val="en-US" w:eastAsia="zh-CN"/>
        </w:rPr>
        <w:t>绥化市安达市</w:t>
      </w:r>
      <w:r>
        <w:rPr>
          <w:rFonts w:ascii="Times New Roman" w:hAnsi="Times New Roman" w:cs="Times New Roman"/>
          <w:bCs/>
          <w:color w:val="auto"/>
          <w:kern w:val="2"/>
          <w:highlight w:val="none"/>
        </w:rPr>
        <w:t xml:space="preserve">生态环境局进行了备案，备案编号为 </w:t>
      </w:r>
      <w:r>
        <w:rPr>
          <w:rFonts w:hint="eastAsia" w:ascii="Times New Roman" w:hAnsi="Times New Roman" w:cs="Times New Roman"/>
          <w:bCs/>
          <w:color w:val="auto"/>
          <w:kern w:val="2"/>
          <w:highlight w:val="none"/>
        </w:rPr>
        <w:t>231281-2025-014-L</w:t>
      </w:r>
      <w:r>
        <w:rPr>
          <w:rFonts w:ascii="Times New Roman" w:hAnsi="Times New Roman" w:cs="Times New Roman"/>
          <w:bCs/>
          <w:color w:val="auto"/>
          <w:kern w:val="2"/>
          <w:highlight w:val="none"/>
        </w:rPr>
        <w:t>。</w:t>
      </w:r>
      <w:r>
        <w:rPr>
          <w:rFonts w:ascii="Times New Roman" w:hAnsi="Times New Roman" w:cs="Times New Roman"/>
          <w:bCs/>
          <w:color w:val="auto"/>
          <w:kern w:val="2"/>
          <w:szCs w:val="20"/>
          <w:highlight w:val="none"/>
        </w:rPr>
        <w:t>建议增加事故应急监测及事故评估等规定内容并定期演习，避免重大污染事故的发生。</w:t>
      </w:r>
    </w:p>
    <w:p w14:paraId="5BA4DBED">
      <w:pPr>
        <w:widowControl w:val="0"/>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根据以上分析及现场勘查，现有区块除管线因腐蚀可能出现的</w:t>
      </w:r>
      <w:r>
        <w:rPr>
          <w:rFonts w:hint="eastAsia" w:ascii="Times New Roman" w:hAnsi="Times New Roman" w:cs="Times New Roman"/>
          <w:bCs/>
          <w:color w:val="auto"/>
          <w:kern w:val="2"/>
          <w:szCs w:val="20"/>
          <w:highlight w:val="none"/>
        </w:rPr>
        <w:t>泄露等</w:t>
      </w:r>
      <w:r>
        <w:rPr>
          <w:rFonts w:ascii="Times New Roman" w:hAnsi="Times New Roman" w:cs="Times New Roman"/>
          <w:bCs/>
          <w:color w:val="auto"/>
          <w:kern w:val="2"/>
          <w:szCs w:val="20"/>
          <w:highlight w:val="none"/>
        </w:rPr>
        <w:t>环境风险外，现有区块内未发现其它环境问题。</w:t>
      </w:r>
    </w:p>
    <w:bookmarkEnd w:id="399"/>
    <w:bookmarkEnd w:id="400"/>
    <w:bookmarkEnd w:id="401"/>
    <w:bookmarkEnd w:id="402"/>
    <w:bookmarkEnd w:id="403"/>
    <w:bookmarkEnd w:id="404"/>
    <w:bookmarkEnd w:id="405"/>
    <w:bookmarkEnd w:id="406"/>
    <w:bookmarkEnd w:id="407"/>
    <w:bookmarkEnd w:id="408"/>
    <w:bookmarkEnd w:id="409"/>
    <w:bookmarkEnd w:id="410"/>
    <w:p w14:paraId="0358065F">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412" w:name="_Toc219900380"/>
      <w:r>
        <w:rPr>
          <w:rFonts w:ascii="Times New Roman" w:hAnsi="Times New Roman" w:eastAsiaTheme="minorEastAsia"/>
          <w:b/>
          <w:caps w:val="0"/>
          <w:smallCaps w:val="0"/>
          <w:snapToGrid w:val="0"/>
          <w:color w:val="auto"/>
          <w:spacing w:val="0"/>
          <w:w w:val="100"/>
          <w:position w:val="0"/>
          <w:highlight w:val="none"/>
        </w:rPr>
        <w:t>3.2建设项目概况</w:t>
      </w:r>
      <w:bookmarkEnd w:id="393"/>
      <w:bookmarkEnd w:id="412"/>
    </w:p>
    <w:p w14:paraId="7E56FB87">
      <w:pPr>
        <w:pStyle w:val="149"/>
        <w:widowControl w:val="0"/>
        <w:spacing w:line="440" w:lineRule="exact"/>
        <w:ind w:firstLine="473"/>
        <w:rPr>
          <w:rFonts w:ascii="Times New Roman" w:hAnsi="Times New Roman" w:eastAsiaTheme="minorEastAsia"/>
          <w:caps w:val="0"/>
          <w:smallCaps w:val="0"/>
          <w:snapToGrid w:val="0"/>
          <w:color w:val="auto"/>
          <w:spacing w:val="0"/>
          <w:w w:val="100"/>
          <w:position w:val="0"/>
          <w:highlight w:val="none"/>
        </w:rPr>
      </w:pPr>
      <w:bookmarkStart w:id="413" w:name="_Toc502736466"/>
      <w:r>
        <w:rPr>
          <w:rFonts w:ascii="Times New Roman" w:hAnsi="Times New Roman" w:eastAsiaTheme="minorEastAsia"/>
          <w:caps w:val="0"/>
          <w:smallCaps w:val="0"/>
          <w:snapToGrid w:val="0"/>
          <w:color w:val="auto"/>
          <w:spacing w:val="0"/>
          <w:w w:val="100"/>
          <w:position w:val="0"/>
          <w:highlight w:val="none"/>
        </w:rPr>
        <w:t>项目名称：</w:t>
      </w:r>
      <w:r>
        <w:rPr>
          <w:rFonts w:ascii="Times New Roman" w:hAnsi="Times New Roman" w:eastAsiaTheme="minorEastAsia"/>
          <w:caps w:val="0"/>
          <w:smallCaps w:val="0"/>
          <w:snapToGrid w:val="0"/>
          <w:color w:val="auto"/>
          <w:spacing w:val="0"/>
          <w:w w:val="100"/>
          <w:position w:val="0"/>
          <w:highlight w:val="none"/>
          <w:lang w:val="en-US" w:eastAsia="zh-CN"/>
        </w:rPr>
        <w:t>大庆油田第十一采油厂油系统管道安全隐</w:t>
      </w:r>
      <w:r>
        <w:rPr>
          <w:rFonts w:hint="default" w:ascii="Times New Roman" w:hAnsi="Times New Roman" w:eastAsiaTheme="minorEastAsia"/>
          <w:caps w:val="0"/>
          <w:smallCaps w:val="0"/>
          <w:snapToGrid w:val="0"/>
          <w:color w:val="auto"/>
          <w:spacing w:val="0"/>
          <w:w w:val="100"/>
          <w:position w:val="0"/>
          <w:highlight w:val="none"/>
          <w:lang w:val="en-US" w:eastAsia="zh-CN"/>
        </w:rPr>
        <w:t>患治理工程</w:t>
      </w:r>
      <w:r>
        <w:rPr>
          <w:rFonts w:ascii="Times New Roman" w:hAnsi="Times New Roman" w:eastAsiaTheme="minorEastAsia"/>
          <w:caps w:val="0"/>
          <w:smallCaps w:val="0"/>
          <w:snapToGrid w:val="0"/>
          <w:color w:val="auto"/>
          <w:spacing w:val="0"/>
          <w:w w:val="100"/>
          <w:position w:val="0"/>
          <w:highlight w:val="none"/>
        </w:rPr>
        <w:t>项目；</w:t>
      </w:r>
    </w:p>
    <w:p w14:paraId="0FC96BEF">
      <w:pPr>
        <w:pStyle w:val="149"/>
        <w:widowControl w:val="0"/>
        <w:spacing w:line="440" w:lineRule="exact"/>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建设单位：大庆油田有限责任公司第</w:t>
      </w:r>
      <w:r>
        <w:rPr>
          <w:rFonts w:hint="eastAsia" w:ascii="Times New Roman" w:hAnsi="Times New Roman" w:eastAsiaTheme="minorEastAsia"/>
          <w:caps w:val="0"/>
          <w:smallCaps w:val="0"/>
          <w:snapToGrid w:val="0"/>
          <w:color w:val="auto"/>
          <w:spacing w:val="0"/>
          <w:w w:val="100"/>
          <w:position w:val="0"/>
          <w:highlight w:val="none"/>
          <w:lang w:val="en-US" w:eastAsia="zh-CN"/>
        </w:rPr>
        <w:t>十一</w:t>
      </w:r>
      <w:r>
        <w:rPr>
          <w:rFonts w:ascii="Times New Roman" w:hAnsi="Times New Roman" w:eastAsiaTheme="minorEastAsia"/>
          <w:caps w:val="0"/>
          <w:smallCaps w:val="0"/>
          <w:snapToGrid w:val="0"/>
          <w:color w:val="auto"/>
          <w:spacing w:val="0"/>
          <w:w w:val="100"/>
          <w:position w:val="0"/>
          <w:highlight w:val="none"/>
        </w:rPr>
        <w:t>采油厂；</w:t>
      </w:r>
    </w:p>
    <w:p w14:paraId="391E3E03">
      <w:pPr>
        <w:pStyle w:val="149"/>
        <w:spacing w:line="440" w:lineRule="exact"/>
        <w:ind w:firstLine="473"/>
        <w:rPr>
          <w:rFonts w:ascii="Times New Roman" w:hAnsi="Times New Roman" w:eastAsiaTheme="minorEastAsia"/>
          <w:caps w:val="0"/>
          <w:smallCaps w:val="0"/>
          <w:snapToGrid w:val="0"/>
          <w:color w:val="auto"/>
          <w:spacing w:val="0"/>
          <w:w w:val="100"/>
          <w:position w:val="0"/>
          <w:highlight w:val="none"/>
        </w:rPr>
      </w:pPr>
      <w:bookmarkStart w:id="414" w:name="_Hlk530467800"/>
      <w:r>
        <w:rPr>
          <w:rFonts w:ascii="Times New Roman" w:hAnsi="Times New Roman" w:eastAsiaTheme="minorEastAsia"/>
          <w:caps w:val="0"/>
          <w:smallCaps w:val="0"/>
          <w:snapToGrid w:val="0"/>
          <w:color w:val="auto"/>
          <w:spacing w:val="0"/>
          <w:w w:val="100"/>
          <w:position w:val="0"/>
          <w:highlight w:val="none"/>
        </w:rPr>
        <w:t>建设性质：改建；</w:t>
      </w:r>
    </w:p>
    <w:p w14:paraId="3EB0959E">
      <w:pPr>
        <w:pStyle w:val="149"/>
        <w:widowControl w:val="0"/>
        <w:spacing w:line="440" w:lineRule="exact"/>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建设地点：</w:t>
      </w:r>
      <w:r>
        <w:rPr>
          <w:rFonts w:hint="eastAsia" w:ascii="Times New Roman" w:hAnsi="Times New Roman" w:cs="Times New Roman" w:eastAsiaTheme="minorEastAsia"/>
          <w:caps w:val="0"/>
          <w:smallCaps w:val="0"/>
          <w:color w:val="auto"/>
          <w:spacing w:val="0"/>
          <w:w w:val="100"/>
          <w:position w:val="0"/>
          <w:highlight w:val="none"/>
          <w:lang w:bidi="zh-CN"/>
        </w:rPr>
        <w:t>黑龙江省绥化市安达市昌德镇</w:t>
      </w:r>
      <w:r>
        <w:rPr>
          <w:rFonts w:hint="eastAsia" w:ascii="Times New Roman" w:hAnsi="Times New Roman" w:cs="Times New Roman" w:eastAsiaTheme="minorEastAsia"/>
          <w:caps w:val="0"/>
          <w:smallCaps w:val="0"/>
          <w:color w:val="auto"/>
          <w:spacing w:val="0"/>
          <w:w w:val="100"/>
          <w:position w:val="0"/>
          <w:highlight w:val="none"/>
          <w:lang w:val="en-US" w:bidi="zh-CN"/>
        </w:rPr>
        <w:t>卫1联合站东南侧</w:t>
      </w:r>
      <w:r>
        <w:rPr>
          <w:rFonts w:ascii="Times New Roman" w:hAnsi="Times New Roman" w:eastAsiaTheme="minorEastAsia"/>
          <w:caps w:val="0"/>
          <w:smallCaps w:val="0"/>
          <w:color w:val="auto"/>
          <w:spacing w:val="0"/>
          <w:w w:val="100"/>
          <w:position w:val="0"/>
          <w:highlight w:val="none"/>
        </w:rPr>
        <w:t>；</w:t>
      </w:r>
    </w:p>
    <w:p w14:paraId="52323B5C">
      <w:pPr>
        <w:pStyle w:val="149"/>
        <w:widowControl w:val="0"/>
        <w:spacing w:line="440" w:lineRule="exact"/>
        <w:ind w:firstLine="473"/>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bCs/>
          <w:caps w:val="0"/>
          <w:smallCaps w:val="0"/>
          <w:snapToGrid w:val="0"/>
          <w:color w:val="auto"/>
          <w:spacing w:val="0"/>
          <w:w w:val="100"/>
          <w:position w:val="0"/>
          <w:highlight w:val="none"/>
        </w:rPr>
        <w:t>投资规模：</w:t>
      </w:r>
      <w:r>
        <w:rPr>
          <w:rFonts w:ascii="Times New Roman" w:hAnsi="Times New Roman"/>
          <w:bCs/>
          <w:caps w:val="0"/>
          <w:smallCaps w:val="0"/>
          <w:snapToGrid w:val="0"/>
          <w:color w:val="auto"/>
          <w:spacing w:val="0"/>
          <w:w w:val="100"/>
          <w:position w:val="0"/>
          <w:highlight w:val="none"/>
        </w:rPr>
        <w:t>项目总投资</w:t>
      </w:r>
      <w:r>
        <w:rPr>
          <w:rFonts w:hint="eastAsia" w:ascii="Times New Roman" w:hAnsi="Times New Roman" w:eastAsiaTheme="minorEastAsia"/>
          <w:bCs/>
          <w:caps w:val="0"/>
          <w:smallCaps w:val="0"/>
          <w:snapToGrid w:val="0"/>
          <w:color w:val="auto"/>
          <w:spacing w:val="0"/>
          <w:w w:val="100"/>
          <w:position w:val="0"/>
          <w:highlight w:val="none"/>
          <w:lang w:val="en-US" w:eastAsia="zh-CN"/>
        </w:rPr>
        <w:t>646.90</w:t>
      </w:r>
      <w:r>
        <w:rPr>
          <w:rFonts w:ascii="Times New Roman" w:hAnsi="Times New Roman" w:eastAsiaTheme="minorEastAsia"/>
          <w:bCs/>
          <w:caps w:val="0"/>
          <w:smallCaps w:val="0"/>
          <w:snapToGrid w:val="0"/>
          <w:color w:val="auto"/>
          <w:spacing w:val="0"/>
          <w:w w:val="100"/>
          <w:position w:val="0"/>
          <w:highlight w:val="none"/>
        </w:rPr>
        <w:t>万元人民币，环保投资</w:t>
      </w:r>
      <w:r>
        <w:rPr>
          <w:rFonts w:hint="eastAsia" w:ascii="Times New Roman" w:hAnsi="Times New Roman" w:eastAsiaTheme="minorEastAsia"/>
          <w:bCs/>
          <w:caps w:val="0"/>
          <w:smallCaps w:val="0"/>
          <w:snapToGrid w:val="0"/>
          <w:color w:val="auto"/>
          <w:spacing w:val="0"/>
          <w:w w:val="100"/>
          <w:position w:val="0"/>
          <w:highlight w:val="none"/>
          <w:lang w:val="en-US" w:eastAsia="zh-CN"/>
        </w:rPr>
        <w:t>186.67</w:t>
      </w:r>
      <w:r>
        <w:rPr>
          <w:rFonts w:ascii="Times New Roman" w:hAnsi="Times New Roman" w:eastAsiaTheme="minorEastAsia"/>
          <w:bCs/>
          <w:caps w:val="0"/>
          <w:smallCaps w:val="0"/>
          <w:snapToGrid w:val="0"/>
          <w:color w:val="auto"/>
          <w:spacing w:val="0"/>
          <w:w w:val="100"/>
          <w:position w:val="0"/>
          <w:highlight w:val="none"/>
        </w:rPr>
        <w:t>万元人民币，环保投资占比为</w:t>
      </w:r>
      <w:r>
        <w:rPr>
          <w:rFonts w:hint="eastAsia" w:ascii="Times New Roman" w:hAnsi="Times New Roman" w:eastAsiaTheme="minorEastAsia"/>
          <w:bCs/>
          <w:caps w:val="0"/>
          <w:smallCaps w:val="0"/>
          <w:snapToGrid w:val="0"/>
          <w:color w:val="auto"/>
          <w:spacing w:val="0"/>
          <w:w w:val="100"/>
          <w:position w:val="0"/>
          <w:highlight w:val="none"/>
          <w:lang w:val="en-US" w:eastAsia="zh-CN"/>
        </w:rPr>
        <w:t>28.86</w:t>
      </w:r>
      <w:r>
        <w:rPr>
          <w:rFonts w:ascii="Times New Roman" w:hAnsi="Times New Roman" w:eastAsiaTheme="minorEastAsia"/>
          <w:bCs/>
          <w:caps w:val="0"/>
          <w:smallCaps w:val="0"/>
          <w:snapToGrid w:val="0"/>
          <w:color w:val="auto"/>
          <w:spacing w:val="0"/>
          <w:w w:val="100"/>
          <w:position w:val="0"/>
          <w:highlight w:val="none"/>
        </w:rPr>
        <w:t>%</w:t>
      </w:r>
      <w:r>
        <w:rPr>
          <w:rFonts w:ascii="Times New Roman" w:hAnsi="Times New Roman" w:eastAsiaTheme="minorEastAsia"/>
          <w:caps w:val="0"/>
          <w:smallCaps w:val="0"/>
          <w:snapToGrid w:val="0"/>
          <w:color w:val="auto"/>
          <w:spacing w:val="0"/>
          <w:w w:val="100"/>
          <w:position w:val="0"/>
          <w:highlight w:val="none"/>
        </w:rPr>
        <w:t>；</w:t>
      </w:r>
    </w:p>
    <w:p w14:paraId="7B086CEF">
      <w:pPr>
        <w:pStyle w:val="149"/>
        <w:widowControl w:val="0"/>
        <w:spacing w:line="440" w:lineRule="exact"/>
        <w:ind w:firstLine="473"/>
        <w:jc w:val="both"/>
        <w:rPr>
          <w:rFonts w:ascii="Times New Roman" w:hAnsi="Times New Roman" w:eastAsiaTheme="minorEastAsia"/>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占地面积：本项目不新增永久占地</w:t>
      </w:r>
      <w:r>
        <w:rPr>
          <w:rFonts w:ascii="Times New Roman" w:hAnsi="Times New Roman" w:eastAsiaTheme="minorEastAsia"/>
          <w:bCs/>
          <w:caps w:val="0"/>
          <w:smallCaps w:val="0"/>
          <w:snapToGrid w:val="0"/>
          <w:color w:val="auto"/>
          <w:spacing w:val="0"/>
          <w:w w:val="100"/>
          <w:position w:val="0"/>
          <w:highlight w:val="none"/>
        </w:rPr>
        <w:t>，临时占地面积为</w:t>
      </w:r>
      <w:r>
        <w:rPr>
          <w:rFonts w:hint="eastAsia" w:ascii="Times New Roman" w:hAnsi="Times New Roman" w:eastAsiaTheme="minorEastAsia"/>
          <w:bCs/>
          <w:caps w:val="0"/>
          <w:smallCaps w:val="0"/>
          <w:snapToGrid w:val="0"/>
          <w:color w:val="auto"/>
          <w:spacing w:val="0"/>
          <w:w w:val="100"/>
          <w:position w:val="0"/>
          <w:highlight w:val="none"/>
          <w:lang w:val="en-US" w:eastAsia="zh-CN"/>
        </w:rPr>
        <w:t>21.88</w:t>
      </w:r>
      <w:r>
        <w:rPr>
          <w:rFonts w:ascii="Times New Roman" w:hAnsi="Times New Roman" w:eastAsiaTheme="minorEastAsia"/>
          <w:bCs/>
          <w:caps w:val="0"/>
          <w:smallCaps w:val="0"/>
          <w:snapToGrid w:val="0"/>
          <w:color w:val="auto"/>
          <w:spacing w:val="0"/>
          <w:w w:val="100"/>
          <w:position w:val="0"/>
          <w:highlight w:val="none"/>
        </w:rPr>
        <w:t>hm</w:t>
      </w:r>
      <w:r>
        <w:rPr>
          <w:rFonts w:ascii="Times New Roman" w:hAnsi="Times New Roman" w:eastAsiaTheme="minorEastAsia"/>
          <w:bCs/>
          <w:caps w:val="0"/>
          <w:smallCaps w:val="0"/>
          <w:snapToGrid w:val="0"/>
          <w:color w:val="auto"/>
          <w:spacing w:val="0"/>
          <w:w w:val="100"/>
          <w:position w:val="0"/>
          <w:highlight w:val="none"/>
          <w:vertAlign w:val="superscript"/>
        </w:rPr>
        <w:t>2</w:t>
      </w:r>
      <w:r>
        <w:rPr>
          <w:rFonts w:ascii="Times New Roman" w:hAnsi="Times New Roman" w:eastAsiaTheme="minorEastAsia"/>
          <w:bCs/>
          <w:caps w:val="0"/>
          <w:smallCaps w:val="0"/>
          <w:snapToGrid w:val="0"/>
          <w:color w:val="auto"/>
          <w:spacing w:val="0"/>
          <w:w w:val="100"/>
          <w:position w:val="0"/>
          <w:highlight w:val="none"/>
        </w:rPr>
        <w:t>，</w:t>
      </w:r>
      <w:r>
        <w:rPr>
          <w:rFonts w:ascii="Times New Roman" w:hAnsi="Times New Roman" w:eastAsiaTheme="minorEastAsia"/>
          <w:caps w:val="0"/>
          <w:smallCaps w:val="0"/>
          <w:color w:val="auto"/>
          <w:spacing w:val="0"/>
          <w:w w:val="100"/>
          <w:position w:val="0"/>
          <w:highlight w:val="none"/>
        </w:rPr>
        <w:t>占地类型为</w:t>
      </w:r>
      <w:r>
        <w:rPr>
          <w:rFonts w:ascii="Times New Roman" w:hAnsi="Times New Roman" w:eastAsiaTheme="minorEastAsia"/>
          <w:caps w:val="0"/>
          <w:smallCaps w:val="0"/>
          <w:color w:val="auto"/>
          <w:spacing w:val="0"/>
          <w:w w:val="100"/>
          <w:position w:val="0"/>
          <w:highlight w:val="none"/>
          <w:lang w:val="en-US"/>
        </w:rPr>
        <w:t>耕地（永久基本农田）及草地（非基本草原）</w:t>
      </w:r>
      <w:r>
        <w:rPr>
          <w:rFonts w:ascii="Times New Roman" w:hAnsi="Times New Roman" w:eastAsiaTheme="minorEastAsia"/>
          <w:caps w:val="0"/>
          <w:smallCaps w:val="0"/>
          <w:color w:val="auto"/>
          <w:spacing w:val="0"/>
          <w:w w:val="100"/>
          <w:position w:val="0"/>
          <w:highlight w:val="none"/>
        </w:rPr>
        <w:t>；</w:t>
      </w:r>
    </w:p>
    <w:p w14:paraId="0FE7C33E">
      <w:pPr>
        <w:pStyle w:val="149"/>
        <w:widowControl w:val="0"/>
        <w:spacing w:line="440" w:lineRule="exact"/>
        <w:ind w:firstLine="473"/>
        <w:jc w:val="both"/>
        <w:rPr>
          <w:rFonts w:ascii="Times New Roman" w:hAnsi="Times New Roman" w:eastAsiaTheme="minorEastAsia"/>
          <w:bCs/>
          <w:caps w:val="0"/>
          <w:smallCaps w:val="0"/>
          <w:snapToGrid w:val="0"/>
          <w:color w:val="auto"/>
          <w:spacing w:val="0"/>
          <w:w w:val="100"/>
          <w:position w:val="0"/>
          <w:highlight w:val="none"/>
        </w:rPr>
      </w:pPr>
      <w:r>
        <w:rPr>
          <w:rFonts w:ascii="Times New Roman" w:hAnsi="Times New Roman" w:eastAsiaTheme="minorEastAsia"/>
          <w:caps w:val="0"/>
          <w:smallCaps w:val="0"/>
          <w:snapToGrid w:val="0"/>
          <w:color w:val="auto"/>
          <w:spacing w:val="0"/>
          <w:w w:val="100"/>
          <w:position w:val="0"/>
          <w:highlight w:val="none"/>
        </w:rPr>
        <w:t>建设内容：</w:t>
      </w:r>
      <w:bookmarkStart w:id="415" w:name="OLE_LINK9"/>
      <w:bookmarkStart w:id="416" w:name="OLE_LINK10"/>
      <w:bookmarkStart w:id="417" w:name="OLE_LINK43"/>
      <w:bookmarkStart w:id="418" w:name="OLE_LINK42"/>
      <w:r>
        <w:rPr>
          <w:rFonts w:ascii="Times New Roman" w:hAnsi="Times New Roman" w:eastAsiaTheme="minorEastAsia"/>
          <w:bCs/>
          <w:caps w:val="0"/>
          <w:smallCaps w:val="0"/>
          <w:snapToGrid w:val="0"/>
          <w:color w:val="auto"/>
          <w:spacing w:val="0"/>
          <w:w w:val="100"/>
          <w:position w:val="0"/>
          <w:highlight w:val="none"/>
        </w:rPr>
        <w:t>本项目</w:t>
      </w:r>
      <w:r>
        <w:rPr>
          <w:rFonts w:hint="eastAsia" w:ascii="Times New Roman" w:hAnsi="Times New Roman" w:eastAsiaTheme="minorEastAsia"/>
          <w:bCs/>
          <w:caps w:val="0"/>
          <w:smallCaps w:val="0"/>
          <w:snapToGrid w:val="0"/>
          <w:color w:val="auto"/>
          <w:spacing w:val="0"/>
          <w:w w:val="100"/>
          <w:position w:val="0"/>
          <w:highlight w:val="none"/>
          <w:lang w:val="en-US" w:eastAsia="zh-CN"/>
        </w:rPr>
        <w:t>整体更换站间管道 1 条，局部更换站间管道 1 条，长度共计 8.29km。整体更换集油环管道1个，局部更换集油环管道2个，长度共计7.83km</w:t>
      </w:r>
      <w:r>
        <w:rPr>
          <w:rFonts w:ascii="Times New Roman" w:hAnsi="Times New Roman" w:eastAsiaTheme="minorEastAsia"/>
          <w:bCs/>
          <w:caps w:val="0"/>
          <w:smallCaps w:val="0"/>
          <w:snapToGrid w:val="0"/>
          <w:color w:val="auto"/>
          <w:spacing w:val="0"/>
          <w:w w:val="100"/>
          <w:position w:val="0"/>
          <w:highlight w:val="none"/>
        </w:rPr>
        <w:t>，配套建设防腐等工程。</w:t>
      </w:r>
      <w:bookmarkEnd w:id="415"/>
      <w:bookmarkEnd w:id="416"/>
    </w:p>
    <w:bookmarkEnd w:id="417"/>
    <w:bookmarkEnd w:id="418"/>
    <w:p w14:paraId="690CAE9B">
      <w:pPr>
        <w:pStyle w:val="149"/>
        <w:widowControl w:val="0"/>
        <w:spacing w:line="440" w:lineRule="exact"/>
        <w:ind w:firstLine="473"/>
        <w:rPr>
          <w:rFonts w:ascii="Times New Roman" w:hAnsi="Times New Roman" w:eastAsiaTheme="minorEastAsia"/>
          <w:bCs/>
          <w:caps w:val="0"/>
          <w:smallCaps w:val="0"/>
          <w:snapToGrid w:val="0"/>
          <w:color w:val="auto"/>
          <w:spacing w:val="0"/>
          <w:w w:val="100"/>
          <w:position w:val="0"/>
          <w:highlight w:val="none"/>
        </w:rPr>
      </w:pPr>
      <w:r>
        <w:rPr>
          <w:rFonts w:ascii="Times New Roman" w:hAnsi="Times New Roman" w:eastAsiaTheme="minorEastAsia"/>
          <w:bCs/>
          <w:caps w:val="0"/>
          <w:smallCaps w:val="0"/>
          <w:snapToGrid w:val="0"/>
          <w:color w:val="auto"/>
          <w:spacing w:val="0"/>
          <w:w w:val="100"/>
          <w:position w:val="0"/>
          <w:highlight w:val="none"/>
        </w:rPr>
        <w:t>建设周期：项目计划施工期为2026年</w:t>
      </w:r>
      <w:r>
        <w:rPr>
          <w:rFonts w:hint="eastAsia" w:ascii="Times New Roman" w:hAnsi="Times New Roman" w:eastAsiaTheme="minorEastAsia"/>
          <w:bCs/>
          <w:caps w:val="0"/>
          <w:smallCaps w:val="0"/>
          <w:snapToGrid w:val="0"/>
          <w:color w:val="auto"/>
          <w:spacing w:val="0"/>
          <w:w w:val="100"/>
          <w:position w:val="0"/>
          <w:highlight w:val="none"/>
          <w:lang w:val="en-US" w:eastAsia="zh-CN"/>
        </w:rPr>
        <w:t>9</w:t>
      </w:r>
      <w:r>
        <w:rPr>
          <w:rFonts w:ascii="Times New Roman" w:hAnsi="Times New Roman" w:eastAsiaTheme="minorEastAsia"/>
          <w:bCs/>
          <w:caps w:val="0"/>
          <w:smallCaps w:val="0"/>
          <w:snapToGrid w:val="0"/>
          <w:color w:val="auto"/>
          <w:spacing w:val="0"/>
          <w:w w:val="100"/>
          <w:position w:val="0"/>
          <w:highlight w:val="none"/>
        </w:rPr>
        <w:t>月至</w:t>
      </w:r>
      <w:r>
        <w:rPr>
          <w:rFonts w:hint="eastAsia" w:ascii="Times New Roman" w:hAnsi="Times New Roman" w:eastAsiaTheme="minorEastAsia"/>
          <w:bCs/>
          <w:caps w:val="0"/>
          <w:smallCaps w:val="0"/>
          <w:snapToGrid w:val="0"/>
          <w:color w:val="auto"/>
          <w:spacing w:val="0"/>
          <w:w w:val="100"/>
          <w:position w:val="0"/>
          <w:highlight w:val="none"/>
          <w:lang w:val="en-US" w:eastAsia="zh-CN"/>
        </w:rPr>
        <w:t>11</w:t>
      </w:r>
      <w:r>
        <w:rPr>
          <w:rFonts w:ascii="Times New Roman" w:hAnsi="Times New Roman" w:eastAsiaTheme="minorEastAsia"/>
          <w:bCs/>
          <w:caps w:val="0"/>
          <w:smallCaps w:val="0"/>
          <w:snapToGrid w:val="0"/>
          <w:color w:val="auto"/>
          <w:spacing w:val="0"/>
          <w:w w:val="100"/>
          <w:position w:val="0"/>
          <w:highlight w:val="none"/>
        </w:rPr>
        <w:t>月，施工约</w:t>
      </w:r>
      <w:r>
        <w:rPr>
          <w:rFonts w:hint="eastAsia" w:ascii="Times New Roman" w:hAnsi="Times New Roman" w:eastAsiaTheme="minorEastAsia"/>
          <w:bCs/>
          <w:caps w:val="0"/>
          <w:smallCaps w:val="0"/>
          <w:snapToGrid w:val="0"/>
          <w:color w:val="auto"/>
          <w:spacing w:val="0"/>
          <w:w w:val="100"/>
          <w:position w:val="0"/>
          <w:highlight w:val="none"/>
          <w:lang w:val="en-US" w:eastAsia="zh-CN"/>
        </w:rPr>
        <w:t>6</w:t>
      </w:r>
      <w:r>
        <w:rPr>
          <w:rFonts w:ascii="Times New Roman" w:hAnsi="Times New Roman" w:eastAsiaTheme="minorEastAsia"/>
          <w:bCs/>
          <w:caps w:val="0"/>
          <w:smallCaps w:val="0"/>
          <w:snapToGrid w:val="0"/>
          <w:color w:val="auto"/>
          <w:spacing w:val="0"/>
          <w:w w:val="100"/>
          <w:position w:val="0"/>
          <w:highlight w:val="none"/>
        </w:rPr>
        <w:t>0d；</w:t>
      </w:r>
    </w:p>
    <w:p w14:paraId="3F79783B">
      <w:pPr>
        <w:pStyle w:val="149"/>
        <w:widowControl w:val="0"/>
        <w:spacing w:line="440" w:lineRule="exact"/>
        <w:ind w:firstLine="473"/>
        <w:rPr>
          <w:rFonts w:ascii="Times New Roman" w:hAnsi="Times New Roman" w:eastAsiaTheme="minorEastAsia"/>
          <w:bCs/>
          <w:caps w:val="0"/>
          <w:smallCaps w:val="0"/>
          <w:snapToGrid w:val="0"/>
          <w:color w:val="auto"/>
          <w:spacing w:val="0"/>
          <w:w w:val="100"/>
          <w:position w:val="0"/>
          <w:highlight w:val="none"/>
        </w:rPr>
      </w:pPr>
      <w:r>
        <w:rPr>
          <w:rFonts w:ascii="Times New Roman" w:hAnsi="Times New Roman" w:eastAsiaTheme="minorEastAsia"/>
          <w:bCs/>
          <w:caps w:val="0"/>
          <w:smallCaps w:val="0"/>
          <w:snapToGrid w:val="0"/>
          <w:color w:val="auto"/>
          <w:spacing w:val="0"/>
          <w:w w:val="100"/>
          <w:position w:val="0"/>
          <w:highlight w:val="none"/>
        </w:rPr>
        <w:t>劳动定员：项目施工人数约30人，运营期管理维护人员由</w:t>
      </w:r>
      <w:r>
        <w:rPr>
          <w:rFonts w:hint="eastAsia" w:ascii="Times New Roman" w:hAnsi="Times New Roman" w:eastAsiaTheme="minorEastAsia"/>
          <w:bCs/>
          <w:caps w:val="0"/>
          <w:smallCaps w:val="0"/>
          <w:snapToGrid w:val="0"/>
          <w:color w:val="auto"/>
          <w:spacing w:val="0"/>
          <w:w w:val="100"/>
          <w:position w:val="0"/>
          <w:highlight w:val="none"/>
        </w:rPr>
        <w:t>大庆油田有限责任公司第十一采油厂</w:t>
      </w:r>
      <w:r>
        <w:rPr>
          <w:rFonts w:ascii="Times New Roman" w:hAnsi="Times New Roman" w:eastAsiaTheme="minorEastAsia"/>
          <w:bCs/>
          <w:caps w:val="0"/>
          <w:smallCaps w:val="0"/>
          <w:snapToGrid w:val="0"/>
          <w:color w:val="auto"/>
          <w:spacing w:val="0"/>
          <w:w w:val="100"/>
          <w:position w:val="0"/>
          <w:highlight w:val="none"/>
        </w:rPr>
        <w:t>内部调配，运营期不新增劳动定员。</w:t>
      </w:r>
    </w:p>
    <w:p w14:paraId="152522E6">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419" w:name="_Toc219900381"/>
      <w:r>
        <w:rPr>
          <w:rFonts w:ascii="Times New Roman" w:hAnsi="Times New Roman" w:eastAsiaTheme="minorEastAsia"/>
          <w:b/>
          <w:caps w:val="0"/>
          <w:smallCaps w:val="0"/>
          <w:snapToGrid w:val="0"/>
          <w:color w:val="auto"/>
          <w:spacing w:val="0"/>
          <w:w w:val="100"/>
          <w:position w:val="0"/>
          <w:highlight w:val="none"/>
        </w:rPr>
        <w:t>3.3工程组成</w:t>
      </w:r>
      <w:bookmarkEnd w:id="419"/>
    </w:p>
    <w:bookmarkEnd w:id="413"/>
    <w:bookmarkEnd w:id="414"/>
    <w:p w14:paraId="2FFA579F">
      <w:pPr>
        <w:widowControl w:val="0"/>
        <w:spacing w:line="440" w:lineRule="exact"/>
        <w:ind w:firstLine="480" w:firstLineChars="200"/>
        <w:rPr>
          <w:rFonts w:ascii="Times New Roman" w:hAnsi="Times New Roman" w:cs="Times New Roman" w:eastAsiaTheme="minorEastAsia"/>
          <w:caps w:val="0"/>
          <w:smallCaps w:val="0"/>
          <w:snapToGrid w:val="0"/>
          <w:color w:val="auto"/>
          <w:spacing w:val="0"/>
          <w:w w:val="100"/>
          <w:position w:val="0"/>
          <w:highlight w:val="none"/>
        </w:rPr>
      </w:pPr>
      <w:r>
        <w:rPr>
          <w:rFonts w:ascii="Times New Roman" w:hAnsi="Times New Roman" w:cs="Times New Roman" w:eastAsiaTheme="minorEastAsia"/>
          <w:caps w:val="0"/>
          <w:smallCaps w:val="0"/>
          <w:snapToGrid w:val="0"/>
          <w:color w:val="auto"/>
          <w:spacing w:val="0"/>
          <w:w w:val="100"/>
          <w:position w:val="0"/>
          <w:highlight w:val="none"/>
        </w:rPr>
        <w:t>本项目工程组成见表3.3-1。</w:t>
      </w:r>
    </w:p>
    <w:p w14:paraId="643A4812">
      <w:pPr>
        <w:widowControl w:val="0"/>
        <w:spacing w:line="440" w:lineRule="exact"/>
        <w:ind w:firstLine="482" w:firstLineChars="200"/>
        <w:rPr>
          <w:rFonts w:ascii="Times New Roman" w:hAnsi="Times New Roman" w:cs="Times New Roman" w:eastAsiaTheme="minorEastAsia"/>
          <w:b/>
          <w:caps w:val="0"/>
          <w:smallCaps w:val="0"/>
          <w:snapToGrid w:val="0"/>
          <w:color w:val="auto"/>
          <w:spacing w:val="0"/>
          <w:w w:val="100"/>
          <w:position w:val="0"/>
          <w:highlight w:val="none"/>
        </w:rPr>
      </w:pPr>
      <w:r>
        <w:rPr>
          <w:rFonts w:ascii="Times New Roman" w:hAnsi="Times New Roman" w:cs="Times New Roman" w:eastAsiaTheme="minorEastAsia"/>
          <w:b/>
          <w:caps w:val="0"/>
          <w:smallCaps w:val="0"/>
          <w:snapToGrid w:val="0"/>
          <w:color w:val="auto"/>
          <w:spacing w:val="0"/>
          <w:w w:val="100"/>
          <w:position w:val="0"/>
          <w:highlight w:val="none"/>
        </w:rPr>
        <w:t>表3.3-1    工程组成一览表</w:t>
      </w:r>
    </w:p>
    <w:tbl>
      <w:tblPr>
        <w:tblStyle w:val="8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590"/>
        <w:gridCol w:w="231"/>
        <w:gridCol w:w="1326"/>
        <w:gridCol w:w="5600"/>
        <w:gridCol w:w="674"/>
      </w:tblGrid>
      <w:tr w14:paraId="1E48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Align w:val="center"/>
          </w:tcPr>
          <w:p w14:paraId="27312C2C">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工程类别</w:t>
            </w:r>
          </w:p>
        </w:tc>
        <w:tc>
          <w:tcPr>
            <w:tcW w:w="2147" w:type="dxa"/>
            <w:gridSpan w:val="3"/>
            <w:vAlign w:val="center"/>
          </w:tcPr>
          <w:p w14:paraId="63AB652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工程组成</w:t>
            </w:r>
          </w:p>
        </w:tc>
        <w:tc>
          <w:tcPr>
            <w:tcW w:w="5600" w:type="dxa"/>
            <w:vAlign w:val="center"/>
          </w:tcPr>
          <w:p w14:paraId="4E435D7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建设内容及规模</w:t>
            </w:r>
          </w:p>
        </w:tc>
        <w:tc>
          <w:tcPr>
            <w:tcW w:w="674" w:type="dxa"/>
            <w:vAlign w:val="center"/>
          </w:tcPr>
          <w:p w14:paraId="22C30CAF">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备注</w:t>
            </w:r>
          </w:p>
        </w:tc>
      </w:tr>
      <w:tr w14:paraId="513F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21FF5B6C">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主体工程</w:t>
            </w:r>
          </w:p>
        </w:tc>
        <w:tc>
          <w:tcPr>
            <w:tcW w:w="821" w:type="dxa"/>
            <w:gridSpan w:val="2"/>
            <w:vMerge w:val="restart"/>
            <w:vAlign w:val="center"/>
          </w:tcPr>
          <w:p w14:paraId="6E7A277F">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新建管道工程</w:t>
            </w:r>
          </w:p>
        </w:tc>
        <w:tc>
          <w:tcPr>
            <w:tcW w:w="1326" w:type="dxa"/>
            <w:vAlign w:val="center"/>
          </w:tcPr>
          <w:p w14:paraId="7F3C5985">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集油</w:t>
            </w:r>
            <w:r>
              <w:rPr>
                <w:rFonts w:ascii="Times New Roman" w:hAnsi="Times New Roman" w:cs="Times New Roman" w:eastAsiaTheme="minorEastAsia"/>
                <w:caps w:val="0"/>
                <w:smallCaps w:val="0"/>
                <w:color w:val="auto"/>
                <w:spacing w:val="0"/>
                <w:w w:val="100"/>
                <w:kern w:val="2"/>
                <w:position w:val="0"/>
                <w:sz w:val="21"/>
                <w:szCs w:val="21"/>
                <w:highlight w:val="none"/>
              </w:rPr>
              <w:t>管道0.52km</w:t>
            </w:r>
          </w:p>
        </w:tc>
        <w:tc>
          <w:tcPr>
            <w:tcW w:w="5600" w:type="dxa"/>
            <w:vAlign w:val="center"/>
          </w:tcPr>
          <w:p w14:paraId="31553D2B">
            <w:pPr>
              <w:spacing w:line="320" w:lineRule="exact"/>
              <w:ind w:firstLine="420" w:firstLineChars="200"/>
              <w:jc w:val="both"/>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更换1-3-12#集油环集油管线，管线规格为</w:t>
            </w:r>
            <w:r>
              <w:rPr>
                <w:rFonts w:ascii="Times New Roman" w:hAnsi="Times New Roman" w:cs="Times New Roman" w:eastAsiaTheme="minorEastAsia"/>
                <w:caps w:val="0"/>
                <w:smallCaps w:val="0"/>
                <w:color w:val="auto"/>
                <w:spacing w:val="0"/>
                <w:w w:val="100"/>
                <w:kern w:val="2"/>
                <w:position w:val="0"/>
                <w:sz w:val="21"/>
                <w:szCs w:val="21"/>
                <w:highlight w:val="none"/>
              </w:rPr>
              <w:t>Φ</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60</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3.5</w:t>
            </w:r>
            <w:r>
              <w:rPr>
                <w:rFonts w:ascii="Times New Roman" w:hAnsi="Times New Roman" w:cs="Times New Roman" w:eastAsiaTheme="minorEastAsia"/>
                <w:caps w:val="0"/>
                <w:smallCaps w:val="0"/>
                <w:color w:val="auto"/>
                <w:spacing w:val="0"/>
                <w:w w:val="100"/>
                <w:kern w:val="2"/>
                <w:position w:val="0"/>
                <w:sz w:val="21"/>
                <w:szCs w:val="21"/>
                <w:highlight w:val="none"/>
              </w:rPr>
              <w:t>，管线长度为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1.09</w:t>
            </w:r>
            <w:r>
              <w:rPr>
                <w:rFonts w:ascii="Times New Roman" w:hAnsi="Times New Roman" w:cs="Times New Roman" w:eastAsiaTheme="minorEastAsia"/>
                <w:caps w:val="0"/>
                <w:smallCaps w:val="0"/>
                <w:color w:val="auto"/>
                <w:spacing w:val="0"/>
                <w:w w:val="100"/>
                <w:kern w:val="2"/>
                <w:position w:val="0"/>
                <w:sz w:val="21"/>
                <w:szCs w:val="21"/>
                <w:highlight w:val="none"/>
              </w:rPr>
              <w:t>km</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管线规格为</w:t>
            </w:r>
            <w:r>
              <w:rPr>
                <w:rFonts w:ascii="Times New Roman" w:hAnsi="Times New Roman" w:cs="Times New Roman" w:eastAsiaTheme="minorEastAsia"/>
                <w:caps w:val="0"/>
                <w:smallCaps w:val="0"/>
                <w:color w:val="auto"/>
                <w:spacing w:val="0"/>
                <w:w w:val="100"/>
                <w:kern w:val="2"/>
                <w:position w:val="0"/>
                <w:sz w:val="21"/>
                <w:szCs w:val="21"/>
                <w:highlight w:val="none"/>
              </w:rPr>
              <w:t>Φ</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76</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4.5，</w:t>
            </w:r>
            <w:r>
              <w:rPr>
                <w:rFonts w:ascii="Times New Roman" w:hAnsi="Times New Roman" w:cs="Times New Roman" w:eastAsiaTheme="minorEastAsia"/>
                <w:caps w:val="0"/>
                <w:smallCaps w:val="0"/>
                <w:color w:val="auto"/>
                <w:spacing w:val="0"/>
                <w:w w:val="100"/>
                <w:kern w:val="2"/>
                <w:position w:val="0"/>
                <w:sz w:val="21"/>
                <w:szCs w:val="21"/>
                <w:highlight w:val="none"/>
              </w:rPr>
              <w:t>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1.51</w:t>
            </w:r>
            <w:r>
              <w:rPr>
                <w:rFonts w:ascii="Times New Roman" w:hAnsi="Times New Roman" w:cs="Times New Roman" w:eastAsiaTheme="minorEastAsia"/>
                <w:caps w:val="0"/>
                <w:smallCaps w:val="0"/>
                <w:color w:val="auto"/>
                <w:spacing w:val="0"/>
                <w:w w:val="100"/>
                <w:kern w:val="2"/>
                <w:position w:val="0"/>
                <w:sz w:val="21"/>
                <w:szCs w:val="21"/>
                <w:highlight w:val="none"/>
              </w:rPr>
              <w:t>km</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p>
          <w:p w14:paraId="7AB87837">
            <w:pPr>
              <w:spacing w:line="320" w:lineRule="exact"/>
              <w:ind w:firstLine="420" w:firstLineChars="200"/>
              <w:jc w:val="both"/>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更换1-5-2#集油环集油管线，管线规格为</w:t>
            </w:r>
            <w:r>
              <w:rPr>
                <w:rFonts w:ascii="Times New Roman" w:hAnsi="Times New Roman" w:cs="Times New Roman" w:eastAsiaTheme="minorEastAsia"/>
                <w:caps w:val="0"/>
                <w:smallCaps w:val="0"/>
                <w:color w:val="auto"/>
                <w:spacing w:val="0"/>
                <w:w w:val="100"/>
                <w:kern w:val="2"/>
                <w:position w:val="0"/>
                <w:sz w:val="21"/>
                <w:szCs w:val="21"/>
                <w:highlight w:val="none"/>
              </w:rPr>
              <w:t>Φ</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60</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3.5</w:t>
            </w:r>
            <w:r>
              <w:rPr>
                <w:rFonts w:ascii="Times New Roman" w:hAnsi="Times New Roman" w:cs="Times New Roman" w:eastAsiaTheme="minorEastAsia"/>
                <w:caps w:val="0"/>
                <w:smallCaps w:val="0"/>
                <w:color w:val="auto"/>
                <w:spacing w:val="0"/>
                <w:w w:val="100"/>
                <w:kern w:val="2"/>
                <w:position w:val="0"/>
                <w:sz w:val="21"/>
                <w:szCs w:val="21"/>
                <w:highlight w:val="none"/>
              </w:rPr>
              <w:t>，管线长度为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0.03</w:t>
            </w:r>
            <w:r>
              <w:rPr>
                <w:rFonts w:ascii="Times New Roman" w:hAnsi="Times New Roman" w:cs="Times New Roman" w:eastAsiaTheme="minorEastAsia"/>
                <w:caps w:val="0"/>
                <w:smallCaps w:val="0"/>
                <w:color w:val="auto"/>
                <w:spacing w:val="0"/>
                <w:w w:val="100"/>
                <w:kern w:val="2"/>
                <w:position w:val="0"/>
                <w:sz w:val="21"/>
                <w:szCs w:val="21"/>
                <w:highlight w:val="none"/>
              </w:rPr>
              <w:t>km</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管线规格为</w:t>
            </w:r>
            <w:r>
              <w:rPr>
                <w:rFonts w:ascii="Times New Roman" w:hAnsi="Times New Roman" w:cs="Times New Roman" w:eastAsiaTheme="minorEastAsia"/>
                <w:caps w:val="0"/>
                <w:smallCaps w:val="0"/>
                <w:color w:val="auto"/>
                <w:spacing w:val="0"/>
                <w:w w:val="100"/>
                <w:kern w:val="2"/>
                <w:position w:val="0"/>
                <w:sz w:val="21"/>
                <w:szCs w:val="21"/>
                <w:highlight w:val="none"/>
              </w:rPr>
              <w:t>Φ</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76</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4.5，</w:t>
            </w:r>
            <w:r>
              <w:rPr>
                <w:rFonts w:ascii="Times New Roman" w:hAnsi="Times New Roman" w:cs="Times New Roman" w:eastAsiaTheme="minorEastAsia"/>
                <w:caps w:val="0"/>
                <w:smallCaps w:val="0"/>
                <w:color w:val="auto"/>
                <w:spacing w:val="0"/>
                <w:w w:val="100"/>
                <w:kern w:val="2"/>
                <w:position w:val="0"/>
                <w:sz w:val="21"/>
                <w:szCs w:val="21"/>
                <w:highlight w:val="none"/>
              </w:rPr>
              <w:t>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0.7</w:t>
            </w:r>
            <w:r>
              <w:rPr>
                <w:rFonts w:ascii="Times New Roman" w:hAnsi="Times New Roman" w:cs="Times New Roman" w:eastAsiaTheme="minorEastAsia"/>
                <w:caps w:val="0"/>
                <w:smallCaps w:val="0"/>
                <w:color w:val="auto"/>
                <w:spacing w:val="0"/>
                <w:w w:val="100"/>
                <w:kern w:val="2"/>
                <w:position w:val="0"/>
                <w:sz w:val="21"/>
                <w:szCs w:val="21"/>
                <w:highlight w:val="none"/>
              </w:rPr>
              <w:t>km</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p>
          <w:p w14:paraId="4655D831">
            <w:pPr>
              <w:spacing w:line="320" w:lineRule="exact"/>
              <w:ind w:firstLine="420" w:firstLineChars="200"/>
              <w:jc w:val="both"/>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更换2-5-4#集油环集油管线，管线规格为</w:t>
            </w:r>
            <w:r>
              <w:rPr>
                <w:rFonts w:ascii="Times New Roman" w:hAnsi="Times New Roman" w:cs="Times New Roman" w:eastAsiaTheme="minorEastAsia"/>
                <w:caps w:val="0"/>
                <w:smallCaps w:val="0"/>
                <w:color w:val="auto"/>
                <w:spacing w:val="0"/>
                <w:w w:val="100"/>
                <w:kern w:val="2"/>
                <w:position w:val="0"/>
                <w:sz w:val="21"/>
                <w:szCs w:val="21"/>
                <w:highlight w:val="none"/>
              </w:rPr>
              <w:t>Φ</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76</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4.5，</w:t>
            </w:r>
            <w:r>
              <w:rPr>
                <w:rFonts w:ascii="Times New Roman" w:hAnsi="Times New Roman" w:cs="Times New Roman" w:eastAsiaTheme="minorEastAsia"/>
                <w:caps w:val="0"/>
                <w:smallCaps w:val="0"/>
                <w:color w:val="auto"/>
                <w:spacing w:val="0"/>
                <w:w w:val="100"/>
                <w:kern w:val="2"/>
                <w:position w:val="0"/>
                <w:sz w:val="21"/>
                <w:szCs w:val="21"/>
                <w:highlight w:val="none"/>
              </w:rPr>
              <w:t>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1.81</w:t>
            </w:r>
            <w:r>
              <w:rPr>
                <w:rFonts w:ascii="Times New Roman" w:hAnsi="Times New Roman" w:cs="Times New Roman" w:eastAsiaTheme="minorEastAsia"/>
                <w:caps w:val="0"/>
                <w:smallCaps w:val="0"/>
                <w:color w:val="auto"/>
                <w:spacing w:val="0"/>
                <w:w w:val="100"/>
                <w:kern w:val="2"/>
                <w:position w:val="0"/>
                <w:sz w:val="21"/>
                <w:szCs w:val="21"/>
                <w:highlight w:val="none"/>
              </w:rPr>
              <w:t>km</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p>
          <w:p w14:paraId="6B8F11AA">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集油</w:t>
            </w:r>
            <w:r>
              <w:rPr>
                <w:rFonts w:ascii="Times New Roman" w:hAnsi="Times New Roman" w:cs="Times New Roman" w:eastAsiaTheme="minorEastAsia"/>
                <w:caps w:val="0"/>
                <w:smallCaps w:val="0"/>
                <w:color w:val="auto"/>
                <w:spacing w:val="0"/>
                <w:w w:val="100"/>
                <w:kern w:val="2"/>
                <w:position w:val="0"/>
                <w:sz w:val="21"/>
                <w:szCs w:val="21"/>
                <w:highlight w:val="none"/>
              </w:rPr>
              <w:t>管道，</w:t>
            </w:r>
            <w:r>
              <w:rPr>
                <w:rFonts w:ascii="Times New Roman" w:hAnsi="Times New Roman" w:cs="Times New Roman" w:eastAsiaTheme="minorEastAsia"/>
                <w:bCs/>
                <w:caps w:val="0"/>
                <w:smallCaps w:val="0"/>
                <w:color w:val="auto"/>
                <w:spacing w:val="0"/>
                <w:w w:val="100"/>
                <w:kern w:val="2"/>
                <w:position w:val="0"/>
                <w:sz w:val="21"/>
                <w:szCs w:val="21"/>
                <w:highlight w:val="none"/>
              </w:rPr>
              <w:t>管道材质采用无缝钢管，</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外防腐保温层采用</w:t>
            </w:r>
            <w:r>
              <w:rPr>
                <w:rFonts w:ascii="Times New Roman" w:hAnsi="Times New Roman" w:cs="Times New Roman"/>
                <w:bCs/>
                <w:caps w:val="0"/>
                <w:smallCaps w:val="0"/>
                <w:color w:val="auto"/>
                <w:spacing w:val="0"/>
                <w:w w:val="100"/>
                <w:position w:val="0"/>
                <w:sz w:val="21"/>
                <w:szCs w:val="21"/>
                <w:highlight w:val="none"/>
                <w:lang w:val="en-US" w:eastAsia="zh-CN"/>
              </w:rPr>
              <w:t>内缠聚乙烯胶带普通级防腐聚</w:t>
            </w:r>
            <w:r>
              <w:rPr>
                <w:rFonts w:hint="default" w:ascii="Times New Roman" w:hAnsi="Times New Roman" w:cs="Times New Roman"/>
                <w:bCs/>
                <w:caps w:val="0"/>
                <w:smallCaps w:val="0"/>
                <w:color w:val="auto"/>
                <w:spacing w:val="0"/>
                <w:w w:val="100"/>
                <w:position w:val="0"/>
                <w:sz w:val="21"/>
                <w:szCs w:val="21"/>
                <w:highlight w:val="none"/>
                <w:lang w:val="en-US" w:eastAsia="zh-CN"/>
              </w:rPr>
              <w:t>氨酯保温聚乙烯保护成品管</w:t>
            </w:r>
            <w:r>
              <w:rPr>
                <w:rFonts w:ascii="Times New Roman" w:hAnsi="Times New Roman" w:cs="Times New Roman" w:eastAsiaTheme="minorEastAsia"/>
                <w:bCs/>
                <w:caps w:val="0"/>
                <w:smallCaps w:val="0"/>
                <w:color w:val="auto"/>
                <w:spacing w:val="0"/>
                <w:w w:val="100"/>
                <w:kern w:val="2"/>
                <w:position w:val="0"/>
                <w:sz w:val="21"/>
                <w:szCs w:val="21"/>
                <w:highlight w:val="none"/>
              </w:rPr>
              <w:t>，管道内介质为原油，密度约</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0</w:t>
            </w:r>
            <w:r>
              <w:rPr>
                <w:rFonts w:ascii="Times New Roman" w:hAnsi="Times New Roman" w:cs="Times New Roman" w:eastAsiaTheme="minorEastAsia"/>
                <w:bCs/>
                <w:caps w:val="0"/>
                <w:smallCaps w:val="0"/>
                <w:color w:val="auto"/>
                <w:spacing w:val="0"/>
                <w:w w:val="100"/>
                <w:kern w:val="2"/>
                <w:position w:val="0"/>
                <w:sz w:val="21"/>
                <w:szCs w:val="21"/>
                <w:highlight w:val="none"/>
              </w:rPr>
              <w:t>.85</w:t>
            </w:r>
            <w:r>
              <w:rPr>
                <w:rFonts w:ascii="Times New Roman" w:hAnsi="Times New Roman" w:cs="Times New Roman"/>
                <w:caps w:val="0"/>
                <w:smallCaps w:val="0"/>
                <w:color w:val="auto"/>
                <w:spacing w:val="0"/>
                <w:w w:val="100"/>
                <w:position w:val="0"/>
                <w:sz w:val="21"/>
                <w:szCs w:val="21"/>
                <w:highlight w:val="none"/>
                <w:lang w:val="zh-CN" w:bidi="ar"/>
              </w:rPr>
              <w:t>g/cm</w:t>
            </w:r>
            <w:r>
              <w:rPr>
                <w:rFonts w:ascii="Times New Roman" w:hAnsi="Times New Roman" w:cs="Times New Roman"/>
                <w:caps w:val="0"/>
                <w:smallCaps w:val="0"/>
                <w:color w:val="auto"/>
                <w:spacing w:val="0"/>
                <w:w w:val="100"/>
                <w:position w:val="0"/>
                <w:sz w:val="21"/>
                <w:szCs w:val="21"/>
                <w:highlight w:val="none"/>
                <w:vertAlign w:val="superscript"/>
                <w:lang w:val="zh-CN" w:bidi="ar"/>
              </w:rPr>
              <w:t>3</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w:t>
            </w:r>
            <w:r>
              <w:rPr>
                <w:rFonts w:ascii="Times New Roman" w:hAnsi="Times New Roman" w:cs="Times New Roman" w:eastAsiaTheme="minorEastAsia"/>
                <w:bCs/>
                <w:caps w:val="0"/>
                <w:smallCaps w:val="0"/>
                <w:color w:val="auto"/>
                <w:spacing w:val="0"/>
                <w:w w:val="100"/>
                <w:kern w:val="2"/>
                <w:position w:val="0"/>
                <w:sz w:val="21"/>
                <w:szCs w:val="21"/>
                <w:highlight w:val="none"/>
              </w:rPr>
              <w:t>管道敷设方式采用沟埋方式敷设</w:t>
            </w:r>
            <w:r>
              <w:rPr>
                <w:rFonts w:hint="eastAsia" w:ascii="Times New Roman" w:hAnsi="Times New Roman" w:cs="Times New Roman" w:eastAsiaTheme="minorEastAsia"/>
                <w:bCs/>
                <w:caps w:val="0"/>
                <w:smallCaps w:val="0"/>
                <w:color w:val="auto"/>
                <w:spacing w:val="0"/>
                <w:w w:val="100"/>
                <w:kern w:val="2"/>
                <w:position w:val="0"/>
                <w:sz w:val="21"/>
                <w:szCs w:val="21"/>
                <w:highlight w:val="none"/>
                <w:lang w:eastAsia="zh-CN"/>
              </w:rPr>
              <w:t>，</w:t>
            </w:r>
            <w:r>
              <w:rPr>
                <w:rFonts w:ascii="Times New Roman" w:hAnsi="Times New Roman" w:cs="Times New Roman" w:eastAsiaTheme="minorEastAsia"/>
                <w:bCs/>
                <w:caps w:val="0"/>
                <w:smallCaps w:val="0"/>
                <w:color w:val="auto"/>
                <w:spacing w:val="0"/>
                <w:w w:val="100"/>
                <w:kern w:val="2"/>
                <w:position w:val="0"/>
                <w:sz w:val="21"/>
                <w:szCs w:val="21"/>
                <w:highlight w:val="none"/>
              </w:rPr>
              <w:t>管道埋深</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2m</w:t>
            </w:r>
            <w:r>
              <w:rPr>
                <w:rFonts w:ascii="Times New Roman" w:hAnsi="Times New Roman" w:cs="Times New Roman" w:eastAsiaTheme="minorEastAsia"/>
                <w:bCs/>
                <w:caps w:val="0"/>
                <w:smallCaps w:val="0"/>
                <w:color w:val="auto"/>
                <w:spacing w:val="0"/>
                <w:w w:val="100"/>
                <w:kern w:val="2"/>
                <w:position w:val="0"/>
                <w:sz w:val="21"/>
                <w:szCs w:val="21"/>
                <w:highlight w:val="none"/>
              </w:rPr>
              <w:t>。</w:t>
            </w:r>
          </w:p>
        </w:tc>
        <w:tc>
          <w:tcPr>
            <w:tcW w:w="674" w:type="dxa"/>
            <w:vAlign w:val="center"/>
          </w:tcPr>
          <w:p w14:paraId="6BACBC2A">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新建</w:t>
            </w:r>
          </w:p>
        </w:tc>
      </w:tr>
      <w:tr w14:paraId="0E6D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57143009">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821" w:type="dxa"/>
            <w:gridSpan w:val="2"/>
            <w:vMerge w:val="continue"/>
            <w:vAlign w:val="center"/>
          </w:tcPr>
          <w:p w14:paraId="7FC21BEB">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326" w:type="dxa"/>
            <w:vAlign w:val="center"/>
          </w:tcPr>
          <w:p w14:paraId="34D00B63">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掺水</w:t>
            </w:r>
            <w:r>
              <w:rPr>
                <w:rFonts w:ascii="Times New Roman" w:hAnsi="Times New Roman" w:cs="Times New Roman" w:eastAsiaTheme="minorEastAsia"/>
                <w:caps w:val="0"/>
                <w:smallCaps w:val="0"/>
                <w:color w:val="auto"/>
                <w:spacing w:val="0"/>
                <w:w w:val="100"/>
                <w:kern w:val="2"/>
                <w:position w:val="0"/>
                <w:sz w:val="21"/>
                <w:szCs w:val="21"/>
                <w:highlight w:val="none"/>
              </w:rPr>
              <w:t>管道1.72km</w:t>
            </w:r>
          </w:p>
        </w:tc>
        <w:tc>
          <w:tcPr>
            <w:tcW w:w="5600" w:type="dxa"/>
            <w:vAlign w:val="center"/>
          </w:tcPr>
          <w:p w14:paraId="2DD7A1BF">
            <w:pPr>
              <w:spacing w:line="320" w:lineRule="exact"/>
              <w:ind w:firstLine="420" w:firstLineChars="200"/>
              <w:jc w:val="both"/>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更换1-6#集油阀组间至卫1转油站掺水管道1条，管道规格</w:t>
            </w:r>
            <w:r>
              <w:rPr>
                <w:rFonts w:ascii="Times New Roman" w:hAnsi="Times New Roman" w:cs="Times New Roman" w:eastAsiaTheme="minorEastAsia"/>
                <w:caps w:val="0"/>
                <w:smallCaps w:val="0"/>
                <w:color w:val="auto"/>
                <w:spacing w:val="0"/>
                <w:w w:val="100"/>
                <w:kern w:val="2"/>
                <w:position w:val="0"/>
                <w:sz w:val="21"/>
                <w:szCs w:val="21"/>
                <w:highlight w:val="none"/>
              </w:rPr>
              <w:t>为Φ114×4.5，管线长度为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4.09</w:t>
            </w:r>
            <w:r>
              <w:rPr>
                <w:rFonts w:ascii="Times New Roman" w:hAnsi="Times New Roman" w:cs="Times New Roman" w:eastAsiaTheme="minorEastAsia"/>
                <w:caps w:val="0"/>
                <w:smallCaps w:val="0"/>
                <w:color w:val="auto"/>
                <w:spacing w:val="0"/>
                <w:w w:val="100"/>
                <w:kern w:val="2"/>
                <w:position w:val="0"/>
                <w:sz w:val="21"/>
                <w:szCs w:val="21"/>
                <w:highlight w:val="none"/>
              </w:rPr>
              <w:t>km</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w:t>
            </w:r>
          </w:p>
          <w:p w14:paraId="200CDF3F">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局部</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更换2-9#集油阀组间至卫一联脱水站</w:t>
            </w:r>
            <w:r>
              <w:rPr>
                <w:rFonts w:ascii="Times New Roman" w:hAnsi="Times New Roman" w:cs="Times New Roman" w:eastAsiaTheme="minorEastAsia"/>
                <w:caps w:val="0"/>
                <w:smallCaps w:val="0"/>
                <w:color w:val="auto"/>
                <w:spacing w:val="0"/>
                <w:w w:val="100"/>
                <w:kern w:val="2"/>
                <w:position w:val="0"/>
                <w:sz w:val="21"/>
                <w:szCs w:val="21"/>
                <w:highlight w:val="none"/>
              </w:rPr>
              <w:t>管线1条，管线规格为Φ</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114</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4.</w:t>
            </w:r>
            <w:r>
              <w:rPr>
                <w:rFonts w:ascii="Times New Roman" w:hAnsi="Times New Roman" w:cs="Times New Roman" w:eastAsiaTheme="minorEastAsia"/>
                <w:caps w:val="0"/>
                <w:smallCaps w:val="0"/>
                <w:color w:val="auto"/>
                <w:spacing w:val="0"/>
                <w:w w:val="100"/>
                <w:kern w:val="2"/>
                <w:position w:val="0"/>
                <w:sz w:val="21"/>
                <w:szCs w:val="21"/>
                <w:highlight w:val="none"/>
              </w:rPr>
              <w:t>5，管线长度为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4.2</w:t>
            </w:r>
            <w:r>
              <w:rPr>
                <w:rFonts w:ascii="Times New Roman" w:hAnsi="Times New Roman" w:cs="Times New Roman" w:eastAsiaTheme="minorEastAsia"/>
                <w:caps w:val="0"/>
                <w:smallCaps w:val="0"/>
                <w:color w:val="auto"/>
                <w:spacing w:val="0"/>
                <w:w w:val="100"/>
                <w:kern w:val="2"/>
                <w:position w:val="0"/>
                <w:sz w:val="21"/>
                <w:szCs w:val="21"/>
                <w:highlight w:val="none"/>
              </w:rPr>
              <w:t>km。</w:t>
            </w:r>
          </w:p>
          <w:p w14:paraId="21C079E9">
            <w:pPr>
              <w:spacing w:line="320" w:lineRule="exact"/>
              <w:ind w:firstLine="420" w:firstLineChars="200"/>
              <w:jc w:val="both"/>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更换1-3-12#集油环掺水管线1条，管线规格为</w:t>
            </w:r>
            <w:r>
              <w:rPr>
                <w:rFonts w:ascii="Times New Roman" w:hAnsi="Times New Roman" w:cs="Times New Roman" w:eastAsiaTheme="minorEastAsia"/>
                <w:caps w:val="0"/>
                <w:smallCaps w:val="0"/>
                <w:color w:val="auto"/>
                <w:spacing w:val="0"/>
                <w:w w:val="100"/>
                <w:kern w:val="2"/>
                <w:position w:val="0"/>
                <w:sz w:val="21"/>
                <w:szCs w:val="21"/>
                <w:highlight w:val="none"/>
              </w:rPr>
              <w:t>Φ</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60</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3.5</w:t>
            </w:r>
            <w:r>
              <w:rPr>
                <w:rFonts w:ascii="Times New Roman" w:hAnsi="Times New Roman" w:cs="Times New Roman" w:eastAsiaTheme="minorEastAsia"/>
                <w:caps w:val="0"/>
                <w:smallCaps w:val="0"/>
                <w:color w:val="auto"/>
                <w:spacing w:val="0"/>
                <w:w w:val="100"/>
                <w:kern w:val="2"/>
                <w:position w:val="0"/>
                <w:sz w:val="21"/>
                <w:szCs w:val="21"/>
                <w:highlight w:val="none"/>
              </w:rPr>
              <w:t>，管线长度为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1.74</w:t>
            </w:r>
            <w:r>
              <w:rPr>
                <w:rFonts w:ascii="Times New Roman" w:hAnsi="Times New Roman" w:cs="Times New Roman" w:eastAsiaTheme="minorEastAsia"/>
                <w:caps w:val="0"/>
                <w:smallCaps w:val="0"/>
                <w:color w:val="auto"/>
                <w:spacing w:val="0"/>
                <w:w w:val="100"/>
                <w:kern w:val="2"/>
                <w:position w:val="0"/>
                <w:sz w:val="21"/>
                <w:szCs w:val="21"/>
                <w:highlight w:val="none"/>
              </w:rPr>
              <w:t>km</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p>
          <w:p w14:paraId="1536DDC8">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更换1-5-2#集油环掺水管线1条，管线规格为</w:t>
            </w:r>
            <w:r>
              <w:rPr>
                <w:rFonts w:ascii="Times New Roman" w:hAnsi="Times New Roman" w:cs="Times New Roman" w:eastAsiaTheme="minorEastAsia"/>
                <w:caps w:val="0"/>
                <w:smallCaps w:val="0"/>
                <w:color w:val="auto"/>
                <w:spacing w:val="0"/>
                <w:w w:val="100"/>
                <w:kern w:val="2"/>
                <w:position w:val="0"/>
                <w:sz w:val="21"/>
                <w:szCs w:val="21"/>
                <w:highlight w:val="none"/>
              </w:rPr>
              <w:t>Φ</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60</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3.5</w:t>
            </w:r>
            <w:r>
              <w:rPr>
                <w:rFonts w:ascii="Times New Roman" w:hAnsi="Times New Roman" w:cs="Times New Roman" w:eastAsiaTheme="minorEastAsia"/>
                <w:caps w:val="0"/>
                <w:smallCaps w:val="0"/>
                <w:color w:val="auto"/>
                <w:spacing w:val="0"/>
                <w:w w:val="100"/>
                <w:kern w:val="2"/>
                <w:position w:val="0"/>
                <w:sz w:val="21"/>
                <w:szCs w:val="21"/>
                <w:highlight w:val="none"/>
              </w:rPr>
              <w:t>，管线长度为</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0.95</w:t>
            </w:r>
            <w:r>
              <w:rPr>
                <w:rFonts w:ascii="Times New Roman" w:hAnsi="Times New Roman" w:cs="Times New Roman" w:eastAsiaTheme="minorEastAsia"/>
                <w:caps w:val="0"/>
                <w:smallCaps w:val="0"/>
                <w:color w:val="auto"/>
                <w:spacing w:val="0"/>
                <w:w w:val="100"/>
                <w:kern w:val="2"/>
                <w:position w:val="0"/>
                <w:sz w:val="21"/>
                <w:szCs w:val="21"/>
                <w:highlight w:val="none"/>
              </w:rPr>
              <w:t>km</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p>
          <w:p w14:paraId="63FBC01D">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管道材质采用</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无缝钢管</w:t>
            </w:r>
            <w:r>
              <w:rPr>
                <w:rFonts w:ascii="Times New Roman" w:hAnsi="Times New Roman" w:cs="Times New Roman" w:eastAsiaTheme="minorEastAsia"/>
                <w:bCs/>
                <w:caps w:val="0"/>
                <w:smallCaps w:val="0"/>
                <w:color w:val="auto"/>
                <w:spacing w:val="0"/>
                <w:w w:val="100"/>
                <w:kern w:val="2"/>
                <w:position w:val="0"/>
                <w:sz w:val="21"/>
                <w:szCs w:val="21"/>
                <w:highlight w:val="none"/>
              </w:rPr>
              <w:t>，管道敷设方式采用</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沟埋方式敷</w:t>
            </w:r>
            <w:r>
              <w:rPr>
                <w:rFonts w:ascii="Times New Roman" w:hAnsi="Times New Roman" w:cs="Times New Roman" w:eastAsiaTheme="minorEastAsia"/>
                <w:bCs/>
                <w:caps w:val="0"/>
                <w:smallCaps w:val="0"/>
                <w:color w:val="auto"/>
                <w:spacing w:val="0"/>
                <w:w w:val="100"/>
                <w:kern w:val="2"/>
                <w:position w:val="0"/>
                <w:sz w:val="21"/>
                <w:szCs w:val="21"/>
                <w:highlight w:val="none"/>
              </w:rPr>
              <w:t>设，管道内介质为满足《大庆油田地面工程建设设计规定》（Q/SYDQ0639-2015）限值要求：“含油量≤8mg/L、悬浮固体含量≤3mg/L、粒径中值≤2μm”的含油污水，管道埋深</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2m</w:t>
            </w:r>
            <w:r>
              <w:rPr>
                <w:rFonts w:ascii="Times New Roman" w:hAnsi="Times New Roman" w:cs="Times New Roman" w:eastAsiaTheme="minorEastAsia"/>
                <w:bCs/>
                <w:caps w:val="0"/>
                <w:smallCaps w:val="0"/>
                <w:color w:val="auto"/>
                <w:spacing w:val="0"/>
                <w:w w:val="100"/>
                <w:kern w:val="2"/>
                <w:position w:val="0"/>
                <w:sz w:val="21"/>
                <w:szCs w:val="21"/>
                <w:highlight w:val="none"/>
              </w:rPr>
              <w:t>。</w:t>
            </w:r>
          </w:p>
        </w:tc>
        <w:tc>
          <w:tcPr>
            <w:tcW w:w="674" w:type="dxa"/>
            <w:vAlign w:val="center"/>
          </w:tcPr>
          <w:p w14:paraId="5A4054B2">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新建</w:t>
            </w:r>
          </w:p>
        </w:tc>
      </w:tr>
      <w:tr w14:paraId="56EE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15DC6AB4">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辅助工程</w:t>
            </w:r>
          </w:p>
        </w:tc>
        <w:tc>
          <w:tcPr>
            <w:tcW w:w="2147" w:type="dxa"/>
            <w:gridSpan w:val="3"/>
            <w:vAlign w:val="center"/>
          </w:tcPr>
          <w:p w14:paraId="706DA8A3">
            <w:pPr>
              <w:spacing w:line="34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ascii="Times New Roman" w:hAnsi="Times New Roman" w:cs="Times New Roman" w:eastAsiaTheme="minorEastAsia"/>
                <w:caps w:val="0"/>
                <w:smallCaps w:val="0"/>
                <w:color w:val="auto"/>
                <w:spacing w:val="0"/>
                <w:w w:val="100"/>
                <w:kern w:val="2"/>
                <w:position w:val="0"/>
                <w:sz w:val="21"/>
                <w:szCs w:val="21"/>
                <w:highlight w:val="none"/>
              </w:rPr>
              <w:t>废弃管道处理工程</w:t>
            </w:r>
          </w:p>
        </w:tc>
        <w:tc>
          <w:tcPr>
            <w:tcW w:w="5600" w:type="dxa"/>
            <w:vAlign w:val="center"/>
          </w:tcPr>
          <w:p w14:paraId="306312ED">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首先停止管道作业，关闭两端截断阀，</w:t>
            </w:r>
            <w:r>
              <w:rPr>
                <w:rFonts w:ascii="Times New Roman" w:hAnsi="Times New Roman" w:cs="Times New Roman" w:eastAsiaTheme="minorEastAsia"/>
                <w:caps w:val="0"/>
                <w:smallCaps w:val="0"/>
                <w:color w:val="auto"/>
                <w:spacing w:val="0"/>
                <w:w w:val="100"/>
                <w:kern w:val="2"/>
                <w:position w:val="0"/>
                <w:sz w:val="21"/>
                <w:szCs w:val="21"/>
                <w:highlight w:val="none"/>
              </w:rPr>
              <w:t>利用压缩空气进行清管作业，</w:t>
            </w:r>
            <w:r>
              <w:rPr>
                <w:rFonts w:hint="eastAsia" w:ascii="Times New Roman" w:hAnsi="Times New Roman" w:cs="Times New Roman" w:eastAsiaTheme="minorEastAsia"/>
                <w:caps w:val="0"/>
                <w:smallCaps w:val="0"/>
                <w:color w:val="auto"/>
                <w:spacing w:val="0"/>
                <w:w w:val="100"/>
                <w:kern w:val="2"/>
                <w:position w:val="0"/>
                <w:sz w:val="21"/>
                <w:szCs w:val="21"/>
                <w:highlight w:val="none"/>
              </w:rPr>
              <w:t>采用</w:t>
            </w:r>
            <w:r>
              <w:rPr>
                <w:rFonts w:ascii="Times New Roman" w:hAnsi="Times New Roman" w:cs="Times New Roman" w:eastAsiaTheme="minorEastAsia"/>
                <w:caps w:val="0"/>
                <w:smallCaps w:val="0"/>
                <w:color w:val="auto"/>
                <w:spacing w:val="0"/>
                <w:w w:val="100"/>
                <w:kern w:val="2"/>
                <w:position w:val="0"/>
                <w:sz w:val="21"/>
                <w:szCs w:val="21"/>
                <w:highlight w:val="none"/>
              </w:rPr>
              <w:t>热水对管线进行清洗，</w:t>
            </w:r>
            <w:r>
              <w:rPr>
                <w:rFonts w:hint="eastAsia" w:ascii="Times New Roman" w:hAnsi="Times New Roman" w:cs="Times New Roman" w:eastAsiaTheme="minorEastAsia"/>
                <w:caps w:val="0"/>
                <w:smallCaps w:val="0"/>
                <w:color w:val="auto"/>
                <w:spacing w:val="0"/>
                <w:w w:val="100"/>
                <w:kern w:val="2"/>
                <w:position w:val="0"/>
                <w:sz w:val="21"/>
                <w:szCs w:val="21"/>
                <w:highlight w:val="none"/>
              </w:rPr>
              <w:t>对管内残余的含油污水进行清除和收集</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ascii="Times New Roman" w:hAnsi="Times New Roman" w:cs="Times New Roman" w:eastAsiaTheme="minorEastAsia"/>
                <w:caps w:val="0"/>
                <w:smallCaps w:val="0"/>
                <w:color w:val="auto"/>
                <w:spacing w:val="0"/>
                <w:w w:val="100"/>
                <w:kern w:val="2"/>
                <w:position w:val="0"/>
                <w:sz w:val="21"/>
                <w:szCs w:val="21"/>
                <w:highlight w:val="none"/>
              </w:rPr>
              <w:t>清洗废水</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罐车拉运至</w:t>
            </w: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卫一联含油污水深度处理站</w:t>
            </w:r>
            <w:r>
              <w:rPr>
                <w:rFonts w:ascii="Times New Roman" w:hAnsi="Times New Roman" w:cs="Times New Roman" w:eastAsiaTheme="minorEastAsia"/>
                <w:caps w:val="0"/>
                <w:smallCaps w:val="0"/>
                <w:color w:val="auto"/>
                <w:spacing w:val="0"/>
                <w:w w:val="100"/>
                <w:kern w:val="2"/>
                <w:position w:val="0"/>
                <w:sz w:val="21"/>
                <w:szCs w:val="21"/>
                <w:highlight w:val="none"/>
              </w:rPr>
              <w:t>处理达标后回注油层。清洗完成后采用氮气对吹扫，吹扫合格后将原有管线的两端切断，并采用混凝土对</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废弃</w:t>
            </w:r>
            <w:r>
              <w:rPr>
                <w:rFonts w:ascii="Times New Roman" w:hAnsi="Times New Roman" w:cs="Times New Roman" w:eastAsiaTheme="minorEastAsia"/>
                <w:caps w:val="0"/>
                <w:smallCaps w:val="0"/>
                <w:color w:val="auto"/>
                <w:spacing w:val="0"/>
                <w:w w:val="100"/>
                <w:kern w:val="2"/>
                <w:position w:val="0"/>
                <w:sz w:val="21"/>
                <w:szCs w:val="21"/>
                <w:highlight w:val="none"/>
              </w:rPr>
              <w:t>管线两端进行封堵后直埋于地下，不再挖出</w:t>
            </w:r>
            <w:r>
              <w:rPr>
                <w:rFonts w:hint="eastAsia" w:ascii="Times New Roman" w:hAnsi="Times New Roman" w:cs="Times New Roman" w:eastAsiaTheme="minorEastAsia"/>
                <w:caps w:val="0"/>
                <w:smallCaps w:val="0"/>
                <w:color w:val="auto"/>
                <w:spacing w:val="0"/>
                <w:w w:val="100"/>
                <w:kern w:val="2"/>
                <w:position w:val="0"/>
                <w:sz w:val="21"/>
                <w:szCs w:val="21"/>
                <w:highlight w:val="none"/>
              </w:rPr>
              <w:t>。</w:t>
            </w:r>
          </w:p>
        </w:tc>
        <w:tc>
          <w:tcPr>
            <w:tcW w:w="674" w:type="dxa"/>
            <w:vAlign w:val="center"/>
          </w:tcPr>
          <w:p w14:paraId="4404D5E3">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586E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527BF95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2A71DE2C">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防腐工程</w:t>
            </w:r>
          </w:p>
        </w:tc>
        <w:tc>
          <w:tcPr>
            <w:tcW w:w="5600" w:type="dxa"/>
            <w:vAlign w:val="center"/>
          </w:tcPr>
          <w:p w14:paraId="01FF573C">
            <w:pPr>
              <w:widowControl w:val="0"/>
              <w:spacing w:line="360" w:lineRule="exact"/>
              <w:ind w:firstLine="420" w:firstLineChars="200"/>
              <w:jc w:val="both"/>
              <w:rPr>
                <w:rFonts w:hint="eastAsia" w:ascii="Times New Roman" w:hAnsi="Times New Roman"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防腐采用</w:t>
            </w:r>
            <w:r>
              <w:rPr>
                <w:rFonts w:ascii="Times New Roman" w:hAnsi="Times New Roman" w:cs="Times New Roman"/>
                <w:bCs/>
                <w:caps w:val="0"/>
                <w:smallCaps w:val="0"/>
                <w:color w:val="auto"/>
                <w:spacing w:val="0"/>
                <w:w w:val="100"/>
                <w:position w:val="0"/>
                <w:sz w:val="21"/>
                <w:szCs w:val="21"/>
                <w:highlight w:val="none"/>
                <w:lang w:val="en-US" w:eastAsia="zh-CN"/>
              </w:rPr>
              <w:t>内缠聚乙烯胶带普通级防腐聚</w:t>
            </w:r>
            <w:r>
              <w:rPr>
                <w:rFonts w:hint="default" w:ascii="Times New Roman" w:hAnsi="Times New Roman" w:cs="Times New Roman"/>
                <w:bCs/>
                <w:caps w:val="0"/>
                <w:smallCaps w:val="0"/>
                <w:color w:val="auto"/>
                <w:spacing w:val="0"/>
                <w:w w:val="100"/>
                <w:position w:val="0"/>
                <w:sz w:val="21"/>
                <w:szCs w:val="21"/>
                <w:highlight w:val="none"/>
                <w:lang w:val="en-US" w:eastAsia="zh-CN"/>
              </w:rPr>
              <w:t>氨酯保温聚乙烯保护成品管</w:t>
            </w:r>
            <w:r>
              <w:rPr>
                <w:rFonts w:hint="eastAsia" w:ascii="Times New Roman" w:hAnsi="Times New Roman" w:cs="Times New Roman"/>
                <w:bCs/>
                <w:caps w:val="0"/>
                <w:smallCaps w:val="0"/>
                <w:color w:val="auto"/>
                <w:spacing w:val="0"/>
                <w:w w:val="100"/>
                <w:position w:val="0"/>
                <w:sz w:val="21"/>
                <w:szCs w:val="21"/>
                <w:highlight w:val="none"/>
                <w:lang w:val="en-US" w:eastAsia="zh-CN"/>
              </w:rPr>
              <w:t>，套管内外壁防腐采用环氧煤沥青涂料普通级，1底4面。</w:t>
            </w:r>
          </w:p>
          <w:p w14:paraId="2C35242C">
            <w:pPr>
              <w:widowControl w:val="0"/>
              <w:spacing w:line="36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lang w:val="en-US" w:eastAsia="zh-CN"/>
              </w:rPr>
              <w:t>防腐补口采用配套聚乙烯黏胶带。保温补口采用配套硬质聚氨酯管壳补口。保护层补口采用配套2PE交联聚乙烯热收缩带补口。 沥青防腐胶带补口采用无溶剂环氧底漆+沥青防腐胶带，加强级，胶带缠2遍。</w:t>
            </w:r>
          </w:p>
        </w:tc>
        <w:tc>
          <w:tcPr>
            <w:tcW w:w="674" w:type="dxa"/>
            <w:vAlign w:val="center"/>
          </w:tcPr>
          <w:p w14:paraId="392EC1A3">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新建</w:t>
            </w:r>
          </w:p>
        </w:tc>
      </w:tr>
      <w:tr w14:paraId="0E8A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2DA9F641">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6E5B0740">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阴极保护</w:t>
            </w:r>
          </w:p>
        </w:tc>
        <w:tc>
          <w:tcPr>
            <w:tcW w:w="5600" w:type="dxa"/>
            <w:vAlign w:val="center"/>
          </w:tcPr>
          <w:p w14:paraId="42744B8C">
            <w:pPr>
              <w:spacing w:line="320" w:lineRule="exact"/>
              <w:ind w:firstLine="420" w:firstLineChars="200"/>
              <w:jc w:val="both"/>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本项目新建管道依托区域现有阴极保护设施。</w:t>
            </w:r>
          </w:p>
        </w:tc>
        <w:tc>
          <w:tcPr>
            <w:tcW w:w="674" w:type="dxa"/>
            <w:vAlign w:val="center"/>
          </w:tcPr>
          <w:p w14:paraId="75516AA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依托现有</w:t>
            </w:r>
          </w:p>
        </w:tc>
      </w:tr>
      <w:tr w14:paraId="1858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76917BF9">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1ECF1623">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穿越工程</w:t>
            </w:r>
          </w:p>
        </w:tc>
        <w:tc>
          <w:tcPr>
            <w:tcW w:w="5600" w:type="dxa"/>
            <w:vAlign w:val="center"/>
          </w:tcPr>
          <w:p w14:paraId="228C5D6D">
            <w:pPr>
              <w:spacing w:line="320" w:lineRule="exact"/>
              <w:ind w:firstLine="420" w:firstLineChars="200"/>
              <w:jc w:val="both"/>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本项目管线施工涉及</w:t>
            </w: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公路</w:t>
            </w:r>
            <w:r>
              <w:rPr>
                <w:rFonts w:ascii="Times New Roman" w:hAnsi="Times New Roman" w:cs="Times New Roman" w:eastAsiaTheme="minorEastAsia"/>
                <w:bCs/>
                <w:caps w:val="0"/>
                <w:smallCaps w:val="0"/>
                <w:color w:val="auto"/>
                <w:spacing w:val="0"/>
                <w:w w:val="100"/>
                <w:kern w:val="2"/>
                <w:position w:val="0"/>
                <w:sz w:val="21"/>
                <w:szCs w:val="21"/>
                <w:highlight w:val="none"/>
              </w:rPr>
              <w:t>穿越</w:t>
            </w: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28</w:t>
            </w:r>
            <w:r>
              <w:rPr>
                <w:rFonts w:ascii="Times New Roman" w:hAnsi="Times New Roman" w:cs="Times New Roman" w:eastAsiaTheme="minorEastAsia"/>
                <w:bCs/>
                <w:caps w:val="0"/>
                <w:smallCaps w:val="0"/>
                <w:color w:val="auto"/>
                <w:spacing w:val="0"/>
                <w:w w:val="100"/>
                <w:kern w:val="2"/>
                <w:position w:val="0"/>
                <w:sz w:val="21"/>
                <w:szCs w:val="21"/>
                <w:highlight w:val="none"/>
              </w:rPr>
              <w:t>处，</w:t>
            </w: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其中24处</w:t>
            </w:r>
            <w:r>
              <w:rPr>
                <w:rFonts w:ascii="Times New Roman" w:hAnsi="Times New Roman" w:cs="Times New Roman" w:eastAsiaTheme="minorEastAsia"/>
                <w:bCs/>
                <w:caps w:val="0"/>
                <w:smallCaps w:val="0"/>
                <w:color w:val="auto"/>
                <w:spacing w:val="0"/>
                <w:w w:val="100"/>
                <w:kern w:val="2"/>
                <w:position w:val="0"/>
                <w:sz w:val="21"/>
                <w:szCs w:val="21"/>
                <w:highlight w:val="none"/>
              </w:rPr>
              <w:t>采用</w:t>
            </w: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定向钻穿越方式，4处采用钢开</w:t>
            </w:r>
            <w:r>
              <w:rPr>
                <w:rFonts w:ascii="Times New Roman" w:hAnsi="Times New Roman" w:cs="Times New Roman" w:eastAsiaTheme="minorEastAsia"/>
                <w:bCs/>
                <w:caps w:val="0"/>
                <w:smallCaps w:val="0"/>
                <w:color w:val="auto"/>
                <w:spacing w:val="0"/>
                <w:w w:val="100"/>
                <w:kern w:val="2"/>
                <w:position w:val="0"/>
                <w:sz w:val="21"/>
                <w:szCs w:val="21"/>
                <w:highlight w:val="none"/>
              </w:rPr>
              <w:t>穿越方式。</w:t>
            </w:r>
          </w:p>
        </w:tc>
        <w:tc>
          <w:tcPr>
            <w:tcW w:w="674" w:type="dxa"/>
            <w:vAlign w:val="center"/>
          </w:tcPr>
          <w:p w14:paraId="32CDDC31">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新建</w:t>
            </w:r>
          </w:p>
        </w:tc>
      </w:tr>
      <w:tr w14:paraId="0282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13F982F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公用工程</w:t>
            </w:r>
          </w:p>
        </w:tc>
        <w:tc>
          <w:tcPr>
            <w:tcW w:w="2147" w:type="dxa"/>
            <w:gridSpan w:val="3"/>
            <w:vAlign w:val="center"/>
          </w:tcPr>
          <w:p w14:paraId="6B5DB32B">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供水系统</w:t>
            </w:r>
          </w:p>
        </w:tc>
        <w:tc>
          <w:tcPr>
            <w:tcW w:w="5600" w:type="dxa"/>
            <w:vAlign w:val="center"/>
          </w:tcPr>
          <w:p w14:paraId="53760A03">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施工期生活用水采用桶装水，</w:t>
            </w:r>
            <w:r>
              <w:rPr>
                <w:rFonts w:hint="eastAsia" w:ascii="Times New Roman" w:hAnsi="Times New Roman" w:cs="Times New Roman" w:eastAsiaTheme="minorEastAsia"/>
                <w:caps w:val="0"/>
                <w:smallCaps w:val="0"/>
                <w:color w:val="auto"/>
                <w:spacing w:val="0"/>
                <w:w w:val="100"/>
                <w:kern w:val="2"/>
                <w:position w:val="0"/>
                <w:sz w:val="21"/>
                <w:szCs w:val="21"/>
                <w:highlight w:val="none"/>
              </w:rPr>
              <w:t>新建管线试压用水及</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废弃</w:t>
            </w:r>
            <w:r>
              <w:rPr>
                <w:rFonts w:hint="eastAsia" w:ascii="Times New Roman" w:hAnsi="Times New Roman" w:cs="Times New Roman" w:eastAsiaTheme="minorEastAsia"/>
                <w:caps w:val="0"/>
                <w:smallCaps w:val="0"/>
                <w:color w:val="auto"/>
                <w:spacing w:val="0"/>
                <w:w w:val="100"/>
                <w:kern w:val="2"/>
                <w:position w:val="0"/>
                <w:sz w:val="21"/>
                <w:szCs w:val="21"/>
                <w:highlight w:val="none"/>
              </w:rPr>
              <w:t>管线清洗用水</w:t>
            </w:r>
            <w:r>
              <w:rPr>
                <w:rFonts w:ascii="Times New Roman" w:hAnsi="Times New Roman" w:cs="Times New Roman" w:eastAsiaTheme="minorEastAsia"/>
                <w:caps w:val="0"/>
                <w:smallCaps w:val="0"/>
                <w:color w:val="auto"/>
                <w:spacing w:val="0"/>
                <w:w w:val="100"/>
                <w:kern w:val="2"/>
                <w:position w:val="0"/>
                <w:sz w:val="21"/>
                <w:szCs w:val="21"/>
                <w:highlight w:val="none"/>
              </w:rPr>
              <w:t>由水罐车拉运至施工现场。运营期不新增劳动定员，不新增生活用水。</w:t>
            </w:r>
          </w:p>
        </w:tc>
        <w:tc>
          <w:tcPr>
            <w:tcW w:w="674" w:type="dxa"/>
            <w:vAlign w:val="center"/>
          </w:tcPr>
          <w:p w14:paraId="6871C087">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5B6E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0B999691">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3CED33C1">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排水系统</w:t>
            </w:r>
          </w:p>
        </w:tc>
        <w:tc>
          <w:tcPr>
            <w:tcW w:w="5600" w:type="dxa"/>
            <w:vAlign w:val="center"/>
          </w:tcPr>
          <w:p w14:paraId="3E190501">
            <w:pPr>
              <w:spacing w:line="320" w:lineRule="exact"/>
              <w:ind w:firstLine="420" w:firstLineChars="200"/>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施工人员产生的生活污水排入附近</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阀组</w:t>
            </w:r>
            <w:r>
              <w:rPr>
                <w:rFonts w:ascii="Times New Roman" w:hAnsi="Times New Roman" w:cs="Times New Roman" w:eastAsiaTheme="minorEastAsia"/>
                <w:caps w:val="0"/>
                <w:smallCaps w:val="0"/>
                <w:color w:val="auto"/>
                <w:spacing w:val="0"/>
                <w:w w:val="100"/>
                <w:position w:val="0"/>
                <w:sz w:val="21"/>
                <w:szCs w:val="21"/>
                <w:highlight w:val="none"/>
              </w:rPr>
              <w:t>间或场站内已建防渗旱厕，</w:t>
            </w:r>
            <w:r>
              <w:rPr>
                <w:rFonts w:ascii="Times New Roman" w:hAnsi="Times New Roman" w:cs="Times New Roman"/>
                <w:caps w:val="0"/>
                <w:smallCaps w:val="0"/>
                <w:color w:val="auto"/>
                <w:spacing w:val="0"/>
                <w:w w:val="100"/>
                <w:position w:val="0"/>
                <w:sz w:val="21"/>
                <w:szCs w:val="21"/>
                <w:highlight w:val="none"/>
              </w:rPr>
              <w:t>定期</w:t>
            </w:r>
            <w:r>
              <w:rPr>
                <w:rFonts w:hint="eastAsia" w:ascii="Times New Roman" w:hAnsi="Times New Roman" w:cs="Times New Roman"/>
                <w:caps w:val="0"/>
                <w:smallCaps w:val="0"/>
                <w:color w:val="auto"/>
                <w:spacing w:val="0"/>
                <w:w w:val="100"/>
                <w:position w:val="0"/>
                <w:sz w:val="21"/>
                <w:szCs w:val="21"/>
                <w:highlight w:val="none"/>
                <w:lang w:eastAsia="zh-CN"/>
              </w:rPr>
              <w:t>由安达市同昌油田工程有限公司拉运至大庆市净源环保科技有限公司进行处理</w:t>
            </w:r>
            <w:r>
              <w:rPr>
                <w:rFonts w:ascii="Times New Roman" w:hAnsi="Times New Roman" w:cs="Times New Roman" w:eastAsiaTheme="minorEastAsia"/>
                <w:caps w:val="0"/>
                <w:smallCaps w:val="0"/>
                <w:color w:val="auto"/>
                <w:spacing w:val="0"/>
                <w:w w:val="100"/>
                <w:position w:val="0"/>
                <w:sz w:val="21"/>
                <w:szCs w:val="21"/>
                <w:highlight w:val="none"/>
              </w:rPr>
              <w:t>。</w:t>
            </w:r>
          </w:p>
          <w:p w14:paraId="0ED28749">
            <w:pPr>
              <w:spacing w:line="320" w:lineRule="exact"/>
              <w:ind w:firstLine="420" w:firstLineChars="200"/>
              <w:jc w:val="both"/>
              <w:rPr>
                <w:rFonts w:ascii="Times New Roman" w:hAnsi="Times New Roman" w:cs="Times New Roman"/>
                <w:bCs/>
                <w:caps w:val="0"/>
                <w:smallCaps w:val="0"/>
                <w:color w:val="auto"/>
                <w:spacing w:val="0"/>
                <w:w w:val="100"/>
                <w:kern w:val="2"/>
                <w:position w:val="0"/>
                <w:sz w:val="21"/>
                <w:szCs w:val="21"/>
                <w:highlight w:val="none"/>
              </w:rPr>
            </w:pPr>
            <w:r>
              <w:rPr>
                <w:rFonts w:hint="eastAsia" w:ascii="Times New Roman" w:hAnsi="Times New Roman" w:cs="Times New Roman"/>
                <w:bCs/>
                <w:caps w:val="0"/>
                <w:smallCaps w:val="0"/>
                <w:color w:val="auto"/>
                <w:spacing w:val="0"/>
                <w:w w:val="100"/>
                <w:kern w:val="2"/>
                <w:position w:val="0"/>
                <w:sz w:val="21"/>
                <w:szCs w:val="21"/>
                <w:highlight w:val="none"/>
              </w:rPr>
              <w:t>新建管线试压废水及</w:t>
            </w:r>
            <w:r>
              <w:rPr>
                <w:rFonts w:hint="eastAsia" w:ascii="Times New Roman" w:hAnsi="Times New Roman" w:cs="Times New Roman"/>
                <w:bCs/>
                <w:caps w:val="0"/>
                <w:smallCaps w:val="0"/>
                <w:color w:val="auto"/>
                <w:spacing w:val="0"/>
                <w:w w:val="100"/>
                <w:kern w:val="2"/>
                <w:position w:val="0"/>
                <w:sz w:val="21"/>
                <w:szCs w:val="21"/>
                <w:highlight w:val="none"/>
                <w:lang w:val="en-US" w:eastAsia="zh-CN"/>
              </w:rPr>
              <w:t>废弃</w:t>
            </w:r>
            <w:r>
              <w:rPr>
                <w:rFonts w:hint="eastAsia" w:ascii="Times New Roman" w:hAnsi="Times New Roman" w:cs="Times New Roman"/>
                <w:bCs/>
                <w:caps w:val="0"/>
                <w:smallCaps w:val="0"/>
                <w:color w:val="auto"/>
                <w:spacing w:val="0"/>
                <w:w w:val="100"/>
                <w:kern w:val="2"/>
                <w:position w:val="0"/>
                <w:sz w:val="21"/>
                <w:szCs w:val="21"/>
                <w:highlight w:val="none"/>
              </w:rPr>
              <w:t>管线清洗废水</w:t>
            </w:r>
            <w:r>
              <w:rPr>
                <w:rFonts w:ascii="Times New Roman" w:hAnsi="Times New Roman" w:cs="Times New Roman"/>
                <w:bCs/>
                <w:caps w:val="0"/>
                <w:smallCaps w:val="0"/>
                <w:color w:val="auto"/>
                <w:spacing w:val="0"/>
                <w:w w:val="100"/>
                <w:kern w:val="2"/>
                <w:position w:val="0"/>
                <w:sz w:val="21"/>
                <w:szCs w:val="21"/>
                <w:highlight w:val="none"/>
              </w:rPr>
              <w:t>管输至</w:t>
            </w:r>
            <w:r>
              <w:rPr>
                <w:rFonts w:hint="eastAsia" w:ascii="Times New Roman" w:hAnsi="Times New Roman" w:cs="Times New Roman"/>
                <w:bCs/>
                <w:caps w:val="0"/>
                <w:smallCaps w:val="0"/>
                <w:color w:val="auto"/>
                <w:spacing w:val="0"/>
                <w:w w:val="100"/>
                <w:kern w:val="2"/>
                <w:position w:val="0"/>
                <w:sz w:val="21"/>
                <w:szCs w:val="21"/>
                <w:highlight w:val="none"/>
                <w:lang w:val="en-US" w:eastAsia="zh-CN"/>
              </w:rPr>
              <w:t>卫一联含油污水深度处理站</w:t>
            </w:r>
            <w:r>
              <w:rPr>
                <w:rFonts w:ascii="Times New Roman" w:hAnsi="Times New Roman" w:cs="Times New Roman"/>
                <w:bCs/>
                <w:caps w:val="0"/>
                <w:smallCaps w:val="0"/>
                <w:color w:val="auto"/>
                <w:spacing w:val="0"/>
                <w:w w:val="100"/>
                <w:kern w:val="2"/>
                <w:position w:val="0"/>
                <w:sz w:val="21"/>
                <w:szCs w:val="21"/>
                <w:highlight w:val="none"/>
              </w:rPr>
              <w:t>处理满足《大庆油田地面工程建设设计规定》（Q/SYDQ0639-2015）及《碎屑岩油藏注水水质指标技术要求及分析方法》（SY/T5329-2022）限值要求后回注油层，不外排。</w:t>
            </w:r>
          </w:p>
          <w:p w14:paraId="5E5934ED">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运营期不新增劳动定员，不新增生活污水。</w:t>
            </w:r>
          </w:p>
        </w:tc>
        <w:tc>
          <w:tcPr>
            <w:tcW w:w="674" w:type="dxa"/>
            <w:vAlign w:val="center"/>
          </w:tcPr>
          <w:p w14:paraId="12133C7B">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6750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639" w:type="dxa"/>
            <w:vMerge w:val="continue"/>
            <w:vAlign w:val="center"/>
          </w:tcPr>
          <w:p w14:paraId="0C587913">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69B4A1D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供热系统</w:t>
            </w:r>
          </w:p>
        </w:tc>
        <w:tc>
          <w:tcPr>
            <w:tcW w:w="5600" w:type="dxa"/>
            <w:vAlign w:val="center"/>
          </w:tcPr>
          <w:p w14:paraId="66FBABC8">
            <w:pPr>
              <w:spacing w:line="320" w:lineRule="exact"/>
              <w:ind w:firstLine="420" w:firstLineChars="200"/>
              <w:jc w:val="both"/>
              <w:rPr>
                <w:rFonts w:ascii="Times New Roman" w:hAnsi="Times New Roman" w:cs="Times New Roman" w:eastAsiaTheme="minorEastAsia"/>
                <w:caps w:val="0"/>
                <w:smallCaps w:val="0"/>
                <w:color w:val="auto"/>
                <w:spacing w:val="0"/>
                <w:w w:val="100"/>
                <w:position w:val="0"/>
                <w:sz w:val="21"/>
                <w:szCs w:val="21"/>
                <w:highlight w:val="none"/>
              </w:rPr>
            </w:pPr>
            <w:bookmarkStart w:id="420" w:name="OLE_LINK16"/>
            <w:bookmarkStart w:id="421" w:name="OLE_LINK18"/>
            <w:r>
              <w:rPr>
                <w:rFonts w:ascii="Times New Roman" w:hAnsi="Times New Roman" w:cs="Times New Roman" w:eastAsiaTheme="minorEastAsia"/>
                <w:caps w:val="0"/>
                <w:smallCaps w:val="0"/>
                <w:color w:val="auto"/>
                <w:spacing w:val="0"/>
                <w:w w:val="100"/>
                <w:position w:val="0"/>
                <w:sz w:val="21"/>
                <w:szCs w:val="21"/>
                <w:highlight w:val="none"/>
              </w:rPr>
              <w:t>本项目施工不设施工营地，不需供暖；</w:t>
            </w:r>
            <w:r>
              <w:rPr>
                <w:rFonts w:ascii="Times New Roman" w:hAnsi="Times New Roman" w:cs="Times New Roman"/>
                <w:caps w:val="0"/>
                <w:smallCaps w:val="0"/>
                <w:color w:val="auto"/>
                <w:spacing w:val="0"/>
                <w:w w:val="100"/>
                <w:position w:val="0"/>
                <w:sz w:val="21"/>
                <w:szCs w:val="21"/>
                <w:highlight w:val="none"/>
              </w:rPr>
              <w:t>运营期依托场站采用现有供暖方式</w:t>
            </w:r>
            <w:r>
              <w:rPr>
                <w:rFonts w:ascii="Times New Roman" w:hAnsi="Times New Roman" w:cs="Times New Roman" w:eastAsiaTheme="minorEastAsia"/>
                <w:caps w:val="0"/>
                <w:smallCaps w:val="0"/>
                <w:color w:val="auto"/>
                <w:spacing w:val="0"/>
                <w:w w:val="100"/>
                <w:position w:val="0"/>
                <w:sz w:val="21"/>
                <w:szCs w:val="21"/>
                <w:highlight w:val="none"/>
              </w:rPr>
              <w:t>。</w:t>
            </w:r>
            <w:bookmarkEnd w:id="420"/>
            <w:bookmarkEnd w:id="421"/>
          </w:p>
        </w:tc>
        <w:tc>
          <w:tcPr>
            <w:tcW w:w="674" w:type="dxa"/>
            <w:vAlign w:val="center"/>
          </w:tcPr>
          <w:p w14:paraId="6B474D77">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0CAE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12B5607B">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688D4EB9">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供电系统</w:t>
            </w:r>
          </w:p>
        </w:tc>
        <w:tc>
          <w:tcPr>
            <w:tcW w:w="5600" w:type="dxa"/>
            <w:vAlign w:val="center"/>
          </w:tcPr>
          <w:p w14:paraId="5EEC496A">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本项目施工期用电依托</w:t>
            </w:r>
            <w:r>
              <w:rPr>
                <w:rFonts w:hint="eastAsia" w:ascii="Times New Roman" w:hAnsi="Times New Roman" w:cs="Times New Roman" w:eastAsiaTheme="minorEastAsia"/>
                <w:caps w:val="0"/>
                <w:smallCaps w:val="0"/>
                <w:color w:val="auto"/>
                <w:spacing w:val="0"/>
                <w:w w:val="100"/>
                <w:kern w:val="2"/>
                <w:position w:val="0"/>
                <w:sz w:val="21"/>
                <w:szCs w:val="21"/>
                <w:highlight w:val="none"/>
              </w:rPr>
              <w:t>已建油田供电线路</w:t>
            </w:r>
            <w:r>
              <w:rPr>
                <w:rFonts w:ascii="Times New Roman" w:hAnsi="Times New Roman" w:cs="Times New Roman" w:eastAsiaTheme="minorEastAsia"/>
                <w:caps w:val="0"/>
                <w:smallCaps w:val="0"/>
                <w:color w:val="auto"/>
                <w:spacing w:val="0"/>
                <w:w w:val="100"/>
                <w:kern w:val="2"/>
                <w:position w:val="0"/>
                <w:sz w:val="21"/>
                <w:szCs w:val="21"/>
                <w:highlight w:val="none"/>
              </w:rPr>
              <w:t>。本项目运营期无需用电。</w:t>
            </w:r>
          </w:p>
        </w:tc>
        <w:tc>
          <w:tcPr>
            <w:tcW w:w="674" w:type="dxa"/>
            <w:vAlign w:val="center"/>
          </w:tcPr>
          <w:p w14:paraId="2FEA96FB">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依托</w:t>
            </w:r>
          </w:p>
        </w:tc>
      </w:tr>
      <w:tr w14:paraId="58D0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3A19C0B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环保工程</w:t>
            </w:r>
          </w:p>
        </w:tc>
        <w:tc>
          <w:tcPr>
            <w:tcW w:w="590" w:type="dxa"/>
            <w:vMerge w:val="restart"/>
            <w:vAlign w:val="center"/>
          </w:tcPr>
          <w:p w14:paraId="13443CE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施工期</w:t>
            </w:r>
          </w:p>
        </w:tc>
        <w:tc>
          <w:tcPr>
            <w:tcW w:w="1557" w:type="dxa"/>
            <w:gridSpan w:val="2"/>
            <w:vAlign w:val="center"/>
          </w:tcPr>
          <w:p w14:paraId="3996D08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废气处理工程</w:t>
            </w:r>
          </w:p>
        </w:tc>
        <w:tc>
          <w:tcPr>
            <w:tcW w:w="5600" w:type="dxa"/>
            <w:vAlign w:val="center"/>
          </w:tcPr>
          <w:p w14:paraId="2CEFD27C">
            <w:pPr>
              <w:spacing w:line="32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对施工场地采取洒水抑尘，对易起尘的临时土方等加盖苫布，</w:t>
            </w:r>
            <w:r>
              <w:rPr>
                <w:rFonts w:ascii="Times New Roman" w:hAnsi="Times New Roman" w:cs="Times New Roman"/>
                <w:bCs/>
                <w:caps w:val="0"/>
                <w:smallCaps w:val="0"/>
                <w:color w:val="auto"/>
                <w:spacing w:val="0"/>
                <w:w w:val="100"/>
                <w:position w:val="0"/>
                <w:sz w:val="21"/>
                <w:szCs w:val="21"/>
                <w:highlight w:val="none"/>
              </w:rPr>
              <w:t>施工运输车辆采取密闭措施或加盖苫布，</w:t>
            </w:r>
            <w:r>
              <w:rPr>
                <w:rFonts w:ascii="Times New Roman" w:hAnsi="Times New Roman" w:cs="Times New Roman"/>
                <w:caps w:val="0"/>
                <w:smallCaps w:val="0"/>
                <w:color w:val="auto"/>
                <w:spacing w:val="0"/>
                <w:w w:val="100"/>
                <w:position w:val="0"/>
                <w:sz w:val="21"/>
                <w:szCs w:val="21"/>
                <w:highlight w:val="none"/>
              </w:rPr>
              <w:t>加强施工管理。</w:t>
            </w:r>
          </w:p>
        </w:tc>
        <w:tc>
          <w:tcPr>
            <w:tcW w:w="674" w:type="dxa"/>
            <w:vAlign w:val="center"/>
          </w:tcPr>
          <w:p w14:paraId="2E327E81">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新建</w:t>
            </w:r>
          </w:p>
        </w:tc>
      </w:tr>
      <w:tr w14:paraId="0E2E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766BC9A">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4BB8235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Merge w:val="restart"/>
            <w:vAlign w:val="center"/>
          </w:tcPr>
          <w:p w14:paraId="5A0B1050">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废水处理工程</w:t>
            </w:r>
          </w:p>
        </w:tc>
        <w:tc>
          <w:tcPr>
            <w:tcW w:w="5600" w:type="dxa"/>
            <w:vAlign w:val="center"/>
          </w:tcPr>
          <w:p w14:paraId="7FDF4791">
            <w:pPr>
              <w:spacing w:line="32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施工人员产生的生活污水排入</w:t>
            </w:r>
            <w:r>
              <w:rPr>
                <w:rFonts w:hint="eastAsia" w:ascii="Times New Roman" w:hAnsi="Times New Roman" w:cs="Times New Roman"/>
                <w:caps w:val="0"/>
                <w:smallCaps w:val="0"/>
                <w:color w:val="auto"/>
                <w:spacing w:val="0"/>
                <w:w w:val="100"/>
                <w:position w:val="0"/>
                <w:sz w:val="21"/>
                <w:szCs w:val="21"/>
                <w:highlight w:val="none"/>
                <w:lang w:val="en-US" w:eastAsia="zh-CN"/>
              </w:rPr>
              <w:t>附近集油阀组间防渗旱厕，定期由安达市同昌油田工程有限公司拉运至大庆市净源环保科技有限公司进行处理。</w:t>
            </w:r>
          </w:p>
        </w:tc>
        <w:tc>
          <w:tcPr>
            <w:tcW w:w="674" w:type="dxa"/>
            <w:vAlign w:val="center"/>
          </w:tcPr>
          <w:p w14:paraId="4DCFC57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4769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15F88B6">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0D5DCB42">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1557" w:type="dxa"/>
            <w:gridSpan w:val="2"/>
            <w:vMerge w:val="continue"/>
            <w:vAlign w:val="center"/>
          </w:tcPr>
          <w:p w14:paraId="5BE6A055">
            <w:pPr>
              <w:spacing w:line="34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5600" w:type="dxa"/>
            <w:vAlign w:val="center"/>
          </w:tcPr>
          <w:p w14:paraId="0BFE2193">
            <w:pPr>
              <w:spacing w:line="32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bookmarkStart w:id="422" w:name="OLE_LINK15"/>
            <w:bookmarkStart w:id="423" w:name="OLE_LINK14"/>
            <w:r>
              <w:rPr>
                <w:rFonts w:hint="eastAsia" w:ascii="Times New Roman" w:hAnsi="Times New Roman" w:cs="Times New Roman"/>
                <w:bCs/>
                <w:caps w:val="0"/>
                <w:smallCaps w:val="0"/>
                <w:color w:val="auto"/>
                <w:spacing w:val="0"/>
                <w:w w:val="100"/>
                <w:position w:val="0"/>
                <w:sz w:val="21"/>
                <w:szCs w:val="21"/>
                <w:highlight w:val="none"/>
              </w:rPr>
              <w:t>新建管线试压废水及</w:t>
            </w:r>
            <w:r>
              <w:rPr>
                <w:rFonts w:hint="eastAsia" w:ascii="Times New Roman" w:hAnsi="Times New Roman" w:cs="Times New Roman"/>
                <w:bCs/>
                <w:caps w:val="0"/>
                <w:smallCaps w:val="0"/>
                <w:color w:val="auto"/>
                <w:spacing w:val="0"/>
                <w:w w:val="100"/>
                <w:position w:val="0"/>
                <w:sz w:val="21"/>
                <w:szCs w:val="21"/>
                <w:highlight w:val="none"/>
                <w:lang w:val="en-US" w:eastAsia="zh-CN"/>
              </w:rPr>
              <w:t>废弃</w:t>
            </w:r>
            <w:r>
              <w:rPr>
                <w:rFonts w:hint="eastAsia" w:ascii="Times New Roman" w:hAnsi="Times New Roman" w:cs="Times New Roman"/>
                <w:bCs/>
                <w:caps w:val="0"/>
                <w:smallCaps w:val="0"/>
                <w:color w:val="auto"/>
                <w:spacing w:val="0"/>
                <w:w w:val="100"/>
                <w:position w:val="0"/>
                <w:sz w:val="21"/>
                <w:szCs w:val="21"/>
                <w:highlight w:val="none"/>
              </w:rPr>
              <w:t>管线清洗废水</w:t>
            </w:r>
            <w:r>
              <w:rPr>
                <w:rFonts w:ascii="Times New Roman" w:hAnsi="Times New Roman" w:cs="Times New Roman"/>
                <w:bCs/>
                <w:caps w:val="0"/>
                <w:smallCaps w:val="0"/>
                <w:color w:val="auto"/>
                <w:spacing w:val="0"/>
                <w:w w:val="100"/>
                <w:position w:val="0"/>
                <w:sz w:val="21"/>
                <w:szCs w:val="21"/>
                <w:highlight w:val="none"/>
              </w:rPr>
              <w:t>管输至</w:t>
            </w:r>
            <w:r>
              <w:rPr>
                <w:rFonts w:hint="eastAsia" w:ascii="Times New Roman" w:hAnsi="Times New Roman" w:cs="Times New Roman"/>
                <w:bCs/>
                <w:caps w:val="0"/>
                <w:smallCaps w:val="0"/>
                <w:color w:val="auto"/>
                <w:spacing w:val="0"/>
                <w:w w:val="100"/>
                <w:position w:val="0"/>
                <w:sz w:val="21"/>
                <w:szCs w:val="21"/>
                <w:highlight w:val="none"/>
                <w:lang w:val="en-US" w:eastAsia="zh-CN"/>
              </w:rPr>
              <w:t>卫一联含油污水深度处理站</w:t>
            </w:r>
            <w:r>
              <w:rPr>
                <w:rFonts w:ascii="Times New Roman" w:hAnsi="Times New Roman" w:cs="Times New Roman"/>
                <w:bCs/>
                <w:caps w:val="0"/>
                <w:smallCaps w:val="0"/>
                <w:color w:val="auto"/>
                <w:spacing w:val="0"/>
                <w:w w:val="100"/>
                <w:position w:val="0"/>
                <w:sz w:val="21"/>
                <w:szCs w:val="21"/>
                <w:highlight w:val="none"/>
              </w:rPr>
              <w:t>处理满足《大庆油田地面工程建设设计规定》（Q/SYDQ0639-2015）及《碎屑岩油藏注水水质指标技术要求及分析方法》（SY/T5329-2022）限值要求后回注油层，不外排。</w:t>
            </w:r>
            <w:bookmarkEnd w:id="422"/>
            <w:bookmarkEnd w:id="423"/>
          </w:p>
        </w:tc>
        <w:tc>
          <w:tcPr>
            <w:tcW w:w="674" w:type="dxa"/>
            <w:vAlign w:val="center"/>
          </w:tcPr>
          <w:p w14:paraId="3CD20851">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1927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1EA57F4C">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6DC48E8F">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Align w:val="center"/>
          </w:tcPr>
          <w:p w14:paraId="000CBF97">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噪声防治工程</w:t>
            </w:r>
          </w:p>
        </w:tc>
        <w:tc>
          <w:tcPr>
            <w:tcW w:w="5600" w:type="dxa"/>
            <w:vAlign w:val="center"/>
          </w:tcPr>
          <w:p w14:paraId="450E0C6E">
            <w:pPr>
              <w:spacing w:line="320" w:lineRule="exact"/>
              <w:ind w:firstLine="420" w:firstLineChars="200"/>
              <w:jc w:val="both"/>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施工期合理安排施工进度，合理布置施工现场，施工期选用低噪声设备，定期对施工设备进行保养维护，保证设备保持在最佳运行状态，降低噪声源强度。运输车辆选择避开居民区的路线，临近居民区应减少汽车鸣笛的次数，减速慢行。</w:t>
            </w:r>
          </w:p>
        </w:tc>
        <w:tc>
          <w:tcPr>
            <w:tcW w:w="674" w:type="dxa"/>
            <w:vAlign w:val="center"/>
          </w:tcPr>
          <w:p w14:paraId="5BA0422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2CC7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60FB9A8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10D06187">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Merge w:val="restart"/>
            <w:vAlign w:val="center"/>
          </w:tcPr>
          <w:p w14:paraId="75B6B599">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固体废物收集及处理处置工程</w:t>
            </w:r>
          </w:p>
        </w:tc>
        <w:tc>
          <w:tcPr>
            <w:tcW w:w="5600" w:type="dxa"/>
            <w:vAlign w:val="center"/>
          </w:tcPr>
          <w:p w14:paraId="3DE247F1">
            <w:pPr>
              <w:spacing w:line="32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施工期产生的施工废料</w:t>
            </w:r>
            <w:r>
              <w:rPr>
                <w:rFonts w:ascii="Times New Roman" w:hAnsi="Times New Roman" w:cs="Times New Roman"/>
                <w:bCs/>
                <w:caps w:val="0"/>
                <w:smallCaps w:val="0"/>
                <w:color w:val="auto"/>
                <w:spacing w:val="0"/>
                <w:w w:val="100"/>
                <w:kern w:val="21"/>
                <w:position w:val="0"/>
                <w:sz w:val="21"/>
                <w:szCs w:val="21"/>
                <w:highlight w:val="none"/>
              </w:rPr>
              <w:t>属于一般固体废物，统一收集后由施工单位拉运至第</w:t>
            </w:r>
            <w:r>
              <w:rPr>
                <w:rFonts w:hint="eastAsia" w:ascii="Times New Roman" w:hAnsi="Times New Roman" w:cs="Times New Roman"/>
                <w:bCs/>
                <w:caps w:val="0"/>
                <w:smallCaps w:val="0"/>
                <w:color w:val="auto"/>
                <w:spacing w:val="0"/>
                <w:w w:val="100"/>
                <w:kern w:val="21"/>
                <w:position w:val="0"/>
                <w:sz w:val="21"/>
                <w:szCs w:val="21"/>
                <w:highlight w:val="none"/>
                <w:lang w:val="en-US" w:eastAsia="zh-CN"/>
              </w:rPr>
              <w:t>八</w:t>
            </w:r>
            <w:r>
              <w:rPr>
                <w:rFonts w:ascii="Times New Roman" w:hAnsi="Times New Roman" w:cs="Times New Roman"/>
                <w:bCs/>
                <w:caps w:val="0"/>
                <w:smallCaps w:val="0"/>
                <w:color w:val="auto"/>
                <w:spacing w:val="0"/>
                <w:w w:val="100"/>
                <w:kern w:val="21"/>
                <w:position w:val="0"/>
                <w:sz w:val="21"/>
                <w:szCs w:val="21"/>
                <w:highlight w:val="none"/>
              </w:rPr>
              <w:t>采油厂工业固废填埋场处理。</w:t>
            </w:r>
          </w:p>
        </w:tc>
        <w:tc>
          <w:tcPr>
            <w:tcW w:w="674" w:type="dxa"/>
            <w:vAlign w:val="center"/>
          </w:tcPr>
          <w:p w14:paraId="385DFEF5">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2EA6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0D53601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099541C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Merge w:val="continue"/>
            <w:vAlign w:val="center"/>
          </w:tcPr>
          <w:p w14:paraId="6AC5E11C">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600" w:type="dxa"/>
            <w:vAlign w:val="center"/>
          </w:tcPr>
          <w:p w14:paraId="4822A2C5">
            <w:pPr>
              <w:spacing w:line="32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本项目施工期管道定向钻施工产生的穿越工程废弃泥浆经防渗泥浆池（5m×3m×2m）沉降后，上清液回收洒水降尘、固体部分用于井排路护坡。</w:t>
            </w:r>
          </w:p>
        </w:tc>
        <w:tc>
          <w:tcPr>
            <w:tcW w:w="674" w:type="dxa"/>
            <w:vAlign w:val="center"/>
          </w:tcPr>
          <w:p w14:paraId="45552E8F">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73EA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0EDE8A8F">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208949C4">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Merge w:val="continue"/>
            <w:vAlign w:val="center"/>
          </w:tcPr>
          <w:p w14:paraId="6D36E84F">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600" w:type="dxa"/>
            <w:vAlign w:val="center"/>
          </w:tcPr>
          <w:p w14:paraId="754640D4">
            <w:pPr>
              <w:spacing w:line="320" w:lineRule="exact"/>
              <w:ind w:firstLine="420" w:firstLineChars="200"/>
              <w:jc w:val="both"/>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kern w:val="21"/>
                <w:position w:val="0"/>
                <w:sz w:val="21"/>
                <w:szCs w:val="21"/>
                <w:highlight w:val="none"/>
              </w:rPr>
              <w:t>施工期生活垃圾</w:t>
            </w:r>
            <w:r>
              <w:rPr>
                <w:rFonts w:hint="eastAsia" w:ascii="Times New Roman" w:hAnsi="Times New Roman" w:cs="Times New Roman"/>
                <w:bCs/>
                <w:caps w:val="0"/>
                <w:smallCaps w:val="0"/>
                <w:color w:val="auto"/>
                <w:spacing w:val="0"/>
                <w:w w:val="100"/>
                <w:kern w:val="21"/>
                <w:position w:val="0"/>
                <w:sz w:val="21"/>
                <w:szCs w:val="21"/>
                <w:highlight w:val="none"/>
                <w:lang w:val="en-US" w:eastAsia="zh-CN"/>
              </w:rPr>
              <w:t>统一收集后拉运至就近村屯生活垃圾回收点，定期由当地环卫部门清运至安达市生活垃圾填埋场处理</w:t>
            </w:r>
            <w:r>
              <w:rPr>
                <w:rFonts w:ascii="Times New Roman" w:hAnsi="Times New Roman" w:cs="Times New Roman"/>
                <w:bCs/>
                <w:caps w:val="0"/>
                <w:smallCaps w:val="0"/>
                <w:color w:val="auto"/>
                <w:spacing w:val="0"/>
                <w:w w:val="100"/>
                <w:kern w:val="21"/>
                <w:position w:val="0"/>
                <w:sz w:val="21"/>
                <w:szCs w:val="21"/>
                <w:highlight w:val="none"/>
              </w:rPr>
              <w:t>。</w:t>
            </w:r>
          </w:p>
        </w:tc>
        <w:tc>
          <w:tcPr>
            <w:tcW w:w="674" w:type="dxa"/>
            <w:vAlign w:val="center"/>
          </w:tcPr>
          <w:p w14:paraId="6ABD162F">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4441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1370375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5FEA2ADA">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运营期</w:t>
            </w:r>
          </w:p>
        </w:tc>
        <w:tc>
          <w:tcPr>
            <w:tcW w:w="5600" w:type="dxa"/>
            <w:vAlign w:val="center"/>
          </w:tcPr>
          <w:p w14:paraId="1002A8F7">
            <w:pPr>
              <w:spacing w:line="320" w:lineRule="exact"/>
              <w:ind w:firstLine="420" w:firstLineChars="200"/>
              <w:jc w:val="both"/>
              <w:rPr>
                <w:rFonts w:ascii="Times New Roman" w:hAnsi="Times New Roman" w:cs="Times New Roman"/>
                <w:bCs/>
                <w:caps w:val="0"/>
                <w:smallCaps w:val="0"/>
                <w:color w:val="auto"/>
                <w:spacing w:val="0"/>
                <w:w w:val="100"/>
                <w:kern w:val="21"/>
                <w:position w:val="0"/>
                <w:sz w:val="21"/>
                <w:szCs w:val="21"/>
                <w:highlight w:val="none"/>
              </w:rPr>
            </w:pPr>
            <w:r>
              <w:rPr>
                <w:rFonts w:ascii="Times New Roman" w:hAnsi="Times New Roman" w:cs="Times New Roman"/>
                <w:bCs/>
                <w:caps w:val="0"/>
                <w:smallCaps w:val="0"/>
                <w:color w:val="auto"/>
                <w:spacing w:val="0"/>
                <w:w w:val="100"/>
                <w:kern w:val="21"/>
                <w:position w:val="0"/>
                <w:sz w:val="21"/>
                <w:szCs w:val="21"/>
                <w:highlight w:val="none"/>
              </w:rPr>
              <w:t>运营期不新增废气、废水、噪声排放，不新增固废的产生。</w:t>
            </w:r>
          </w:p>
        </w:tc>
        <w:tc>
          <w:tcPr>
            <w:tcW w:w="674" w:type="dxa"/>
            <w:vAlign w:val="center"/>
          </w:tcPr>
          <w:p w14:paraId="7148AA9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2B93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E80409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restart"/>
            <w:vAlign w:val="center"/>
          </w:tcPr>
          <w:p w14:paraId="423841E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退役期</w:t>
            </w:r>
          </w:p>
        </w:tc>
        <w:tc>
          <w:tcPr>
            <w:tcW w:w="1557" w:type="dxa"/>
            <w:gridSpan w:val="2"/>
            <w:vAlign w:val="center"/>
          </w:tcPr>
          <w:p w14:paraId="788B7B51">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废气处理工程</w:t>
            </w:r>
          </w:p>
        </w:tc>
        <w:tc>
          <w:tcPr>
            <w:tcW w:w="5600" w:type="dxa"/>
            <w:vAlign w:val="center"/>
          </w:tcPr>
          <w:p w14:paraId="7DE76A9D">
            <w:pPr>
              <w:spacing w:line="320" w:lineRule="exact"/>
              <w:ind w:firstLine="420" w:firstLineChars="200"/>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施工扬尘采取运输道路及施工场地定时洒水抑尘，</w:t>
            </w:r>
            <w:r>
              <w:rPr>
                <w:rFonts w:ascii="Times New Roman" w:hAnsi="Times New Roman" w:cs="Times New Roman"/>
                <w:bCs/>
                <w:caps w:val="0"/>
                <w:smallCaps w:val="0"/>
                <w:color w:val="auto"/>
                <w:spacing w:val="0"/>
                <w:w w:val="100"/>
                <w:position w:val="0"/>
                <w:sz w:val="21"/>
                <w:szCs w:val="21"/>
                <w:highlight w:val="none"/>
              </w:rPr>
              <w:t>运输</w:t>
            </w:r>
            <w:r>
              <w:rPr>
                <w:rFonts w:ascii="Times New Roman" w:hAnsi="Times New Roman" w:cs="Times New Roman"/>
                <w:caps w:val="0"/>
                <w:smallCaps w:val="0"/>
                <w:color w:val="auto"/>
                <w:spacing w:val="0"/>
                <w:w w:val="100"/>
                <w:position w:val="0"/>
                <w:sz w:val="21"/>
                <w:szCs w:val="21"/>
                <w:highlight w:val="none"/>
              </w:rPr>
              <w:t>车辆采取苫布遮盖措施</w:t>
            </w:r>
            <w:r>
              <w:rPr>
                <w:rFonts w:ascii="Times New Roman" w:hAnsi="Times New Roman" w:cs="Times New Roman" w:eastAsiaTheme="minorEastAsia"/>
                <w:caps w:val="0"/>
                <w:smallCaps w:val="0"/>
                <w:color w:val="auto"/>
                <w:spacing w:val="0"/>
                <w:w w:val="100"/>
                <w:position w:val="0"/>
                <w:sz w:val="21"/>
                <w:szCs w:val="21"/>
                <w:highlight w:val="none"/>
              </w:rPr>
              <w:t>。</w:t>
            </w:r>
          </w:p>
        </w:tc>
        <w:tc>
          <w:tcPr>
            <w:tcW w:w="674" w:type="dxa"/>
            <w:vAlign w:val="center"/>
          </w:tcPr>
          <w:p w14:paraId="439A15B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2EB9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2188CE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25A2FF29">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Merge w:val="restart"/>
            <w:vAlign w:val="center"/>
          </w:tcPr>
          <w:p w14:paraId="4DD2504F">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废水处理工程</w:t>
            </w:r>
          </w:p>
        </w:tc>
        <w:tc>
          <w:tcPr>
            <w:tcW w:w="5600" w:type="dxa"/>
            <w:vAlign w:val="center"/>
          </w:tcPr>
          <w:p w14:paraId="59D610B0">
            <w:pPr>
              <w:spacing w:line="320" w:lineRule="exact"/>
              <w:ind w:firstLine="420" w:firstLineChars="200"/>
              <w:jc w:val="both"/>
              <w:rPr>
                <w:rFonts w:ascii="Times New Roman" w:hAnsi="Times New Roman" w:cs="Times New Roman" w:eastAsiaTheme="minorEastAsia"/>
                <w:bCs/>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退役管线清洗废水由罐车拉运至</w:t>
            </w:r>
            <w:r>
              <w:rPr>
                <w:rFonts w:hint="eastAsia" w:ascii="Times New Roman" w:hAnsi="Times New Roman" w:cs="Times New Roman"/>
                <w:caps w:val="0"/>
                <w:smallCaps w:val="0"/>
                <w:color w:val="auto"/>
                <w:spacing w:val="0"/>
                <w:w w:val="100"/>
                <w:kern w:val="2"/>
                <w:position w:val="0"/>
                <w:sz w:val="21"/>
                <w:szCs w:val="21"/>
                <w:highlight w:val="none"/>
                <w:lang w:eastAsia="zh-CN"/>
              </w:rPr>
              <w:t>卫一联含油污水深度处理站</w:t>
            </w:r>
            <w:r>
              <w:rPr>
                <w:rFonts w:ascii="Times New Roman" w:hAnsi="Times New Roman" w:cs="Times New Roman"/>
                <w:caps w:val="0"/>
                <w:smallCaps w:val="0"/>
                <w:color w:val="auto"/>
                <w:spacing w:val="0"/>
                <w:w w:val="100"/>
                <w:kern w:val="2"/>
                <w:position w:val="0"/>
                <w:sz w:val="21"/>
                <w:szCs w:val="21"/>
                <w:highlight w:val="none"/>
              </w:rPr>
              <w:t>处理满足《大庆油田地面工程建设设计规定》（Q/SYDQ0639-2015）及《碎屑岩油藏注水水质指标技术要求及分析方法》（SY/T5329-2022）限值要求后回注油层，不外排</w:t>
            </w:r>
            <w:r>
              <w:rPr>
                <w:rFonts w:ascii="Times New Roman" w:hAnsi="Times New Roman" w:cs="Times New Roman"/>
                <w:bCs/>
                <w:caps w:val="0"/>
                <w:smallCaps w:val="0"/>
                <w:color w:val="auto"/>
                <w:spacing w:val="0"/>
                <w:w w:val="100"/>
                <w:kern w:val="2"/>
                <w:position w:val="0"/>
                <w:sz w:val="21"/>
                <w:szCs w:val="21"/>
                <w:highlight w:val="none"/>
              </w:rPr>
              <w:t>。</w:t>
            </w:r>
          </w:p>
        </w:tc>
        <w:tc>
          <w:tcPr>
            <w:tcW w:w="674" w:type="dxa"/>
            <w:vAlign w:val="center"/>
          </w:tcPr>
          <w:p w14:paraId="108F96EA">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11F1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077F3886">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126833E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Merge w:val="continue"/>
            <w:vAlign w:val="center"/>
          </w:tcPr>
          <w:p w14:paraId="759DA1B7">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5600" w:type="dxa"/>
            <w:vAlign w:val="center"/>
          </w:tcPr>
          <w:p w14:paraId="1F1CEE8B">
            <w:pPr>
              <w:spacing w:line="320" w:lineRule="exact"/>
              <w:ind w:firstLine="420" w:firstLineChars="200"/>
              <w:jc w:val="both"/>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退役期生活污水排入</w:t>
            </w:r>
            <w:r>
              <w:rPr>
                <w:rFonts w:hint="eastAsia" w:ascii="Times New Roman" w:hAnsi="Times New Roman" w:eastAsia="宋体" w:cs="Times New Roman"/>
                <w:caps w:val="0"/>
                <w:smallCaps w:val="0"/>
                <w:color w:val="auto"/>
                <w:spacing w:val="0"/>
                <w:w w:val="100"/>
                <w:kern w:val="2"/>
                <w:position w:val="0"/>
                <w:sz w:val="21"/>
                <w:szCs w:val="21"/>
                <w:highlight w:val="none"/>
              </w:rPr>
              <w:t>排入</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附近集油阀组间防渗旱厕，定期由</w:t>
            </w:r>
            <w:r>
              <w:rPr>
                <w:rFonts w:hint="eastAsia" w:ascii="Times New Roman" w:hAnsi="Times New Roman" w:cs="Times New Roman"/>
                <w:caps w:val="0"/>
                <w:smallCaps w:val="0"/>
                <w:color w:val="auto"/>
                <w:spacing w:val="0"/>
                <w:w w:val="100"/>
                <w:kern w:val="2"/>
                <w:position w:val="0"/>
                <w:sz w:val="21"/>
                <w:szCs w:val="21"/>
                <w:highlight w:val="none"/>
                <w:lang w:val="en-US" w:eastAsia="zh-CN"/>
              </w:rPr>
              <w:t>安达市同昌油田工程有限公司拉运至大庆市净源环保科技有限公司进行处理</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w:t>
            </w:r>
          </w:p>
        </w:tc>
        <w:tc>
          <w:tcPr>
            <w:tcW w:w="674" w:type="dxa"/>
            <w:vAlign w:val="center"/>
          </w:tcPr>
          <w:p w14:paraId="1EE1F369">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283B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23024D3B">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1CAE3BC0">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Align w:val="center"/>
          </w:tcPr>
          <w:p w14:paraId="16CF7A5C">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噪声防治工程</w:t>
            </w:r>
          </w:p>
        </w:tc>
        <w:tc>
          <w:tcPr>
            <w:tcW w:w="5600" w:type="dxa"/>
            <w:vAlign w:val="center"/>
          </w:tcPr>
          <w:p w14:paraId="763BABBE">
            <w:pPr>
              <w:spacing w:line="320" w:lineRule="exact"/>
              <w:ind w:firstLine="420" w:firstLineChars="200"/>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合理安排施工进度，避免大量高噪声设备同时施工；选用低噪声设备；加强施工机械设备维修保养；运输车辆选择避开居民区的路线</w:t>
            </w:r>
            <w:r>
              <w:rPr>
                <w:rFonts w:ascii="Times New Roman" w:hAnsi="Times New Roman" w:cs="Times New Roman" w:eastAsiaTheme="minorEastAsia"/>
                <w:bCs/>
                <w:caps w:val="0"/>
                <w:smallCaps w:val="0"/>
                <w:color w:val="auto"/>
                <w:spacing w:val="0"/>
                <w:w w:val="100"/>
                <w:position w:val="0"/>
                <w:sz w:val="21"/>
                <w:szCs w:val="21"/>
                <w:highlight w:val="none"/>
              </w:rPr>
              <w:t>。</w:t>
            </w:r>
          </w:p>
        </w:tc>
        <w:tc>
          <w:tcPr>
            <w:tcW w:w="674" w:type="dxa"/>
            <w:vAlign w:val="center"/>
          </w:tcPr>
          <w:p w14:paraId="2094D02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3642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C90DE15">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5A8C4F41">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Merge w:val="restart"/>
            <w:vAlign w:val="center"/>
          </w:tcPr>
          <w:p w14:paraId="00FF07A2">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固体废物收集及处理处置工程</w:t>
            </w:r>
          </w:p>
        </w:tc>
        <w:tc>
          <w:tcPr>
            <w:tcW w:w="5600" w:type="dxa"/>
            <w:vAlign w:val="center"/>
          </w:tcPr>
          <w:p w14:paraId="35BD8D8C">
            <w:pPr>
              <w:spacing w:line="320" w:lineRule="exact"/>
              <w:ind w:firstLine="420" w:firstLineChars="200"/>
              <w:jc w:val="both"/>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eastAsia="宋体" w:cs="Times New Roman"/>
                <w:bCs/>
                <w:caps w:val="0"/>
                <w:smallCaps w:val="0"/>
                <w:color w:val="auto"/>
                <w:spacing w:val="0"/>
                <w:w w:val="100"/>
                <w:kern w:val="2"/>
                <w:position w:val="0"/>
                <w:sz w:val="21"/>
                <w:szCs w:val="21"/>
                <w:highlight w:val="none"/>
              </w:rPr>
              <w:t>本项目退役管线两端封堵后直埋处理</w:t>
            </w:r>
            <w:r>
              <w:rPr>
                <w:rFonts w:hint="eastAsia" w:ascii="Times New Roman" w:hAnsi="Times New Roman" w:eastAsia="宋体" w:cs="Times New Roman"/>
                <w:bCs/>
                <w:caps w:val="0"/>
                <w:smallCaps w:val="0"/>
                <w:color w:val="auto"/>
                <w:spacing w:val="0"/>
                <w:w w:val="100"/>
                <w:kern w:val="2"/>
                <w:position w:val="0"/>
                <w:sz w:val="21"/>
                <w:szCs w:val="21"/>
                <w:highlight w:val="none"/>
                <w:lang w:eastAsia="zh-CN"/>
              </w:rPr>
              <w:t>，</w:t>
            </w:r>
            <w:r>
              <w:rPr>
                <w:rFonts w:ascii="Times New Roman" w:hAnsi="Times New Roman" w:eastAsia="宋体" w:cs="Times New Roman"/>
                <w:bCs/>
                <w:caps w:val="0"/>
                <w:smallCaps w:val="0"/>
                <w:color w:val="auto"/>
                <w:spacing w:val="0"/>
                <w:w w:val="100"/>
                <w:kern w:val="2"/>
                <w:position w:val="0"/>
                <w:sz w:val="21"/>
                <w:szCs w:val="21"/>
                <w:highlight w:val="none"/>
              </w:rPr>
              <w:t>避免管道开挖对生态环境造成影响。</w:t>
            </w:r>
          </w:p>
        </w:tc>
        <w:tc>
          <w:tcPr>
            <w:tcW w:w="674" w:type="dxa"/>
            <w:vAlign w:val="center"/>
          </w:tcPr>
          <w:p w14:paraId="418B959C">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1160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6E54B35F">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590" w:type="dxa"/>
            <w:vMerge w:val="continue"/>
            <w:vAlign w:val="center"/>
          </w:tcPr>
          <w:p w14:paraId="463410F2">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557" w:type="dxa"/>
            <w:gridSpan w:val="2"/>
            <w:vMerge w:val="continue"/>
            <w:vAlign w:val="center"/>
          </w:tcPr>
          <w:p w14:paraId="6CDB0324">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5600" w:type="dxa"/>
            <w:vAlign w:val="center"/>
          </w:tcPr>
          <w:p w14:paraId="06CDC7AD">
            <w:pPr>
              <w:spacing w:line="320" w:lineRule="exact"/>
              <w:ind w:firstLine="420" w:firstLineChars="200"/>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eastAsia="宋体" w:cs="Times New Roman"/>
                <w:caps w:val="0"/>
                <w:smallCaps w:val="0"/>
                <w:color w:val="auto"/>
                <w:spacing w:val="0"/>
                <w:w w:val="100"/>
                <w:kern w:val="2"/>
                <w:position w:val="0"/>
                <w:sz w:val="21"/>
                <w:szCs w:val="21"/>
                <w:highlight w:val="none"/>
              </w:rPr>
              <w:t>退役期生活垃圾统一收集后，拉运至大庆城控电力有限公司处理。</w:t>
            </w:r>
          </w:p>
        </w:tc>
        <w:tc>
          <w:tcPr>
            <w:tcW w:w="674" w:type="dxa"/>
            <w:vAlign w:val="center"/>
          </w:tcPr>
          <w:p w14:paraId="0F4ED95E">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03BA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544B223C">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Merge w:val="restart"/>
            <w:vAlign w:val="center"/>
          </w:tcPr>
          <w:p w14:paraId="13F0CB44">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地下水及土壤防护</w:t>
            </w:r>
          </w:p>
        </w:tc>
        <w:tc>
          <w:tcPr>
            <w:tcW w:w="5600" w:type="dxa"/>
            <w:vAlign w:val="center"/>
          </w:tcPr>
          <w:p w14:paraId="1B61D6A5">
            <w:pPr>
              <w:spacing w:line="320" w:lineRule="exact"/>
              <w:ind w:firstLine="420" w:firstLineChars="200"/>
              <w:jc w:val="both"/>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hint="eastAsia" w:ascii="Times New Roman" w:hAnsi="Times New Roman" w:cs="Times New Roman" w:eastAsiaTheme="minorEastAsia"/>
                <w:bCs/>
                <w:caps w:val="0"/>
                <w:smallCaps w:val="0"/>
                <w:color w:val="auto"/>
                <w:spacing w:val="0"/>
                <w:w w:val="100"/>
                <w:kern w:val="21"/>
                <w:position w:val="0"/>
                <w:sz w:val="21"/>
                <w:szCs w:val="21"/>
                <w:highlight w:val="none"/>
              </w:rPr>
              <w:t>在新建管线西南侧</w:t>
            </w:r>
            <w:r>
              <w:rPr>
                <w:rFonts w:ascii="Times New Roman" w:hAnsi="Times New Roman" w:cs="Times New Roman" w:eastAsiaTheme="minorEastAsia"/>
                <w:bCs/>
                <w:caps w:val="0"/>
                <w:smallCaps w:val="0"/>
                <w:color w:val="auto"/>
                <w:spacing w:val="0"/>
                <w:w w:val="100"/>
                <w:kern w:val="21"/>
                <w:position w:val="0"/>
                <w:sz w:val="21"/>
                <w:szCs w:val="21"/>
                <w:highlight w:val="none"/>
              </w:rPr>
              <w:t>50m</w:t>
            </w:r>
            <w:bookmarkStart w:id="424" w:name="OLE_LINK171"/>
            <w:bookmarkStart w:id="425" w:name="OLE_LINK172"/>
            <w:r>
              <w:rPr>
                <w:rFonts w:ascii="Times New Roman" w:hAnsi="Times New Roman" w:cs="Times New Roman" w:eastAsiaTheme="minorEastAsia"/>
                <w:bCs/>
                <w:caps w:val="0"/>
                <w:smallCaps w:val="0"/>
                <w:color w:val="auto"/>
                <w:spacing w:val="0"/>
                <w:w w:val="100"/>
                <w:kern w:val="21"/>
                <w:position w:val="0"/>
                <w:sz w:val="21"/>
                <w:szCs w:val="21"/>
                <w:highlight w:val="none"/>
              </w:rPr>
              <w:t>（</w:t>
            </w:r>
            <w:r>
              <w:rPr>
                <w:rFonts w:ascii="Times New Roman" w:hAnsi="Times New Roman" w:cs="Times New Roman" w:eastAsiaTheme="minorEastAsia"/>
                <w:caps w:val="0"/>
                <w:smallCaps w:val="0"/>
                <w:color w:val="auto"/>
                <w:spacing w:val="0"/>
                <w:w w:val="100"/>
                <w:kern w:val="2"/>
                <w:position w:val="0"/>
                <w:sz w:val="21"/>
                <w:szCs w:val="21"/>
                <w:highlight w:val="none"/>
              </w:rPr>
              <w:t>坐标：124.83972，46.32094</w:t>
            </w:r>
            <w:r>
              <w:rPr>
                <w:rFonts w:ascii="Times New Roman" w:hAnsi="Times New Roman" w:cs="Times New Roman" w:eastAsiaTheme="minorEastAsia"/>
                <w:bCs/>
                <w:caps w:val="0"/>
                <w:smallCaps w:val="0"/>
                <w:color w:val="auto"/>
                <w:spacing w:val="0"/>
                <w:w w:val="100"/>
                <w:kern w:val="21"/>
                <w:position w:val="0"/>
                <w:sz w:val="21"/>
                <w:szCs w:val="21"/>
                <w:highlight w:val="none"/>
              </w:rPr>
              <w:t>）</w:t>
            </w:r>
            <w:bookmarkEnd w:id="424"/>
            <w:bookmarkEnd w:id="425"/>
            <w:r>
              <w:rPr>
                <w:rFonts w:ascii="Times New Roman" w:hAnsi="Times New Roman" w:cs="Times New Roman" w:eastAsiaTheme="minorEastAsia"/>
                <w:bCs/>
                <w:caps w:val="0"/>
                <w:smallCaps w:val="0"/>
                <w:color w:val="auto"/>
                <w:spacing w:val="0"/>
                <w:w w:val="100"/>
                <w:kern w:val="21"/>
                <w:position w:val="0"/>
                <w:sz w:val="21"/>
                <w:szCs w:val="21"/>
                <w:highlight w:val="none"/>
              </w:rPr>
              <w:t>布设1口潜水跟踪监测井，定期对地下水进行跟踪监测。</w:t>
            </w:r>
          </w:p>
        </w:tc>
        <w:tc>
          <w:tcPr>
            <w:tcW w:w="674" w:type="dxa"/>
            <w:vAlign w:val="center"/>
          </w:tcPr>
          <w:p w14:paraId="46276F65">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依托周边已建水井</w:t>
            </w:r>
          </w:p>
        </w:tc>
      </w:tr>
      <w:tr w14:paraId="3E7F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4DF6ABAB">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Merge w:val="continue"/>
            <w:vAlign w:val="center"/>
          </w:tcPr>
          <w:p w14:paraId="06635D3B">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00" w:type="dxa"/>
            <w:vAlign w:val="center"/>
          </w:tcPr>
          <w:p w14:paraId="4EEBE961">
            <w:pPr>
              <w:spacing w:line="320" w:lineRule="exact"/>
              <w:ind w:firstLine="420" w:firstLineChars="200"/>
              <w:jc w:val="both"/>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在</w:t>
            </w:r>
            <w:r>
              <w:rPr>
                <w:rFonts w:hint="eastAsia" w:ascii="Times New Roman" w:hAnsi="Times New Roman" w:cs="Times New Roman" w:eastAsiaTheme="minorEastAsia"/>
                <w:bCs/>
                <w:caps w:val="0"/>
                <w:smallCaps w:val="0"/>
                <w:color w:val="auto"/>
                <w:spacing w:val="0"/>
                <w:w w:val="100"/>
                <w:kern w:val="21"/>
                <w:position w:val="0"/>
                <w:sz w:val="21"/>
                <w:szCs w:val="21"/>
                <w:highlight w:val="none"/>
              </w:rPr>
              <w:t>管道临时占地范围内、</w:t>
            </w:r>
            <w:r>
              <w:rPr>
                <w:rFonts w:ascii="Times New Roman" w:hAnsi="Times New Roman" w:cs="Times New Roman" w:eastAsiaTheme="minorEastAsia"/>
                <w:bCs/>
                <w:caps w:val="0"/>
                <w:smallCaps w:val="0"/>
                <w:color w:val="auto"/>
                <w:spacing w:val="0"/>
                <w:w w:val="100"/>
                <w:kern w:val="21"/>
                <w:position w:val="0"/>
                <w:sz w:val="21"/>
                <w:szCs w:val="21"/>
                <w:highlight w:val="none"/>
              </w:rPr>
              <w:t>管道临时占地范围外草地各布设1个土壤跟踪监测点，定期对土壤进行跟踪监测，监测因子为pH、石油类、石油烃（C</w:t>
            </w:r>
            <w:r>
              <w:rPr>
                <w:rFonts w:ascii="Times New Roman" w:hAnsi="Times New Roman" w:cs="Times New Roman" w:eastAsiaTheme="minorEastAsia"/>
                <w:bCs/>
                <w:caps w:val="0"/>
                <w:smallCaps w:val="0"/>
                <w:color w:val="auto"/>
                <w:spacing w:val="0"/>
                <w:w w:val="100"/>
                <w:kern w:val="21"/>
                <w:position w:val="0"/>
                <w:sz w:val="21"/>
                <w:szCs w:val="21"/>
                <w:highlight w:val="none"/>
                <w:vertAlign w:val="subscript"/>
              </w:rPr>
              <w:t>6</w:t>
            </w:r>
            <w:r>
              <w:rPr>
                <w:rFonts w:ascii="Times New Roman" w:hAnsi="Times New Roman" w:cs="Times New Roman" w:eastAsiaTheme="minorEastAsia"/>
                <w:bCs/>
                <w:caps w:val="0"/>
                <w:smallCaps w:val="0"/>
                <w:color w:val="auto"/>
                <w:spacing w:val="0"/>
                <w:w w:val="100"/>
                <w:kern w:val="21"/>
                <w:position w:val="0"/>
                <w:sz w:val="21"/>
                <w:szCs w:val="21"/>
                <w:highlight w:val="none"/>
              </w:rPr>
              <w:t>~C</w:t>
            </w:r>
            <w:r>
              <w:rPr>
                <w:rFonts w:ascii="Times New Roman" w:hAnsi="Times New Roman" w:cs="Times New Roman" w:eastAsiaTheme="minorEastAsia"/>
                <w:bCs/>
                <w:caps w:val="0"/>
                <w:smallCaps w:val="0"/>
                <w:color w:val="auto"/>
                <w:spacing w:val="0"/>
                <w:w w:val="100"/>
                <w:kern w:val="21"/>
                <w:position w:val="0"/>
                <w:sz w:val="21"/>
                <w:szCs w:val="21"/>
                <w:highlight w:val="none"/>
                <w:vertAlign w:val="subscript"/>
              </w:rPr>
              <w:t>9</w:t>
            </w:r>
            <w:r>
              <w:rPr>
                <w:rFonts w:ascii="Times New Roman" w:hAnsi="Times New Roman" w:cs="Times New Roman" w:eastAsiaTheme="minorEastAsia"/>
                <w:bCs/>
                <w:caps w:val="0"/>
                <w:smallCaps w:val="0"/>
                <w:color w:val="auto"/>
                <w:spacing w:val="0"/>
                <w:w w:val="100"/>
                <w:kern w:val="21"/>
                <w:position w:val="0"/>
                <w:sz w:val="21"/>
                <w:szCs w:val="21"/>
                <w:highlight w:val="none"/>
              </w:rPr>
              <w:t>）、石油烃（C</w:t>
            </w:r>
            <w:r>
              <w:rPr>
                <w:rFonts w:ascii="Times New Roman" w:hAnsi="Times New Roman" w:cs="Times New Roman" w:eastAsiaTheme="minorEastAsia"/>
                <w:bCs/>
                <w:caps w:val="0"/>
                <w:smallCaps w:val="0"/>
                <w:color w:val="auto"/>
                <w:spacing w:val="0"/>
                <w:w w:val="100"/>
                <w:kern w:val="21"/>
                <w:position w:val="0"/>
                <w:sz w:val="21"/>
                <w:szCs w:val="21"/>
                <w:highlight w:val="none"/>
                <w:vertAlign w:val="subscript"/>
              </w:rPr>
              <w:t>10</w:t>
            </w:r>
            <w:r>
              <w:rPr>
                <w:rFonts w:ascii="Times New Roman" w:hAnsi="Times New Roman" w:cs="Times New Roman" w:eastAsiaTheme="minorEastAsia"/>
                <w:bCs/>
                <w:caps w:val="0"/>
                <w:smallCaps w:val="0"/>
                <w:color w:val="auto"/>
                <w:spacing w:val="0"/>
                <w:w w:val="100"/>
                <w:kern w:val="21"/>
                <w:position w:val="0"/>
                <w:sz w:val="21"/>
                <w:szCs w:val="21"/>
                <w:highlight w:val="none"/>
              </w:rPr>
              <w:t>~C</w:t>
            </w:r>
            <w:r>
              <w:rPr>
                <w:rFonts w:ascii="Times New Roman" w:hAnsi="Times New Roman" w:cs="Times New Roman" w:eastAsiaTheme="minorEastAsia"/>
                <w:bCs/>
                <w:caps w:val="0"/>
                <w:smallCaps w:val="0"/>
                <w:color w:val="auto"/>
                <w:spacing w:val="0"/>
                <w:w w:val="100"/>
                <w:kern w:val="21"/>
                <w:position w:val="0"/>
                <w:sz w:val="21"/>
                <w:szCs w:val="21"/>
                <w:highlight w:val="none"/>
                <w:vertAlign w:val="subscript"/>
              </w:rPr>
              <w:t>40</w:t>
            </w:r>
            <w:r>
              <w:rPr>
                <w:rFonts w:ascii="Times New Roman" w:hAnsi="Times New Roman" w:cs="Times New Roman" w:eastAsiaTheme="minorEastAsia"/>
                <w:bCs/>
                <w:caps w:val="0"/>
                <w:smallCaps w:val="0"/>
                <w:color w:val="auto"/>
                <w:spacing w:val="0"/>
                <w:w w:val="100"/>
                <w:kern w:val="21"/>
                <w:position w:val="0"/>
                <w:sz w:val="21"/>
                <w:szCs w:val="21"/>
                <w:highlight w:val="none"/>
              </w:rPr>
              <w:t>）、汞、砷、六价铬，监测频次为1次/年。</w:t>
            </w:r>
          </w:p>
        </w:tc>
        <w:tc>
          <w:tcPr>
            <w:tcW w:w="674" w:type="dxa"/>
            <w:vAlign w:val="center"/>
          </w:tcPr>
          <w:p w14:paraId="39EEA264">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新建</w:t>
            </w:r>
          </w:p>
        </w:tc>
      </w:tr>
      <w:tr w14:paraId="3617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5C82E585">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Merge w:val="continue"/>
            <w:vAlign w:val="center"/>
          </w:tcPr>
          <w:p w14:paraId="054A9089">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00" w:type="dxa"/>
            <w:vAlign w:val="center"/>
          </w:tcPr>
          <w:p w14:paraId="43993DFF">
            <w:pPr>
              <w:widowControl w:val="0"/>
              <w:spacing w:line="360" w:lineRule="exact"/>
              <w:ind w:firstLine="420" w:firstLineChars="200"/>
              <w:jc w:val="both"/>
              <w:rPr>
                <w:rFonts w:hint="eastAsia" w:ascii="Times New Roman" w:hAnsi="Times New Roman" w:cs="Times New Roman"/>
                <w:bCs/>
                <w:caps w:val="0"/>
                <w:smallCaps w:val="0"/>
                <w:color w:val="auto"/>
                <w:spacing w:val="0"/>
                <w:w w:val="100"/>
                <w:position w:val="0"/>
                <w:sz w:val="21"/>
                <w:szCs w:val="21"/>
                <w:highlight w:val="none"/>
                <w:lang w:val="en-US" w:eastAsia="zh-CN"/>
              </w:rPr>
            </w:pPr>
            <w:r>
              <w:rPr>
                <w:rFonts w:ascii="Times New Roman" w:hAnsi="Times New Roman" w:cs="Times New Roman"/>
                <w:bCs/>
                <w:caps w:val="0"/>
                <w:smallCaps w:val="0"/>
                <w:color w:val="auto"/>
                <w:spacing w:val="0"/>
                <w:w w:val="100"/>
                <w:position w:val="0"/>
                <w:sz w:val="21"/>
                <w:szCs w:val="21"/>
                <w:highlight w:val="none"/>
              </w:rPr>
              <w:t>本项目新建的</w:t>
            </w:r>
            <w:r>
              <w:rPr>
                <w:rFonts w:hint="eastAsia" w:ascii="Times New Roman" w:hAnsi="Times New Roman" w:cs="Times New Roman"/>
                <w:bCs/>
                <w:caps w:val="0"/>
                <w:smallCaps w:val="0"/>
                <w:color w:val="auto"/>
                <w:spacing w:val="0"/>
                <w:w w:val="100"/>
                <w:position w:val="0"/>
                <w:sz w:val="21"/>
                <w:szCs w:val="21"/>
                <w:highlight w:val="none"/>
              </w:rPr>
              <w:t>输油管道及</w:t>
            </w:r>
            <w:r>
              <w:rPr>
                <w:rFonts w:hint="eastAsia" w:ascii="Times New Roman" w:hAnsi="Times New Roman" w:cs="Times New Roman"/>
                <w:bCs/>
                <w:caps w:val="0"/>
                <w:smallCaps w:val="0"/>
                <w:color w:val="auto"/>
                <w:spacing w:val="0"/>
                <w:w w:val="100"/>
                <w:position w:val="0"/>
                <w:sz w:val="21"/>
                <w:szCs w:val="21"/>
                <w:highlight w:val="none"/>
                <w:lang w:val="en-US" w:eastAsia="zh-CN"/>
              </w:rPr>
              <w:t>掺水</w:t>
            </w:r>
            <w:r>
              <w:rPr>
                <w:rFonts w:hint="eastAsia" w:ascii="Times New Roman" w:hAnsi="Times New Roman" w:cs="Times New Roman"/>
                <w:bCs/>
                <w:caps w:val="0"/>
                <w:smallCaps w:val="0"/>
                <w:color w:val="auto"/>
                <w:spacing w:val="0"/>
                <w:w w:val="100"/>
                <w:position w:val="0"/>
                <w:sz w:val="21"/>
                <w:szCs w:val="21"/>
                <w:highlight w:val="none"/>
              </w:rPr>
              <w:t>管道</w:t>
            </w:r>
            <w:r>
              <w:rPr>
                <w:rFonts w:ascii="Times New Roman" w:hAnsi="Times New Roman" w:cs="Times New Roman"/>
                <w:bCs/>
                <w:caps w:val="0"/>
                <w:smallCaps w:val="0"/>
                <w:color w:val="auto"/>
                <w:spacing w:val="0"/>
                <w:w w:val="100"/>
                <w:position w:val="0"/>
                <w:sz w:val="21"/>
                <w:szCs w:val="21"/>
                <w:highlight w:val="none"/>
              </w:rPr>
              <w:t>均为重点防渗，管道采用无缝钢管，管道的连接方式采用焊接，</w:t>
            </w:r>
            <w:r>
              <w:rPr>
                <w:rFonts w:hint="eastAsia" w:ascii="Times New Roman" w:hAnsi="Times New Roman" w:cs="Times New Roman"/>
                <w:bCs/>
                <w:caps w:val="0"/>
                <w:smallCaps w:val="0"/>
                <w:color w:val="auto"/>
                <w:spacing w:val="0"/>
                <w:w w:val="100"/>
                <w:position w:val="0"/>
                <w:sz w:val="21"/>
                <w:szCs w:val="21"/>
                <w:highlight w:val="none"/>
                <w:lang w:val="en-US" w:eastAsia="zh-CN"/>
              </w:rPr>
              <w:t>防腐采用</w:t>
            </w:r>
            <w:r>
              <w:rPr>
                <w:rFonts w:ascii="Times New Roman" w:hAnsi="Times New Roman" w:cs="Times New Roman"/>
                <w:bCs/>
                <w:caps w:val="0"/>
                <w:smallCaps w:val="0"/>
                <w:color w:val="auto"/>
                <w:spacing w:val="0"/>
                <w:w w:val="100"/>
                <w:position w:val="0"/>
                <w:sz w:val="21"/>
                <w:szCs w:val="21"/>
                <w:highlight w:val="none"/>
                <w:lang w:val="en-US" w:eastAsia="zh-CN"/>
              </w:rPr>
              <w:t>内缠聚乙烯胶带普通级防腐聚</w:t>
            </w:r>
            <w:r>
              <w:rPr>
                <w:rFonts w:hint="default" w:ascii="Times New Roman" w:hAnsi="Times New Roman" w:cs="Times New Roman"/>
                <w:bCs/>
                <w:caps w:val="0"/>
                <w:smallCaps w:val="0"/>
                <w:color w:val="auto"/>
                <w:spacing w:val="0"/>
                <w:w w:val="100"/>
                <w:position w:val="0"/>
                <w:sz w:val="21"/>
                <w:szCs w:val="21"/>
                <w:highlight w:val="none"/>
                <w:lang w:val="en-US" w:eastAsia="zh-CN"/>
              </w:rPr>
              <w:t>氨酯保温聚乙烯保护成品管</w:t>
            </w:r>
            <w:r>
              <w:rPr>
                <w:rFonts w:hint="eastAsia" w:ascii="Times New Roman" w:hAnsi="Times New Roman" w:cs="Times New Roman"/>
                <w:bCs/>
                <w:caps w:val="0"/>
                <w:smallCaps w:val="0"/>
                <w:color w:val="auto"/>
                <w:spacing w:val="0"/>
                <w:w w:val="100"/>
                <w:position w:val="0"/>
                <w:sz w:val="21"/>
                <w:szCs w:val="21"/>
                <w:highlight w:val="none"/>
                <w:lang w:val="en-US" w:eastAsia="zh-CN"/>
              </w:rPr>
              <w:t>，套管内外壁防腐采用环氧煤沥青涂料普通级，1底4面。</w:t>
            </w:r>
          </w:p>
          <w:p w14:paraId="4D99D285">
            <w:pPr>
              <w:widowControl w:val="0"/>
              <w:spacing w:line="360" w:lineRule="exact"/>
              <w:ind w:firstLine="420" w:firstLineChars="200"/>
              <w:jc w:val="both"/>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lang w:val="en-US" w:eastAsia="zh-CN"/>
              </w:rPr>
              <w:t>防腐补口采用配套聚乙烯黏胶带。保温补口采用配套硬质聚氨酯管壳补口。保护层补口采用配套2PE交联聚乙烯热收缩带补口。 沥青防腐胶带补口采用无溶剂环氧底漆+沥青防腐胶带，加强级，胶带缠2遍。</w:t>
            </w:r>
          </w:p>
        </w:tc>
        <w:tc>
          <w:tcPr>
            <w:tcW w:w="674" w:type="dxa"/>
            <w:vAlign w:val="center"/>
          </w:tcPr>
          <w:p w14:paraId="08D57E74">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新建</w:t>
            </w:r>
          </w:p>
        </w:tc>
      </w:tr>
      <w:tr w14:paraId="7189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670563BB">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6DD65B7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生态治理</w:t>
            </w:r>
          </w:p>
        </w:tc>
        <w:tc>
          <w:tcPr>
            <w:tcW w:w="5600" w:type="dxa"/>
            <w:vAlign w:val="center"/>
          </w:tcPr>
          <w:p w14:paraId="27484A11">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highlight w:val="none"/>
              </w:rPr>
              <w:t>本项目占地类型主要为草地</w:t>
            </w:r>
            <w:r>
              <w:rPr>
                <w:rFonts w:hint="eastAsia" w:ascii="Times New Roman" w:hAnsi="Times New Roman" w:cs="Times New Roman"/>
                <w:caps w:val="0"/>
                <w:smallCaps w:val="0"/>
                <w:color w:val="auto"/>
                <w:spacing w:val="0"/>
                <w:w w:val="100"/>
                <w:position w:val="0"/>
                <w:sz w:val="21"/>
                <w:highlight w:val="none"/>
                <w:lang w:val="en-US" w:eastAsia="zh-CN"/>
              </w:rPr>
              <w:t>和耕地</w:t>
            </w:r>
            <w:r>
              <w:rPr>
                <w:rFonts w:ascii="Times New Roman" w:hAnsi="Times New Roman" w:cs="Times New Roman"/>
                <w:caps w:val="0"/>
                <w:smallCaps w:val="0"/>
                <w:color w:val="auto"/>
                <w:spacing w:val="0"/>
                <w:w w:val="100"/>
                <w:position w:val="0"/>
                <w:sz w:val="21"/>
                <w:highlight w:val="none"/>
              </w:rPr>
              <w:t>。管道施工作业带清理、管沟开挖等会对土壤造成扰动和植被的破坏，管道施工采取机械、人工分层开挖方式，施工期间应划定施工活动范围，严格控制施工作业面积，</w:t>
            </w:r>
            <w:bookmarkStart w:id="426" w:name="OLE_LINK39"/>
            <w:bookmarkStart w:id="427" w:name="OLE_LINK40"/>
            <w:r>
              <w:rPr>
                <w:rFonts w:ascii="Times New Roman" w:hAnsi="Times New Roman" w:cs="Times New Roman"/>
                <w:caps w:val="0"/>
                <w:smallCaps w:val="0"/>
                <w:color w:val="auto"/>
                <w:spacing w:val="0"/>
                <w:w w:val="100"/>
                <w:position w:val="0"/>
                <w:sz w:val="21"/>
                <w:highlight w:val="none"/>
              </w:rPr>
              <w:t>管道施工作业带除去管道一侧设置的置土带外，管沟及设备区在施工前剥离表土，剥离的表土放在置土带外侧，管沟挖方土放置在置土带内侧，置土带采取先设置编织袋压护，在采用</w:t>
            </w:r>
            <w:bookmarkStart w:id="428" w:name="OLE_LINK177"/>
            <w:r>
              <w:rPr>
                <w:rFonts w:ascii="Times New Roman" w:hAnsi="Times New Roman" w:cs="Times New Roman"/>
                <w:caps w:val="0"/>
                <w:smallCaps w:val="0"/>
                <w:color w:val="auto"/>
                <w:spacing w:val="0"/>
                <w:w w:val="100"/>
                <w:position w:val="0"/>
                <w:sz w:val="21"/>
                <w:highlight w:val="none"/>
              </w:rPr>
              <w:t>单行十字形压护</w:t>
            </w:r>
            <w:bookmarkEnd w:id="428"/>
            <w:r>
              <w:rPr>
                <w:rFonts w:ascii="Times New Roman" w:hAnsi="Times New Roman" w:cs="Times New Roman"/>
                <w:caps w:val="0"/>
                <w:smallCaps w:val="0"/>
                <w:color w:val="auto"/>
                <w:spacing w:val="0"/>
                <w:w w:val="100"/>
                <w:position w:val="0"/>
                <w:sz w:val="21"/>
                <w:highlight w:val="none"/>
              </w:rPr>
              <w:t>，底土层另外堆放，施工结束后及时清理施工现场，采用分层回填压实，按生、熟土顺序填放，保护耕作层，复原时先填心、底土，后平覆表土，回填后管沟上方留有自然沉降余量，管沟回填多余的土均匀分散在管道中心两侧，并使管沟与周围地表形成平滑过度，不得形成汇水环境</w:t>
            </w:r>
            <w:bookmarkStart w:id="429" w:name="OLE_LINK133"/>
            <w:r>
              <w:rPr>
                <w:rFonts w:ascii="Times New Roman" w:hAnsi="Times New Roman" w:cs="Times New Roman"/>
                <w:caps w:val="0"/>
                <w:smallCaps w:val="0"/>
                <w:color w:val="auto"/>
                <w:spacing w:val="0"/>
                <w:w w:val="100"/>
                <w:position w:val="0"/>
                <w:sz w:val="21"/>
                <w:highlight w:val="none"/>
              </w:rPr>
              <w:t>，并及时恢复地表植被</w:t>
            </w:r>
            <w:bookmarkEnd w:id="429"/>
            <w:r>
              <w:rPr>
                <w:rFonts w:ascii="Times New Roman" w:hAnsi="Times New Roman" w:cs="Times New Roman"/>
                <w:caps w:val="0"/>
                <w:smallCaps w:val="0"/>
                <w:color w:val="auto"/>
                <w:spacing w:val="0"/>
                <w:w w:val="100"/>
                <w:position w:val="0"/>
                <w:sz w:val="21"/>
                <w:highlight w:val="none"/>
              </w:rPr>
              <w:t>，</w:t>
            </w:r>
            <w:bookmarkEnd w:id="426"/>
            <w:bookmarkEnd w:id="427"/>
            <w:r>
              <w:rPr>
                <w:rFonts w:ascii="Times New Roman" w:hAnsi="Times New Roman" w:cs="Times New Roman"/>
                <w:caps w:val="0"/>
                <w:smallCaps w:val="0"/>
                <w:color w:val="auto"/>
                <w:spacing w:val="0"/>
                <w:w w:val="100"/>
                <w:position w:val="0"/>
                <w:sz w:val="21"/>
                <w:highlight w:val="none"/>
              </w:rPr>
              <w:t>临时占地恢复面积</w:t>
            </w:r>
            <w:r>
              <w:rPr>
                <w:rFonts w:hint="eastAsia" w:ascii="Times New Roman" w:hAnsi="Times New Roman" w:cs="Times New Roman"/>
                <w:caps w:val="0"/>
                <w:smallCaps w:val="0"/>
                <w:color w:val="auto"/>
                <w:spacing w:val="0"/>
                <w:w w:val="100"/>
                <w:position w:val="0"/>
                <w:sz w:val="21"/>
                <w:highlight w:val="none"/>
                <w:lang w:val="en-US" w:eastAsia="zh-CN"/>
              </w:rPr>
              <w:t>21.88</w:t>
            </w:r>
            <w:r>
              <w:rPr>
                <w:rFonts w:ascii="Times New Roman" w:hAnsi="Times New Roman" w:cs="Times New Roman"/>
                <w:caps w:val="0"/>
                <w:smallCaps w:val="0"/>
                <w:color w:val="auto"/>
                <w:spacing w:val="0"/>
                <w:w w:val="100"/>
                <w:position w:val="0"/>
                <w:sz w:val="21"/>
                <w:highlight w:val="none"/>
              </w:rPr>
              <w:t>hm</w:t>
            </w:r>
            <w:r>
              <w:rPr>
                <w:rFonts w:ascii="Times New Roman" w:hAnsi="Times New Roman" w:cs="Times New Roman"/>
                <w:caps w:val="0"/>
                <w:smallCaps w:val="0"/>
                <w:color w:val="auto"/>
                <w:spacing w:val="0"/>
                <w:w w:val="100"/>
                <w:position w:val="0"/>
                <w:sz w:val="21"/>
                <w:highlight w:val="none"/>
                <w:vertAlign w:val="superscript"/>
              </w:rPr>
              <w:t>2</w:t>
            </w:r>
            <w:r>
              <w:rPr>
                <w:rFonts w:ascii="Times New Roman" w:hAnsi="Times New Roman" w:cs="Times New Roman"/>
                <w:caps w:val="0"/>
                <w:smallCaps w:val="0"/>
                <w:color w:val="auto"/>
                <w:spacing w:val="0"/>
                <w:w w:val="100"/>
                <w:position w:val="0"/>
                <w:sz w:val="21"/>
                <w:highlight w:val="none"/>
              </w:rPr>
              <w:t>。</w:t>
            </w:r>
          </w:p>
        </w:tc>
        <w:tc>
          <w:tcPr>
            <w:tcW w:w="674" w:type="dxa"/>
            <w:vAlign w:val="center"/>
          </w:tcPr>
          <w:p w14:paraId="15093CE8">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恢复</w:t>
            </w:r>
          </w:p>
        </w:tc>
      </w:tr>
      <w:tr w14:paraId="54E7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2A75B5D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3C8C59A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风险防范措施</w:t>
            </w:r>
          </w:p>
        </w:tc>
        <w:tc>
          <w:tcPr>
            <w:tcW w:w="5600" w:type="dxa"/>
            <w:vAlign w:val="center"/>
          </w:tcPr>
          <w:p w14:paraId="7BE1B1C5">
            <w:pPr>
              <w:spacing w:line="320" w:lineRule="exact"/>
              <w:ind w:firstLine="420" w:firstLineChars="200"/>
              <w:jc w:val="both"/>
              <w:rPr>
                <w:rFonts w:ascii="Times New Roman" w:hAnsi="Times New Roman" w:cs="Times New Roman"/>
                <w:caps w:val="0"/>
                <w:smallCaps w:val="0"/>
                <w:color w:val="auto"/>
                <w:spacing w:val="0"/>
                <w:w w:val="100"/>
                <w:position w:val="0"/>
                <w:sz w:val="21"/>
                <w:highlight w:val="none"/>
              </w:rPr>
            </w:pPr>
            <w:r>
              <w:rPr>
                <w:rFonts w:ascii="Times New Roman" w:hAnsi="Times New Roman" w:cs="Times New Roman"/>
                <w:caps w:val="0"/>
                <w:smallCaps w:val="0"/>
                <w:color w:val="auto"/>
                <w:spacing w:val="0"/>
                <w:w w:val="100"/>
                <w:position w:val="0"/>
                <w:sz w:val="21"/>
                <w:highlight w:val="none"/>
              </w:rPr>
              <w:t>定期对员工进行风险防范相关培训；加强对管线的腐蚀情况的检测；依托现有管线巡检人员定期对新建管线进行巡检，并形成巡检记录；依托各作业区及站场配备防渗布、铁锹、吸油毡等应急物资对管线泄漏事故进行应急处理；各段集输管线设有实时监控措施，可及时发现管道泄漏。</w:t>
            </w:r>
          </w:p>
        </w:tc>
        <w:tc>
          <w:tcPr>
            <w:tcW w:w="674" w:type="dxa"/>
            <w:vAlign w:val="center"/>
          </w:tcPr>
          <w:p w14:paraId="67DFB5D0">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w:t>
            </w:r>
          </w:p>
        </w:tc>
      </w:tr>
      <w:tr w14:paraId="2B99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4EFE1F4D">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依托工程</w:t>
            </w:r>
          </w:p>
        </w:tc>
        <w:tc>
          <w:tcPr>
            <w:tcW w:w="2147" w:type="dxa"/>
            <w:gridSpan w:val="3"/>
            <w:vAlign w:val="center"/>
          </w:tcPr>
          <w:p w14:paraId="6E87D562">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卫一联含油污水深度处理站</w:t>
            </w:r>
          </w:p>
        </w:tc>
        <w:tc>
          <w:tcPr>
            <w:tcW w:w="5600" w:type="dxa"/>
            <w:vAlign w:val="center"/>
          </w:tcPr>
          <w:p w14:paraId="03BEFCD5">
            <w:pPr>
              <w:spacing w:line="320" w:lineRule="exact"/>
              <w:ind w:firstLine="420" w:firstLineChars="200"/>
              <w:jc w:val="both"/>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kern w:val="2"/>
                <w:position w:val="0"/>
                <w:sz w:val="21"/>
                <w:szCs w:val="21"/>
                <w:highlight w:val="none"/>
                <w:lang w:val="de-DE" w:eastAsia="zh-CN"/>
              </w:rPr>
              <w:t>本项目新建管线试压废水及废弃管线清洗废水依托</w:t>
            </w:r>
            <w:r>
              <w:rPr>
                <w:rFonts w:hint="eastAsia" w:ascii="Times New Roman" w:hAnsi="Times New Roman" w:cs="Times New Roman"/>
                <w:caps w:val="0"/>
                <w:smallCaps w:val="0"/>
                <w:color w:val="auto"/>
                <w:spacing w:val="0"/>
                <w:w w:val="100"/>
                <w:kern w:val="2"/>
                <w:position w:val="0"/>
                <w:sz w:val="21"/>
                <w:szCs w:val="21"/>
                <w:highlight w:val="none"/>
                <w:lang w:val="en-US" w:eastAsia="zh-CN"/>
              </w:rPr>
              <w:t>卫一联含油污水深度处理站</w:t>
            </w:r>
            <w:r>
              <w:rPr>
                <w:rFonts w:hint="eastAsia" w:ascii="Times New Roman" w:hAnsi="Times New Roman" w:eastAsia="宋体" w:cs="Times New Roman"/>
                <w:caps w:val="0"/>
                <w:smallCaps w:val="0"/>
                <w:color w:val="auto"/>
                <w:spacing w:val="0"/>
                <w:w w:val="100"/>
                <w:kern w:val="2"/>
                <w:position w:val="0"/>
                <w:sz w:val="21"/>
                <w:szCs w:val="21"/>
                <w:highlight w:val="none"/>
                <w:lang w:val="de-DE" w:eastAsia="zh-CN"/>
              </w:rPr>
              <w:t>处理，采用“</w:t>
            </w:r>
            <w:r>
              <w:rPr>
                <w:rFonts w:ascii="Times New Roman" w:hAnsi="Times New Roman" w:eastAsia="宋体" w:cs="Times New Roman"/>
                <w:caps w:val="0"/>
                <w:smallCaps w:val="0"/>
                <w:color w:val="auto"/>
                <w:spacing w:val="0"/>
                <w:w w:val="100"/>
                <w:kern w:val="2"/>
                <w:position w:val="0"/>
                <w:sz w:val="21"/>
                <w:szCs w:val="21"/>
                <w:highlight w:val="none"/>
              </w:rPr>
              <w:t>两级沉降+两级过滤</w:t>
            </w:r>
            <w:r>
              <w:rPr>
                <w:rFonts w:hint="eastAsia" w:ascii="Times New Roman" w:hAnsi="Times New Roman" w:eastAsia="宋体" w:cs="Times New Roman"/>
                <w:caps w:val="0"/>
                <w:smallCaps w:val="0"/>
                <w:color w:val="auto"/>
                <w:spacing w:val="0"/>
                <w:w w:val="100"/>
                <w:kern w:val="2"/>
                <w:position w:val="0"/>
                <w:sz w:val="21"/>
                <w:szCs w:val="21"/>
                <w:highlight w:val="none"/>
                <w:lang w:val="de-DE" w:eastAsia="zh-CN"/>
              </w:rPr>
              <w:t>”</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处理</w:t>
            </w:r>
            <w:r>
              <w:rPr>
                <w:rFonts w:hint="eastAsia" w:ascii="Times New Roman" w:hAnsi="Times New Roman" w:eastAsia="宋体" w:cs="Times New Roman"/>
                <w:caps w:val="0"/>
                <w:smallCaps w:val="0"/>
                <w:color w:val="auto"/>
                <w:spacing w:val="0"/>
                <w:w w:val="100"/>
                <w:kern w:val="2"/>
                <w:position w:val="0"/>
                <w:sz w:val="21"/>
                <w:szCs w:val="21"/>
                <w:highlight w:val="none"/>
                <w:lang w:val="de-DE" w:eastAsia="zh-CN"/>
              </w:rPr>
              <w:t>流程，卫一联含油污水深度处理站设计规模</w:t>
            </w:r>
            <w:r>
              <w:rPr>
                <w:rFonts w:hint="eastAsia" w:ascii="Times New Roman" w:hAnsi="Times New Roman" w:cs="Times New Roman"/>
                <w:caps w:val="0"/>
                <w:smallCaps w:val="0"/>
                <w:color w:val="auto"/>
                <w:spacing w:val="0"/>
                <w:w w:val="100"/>
                <w:kern w:val="2"/>
                <w:position w:val="0"/>
                <w:sz w:val="21"/>
                <w:szCs w:val="21"/>
                <w:highlight w:val="none"/>
                <w:lang w:val="en-US" w:eastAsia="zh-CN"/>
              </w:rPr>
              <w:t>6200m</w:t>
            </w:r>
            <w:r>
              <w:rPr>
                <w:rFonts w:hint="eastAsia" w:ascii="Times New Roman" w:hAnsi="Times New Roman" w:cs="Times New Roman"/>
                <w:caps w:val="0"/>
                <w:smallCaps w:val="0"/>
                <w:color w:val="auto"/>
                <w:spacing w:val="0"/>
                <w:w w:val="100"/>
                <w:kern w:val="2"/>
                <w:position w:val="0"/>
                <w:sz w:val="21"/>
                <w:szCs w:val="21"/>
                <w:highlight w:val="none"/>
                <w:vertAlign w:val="superscript"/>
                <w:lang w:val="en-US" w:eastAsia="zh-CN"/>
              </w:rPr>
              <w:t>3</w:t>
            </w:r>
            <w:r>
              <w:rPr>
                <w:rFonts w:hint="eastAsia" w:ascii="Times New Roman" w:hAnsi="Times New Roman" w:eastAsia="宋体" w:cs="Times New Roman"/>
                <w:caps w:val="0"/>
                <w:smallCaps w:val="0"/>
                <w:color w:val="auto"/>
                <w:spacing w:val="0"/>
                <w:w w:val="100"/>
                <w:kern w:val="2"/>
                <w:position w:val="0"/>
                <w:sz w:val="21"/>
                <w:szCs w:val="21"/>
                <w:highlight w:val="none"/>
                <w:lang w:val="de-DE" w:eastAsia="zh-CN"/>
              </w:rPr>
              <w:t>/d，目前实际日处理量污水量为</w:t>
            </w:r>
            <w:r>
              <w:rPr>
                <w:rFonts w:hint="eastAsia" w:ascii="Times New Roman" w:hAnsi="Times New Roman" w:cs="Times New Roman"/>
                <w:caps w:val="0"/>
                <w:smallCaps w:val="0"/>
                <w:color w:val="auto"/>
                <w:spacing w:val="0"/>
                <w:w w:val="100"/>
                <w:kern w:val="2"/>
                <w:position w:val="0"/>
                <w:sz w:val="21"/>
                <w:szCs w:val="21"/>
                <w:highlight w:val="none"/>
                <w:lang w:val="en-US" w:eastAsia="zh-CN"/>
              </w:rPr>
              <w:t>5976.22</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t/</w:t>
            </w:r>
            <w:r>
              <w:rPr>
                <w:rFonts w:hint="eastAsia" w:ascii="Times New Roman" w:hAnsi="Times New Roman" w:eastAsia="宋体" w:cs="Times New Roman"/>
                <w:caps w:val="0"/>
                <w:smallCaps w:val="0"/>
                <w:color w:val="auto"/>
                <w:spacing w:val="0"/>
                <w:w w:val="100"/>
                <w:kern w:val="2"/>
                <w:position w:val="0"/>
                <w:sz w:val="21"/>
                <w:szCs w:val="21"/>
                <w:highlight w:val="none"/>
                <w:lang w:val="de-DE" w:eastAsia="zh-CN"/>
              </w:rPr>
              <w:t>d，负荷率</w:t>
            </w:r>
            <w:r>
              <w:rPr>
                <w:rFonts w:hint="eastAsia" w:ascii="Times New Roman" w:hAnsi="Times New Roman" w:cs="Times New Roman"/>
                <w:caps w:val="0"/>
                <w:smallCaps w:val="0"/>
                <w:color w:val="auto"/>
                <w:spacing w:val="0"/>
                <w:w w:val="100"/>
                <w:kern w:val="2"/>
                <w:position w:val="0"/>
                <w:sz w:val="21"/>
                <w:szCs w:val="21"/>
                <w:highlight w:val="none"/>
                <w:lang w:val="en-US" w:eastAsia="zh-CN"/>
              </w:rPr>
              <w:t>96.4</w:t>
            </w:r>
            <w:r>
              <w:rPr>
                <w:rFonts w:hint="eastAsia" w:ascii="Times New Roman" w:hAnsi="Times New Roman" w:eastAsia="宋体" w:cs="Times New Roman"/>
                <w:caps w:val="0"/>
                <w:smallCaps w:val="0"/>
                <w:color w:val="auto"/>
                <w:spacing w:val="0"/>
                <w:w w:val="100"/>
                <w:kern w:val="2"/>
                <w:position w:val="0"/>
                <w:sz w:val="21"/>
                <w:szCs w:val="21"/>
                <w:highlight w:val="none"/>
                <w:lang w:val="de-DE" w:eastAsia="zh-CN"/>
              </w:rPr>
              <w:t>%，</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该站正常平稳运行。出水水质满足《大庆油田地面工程建设设计规定》（Q/SYDQ0639-2015）限值“含油量≤8mg/L、悬浮固体含量≤3mg/L、粒径中值≤2</w:t>
            </w:r>
            <w:r>
              <w:rPr>
                <w:rFonts w:hint="default" w:ascii="Times New Roman" w:hAnsi="Times New Roman" w:eastAsia="宋体" w:cs="Times New Roman"/>
                <w:caps w:val="0"/>
                <w:smallCaps w:val="0"/>
                <w:color w:val="auto"/>
                <w:spacing w:val="0"/>
                <w:w w:val="100"/>
                <w:kern w:val="2"/>
                <w:position w:val="0"/>
                <w:sz w:val="21"/>
                <w:szCs w:val="21"/>
                <w:highlight w:val="none"/>
                <w:lang w:val="en-US" w:eastAsia="zh-CN"/>
              </w:rPr>
              <w:t>µ</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m”，同时满足《碎屑岩油藏注水水质指标技术要求及分析方法》（SY/T5329-2022）相应标准限值，回注地下开采油层。</w:t>
            </w:r>
          </w:p>
          <w:p w14:paraId="79FC41F9">
            <w:pPr>
              <w:spacing w:line="320" w:lineRule="exact"/>
              <w:ind w:firstLine="420" w:firstLineChars="200"/>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本项目</w:t>
            </w:r>
            <w:r>
              <w:rPr>
                <w:rFonts w:hint="eastAsia" w:ascii="Times New Roman" w:hAnsi="Times New Roman" w:eastAsia="宋体" w:cs="Times New Roman"/>
                <w:caps w:val="0"/>
                <w:smallCaps w:val="0"/>
                <w:color w:val="auto"/>
                <w:spacing w:val="0"/>
                <w:w w:val="100"/>
                <w:kern w:val="2"/>
                <w:position w:val="0"/>
                <w:sz w:val="21"/>
                <w:szCs w:val="21"/>
                <w:highlight w:val="none"/>
                <w:lang w:val="de-DE" w:eastAsia="zh-CN"/>
              </w:rPr>
              <w:t>新建管线试压废水及废弃管线清洗废水</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依托</w:t>
            </w:r>
            <w:r>
              <w:rPr>
                <w:rFonts w:hint="eastAsia" w:ascii="Times New Roman" w:hAnsi="Times New Roman" w:cs="Times New Roman"/>
                <w:caps w:val="0"/>
                <w:smallCaps w:val="0"/>
                <w:color w:val="auto"/>
                <w:spacing w:val="0"/>
                <w:w w:val="100"/>
                <w:kern w:val="2"/>
                <w:position w:val="0"/>
                <w:sz w:val="21"/>
                <w:szCs w:val="21"/>
                <w:highlight w:val="none"/>
                <w:lang w:val="en-US" w:eastAsia="zh-CN"/>
              </w:rPr>
              <w:t>卫一联含油污水深度处理站</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进行处理，新建管线试压废水</w:t>
            </w:r>
            <w:r>
              <w:rPr>
                <w:rFonts w:hint="eastAsia" w:ascii="Times New Roman" w:hAnsi="Times New Roman" w:cs="Times New Roman"/>
                <w:caps w:val="0"/>
                <w:smallCaps w:val="0"/>
                <w:color w:val="auto"/>
                <w:spacing w:val="0"/>
                <w:w w:val="100"/>
                <w:kern w:val="2"/>
                <w:position w:val="0"/>
                <w:sz w:val="21"/>
                <w:szCs w:val="21"/>
                <w:highlight w:val="none"/>
                <w:lang w:val="en-US" w:eastAsia="zh-CN"/>
              </w:rPr>
              <w:t>90.44</w:t>
            </w:r>
            <w:r>
              <w:rPr>
                <w:rFonts w:ascii="Times New Roman" w:hAnsi="Times New Roman" w:cs="Times New Roman" w:eastAsiaTheme="minorEastAsia"/>
                <w:bCs/>
                <w:caps w:val="0"/>
                <w:smallCaps w:val="0"/>
                <w:color w:val="auto"/>
                <w:spacing w:val="0"/>
                <w:w w:val="100"/>
                <w:kern w:val="21"/>
                <w:position w:val="0"/>
                <w:sz w:val="21"/>
                <w:szCs w:val="21"/>
                <w:highlight w:val="none"/>
              </w:rPr>
              <w:t>m</w:t>
            </w:r>
            <w:r>
              <w:rPr>
                <w:rFonts w:ascii="Times New Roman" w:hAnsi="Times New Roman" w:cs="Times New Roman" w:eastAsiaTheme="minorEastAsia"/>
                <w:bCs/>
                <w:caps w:val="0"/>
                <w:smallCaps w:val="0"/>
                <w:color w:val="auto"/>
                <w:spacing w:val="0"/>
                <w:w w:val="100"/>
                <w:kern w:val="21"/>
                <w:position w:val="0"/>
                <w:sz w:val="21"/>
                <w:szCs w:val="21"/>
                <w:highlight w:val="none"/>
                <w:vertAlign w:val="superscript"/>
              </w:rPr>
              <w:t>3</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、废弃管道清洗废水</w:t>
            </w:r>
            <w:r>
              <w:rPr>
                <w:rFonts w:hint="eastAsia" w:ascii="Times New Roman" w:hAnsi="Times New Roman" w:cs="Times New Roman"/>
                <w:caps w:val="0"/>
                <w:smallCaps w:val="0"/>
                <w:color w:val="auto"/>
                <w:spacing w:val="0"/>
                <w:w w:val="100"/>
                <w:kern w:val="2"/>
                <w:position w:val="0"/>
                <w:sz w:val="21"/>
                <w:szCs w:val="21"/>
                <w:highlight w:val="none"/>
                <w:lang w:val="en-US" w:eastAsia="zh-CN"/>
              </w:rPr>
              <w:t>271.32</w:t>
            </w:r>
            <w:r>
              <w:rPr>
                <w:rFonts w:ascii="Times New Roman" w:hAnsi="Times New Roman" w:cs="Times New Roman" w:eastAsiaTheme="minorEastAsia"/>
                <w:bCs/>
                <w:caps w:val="0"/>
                <w:smallCaps w:val="0"/>
                <w:color w:val="auto"/>
                <w:spacing w:val="0"/>
                <w:w w:val="100"/>
                <w:kern w:val="21"/>
                <w:position w:val="0"/>
                <w:sz w:val="21"/>
                <w:szCs w:val="21"/>
                <w:highlight w:val="none"/>
              </w:rPr>
              <w:t>m</w:t>
            </w:r>
            <w:r>
              <w:rPr>
                <w:rFonts w:ascii="Times New Roman" w:hAnsi="Times New Roman" w:cs="Times New Roman" w:eastAsiaTheme="minorEastAsia"/>
                <w:bCs/>
                <w:caps w:val="0"/>
                <w:smallCaps w:val="0"/>
                <w:color w:val="auto"/>
                <w:spacing w:val="0"/>
                <w:w w:val="100"/>
                <w:kern w:val="21"/>
                <w:position w:val="0"/>
                <w:sz w:val="21"/>
                <w:szCs w:val="21"/>
                <w:highlight w:val="none"/>
                <w:vertAlign w:val="superscript"/>
              </w:rPr>
              <w:t>3</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，新增本项目施工期废水后，</w:t>
            </w:r>
            <w:r>
              <w:rPr>
                <w:rFonts w:hint="eastAsia" w:ascii="Times New Roman" w:hAnsi="Times New Roman" w:cs="Times New Roman"/>
                <w:caps w:val="0"/>
                <w:smallCaps w:val="0"/>
                <w:color w:val="auto"/>
                <w:spacing w:val="0"/>
                <w:w w:val="100"/>
                <w:kern w:val="2"/>
                <w:position w:val="0"/>
                <w:sz w:val="21"/>
                <w:szCs w:val="21"/>
                <w:highlight w:val="none"/>
                <w:lang w:val="en-US" w:eastAsia="zh-CN"/>
              </w:rPr>
              <w:t>卫一联含油污水深度处理站</w:t>
            </w:r>
            <w: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t>剩余处理能力满足本项目需求，本项目依托可行。</w:t>
            </w:r>
          </w:p>
        </w:tc>
        <w:tc>
          <w:tcPr>
            <w:tcW w:w="674" w:type="dxa"/>
            <w:vAlign w:val="center"/>
          </w:tcPr>
          <w:p w14:paraId="31B7A101">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依托</w:t>
            </w:r>
          </w:p>
        </w:tc>
      </w:tr>
      <w:tr w14:paraId="7848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23639235">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147" w:type="dxa"/>
            <w:gridSpan w:val="3"/>
            <w:vAlign w:val="center"/>
          </w:tcPr>
          <w:p w14:paraId="72AA4D76">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第八采油厂工业固废填埋场</w:t>
            </w:r>
          </w:p>
        </w:tc>
        <w:tc>
          <w:tcPr>
            <w:tcW w:w="5600" w:type="dxa"/>
            <w:vAlign w:val="center"/>
          </w:tcPr>
          <w:p w14:paraId="190CDE65">
            <w:pPr>
              <w:spacing w:line="320" w:lineRule="exact"/>
              <w:ind w:firstLine="420" w:firstLineChars="200"/>
              <w:jc w:val="both"/>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第八采油厂工业固废填埋场位于大庆市肇州县新福乡双龙山北侧1.8km、乐业村东南1.05km处，占地面积1.91hm</w:t>
            </w:r>
            <w:r>
              <w:rPr>
                <w:rFonts w:hint="eastAsia" w:ascii="Times New Roman" w:hAnsi="Times New Roman" w:cs="Times New Roman"/>
                <w:caps w:val="0"/>
                <w:smallCaps w:val="0"/>
                <w:color w:val="auto"/>
                <w:spacing w:val="0"/>
                <w:w w:val="100"/>
                <w:kern w:val="2"/>
                <w:position w:val="0"/>
                <w:sz w:val="21"/>
                <w:szCs w:val="21"/>
                <w:highlight w:val="none"/>
                <w:vertAlign w:val="superscript"/>
              </w:rPr>
              <w:t>2</w:t>
            </w:r>
            <w:r>
              <w:rPr>
                <w:rFonts w:hint="eastAsia" w:ascii="Times New Roman" w:hAnsi="Times New Roman" w:cs="Times New Roman"/>
                <w:caps w:val="0"/>
                <w:smallCaps w:val="0"/>
                <w:color w:val="auto"/>
                <w:spacing w:val="0"/>
                <w:w w:val="100"/>
                <w:kern w:val="2"/>
                <w:position w:val="0"/>
                <w:sz w:val="21"/>
                <w:szCs w:val="21"/>
                <w:highlight w:val="none"/>
              </w:rPr>
              <w:t>。第八采油厂工业固废填埋场现阶段运行稳定，总容量为11624m</w:t>
            </w:r>
            <w:r>
              <w:rPr>
                <w:rFonts w:hint="eastAsia" w:ascii="Times New Roman" w:hAnsi="Times New Roman" w:cs="Times New Roman"/>
                <w:caps w:val="0"/>
                <w:smallCaps w:val="0"/>
                <w:color w:val="auto"/>
                <w:spacing w:val="0"/>
                <w:w w:val="100"/>
                <w:kern w:val="2"/>
                <w:position w:val="0"/>
                <w:sz w:val="21"/>
                <w:szCs w:val="21"/>
                <w:highlight w:val="none"/>
                <w:vertAlign w:val="superscript"/>
              </w:rPr>
              <w:t>3</w:t>
            </w:r>
            <w:r>
              <w:rPr>
                <w:rFonts w:hint="eastAsia" w:ascii="Times New Roman" w:hAnsi="Times New Roman" w:cs="Times New Roman"/>
                <w:caps w:val="0"/>
                <w:smallCaps w:val="0"/>
                <w:color w:val="auto"/>
                <w:spacing w:val="0"/>
                <w:w w:val="100"/>
                <w:kern w:val="2"/>
                <w:position w:val="0"/>
                <w:sz w:val="21"/>
                <w:szCs w:val="21"/>
                <w:highlight w:val="none"/>
              </w:rPr>
              <w:t>，目前实际容纳约8800m</w:t>
            </w:r>
            <w:r>
              <w:rPr>
                <w:rFonts w:hint="eastAsia" w:ascii="Times New Roman" w:hAnsi="Times New Roman" w:cs="Times New Roman"/>
                <w:caps w:val="0"/>
                <w:smallCaps w:val="0"/>
                <w:color w:val="auto"/>
                <w:spacing w:val="0"/>
                <w:w w:val="100"/>
                <w:kern w:val="2"/>
                <w:position w:val="0"/>
                <w:sz w:val="21"/>
                <w:szCs w:val="21"/>
                <w:highlight w:val="none"/>
                <w:vertAlign w:val="superscript"/>
              </w:rPr>
              <w:t>3</w:t>
            </w:r>
            <w:r>
              <w:rPr>
                <w:rFonts w:hint="eastAsia" w:ascii="Times New Roman" w:hAnsi="Times New Roman" w:cs="Times New Roman"/>
                <w:caps w:val="0"/>
                <w:smallCaps w:val="0"/>
                <w:color w:val="auto"/>
                <w:spacing w:val="0"/>
                <w:w w:val="100"/>
                <w:kern w:val="2"/>
                <w:position w:val="0"/>
                <w:sz w:val="21"/>
                <w:szCs w:val="21"/>
                <w:highlight w:val="none"/>
              </w:rPr>
              <w:t>，剩余能力为2824m</w:t>
            </w:r>
            <w:r>
              <w:rPr>
                <w:rFonts w:hint="eastAsia" w:ascii="Times New Roman" w:hAnsi="Times New Roman" w:cs="Times New Roman"/>
                <w:caps w:val="0"/>
                <w:smallCaps w:val="0"/>
                <w:color w:val="auto"/>
                <w:spacing w:val="0"/>
                <w:w w:val="100"/>
                <w:kern w:val="2"/>
                <w:position w:val="0"/>
                <w:sz w:val="21"/>
                <w:szCs w:val="21"/>
                <w:highlight w:val="none"/>
                <w:vertAlign w:val="superscript"/>
              </w:rPr>
              <w:t>3</w:t>
            </w:r>
            <w:r>
              <w:rPr>
                <w:rFonts w:hint="eastAsia" w:ascii="Times New Roman" w:hAnsi="Times New Roman" w:cs="Times New Roman"/>
                <w:caps w:val="0"/>
                <w:smallCaps w:val="0"/>
                <w:color w:val="auto"/>
                <w:spacing w:val="0"/>
                <w:w w:val="100"/>
                <w:kern w:val="2"/>
                <w:position w:val="0"/>
                <w:sz w:val="21"/>
                <w:szCs w:val="21"/>
                <w:highlight w:val="none"/>
              </w:rPr>
              <w:t>/a，</w:t>
            </w:r>
            <w:r>
              <w:rPr>
                <w:rFonts w:ascii="Times New Roman" w:hAnsi="Times New Roman" w:cs="Times New Roman" w:eastAsiaTheme="minorEastAsia"/>
                <w:bCs/>
                <w:caps w:val="0"/>
                <w:smallCaps w:val="0"/>
                <w:color w:val="auto"/>
                <w:spacing w:val="0"/>
                <w:w w:val="100"/>
                <w:kern w:val="21"/>
                <w:position w:val="0"/>
                <w:sz w:val="21"/>
                <w:szCs w:val="21"/>
                <w:highlight w:val="none"/>
              </w:rPr>
              <w:t>本工程管道施工废料产生量为</w:t>
            </w:r>
            <w:r>
              <w:rPr>
                <w:rFonts w:hint="eastAsia" w:ascii="Times New Roman" w:hAnsi="Times New Roman" w:cs="Times New Roman" w:eastAsiaTheme="minorEastAsia"/>
                <w:bCs/>
                <w:caps w:val="0"/>
                <w:smallCaps w:val="0"/>
                <w:color w:val="auto"/>
                <w:spacing w:val="0"/>
                <w:w w:val="100"/>
                <w:kern w:val="21"/>
                <w:position w:val="0"/>
                <w:sz w:val="21"/>
                <w:szCs w:val="21"/>
                <w:highlight w:val="none"/>
                <w:lang w:val="en-US" w:eastAsia="zh-CN"/>
              </w:rPr>
              <w:t>0.55</w:t>
            </w:r>
            <w:r>
              <w:rPr>
                <w:rFonts w:ascii="Times New Roman" w:hAnsi="Times New Roman" w:cs="Times New Roman" w:eastAsiaTheme="minorEastAsia"/>
                <w:bCs/>
                <w:caps w:val="0"/>
                <w:smallCaps w:val="0"/>
                <w:color w:val="auto"/>
                <w:spacing w:val="0"/>
                <w:w w:val="100"/>
                <w:kern w:val="21"/>
                <w:position w:val="0"/>
                <w:sz w:val="21"/>
                <w:szCs w:val="21"/>
                <w:highlight w:val="none"/>
              </w:rPr>
              <w:t>t，</w:t>
            </w:r>
            <w:r>
              <w:rPr>
                <w:rFonts w:hint="eastAsia" w:ascii="Times New Roman" w:hAnsi="Times New Roman" w:cs="Times New Roman" w:eastAsiaTheme="minorEastAsia"/>
                <w:bCs/>
                <w:caps w:val="0"/>
                <w:smallCaps w:val="0"/>
                <w:color w:val="auto"/>
                <w:spacing w:val="0"/>
                <w:w w:val="100"/>
                <w:kern w:val="21"/>
                <w:position w:val="0"/>
                <w:sz w:val="21"/>
                <w:szCs w:val="21"/>
                <w:highlight w:val="none"/>
                <w:lang w:eastAsia="zh-CN"/>
              </w:rPr>
              <w:t>第八采油厂工业固废填埋场</w:t>
            </w:r>
            <w:r>
              <w:rPr>
                <w:rFonts w:ascii="Times New Roman" w:hAnsi="Times New Roman" w:cs="Times New Roman" w:eastAsiaTheme="minorEastAsia"/>
                <w:bCs/>
                <w:caps w:val="0"/>
                <w:smallCaps w:val="0"/>
                <w:color w:val="auto"/>
                <w:spacing w:val="0"/>
                <w:w w:val="100"/>
                <w:kern w:val="21"/>
                <w:position w:val="0"/>
                <w:sz w:val="21"/>
                <w:szCs w:val="21"/>
                <w:highlight w:val="none"/>
              </w:rPr>
              <w:t>剩余能力满足本项目需求</w:t>
            </w:r>
            <w:r>
              <w:rPr>
                <w:rFonts w:hint="eastAsia" w:ascii="Times New Roman" w:hAnsi="Times New Roman" w:cs="Times New Roman" w:eastAsiaTheme="minorEastAsia"/>
                <w:bCs/>
                <w:caps w:val="0"/>
                <w:smallCaps w:val="0"/>
                <w:color w:val="auto"/>
                <w:spacing w:val="0"/>
                <w:w w:val="100"/>
                <w:kern w:val="21"/>
                <w:position w:val="0"/>
                <w:sz w:val="21"/>
                <w:szCs w:val="21"/>
                <w:highlight w:val="none"/>
                <w:lang w:eastAsia="zh-CN"/>
              </w:rPr>
              <w:t>，</w:t>
            </w:r>
            <w:r>
              <w:rPr>
                <w:rFonts w:hint="eastAsia" w:ascii="Times New Roman" w:hAnsi="Times New Roman" w:cs="Times New Roman"/>
                <w:caps w:val="0"/>
                <w:smallCaps w:val="0"/>
                <w:color w:val="auto"/>
                <w:spacing w:val="0"/>
                <w:w w:val="100"/>
                <w:kern w:val="2"/>
                <w:position w:val="0"/>
                <w:sz w:val="21"/>
                <w:szCs w:val="21"/>
                <w:highlight w:val="none"/>
              </w:rPr>
              <w:t>本项目依托可行。</w:t>
            </w:r>
          </w:p>
        </w:tc>
        <w:tc>
          <w:tcPr>
            <w:tcW w:w="674" w:type="dxa"/>
            <w:vAlign w:val="center"/>
          </w:tcPr>
          <w:p w14:paraId="67730AE2">
            <w:pPr>
              <w:spacing w:line="34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依托</w:t>
            </w:r>
          </w:p>
        </w:tc>
      </w:tr>
      <w:tr w14:paraId="4F69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Align w:val="center"/>
          </w:tcPr>
          <w:p w14:paraId="4BE53DF6">
            <w:pPr>
              <w:spacing w:line="34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临时工程</w:t>
            </w:r>
          </w:p>
        </w:tc>
        <w:tc>
          <w:tcPr>
            <w:tcW w:w="2147" w:type="dxa"/>
            <w:gridSpan w:val="3"/>
            <w:vAlign w:val="center"/>
          </w:tcPr>
          <w:p w14:paraId="3669BF4A">
            <w:pPr>
              <w:spacing w:line="34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施工期</w:t>
            </w:r>
          </w:p>
        </w:tc>
        <w:tc>
          <w:tcPr>
            <w:tcW w:w="5600" w:type="dxa"/>
            <w:vAlign w:val="center"/>
          </w:tcPr>
          <w:p w14:paraId="22CC6B17">
            <w:pPr>
              <w:spacing w:line="320" w:lineRule="exact"/>
              <w:ind w:firstLine="420" w:firstLineChars="200"/>
              <w:jc w:val="both"/>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本项目管道施工时管材拉运到施工现场，堆存于施工占地区域，不单独设置施工营地和料场。本项目管线施工过程不另设土方堆场，管道施工过程挖方堆存于管道施工作业带中置土带，其中剥离的表土堆存于置土带</w:t>
            </w:r>
            <w:r>
              <w:rPr>
                <w:rFonts w:ascii="Times New Roman" w:hAnsi="Times New Roman" w:cs="Times New Roman" w:eastAsiaTheme="minorEastAsia"/>
                <w:bCs/>
                <w:caps w:val="0"/>
                <w:smallCaps w:val="0"/>
                <w:color w:val="auto"/>
                <w:spacing w:val="0"/>
                <w:w w:val="100"/>
                <w:kern w:val="21"/>
                <w:position w:val="0"/>
                <w:sz w:val="21"/>
                <w:szCs w:val="21"/>
                <w:highlight w:val="none"/>
              </w:rPr>
              <w:t>外侧。本项目</w:t>
            </w:r>
            <w:r>
              <w:rPr>
                <w:rFonts w:hint="eastAsia" w:ascii="Times New Roman" w:hAnsi="Times New Roman" w:cs="Times New Roman" w:eastAsiaTheme="minorEastAsia"/>
                <w:bCs/>
                <w:caps w:val="0"/>
                <w:smallCaps w:val="0"/>
                <w:color w:val="auto"/>
                <w:spacing w:val="0"/>
                <w:w w:val="100"/>
                <w:kern w:val="21"/>
                <w:position w:val="0"/>
                <w:sz w:val="21"/>
                <w:szCs w:val="21"/>
                <w:highlight w:val="none"/>
              </w:rPr>
              <w:t>占地类型</w:t>
            </w:r>
            <w:r>
              <w:rPr>
                <w:rFonts w:ascii="Times New Roman" w:hAnsi="Times New Roman" w:cs="Times New Roman" w:eastAsiaTheme="minorEastAsia"/>
                <w:bCs/>
                <w:caps w:val="0"/>
                <w:smallCaps w:val="0"/>
                <w:color w:val="auto"/>
                <w:spacing w:val="0"/>
                <w:w w:val="100"/>
                <w:kern w:val="21"/>
                <w:position w:val="0"/>
                <w:sz w:val="21"/>
                <w:szCs w:val="21"/>
                <w:highlight w:val="none"/>
              </w:rPr>
              <w:t>为</w:t>
            </w:r>
            <w:r>
              <w:rPr>
                <w:rFonts w:ascii="Times New Roman" w:hAnsi="Times New Roman" w:cs="Times New Roman" w:eastAsiaTheme="minorEastAsia"/>
                <w:bCs/>
                <w:caps w:val="0"/>
                <w:smallCaps w:val="0"/>
                <w:color w:val="auto"/>
                <w:spacing w:val="0"/>
                <w:w w:val="100"/>
                <w:kern w:val="21"/>
                <w:position w:val="0"/>
                <w:sz w:val="21"/>
                <w:szCs w:val="21"/>
                <w:highlight w:val="none"/>
                <w:lang w:val="en-US"/>
              </w:rPr>
              <w:t>耕地（永久基本农田）及草地（非基本草原）</w:t>
            </w:r>
            <w:r>
              <w:rPr>
                <w:rFonts w:ascii="Times New Roman" w:hAnsi="Times New Roman" w:cs="Times New Roman" w:eastAsiaTheme="minorEastAsia"/>
                <w:bCs/>
                <w:caps w:val="0"/>
                <w:smallCaps w:val="0"/>
                <w:color w:val="auto"/>
                <w:spacing w:val="0"/>
                <w:w w:val="100"/>
                <w:kern w:val="21"/>
                <w:position w:val="0"/>
                <w:sz w:val="21"/>
                <w:szCs w:val="21"/>
                <w:highlight w:val="none"/>
              </w:rPr>
              <w:t>等，为尽量减小占地面积，本项目尽量设置较少的临时施工便道，</w:t>
            </w:r>
            <w:r>
              <w:rPr>
                <w:rFonts w:ascii="Times New Roman" w:hAnsi="Times New Roman" w:cs="Times New Roman" w:eastAsiaTheme="minorEastAsia"/>
                <w:bCs/>
                <w:caps w:val="0"/>
                <w:smallCaps w:val="0"/>
                <w:color w:val="auto"/>
                <w:spacing w:val="0"/>
                <w:w w:val="100"/>
                <w:kern w:val="21"/>
                <w:position w:val="0"/>
                <w:sz w:val="21"/>
                <w:szCs w:val="21"/>
                <w:highlight w:val="none"/>
              </w:rPr>
              <w:t>并将临时施工便道的占地纳入管道作业带的占地面积。</w:t>
            </w:r>
          </w:p>
        </w:tc>
        <w:tc>
          <w:tcPr>
            <w:tcW w:w="674" w:type="dxa"/>
            <w:vAlign w:val="center"/>
          </w:tcPr>
          <w:p w14:paraId="68620FFB">
            <w:pPr>
              <w:spacing w:line="340" w:lineRule="exact"/>
              <w:jc w:val="center"/>
              <w:rPr>
                <w:rFonts w:ascii="Times New Roman" w:hAnsi="Times New Roman" w:cs="Times New Roman" w:eastAsiaTheme="minorEastAsia"/>
                <w:bCs/>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临时</w:t>
            </w:r>
          </w:p>
        </w:tc>
      </w:tr>
    </w:tbl>
    <w:p w14:paraId="362FFF6C">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430" w:name="_Toc219900382"/>
      <w:r>
        <w:rPr>
          <w:rFonts w:ascii="Times New Roman" w:hAnsi="Times New Roman" w:eastAsiaTheme="minorEastAsia"/>
          <w:b/>
          <w:caps w:val="0"/>
          <w:smallCaps w:val="0"/>
          <w:snapToGrid w:val="0"/>
          <w:color w:val="auto"/>
          <w:spacing w:val="0"/>
          <w:w w:val="100"/>
          <w:position w:val="0"/>
          <w:highlight w:val="none"/>
        </w:rPr>
        <w:t>3.4工程建设方案</w:t>
      </w:r>
      <w:bookmarkEnd w:id="430"/>
    </w:p>
    <w:p w14:paraId="05640781">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431" w:name="_Toc67860125"/>
      <w:bookmarkStart w:id="432" w:name="_Toc85640749"/>
      <w:bookmarkStart w:id="433" w:name="_Toc110438472"/>
      <w:bookmarkStart w:id="434" w:name="_Toc80971374"/>
      <w:bookmarkStart w:id="435" w:name="_Toc76976240"/>
      <w:bookmarkStart w:id="436" w:name="_Toc77067656"/>
      <w:bookmarkStart w:id="437" w:name="_Toc70050172"/>
      <w:bookmarkStart w:id="438" w:name="_Toc83209469"/>
      <w:bookmarkStart w:id="439" w:name="_Toc78816457"/>
      <w:bookmarkStart w:id="440" w:name="_Toc84929225"/>
      <w:bookmarkStart w:id="441" w:name="_Toc86141928"/>
      <w:bookmarkStart w:id="442" w:name="_Toc80588252"/>
      <w:bookmarkStart w:id="443" w:name="_Toc61597218"/>
      <w:r>
        <w:rPr>
          <w:rFonts w:eastAsiaTheme="minorEastAsia"/>
          <w:b/>
          <w:caps w:val="0"/>
          <w:smallCaps w:val="0"/>
          <w:color w:val="auto"/>
          <w:spacing w:val="0"/>
          <w:w w:val="100"/>
          <w:kern w:val="2"/>
          <w:position w:val="0"/>
          <w:sz w:val="24"/>
          <w:szCs w:val="24"/>
          <w:highlight w:val="none"/>
        </w:rPr>
        <w:t>3.4.1</w:t>
      </w:r>
      <w:bookmarkEnd w:id="431"/>
      <w:bookmarkEnd w:id="432"/>
      <w:bookmarkEnd w:id="433"/>
      <w:bookmarkEnd w:id="434"/>
      <w:bookmarkEnd w:id="435"/>
      <w:bookmarkEnd w:id="436"/>
      <w:bookmarkEnd w:id="437"/>
      <w:bookmarkEnd w:id="438"/>
      <w:bookmarkEnd w:id="439"/>
      <w:bookmarkEnd w:id="440"/>
      <w:bookmarkEnd w:id="441"/>
      <w:bookmarkEnd w:id="442"/>
      <w:r>
        <w:rPr>
          <w:rFonts w:eastAsiaTheme="minorEastAsia"/>
          <w:b/>
          <w:caps w:val="0"/>
          <w:smallCaps w:val="0"/>
          <w:color w:val="auto"/>
          <w:spacing w:val="0"/>
          <w:w w:val="100"/>
          <w:kern w:val="2"/>
          <w:position w:val="0"/>
          <w:sz w:val="24"/>
          <w:szCs w:val="24"/>
          <w:highlight w:val="none"/>
        </w:rPr>
        <w:t>新建管道工程</w:t>
      </w:r>
    </w:p>
    <w:p w14:paraId="034B7E88">
      <w:pPr>
        <w:widowControl w:val="0"/>
        <w:autoSpaceDE w:val="0"/>
        <w:autoSpaceDN w:val="0"/>
        <w:spacing w:line="440" w:lineRule="exact"/>
        <w:ind w:firstLine="480" w:firstLineChars="200"/>
        <w:jc w:val="both"/>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pPr>
      <w:r>
        <w:rPr>
          <w:rFonts w:ascii="Times New Roman" w:hAnsi="Times New Roman" w:cs="Times New Roman" w:eastAsiaTheme="minorEastAsia"/>
          <w:bCs/>
          <w:caps w:val="0"/>
          <w:smallCaps w:val="0"/>
          <w:snapToGrid w:val="0"/>
          <w:color w:val="auto"/>
          <w:spacing w:val="0"/>
          <w:w w:val="100"/>
          <w:position w:val="0"/>
          <w:highlight w:val="none"/>
        </w:rPr>
        <w:t>本项目</w:t>
      </w:r>
      <w:r>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t>整体更换站间管道 1 条，局部更换站间管道 1 条，长度共计 8.29km。整体更换集油环管道1个，局部更换集油环管道2个，长度共计7.83km。</w:t>
      </w:r>
    </w:p>
    <w:p w14:paraId="7FE00E05">
      <w:pPr>
        <w:widowControl w:val="0"/>
        <w:autoSpaceDE w:val="0"/>
        <w:autoSpaceDN w:val="0"/>
        <w:spacing w:line="440" w:lineRule="exact"/>
        <w:ind w:firstLine="480" w:firstLineChars="200"/>
        <w:jc w:val="both"/>
        <w:rPr>
          <w:rFonts w:ascii="Times New Roman" w:hAnsi="Times New Roman" w:cs="Times New Roman" w:eastAsiaTheme="minorEastAsia"/>
          <w:bCs/>
          <w:caps w:val="0"/>
          <w:smallCaps w:val="0"/>
          <w:snapToGrid w:val="0"/>
          <w:color w:val="auto"/>
          <w:spacing w:val="0"/>
          <w:w w:val="100"/>
          <w:position w:val="0"/>
          <w:highlight w:val="none"/>
        </w:rPr>
      </w:pPr>
      <w:r>
        <w:rPr>
          <w:rFonts w:ascii="Times New Roman" w:hAnsi="Times New Roman" w:cs="Times New Roman" w:eastAsiaTheme="minorEastAsia"/>
          <w:bCs/>
          <w:caps w:val="0"/>
          <w:smallCaps w:val="0"/>
          <w:snapToGrid w:val="0"/>
          <w:color w:val="auto"/>
          <w:spacing w:val="0"/>
          <w:w w:val="100"/>
          <w:position w:val="0"/>
          <w:highlight w:val="none"/>
        </w:rPr>
        <w:t>本项目</w:t>
      </w:r>
      <w:r>
        <w:rPr>
          <w:rFonts w:hint="eastAsia" w:ascii="Times New Roman" w:hAnsi="Times New Roman" w:cs="Times New Roman" w:eastAsiaTheme="minorEastAsia"/>
          <w:bCs/>
          <w:caps w:val="0"/>
          <w:smallCaps w:val="0"/>
          <w:snapToGrid w:val="0"/>
          <w:color w:val="auto"/>
          <w:spacing w:val="0"/>
          <w:w w:val="100"/>
          <w:position w:val="0"/>
          <w:highlight w:val="none"/>
        </w:rPr>
        <w:t>拟建</w:t>
      </w:r>
      <w:r>
        <w:rPr>
          <w:rFonts w:ascii="Times New Roman" w:hAnsi="Times New Roman" w:cs="Times New Roman" w:eastAsiaTheme="minorEastAsia"/>
          <w:bCs/>
          <w:caps w:val="0"/>
          <w:smallCaps w:val="0"/>
          <w:snapToGrid w:val="0"/>
          <w:color w:val="auto"/>
          <w:spacing w:val="0"/>
          <w:w w:val="100"/>
          <w:position w:val="0"/>
          <w:highlight w:val="none"/>
        </w:rPr>
        <w:t>管道</w:t>
      </w:r>
      <w:r>
        <w:rPr>
          <w:rFonts w:hint="eastAsia" w:ascii="Times New Roman" w:hAnsi="Times New Roman" w:cs="Times New Roman" w:eastAsiaTheme="minorEastAsia"/>
          <w:bCs/>
          <w:caps w:val="0"/>
          <w:smallCaps w:val="0"/>
          <w:snapToGrid w:val="0"/>
          <w:color w:val="auto"/>
          <w:spacing w:val="0"/>
          <w:w w:val="100"/>
          <w:position w:val="0"/>
          <w:highlight w:val="none"/>
        </w:rPr>
        <w:t>统计</w:t>
      </w:r>
      <w:r>
        <w:rPr>
          <w:rFonts w:ascii="Times New Roman" w:hAnsi="Times New Roman" w:cs="Times New Roman" w:eastAsiaTheme="minorEastAsia"/>
          <w:bCs/>
          <w:caps w:val="0"/>
          <w:smallCaps w:val="0"/>
          <w:snapToGrid w:val="0"/>
          <w:color w:val="auto"/>
          <w:spacing w:val="0"/>
          <w:w w:val="100"/>
          <w:position w:val="0"/>
          <w:highlight w:val="none"/>
        </w:rPr>
        <w:t>见表</w:t>
      </w:r>
      <w:r>
        <w:rPr>
          <w:rFonts w:hint="eastAsia" w:ascii="Times New Roman" w:hAnsi="Times New Roman" w:cs="Times New Roman" w:eastAsiaTheme="minorEastAsia"/>
          <w:bCs/>
          <w:caps w:val="0"/>
          <w:smallCaps w:val="0"/>
          <w:snapToGrid w:val="0"/>
          <w:color w:val="auto"/>
          <w:spacing w:val="0"/>
          <w:w w:val="100"/>
          <w:position w:val="0"/>
          <w:highlight w:val="none"/>
        </w:rPr>
        <w:t>3</w:t>
      </w:r>
      <w:r>
        <w:rPr>
          <w:rFonts w:ascii="Times New Roman" w:hAnsi="Times New Roman" w:cs="Times New Roman" w:eastAsiaTheme="minorEastAsia"/>
          <w:bCs/>
          <w:caps w:val="0"/>
          <w:smallCaps w:val="0"/>
          <w:snapToGrid w:val="0"/>
          <w:color w:val="auto"/>
          <w:spacing w:val="0"/>
          <w:w w:val="100"/>
          <w:position w:val="0"/>
          <w:highlight w:val="none"/>
        </w:rPr>
        <w:t>.4-1，</w:t>
      </w:r>
      <w:r>
        <w:rPr>
          <w:rFonts w:hint="eastAsia" w:ascii="Times New Roman" w:hAnsi="Times New Roman" w:cs="Times New Roman" w:eastAsiaTheme="minorEastAsia"/>
          <w:bCs/>
          <w:caps w:val="0"/>
          <w:smallCaps w:val="0"/>
          <w:snapToGrid w:val="0"/>
          <w:color w:val="auto"/>
          <w:spacing w:val="0"/>
          <w:w w:val="100"/>
          <w:position w:val="0"/>
          <w:highlight w:val="none"/>
        </w:rPr>
        <w:t>项目拟建管道坐标统计见表3</w:t>
      </w:r>
      <w:r>
        <w:rPr>
          <w:rFonts w:ascii="Times New Roman" w:hAnsi="Times New Roman" w:cs="Times New Roman" w:eastAsiaTheme="minorEastAsia"/>
          <w:bCs/>
          <w:caps w:val="0"/>
          <w:smallCaps w:val="0"/>
          <w:snapToGrid w:val="0"/>
          <w:color w:val="auto"/>
          <w:spacing w:val="0"/>
          <w:w w:val="100"/>
          <w:position w:val="0"/>
          <w:highlight w:val="none"/>
        </w:rPr>
        <w:t>.4-2。</w:t>
      </w:r>
    </w:p>
    <w:p w14:paraId="368AFB47">
      <w:pPr>
        <w:widowControl w:val="0"/>
        <w:autoSpaceDE w:val="0"/>
        <w:autoSpaceDN w:val="0"/>
        <w:spacing w:line="440" w:lineRule="exact"/>
        <w:ind w:firstLine="482" w:firstLineChars="200"/>
        <w:jc w:val="both"/>
        <w:rPr>
          <w:rFonts w:ascii="Times New Roman" w:hAnsi="Times New Roman" w:cs="Times New Roman" w:eastAsiaTheme="minorEastAsia"/>
          <w:b/>
          <w:caps w:val="0"/>
          <w:smallCaps w:val="0"/>
          <w:snapToGrid w:val="0"/>
          <w:color w:val="auto"/>
          <w:spacing w:val="0"/>
          <w:w w:val="100"/>
          <w:position w:val="0"/>
          <w:highlight w:val="none"/>
        </w:rPr>
      </w:pPr>
      <w:r>
        <w:rPr>
          <w:rFonts w:ascii="Times New Roman" w:hAnsi="Times New Roman" w:cs="Times New Roman" w:eastAsiaTheme="minorEastAsia"/>
          <w:b/>
          <w:bCs/>
          <w:caps w:val="0"/>
          <w:smallCaps w:val="0"/>
          <w:snapToGrid w:val="0"/>
          <w:color w:val="auto"/>
          <w:spacing w:val="0"/>
          <w:w w:val="100"/>
          <w:position w:val="0"/>
          <w:highlight w:val="none"/>
        </w:rPr>
        <w:t>表</w:t>
      </w:r>
      <w:r>
        <w:rPr>
          <w:rFonts w:hint="eastAsia" w:ascii="Times New Roman" w:hAnsi="Times New Roman" w:cs="Times New Roman" w:eastAsiaTheme="minorEastAsia"/>
          <w:b/>
          <w:bCs/>
          <w:caps w:val="0"/>
          <w:smallCaps w:val="0"/>
          <w:snapToGrid w:val="0"/>
          <w:color w:val="auto"/>
          <w:spacing w:val="0"/>
          <w:w w:val="100"/>
          <w:position w:val="0"/>
          <w:highlight w:val="none"/>
        </w:rPr>
        <w:t>3</w:t>
      </w:r>
      <w:r>
        <w:rPr>
          <w:rFonts w:ascii="Times New Roman" w:hAnsi="Times New Roman" w:cs="Times New Roman" w:eastAsiaTheme="minorEastAsia"/>
          <w:b/>
          <w:bCs/>
          <w:caps w:val="0"/>
          <w:smallCaps w:val="0"/>
          <w:snapToGrid w:val="0"/>
          <w:color w:val="auto"/>
          <w:spacing w:val="0"/>
          <w:w w:val="100"/>
          <w:position w:val="0"/>
          <w:highlight w:val="none"/>
        </w:rPr>
        <w:t>.4-1    本项目</w:t>
      </w:r>
      <w:r>
        <w:rPr>
          <w:rFonts w:hint="eastAsia" w:ascii="Times New Roman" w:hAnsi="Times New Roman" w:cs="Times New Roman" w:eastAsiaTheme="minorEastAsia"/>
          <w:b/>
          <w:bCs/>
          <w:caps w:val="0"/>
          <w:smallCaps w:val="0"/>
          <w:snapToGrid w:val="0"/>
          <w:color w:val="auto"/>
          <w:spacing w:val="0"/>
          <w:w w:val="100"/>
          <w:position w:val="0"/>
          <w:highlight w:val="none"/>
        </w:rPr>
        <w:t>拟建</w:t>
      </w:r>
      <w:r>
        <w:rPr>
          <w:rFonts w:ascii="Times New Roman" w:hAnsi="Times New Roman" w:cs="Times New Roman" w:eastAsiaTheme="minorEastAsia"/>
          <w:b/>
          <w:bCs/>
          <w:caps w:val="0"/>
          <w:smallCaps w:val="0"/>
          <w:snapToGrid w:val="0"/>
          <w:color w:val="auto"/>
          <w:spacing w:val="0"/>
          <w:w w:val="100"/>
          <w:position w:val="0"/>
          <w:highlight w:val="none"/>
        </w:rPr>
        <w:t>管道</w:t>
      </w:r>
      <w:r>
        <w:rPr>
          <w:rFonts w:hint="eastAsia" w:ascii="Times New Roman" w:hAnsi="Times New Roman" w:cs="Times New Roman" w:eastAsiaTheme="minorEastAsia"/>
          <w:b/>
          <w:bCs/>
          <w:caps w:val="0"/>
          <w:smallCaps w:val="0"/>
          <w:snapToGrid w:val="0"/>
          <w:color w:val="auto"/>
          <w:spacing w:val="0"/>
          <w:w w:val="100"/>
          <w:position w:val="0"/>
          <w:highlight w:val="none"/>
        </w:rPr>
        <w:t>统计表</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692"/>
        <w:gridCol w:w="1829"/>
        <w:gridCol w:w="700"/>
        <w:gridCol w:w="728"/>
        <w:gridCol w:w="728"/>
        <w:gridCol w:w="699"/>
        <w:gridCol w:w="1375"/>
        <w:gridCol w:w="925"/>
        <w:gridCol w:w="1221"/>
      </w:tblGrid>
      <w:tr w14:paraId="72EC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1F7A843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序号</w:t>
            </w:r>
          </w:p>
        </w:tc>
        <w:tc>
          <w:tcPr>
            <w:tcW w:w="362" w:type="pct"/>
            <w:vAlign w:val="center"/>
          </w:tcPr>
          <w:p w14:paraId="1965020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管道类别</w:t>
            </w:r>
          </w:p>
        </w:tc>
        <w:tc>
          <w:tcPr>
            <w:tcW w:w="958" w:type="pct"/>
            <w:vAlign w:val="center"/>
          </w:tcPr>
          <w:p w14:paraId="2B89386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管道名称</w:t>
            </w:r>
          </w:p>
        </w:tc>
        <w:tc>
          <w:tcPr>
            <w:tcW w:w="367" w:type="pct"/>
            <w:vAlign w:val="center"/>
          </w:tcPr>
          <w:p w14:paraId="06E1EDC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管道材质</w:t>
            </w:r>
          </w:p>
        </w:tc>
        <w:tc>
          <w:tcPr>
            <w:tcW w:w="381" w:type="pct"/>
            <w:vAlign w:val="center"/>
          </w:tcPr>
          <w:p w14:paraId="45D0487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起点压力</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/Mpa</w:t>
            </w:r>
          </w:p>
        </w:tc>
        <w:tc>
          <w:tcPr>
            <w:tcW w:w="381" w:type="pct"/>
            <w:vAlign w:val="center"/>
          </w:tcPr>
          <w:p w14:paraId="2FB6186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终点</w:t>
            </w:r>
            <w:r>
              <w:rPr>
                <w:rFonts w:ascii="Times New Roman" w:hAnsi="Times New Roman" w:cs="Times New Roman" w:eastAsiaTheme="minorEastAsia"/>
                <w:caps w:val="0"/>
                <w:smallCaps w:val="0"/>
                <w:snapToGrid w:val="0"/>
                <w:color w:val="auto"/>
                <w:spacing w:val="0"/>
                <w:w w:val="100"/>
                <w:position w:val="0"/>
                <w:sz w:val="21"/>
                <w:szCs w:val="21"/>
                <w:highlight w:val="none"/>
              </w:rPr>
              <w:t>压力</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/Mpa</w:t>
            </w:r>
          </w:p>
        </w:tc>
        <w:tc>
          <w:tcPr>
            <w:tcW w:w="366" w:type="pct"/>
            <w:vAlign w:val="center"/>
          </w:tcPr>
          <w:p w14:paraId="0FF92CD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输送介质</w:t>
            </w:r>
          </w:p>
        </w:tc>
        <w:tc>
          <w:tcPr>
            <w:tcW w:w="720" w:type="pct"/>
            <w:vAlign w:val="center"/>
          </w:tcPr>
          <w:p w14:paraId="0A1FC87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拟建管道规格</w:t>
            </w:r>
          </w:p>
        </w:tc>
        <w:tc>
          <w:tcPr>
            <w:tcW w:w="485" w:type="pct"/>
            <w:vAlign w:val="center"/>
          </w:tcPr>
          <w:p w14:paraId="3B2891F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拟建管道长度</w:t>
            </w:r>
          </w:p>
        </w:tc>
        <w:tc>
          <w:tcPr>
            <w:tcW w:w="640" w:type="pct"/>
            <w:vAlign w:val="center"/>
          </w:tcPr>
          <w:p w14:paraId="16FD2C6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备注</w:t>
            </w:r>
          </w:p>
        </w:tc>
      </w:tr>
      <w:tr w14:paraId="6515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360ED52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一</w:t>
            </w:r>
          </w:p>
        </w:tc>
        <w:tc>
          <w:tcPr>
            <w:tcW w:w="4665" w:type="pct"/>
            <w:gridSpan w:val="9"/>
            <w:vAlign w:val="center"/>
          </w:tcPr>
          <w:p w14:paraId="3DF7481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站间管道</w:t>
            </w:r>
          </w:p>
        </w:tc>
      </w:tr>
      <w:tr w14:paraId="6260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23092C9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1</w:t>
            </w:r>
          </w:p>
        </w:tc>
        <w:tc>
          <w:tcPr>
            <w:tcW w:w="362" w:type="pct"/>
            <w:vAlign w:val="center"/>
          </w:tcPr>
          <w:p w14:paraId="34F35DC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掺水管道</w:t>
            </w:r>
          </w:p>
        </w:tc>
        <w:tc>
          <w:tcPr>
            <w:tcW w:w="958" w:type="pct"/>
            <w:vAlign w:val="center"/>
          </w:tcPr>
          <w:p w14:paraId="2F38ABE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卫1转油站至1-6#集油阀组间管线</w:t>
            </w:r>
          </w:p>
        </w:tc>
        <w:tc>
          <w:tcPr>
            <w:tcW w:w="367" w:type="pct"/>
            <w:vAlign w:val="center"/>
          </w:tcPr>
          <w:p w14:paraId="74B5F62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1AD0297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2</w:t>
            </w:r>
          </w:p>
        </w:tc>
        <w:tc>
          <w:tcPr>
            <w:tcW w:w="381" w:type="pct"/>
            <w:vAlign w:val="center"/>
          </w:tcPr>
          <w:p w14:paraId="3BEAB207">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1.97</w:t>
            </w:r>
          </w:p>
        </w:tc>
        <w:tc>
          <w:tcPr>
            <w:tcW w:w="366" w:type="pct"/>
            <w:vAlign w:val="center"/>
          </w:tcPr>
          <w:p w14:paraId="1BAA8E1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含油污水</w:t>
            </w:r>
          </w:p>
        </w:tc>
        <w:tc>
          <w:tcPr>
            <w:tcW w:w="720" w:type="pct"/>
            <w:vAlign w:val="center"/>
          </w:tcPr>
          <w:p w14:paraId="53DEBA4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114</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765EBBA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4.09</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640" w:type="pct"/>
            <w:vAlign w:val="center"/>
          </w:tcPr>
          <w:p w14:paraId="214C580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整体更换</w:t>
            </w:r>
            <w:r>
              <w:rPr>
                <w:rFonts w:ascii="Times New Roman" w:hAnsi="Times New Roman" w:cs="Times New Roman" w:eastAsiaTheme="minorEastAsia"/>
                <w:caps w:val="0"/>
                <w:smallCaps w:val="0"/>
                <w:snapToGrid w:val="0"/>
                <w:color w:val="auto"/>
                <w:spacing w:val="0"/>
                <w:w w:val="100"/>
                <w:position w:val="0"/>
                <w:sz w:val="21"/>
                <w:szCs w:val="21"/>
                <w:highlight w:val="none"/>
              </w:rPr>
              <w:t>，埋深</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2m</w:t>
            </w:r>
          </w:p>
        </w:tc>
      </w:tr>
      <w:tr w14:paraId="7505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222FCEC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w:t>
            </w:r>
          </w:p>
        </w:tc>
        <w:tc>
          <w:tcPr>
            <w:tcW w:w="362" w:type="pct"/>
            <w:vAlign w:val="center"/>
          </w:tcPr>
          <w:p w14:paraId="67DDFB2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掺水管道</w:t>
            </w:r>
          </w:p>
        </w:tc>
        <w:tc>
          <w:tcPr>
            <w:tcW w:w="958" w:type="pct"/>
            <w:vAlign w:val="center"/>
          </w:tcPr>
          <w:p w14:paraId="6C8D694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卫1脱水站至2-9#集油阀组间管线</w:t>
            </w:r>
          </w:p>
        </w:tc>
        <w:tc>
          <w:tcPr>
            <w:tcW w:w="367" w:type="pct"/>
            <w:vAlign w:val="center"/>
          </w:tcPr>
          <w:p w14:paraId="5CB4EAF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3C55775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2</w:t>
            </w:r>
          </w:p>
        </w:tc>
        <w:tc>
          <w:tcPr>
            <w:tcW w:w="381" w:type="pct"/>
            <w:vAlign w:val="center"/>
          </w:tcPr>
          <w:p w14:paraId="7C0B441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1.83</w:t>
            </w:r>
          </w:p>
        </w:tc>
        <w:tc>
          <w:tcPr>
            <w:tcW w:w="366" w:type="pct"/>
            <w:vAlign w:val="center"/>
          </w:tcPr>
          <w:p w14:paraId="5808632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含油污水</w:t>
            </w:r>
          </w:p>
        </w:tc>
        <w:tc>
          <w:tcPr>
            <w:tcW w:w="720" w:type="pct"/>
            <w:vAlign w:val="center"/>
          </w:tcPr>
          <w:p w14:paraId="2FA43BE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114</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4392781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4.2</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640" w:type="pct"/>
            <w:vAlign w:val="center"/>
          </w:tcPr>
          <w:p w14:paraId="7539591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局部</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更换</w:t>
            </w:r>
            <w:r>
              <w:rPr>
                <w:rFonts w:ascii="Times New Roman" w:hAnsi="Times New Roman" w:cs="Times New Roman" w:eastAsiaTheme="minorEastAsia"/>
                <w:caps w:val="0"/>
                <w:smallCaps w:val="0"/>
                <w:snapToGrid w:val="0"/>
                <w:color w:val="auto"/>
                <w:spacing w:val="0"/>
                <w:w w:val="100"/>
                <w:position w:val="0"/>
                <w:sz w:val="21"/>
                <w:szCs w:val="21"/>
                <w:highlight w:val="none"/>
              </w:rPr>
              <w:t>，埋深</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2m</w:t>
            </w:r>
          </w:p>
        </w:tc>
      </w:tr>
      <w:tr w14:paraId="442D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7D1AB4F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二</w:t>
            </w:r>
          </w:p>
        </w:tc>
        <w:tc>
          <w:tcPr>
            <w:tcW w:w="4665" w:type="pct"/>
            <w:gridSpan w:val="9"/>
            <w:vAlign w:val="center"/>
          </w:tcPr>
          <w:p w14:paraId="7F65635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集油环管道</w:t>
            </w:r>
          </w:p>
        </w:tc>
      </w:tr>
      <w:tr w14:paraId="0CFA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0FF8878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一）</w:t>
            </w:r>
          </w:p>
        </w:tc>
        <w:tc>
          <w:tcPr>
            <w:tcW w:w="4025" w:type="pct"/>
            <w:gridSpan w:val="8"/>
            <w:vAlign w:val="center"/>
          </w:tcPr>
          <w:p w14:paraId="72CCD40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1-3-12#集油环</w:t>
            </w:r>
          </w:p>
        </w:tc>
        <w:tc>
          <w:tcPr>
            <w:tcW w:w="640" w:type="pct"/>
            <w:vMerge w:val="restart"/>
            <w:vAlign w:val="center"/>
          </w:tcPr>
          <w:p w14:paraId="5606E7C1">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整体更换</w:t>
            </w:r>
            <w:r>
              <w:rPr>
                <w:rFonts w:ascii="Times New Roman" w:hAnsi="Times New Roman" w:cs="Times New Roman" w:eastAsiaTheme="minorEastAsia"/>
                <w:caps w:val="0"/>
                <w:smallCaps w:val="0"/>
                <w:snapToGrid w:val="0"/>
                <w:color w:val="auto"/>
                <w:spacing w:val="0"/>
                <w:w w:val="100"/>
                <w:position w:val="0"/>
                <w:sz w:val="21"/>
                <w:szCs w:val="21"/>
                <w:highlight w:val="none"/>
              </w:rPr>
              <w:t>，埋深</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2m</w:t>
            </w:r>
          </w:p>
        </w:tc>
      </w:tr>
      <w:tr w14:paraId="571A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63965D3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w:t>
            </w:r>
          </w:p>
        </w:tc>
        <w:tc>
          <w:tcPr>
            <w:tcW w:w="362" w:type="pct"/>
            <w:vAlign w:val="center"/>
          </w:tcPr>
          <w:p w14:paraId="3FE7126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掺水管线</w:t>
            </w:r>
          </w:p>
        </w:tc>
        <w:tc>
          <w:tcPr>
            <w:tcW w:w="958" w:type="pct"/>
            <w:vAlign w:val="center"/>
          </w:tcPr>
          <w:p w14:paraId="4489CEE5">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1-3#集油阀组间至卫2-18-斜35井间管线</w:t>
            </w:r>
          </w:p>
        </w:tc>
        <w:tc>
          <w:tcPr>
            <w:tcW w:w="367" w:type="pct"/>
            <w:vAlign w:val="center"/>
          </w:tcPr>
          <w:p w14:paraId="1451161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7CBAB8A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0.652</w:t>
            </w:r>
          </w:p>
        </w:tc>
        <w:tc>
          <w:tcPr>
            <w:tcW w:w="381" w:type="pct"/>
            <w:vAlign w:val="center"/>
          </w:tcPr>
          <w:p w14:paraId="7B922E3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0.605</w:t>
            </w:r>
          </w:p>
        </w:tc>
        <w:tc>
          <w:tcPr>
            <w:tcW w:w="366" w:type="pct"/>
            <w:vAlign w:val="center"/>
          </w:tcPr>
          <w:p w14:paraId="5ED72D5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含油污水</w:t>
            </w:r>
          </w:p>
        </w:tc>
        <w:tc>
          <w:tcPr>
            <w:tcW w:w="720" w:type="pct"/>
            <w:vAlign w:val="center"/>
          </w:tcPr>
          <w:p w14:paraId="384E442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85" w:type="pct"/>
            <w:vAlign w:val="center"/>
          </w:tcPr>
          <w:p w14:paraId="12B4F91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1.74</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640" w:type="pct"/>
            <w:vMerge w:val="continue"/>
            <w:vAlign w:val="center"/>
          </w:tcPr>
          <w:p w14:paraId="157F887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0B42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31FABAC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2</w:t>
            </w:r>
          </w:p>
        </w:tc>
        <w:tc>
          <w:tcPr>
            <w:tcW w:w="362" w:type="pct"/>
            <w:vAlign w:val="center"/>
          </w:tcPr>
          <w:p w14:paraId="5C64C8C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4B892D8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卫2-18-斜35井至卫2-18-34井间管线</w:t>
            </w:r>
          </w:p>
        </w:tc>
        <w:tc>
          <w:tcPr>
            <w:tcW w:w="367" w:type="pct"/>
            <w:vAlign w:val="center"/>
          </w:tcPr>
          <w:p w14:paraId="67D5890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4B3C62C0">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0.605</w:t>
            </w:r>
          </w:p>
        </w:tc>
        <w:tc>
          <w:tcPr>
            <w:tcW w:w="381" w:type="pct"/>
            <w:vAlign w:val="center"/>
          </w:tcPr>
          <w:p w14:paraId="1369145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0.573</w:t>
            </w:r>
          </w:p>
        </w:tc>
        <w:tc>
          <w:tcPr>
            <w:tcW w:w="366" w:type="pct"/>
            <w:vAlign w:val="center"/>
          </w:tcPr>
          <w:p w14:paraId="79E731A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378716A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85" w:type="pct"/>
            <w:vAlign w:val="center"/>
          </w:tcPr>
          <w:p w14:paraId="60A1016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0.32</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640" w:type="pct"/>
            <w:vMerge w:val="continue"/>
            <w:vAlign w:val="center"/>
          </w:tcPr>
          <w:p w14:paraId="4BFF25D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7114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4848B03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w:t>
            </w:r>
          </w:p>
        </w:tc>
        <w:tc>
          <w:tcPr>
            <w:tcW w:w="362" w:type="pct"/>
            <w:vAlign w:val="center"/>
          </w:tcPr>
          <w:p w14:paraId="094B5B3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73AF6593">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卫2-18-34井至卫2-20-35井间管线</w:t>
            </w:r>
          </w:p>
        </w:tc>
        <w:tc>
          <w:tcPr>
            <w:tcW w:w="367" w:type="pct"/>
            <w:vAlign w:val="center"/>
          </w:tcPr>
          <w:p w14:paraId="201D0D8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1F53038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0.573</w:t>
            </w:r>
          </w:p>
        </w:tc>
        <w:tc>
          <w:tcPr>
            <w:tcW w:w="381" w:type="pct"/>
            <w:vAlign w:val="center"/>
          </w:tcPr>
          <w:p w14:paraId="68058CB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0.544</w:t>
            </w:r>
          </w:p>
        </w:tc>
        <w:tc>
          <w:tcPr>
            <w:tcW w:w="366" w:type="pct"/>
            <w:vAlign w:val="center"/>
          </w:tcPr>
          <w:p w14:paraId="6DD91A3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5226631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85" w:type="pct"/>
            <w:vAlign w:val="center"/>
          </w:tcPr>
          <w:p w14:paraId="1E1BFDF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0.54</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640" w:type="pct"/>
            <w:vMerge w:val="continue"/>
            <w:vAlign w:val="center"/>
          </w:tcPr>
          <w:p w14:paraId="42FB7F7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7A81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451F6E8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w:t>
            </w:r>
          </w:p>
        </w:tc>
        <w:tc>
          <w:tcPr>
            <w:tcW w:w="362" w:type="pct"/>
            <w:vAlign w:val="center"/>
          </w:tcPr>
          <w:p w14:paraId="0C0998B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4AAEBD5E">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卫2-20-35井至卫2-21-35井间管线</w:t>
            </w:r>
          </w:p>
        </w:tc>
        <w:tc>
          <w:tcPr>
            <w:tcW w:w="367" w:type="pct"/>
            <w:vAlign w:val="center"/>
          </w:tcPr>
          <w:p w14:paraId="49C0826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13F17075">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0.544</w:t>
            </w:r>
          </w:p>
        </w:tc>
        <w:tc>
          <w:tcPr>
            <w:tcW w:w="381" w:type="pct"/>
            <w:vAlign w:val="center"/>
          </w:tcPr>
          <w:p w14:paraId="7F53AC73">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0.528</w:t>
            </w:r>
          </w:p>
        </w:tc>
        <w:tc>
          <w:tcPr>
            <w:tcW w:w="366" w:type="pct"/>
            <w:vAlign w:val="center"/>
          </w:tcPr>
          <w:p w14:paraId="2147654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7B705B4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85" w:type="pct"/>
            <w:vAlign w:val="center"/>
          </w:tcPr>
          <w:p w14:paraId="49B3E71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0.23</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640" w:type="pct"/>
            <w:vMerge w:val="continue"/>
            <w:vAlign w:val="center"/>
          </w:tcPr>
          <w:p w14:paraId="17281F7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7550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17C2D33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5</w:t>
            </w:r>
          </w:p>
        </w:tc>
        <w:tc>
          <w:tcPr>
            <w:tcW w:w="362" w:type="pct"/>
            <w:vAlign w:val="center"/>
          </w:tcPr>
          <w:p w14:paraId="58CAEDA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3524850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卫2-21-35井至1-3#集油阀组间间管线</w:t>
            </w:r>
          </w:p>
        </w:tc>
        <w:tc>
          <w:tcPr>
            <w:tcW w:w="367" w:type="pct"/>
            <w:vAlign w:val="center"/>
          </w:tcPr>
          <w:p w14:paraId="068E14A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124D1400">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0.528</w:t>
            </w:r>
          </w:p>
        </w:tc>
        <w:tc>
          <w:tcPr>
            <w:tcW w:w="381" w:type="pct"/>
            <w:vAlign w:val="center"/>
          </w:tcPr>
          <w:p w14:paraId="7F86924B">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0.500</w:t>
            </w:r>
          </w:p>
        </w:tc>
        <w:tc>
          <w:tcPr>
            <w:tcW w:w="366" w:type="pct"/>
            <w:vAlign w:val="center"/>
          </w:tcPr>
          <w:p w14:paraId="1F108E4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300AEED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25416F3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1.51</w:t>
            </w:r>
            <w:r>
              <w:rPr>
                <w:rFonts w:ascii="Times New Roman" w:hAnsi="Times New Roman" w:cs="Times New Roman" w:eastAsiaTheme="minorEastAsia"/>
                <w:caps w:val="0"/>
                <w:smallCaps w:val="0"/>
                <w:snapToGrid w:val="0"/>
                <w:color w:val="auto"/>
                <w:spacing w:val="0"/>
                <w:w w:val="100"/>
                <w:position w:val="0"/>
                <w:sz w:val="21"/>
                <w:szCs w:val="21"/>
                <w:highlight w:val="none"/>
              </w:rPr>
              <w:t>km</w:t>
            </w:r>
          </w:p>
        </w:tc>
        <w:tc>
          <w:tcPr>
            <w:tcW w:w="640" w:type="pct"/>
            <w:vMerge w:val="continue"/>
            <w:vAlign w:val="center"/>
          </w:tcPr>
          <w:p w14:paraId="1765F61E">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2FA8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2D5A7A7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二）</w:t>
            </w:r>
          </w:p>
        </w:tc>
        <w:tc>
          <w:tcPr>
            <w:tcW w:w="4025" w:type="pct"/>
            <w:gridSpan w:val="8"/>
            <w:vAlign w:val="center"/>
          </w:tcPr>
          <w:p w14:paraId="465CE31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1-5-2#集油环</w:t>
            </w:r>
          </w:p>
        </w:tc>
        <w:tc>
          <w:tcPr>
            <w:tcW w:w="640" w:type="pct"/>
            <w:vMerge w:val="restart"/>
            <w:vAlign w:val="center"/>
          </w:tcPr>
          <w:p w14:paraId="6FC2401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局部</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更换</w:t>
            </w:r>
            <w:r>
              <w:rPr>
                <w:rFonts w:ascii="Times New Roman" w:hAnsi="Times New Roman" w:cs="Times New Roman" w:eastAsiaTheme="minorEastAsia"/>
                <w:caps w:val="0"/>
                <w:smallCaps w:val="0"/>
                <w:snapToGrid w:val="0"/>
                <w:color w:val="auto"/>
                <w:spacing w:val="0"/>
                <w:w w:val="100"/>
                <w:position w:val="0"/>
                <w:sz w:val="21"/>
                <w:szCs w:val="21"/>
                <w:highlight w:val="none"/>
              </w:rPr>
              <w:t>，埋深</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2m</w:t>
            </w:r>
          </w:p>
        </w:tc>
      </w:tr>
      <w:tr w14:paraId="20C9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576E8B8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w:t>
            </w:r>
          </w:p>
        </w:tc>
        <w:tc>
          <w:tcPr>
            <w:tcW w:w="362" w:type="pct"/>
            <w:shd w:val="clear" w:color="auto" w:fill="auto"/>
            <w:vAlign w:val="center"/>
          </w:tcPr>
          <w:p w14:paraId="087B843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掺水管线</w:t>
            </w:r>
          </w:p>
        </w:tc>
        <w:tc>
          <w:tcPr>
            <w:tcW w:w="958" w:type="pct"/>
            <w:vAlign w:val="center"/>
          </w:tcPr>
          <w:p w14:paraId="44B3CD0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1-5#集油阀组间至卫 </w:t>
            </w:r>
            <w: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t>1-17-14</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367" w:type="pct"/>
            <w:vAlign w:val="center"/>
          </w:tcPr>
          <w:p w14:paraId="7AEA547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6E3BD2BF">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0.565</w:t>
            </w:r>
          </w:p>
        </w:tc>
        <w:tc>
          <w:tcPr>
            <w:tcW w:w="381" w:type="pct"/>
            <w:vAlign w:val="center"/>
          </w:tcPr>
          <w:p w14:paraId="0F86E3C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0.529</w:t>
            </w:r>
          </w:p>
        </w:tc>
        <w:tc>
          <w:tcPr>
            <w:tcW w:w="366" w:type="pct"/>
            <w:vAlign w:val="center"/>
          </w:tcPr>
          <w:p w14:paraId="2248D51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含油污水</w:t>
            </w:r>
          </w:p>
        </w:tc>
        <w:tc>
          <w:tcPr>
            <w:tcW w:w="720" w:type="pct"/>
            <w:vAlign w:val="center"/>
          </w:tcPr>
          <w:p w14:paraId="588D6A4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85" w:type="pct"/>
            <w:vAlign w:val="center"/>
          </w:tcPr>
          <w:p w14:paraId="42413BA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0.95km</w:t>
            </w:r>
          </w:p>
        </w:tc>
        <w:tc>
          <w:tcPr>
            <w:tcW w:w="640" w:type="pct"/>
            <w:vMerge w:val="continue"/>
            <w:vAlign w:val="center"/>
          </w:tcPr>
          <w:p w14:paraId="70A28D9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3A95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37B70B6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2</w:t>
            </w:r>
          </w:p>
        </w:tc>
        <w:tc>
          <w:tcPr>
            <w:tcW w:w="362" w:type="pct"/>
            <w:shd w:val="clear" w:color="auto" w:fill="auto"/>
            <w:vAlign w:val="center"/>
          </w:tcPr>
          <w:p w14:paraId="6AA70453">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0E493CB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 1-17-14井至卫1-161-斜131井间管线</w:t>
            </w:r>
          </w:p>
        </w:tc>
        <w:tc>
          <w:tcPr>
            <w:tcW w:w="367" w:type="pct"/>
            <w:vAlign w:val="center"/>
          </w:tcPr>
          <w:p w14:paraId="63E7CAD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30545E86">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0.529</w:t>
            </w:r>
          </w:p>
        </w:tc>
        <w:tc>
          <w:tcPr>
            <w:tcW w:w="381" w:type="pct"/>
            <w:vAlign w:val="center"/>
          </w:tcPr>
          <w:p w14:paraId="4E05304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0.526</w:t>
            </w:r>
          </w:p>
        </w:tc>
        <w:tc>
          <w:tcPr>
            <w:tcW w:w="366" w:type="pct"/>
            <w:vAlign w:val="center"/>
          </w:tcPr>
          <w:p w14:paraId="1235916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3D8EFE3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3.5</w:t>
            </w:r>
          </w:p>
        </w:tc>
        <w:tc>
          <w:tcPr>
            <w:tcW w:w="485" w:type="pct"/>
            <w:vAlign w:val="center"/>
          </w:tcPr>
          <w:p w14:paraId="2A097AB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0.03km</w:t>
            </w:r>
          </w:p>
        </w:tc>
        <w:tc>
          <w:tcPr>
            <w:tcW w:w="640" w:type="pct"/>
            <w:vMerge w:val="continue"/>
            <w:vAlign w:val="center"/>
          </w:tcPr>
          <w:p w14:paraId="0A527CA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3149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07F6AEB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w:t>
            </w:r>
          </w:p>
        </w:tc>
        <w:tc>
          <w:tcPr>
            <w:tcW w:w="362" w:type="pct"/>
            <w:vAlign w:val="center"/>
          </w:tcPr>
          <w:p w14:paraId="1318B05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073EB8B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卫1-17-12井至1-5#集油阀组间间管线</w:t>
            </w:r>
          </w:p>
        </w:tc>
        <w:tc>
          <w:tcPr>
            <w:tcW w:w="367" w:type="pct"/>
            <w:vAlign w:val="center"/>
          </w:tcPr>
          <w:p w14:paraId="57C942A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0F48B806">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0.511</w:t>
            </w:r>
          </w:p>
        </w:tc>
        <w:tc>
          <w:tcPr>
            <w:tcW w:w="381" w:type="pct"/>
            <w:vAlign w:val="center"/>
          </w:tcPr>
          <w:p w14:paraId="40798434">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0.500</w:t>
            </w:r>
          </w:p>
        </w:tc>
        <w:tc>
          <w:tcPr>
            <w:tcW w:w="366" w:type="pct"/>
            <w:vAlign w:val="center"/>
          </w:tcPr>
          <w:p w14:paraId="0E1C772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31674C3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4596641C">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0.7km</w:t>
            </w:r>
          </w:p>
        </w:tc>
        <w:tc>
          <w:tcPr>
            <w:tcW w:w="640" w:type="pct"/>
            <w:vMerge w:val="continue"/>
            <w:vAlign w:val="center"/>
          </w:tcPr>
          <w:p w14:paraId="29CAA2C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58A8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7731678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三）</w:t>
            </w:r>
          </w:p>
        </w:tc>
        <w:tc>
          <w:tcPr>
            <w:tcW w:w="4025" w:type="pct"/>
            <w:gridSpan w:val="8"/>
            <w:vAlign w:val="center"/>
          </w:tcPr>
          <w:p w14:paraId="4F26FB86">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2-5-4#集油环</w:t>
            </w:r>
          </w:p>
        </w:tc>
        <w:tc>
          <w:tcPr>
            <w:tcW w:w="640" w:type="pct"/>
            <w:vMerge w:val="continue"/>
            <w:vAlign w:val="center"/>
          </w:tcPr>
          <w:p w14:paraId="5896FF5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6EB5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153193C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w:t>
            </w:r>
          </w:p>
        </w:tc>
        <w:tc>
          <w:tcPr>
            <w:tcW w:w="362" w:type="pct"/>
            <w:vAlign w:val="center"/>
          </w:tcPr>
          <w:p w14:paraId="3961125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4E6DA4D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卫2-25-斜29井至卫2-25-28井间管线</w:t>
            </w:r>
          </w:p>
        </w:tc>
        <w:tc>
          <w:tcPr>
            <w:tcW w:w="367" w:type="pct"/>
            <w:vAlign w:val="center"/>
          </w:tcPr>
          <w:p w14:paraId="516C437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186522D7">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0.553</w:t>
            </w:r>
          </w:p>
        </w:tc>
        <w:tc>
          <w:tcPr>
            <w:tcW w:w="381" w:type="pct"/>
            <w:vAlign w:val="center"/>
          </w:tcPr>
          <w:p w14:paraId="44215E30">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0.549</w:t>
            </w:r>
          </w:p>
        </w:tc>
        <w:tc>
          <w:tcPr>
            <w:tcW w:w="366" w:type="pct"/>
            <w:vAlign w:val="center"/>
          </w:tcPr>
          <w:p w14:paraId="0B97A76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573B70A1">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29ACE26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0.03km</w:t>
            </w:r>
          </w:p>
        </w:tc>
        <w:tc>
          <w:tcPr>
            <w:tcW w:w="640" w:type="pct"/>
            <w:vMerge w:val="continue"/>
            <w:vAlign w:val="center"/>
          </w:tcPr>
          <w:p w14:paraId="7E33683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389D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610C597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2</w:t>
            </w:r>
          </w:p>
        </w:tc>
        <w:tc>
          <w:tcPr>
            <w:tcW w:w="362" w:type="pct"/>
            <w:vAlign w:val="center"/>
          </w:tcPr>
          <w:p w14:paraId="3E10819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428483D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卫2-25-28井至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卫2-24-斜28</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367" w:type="pct"/>
            <w:vAlign w:val="center"/>
          </w:tcPr>
          <w:p w14:paraId="00ECEAE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0155491F">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0.549</w:t>
            </w:r>
          </w:p>
        </w:tc>
        <w:tc>
          <w:tcPr>
            <w:tcW w:w="381" w:type="pct"/>
            <w:vAlign w:val="center"/>
          </w:tcPr>
          <w:p w14:paraId="55D7CE6F">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0.548</w:t>
            </w:r>
          </w:p>
        </w:tc>
        <w:tc>
          <w:tcPr>
            <w:tcW w:w="366" w:type="pct"/>
            <w:vAlign w:val="center"/>
          </w:tcPr>
          <w:p w14:paraId="2AA31B4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37AE847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0F004FCC">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0.02km</w:t>
            </w:r>
          </w:p>
        </w:tc>
        <w:tc>
          <w:tcPr>
            <w:tcW w:w="640" w:type="pct"/>
            <w:vMerge w:val="continue"/>
            <w:vAlign w:val="center"/>
          </w:tcPr>
          <w:p w14:paraId="0DA02CA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36A8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688EAAE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3</w:t>
            </w:r>
          </w:p>
        </w:tc>
        <w:tc>
          <w:tcPr>
            <w:tcW w:w="362" w:type="pct"/>
            <w:vAlign w:val="center"/>
          </w:tcPr>
          <w:p w14:paraId="5DACA73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2A5C599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卫2-24-斜28</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卫2-25-25</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367" w:type="pct"/>
            <w:vAlign w:val="center"/>
          </w:tcPr>
          <w:p w14:paraId="2A3DE32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6C16721F">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0.548</w:t>
            </w:r>
          </w:p>
        </w:tc>
        <w:tc>
          <w:tcPr>
            <w:tcW w:w="381" w:type="pct"/>
            <w:vAlign w:val="center"/>
          </w:tcPr>
          <w:p w14:paraId="7B94D999">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0.532</w:t>
            </w:r>
          </w:p>
        </w:tc>
        <w:tc>
          <w:tcPr>
            <w:tcW w:w="366" w:type="pct"/>
            <w:vAlign w:val="center"/>
          </w:tcPr>
          <w:p w14:paraId="70902D5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4D82EC0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0E77AFC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0.78km</w:t>
            </w:r>
          </w:p>
        </w:tc>
        <w:tc>
          <w:tcPr>
            <w:tcW w:w="640" w:type="pct"/>
            <w:vMerge w:val="continue"/>
            <w:vAlign w:val="center"/>
          </w:tcPr>
          <w:p w14:paraId="09803FA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0DC2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04D6E39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w:t>
            </w:r>
          </w:p>
        </w:tc>
        <w:tc>
          <w:tcPr>
            <w:tcW w:w="362" w:type="pct"/>
            <w:vAlign w:val="center"/>
          </w:tcPr>
          <w:p w14:paraId="40BB8D3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329E5DA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卫2-25-25</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4井间管线</w:t>
            </w:r>
          </w:p>
        </w:tc>
        <w:tc>
          <w:tcPr>
            <w:tcW w:w="367" w:type="pct"/>
            <w:vAlign w:val="center"/>
          </w:tcPr>
          <w:p w14:paraId="63F9F0B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7A93E60E">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0.532</w:t>
            </w:r>
          </w:p>
        </w:tc>
        <w:tc>
          <w:tcPr>
            <w:tcW w:w="381" w:type="pct"/>
            <w:vAlign w:val="center"/>
          </w:tcPr>
          <w:p w14:paraId="04C72BA9">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0.525</w:t>
            </w:r>
          </w:p>
        </w:tc>
        <w:tc>
          <w:tcPr>
            <w:tcW w:w="366" w:type="pct"/>
            <w:vAlign w:val="center"/>
          </w:tcPr>
          <w:p w14:paraId="6BA4A5D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767D067B">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55D719C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0.29km</w:t>
            </w:r>
          </w:p>
        </w:tc>
        <w:tc>
          <w:tcPr>
            <w:tcW w:w="640" w:type="pct"/>
            <w:vMerge w:val="continue"/>
            <w:vAlign w:val="center"/>
          </w:tcPr>
          <w:p w14:paraId="0E2ED71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662D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60206D9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5</w:t>
            </w:r>
          </w:p>
        </w:tc>
        <w:tc>
          <w:tcPr>
            <w:tcW w:w="362" w:type="pct"/>
            <w:vAlign w:val="center"/>
          </w:tcPr>
          <w:p w14:paraId="424D279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集油管线</w:t>
            </w:r>
          </w:p>
        </w:tc>
        <w:tc>
          <w:tcPr>
            <w:tcW w:w="958" w:type="pct"/>
            <w:vAlign w:val="center"/>
          </w:tcPr>
          <w:p w14:paraId="0F5E7ECC">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4井至2-5#集油阀组间间管线</w:t>
            </w:r>
          </w:p>
        </w:tc>
        <w:tc>
          <w:tcPr>
            <w:tcW w:w="367" w:type="pct"/>
            <w:vAlign w:val="center"/>
          </w:tcPr>
          <w:p w14:paraId="34562E7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无缝钢管</w:t>
            </w:r>
          </w:p>
        </w:tc>
        <w:tc>
          <w:tcPr>
            <w:tcW w:w="381" w:type="pct"/>
            <w:vAlign w:val="center"/>
          </w:tcPr>
          <w:p w14:paraId="0CB9B62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0.525</w:t>
            </w:r>
          </w:p>
        </w:tc>
        <w:tc>
          <w:tcPr>
            <w:tcW w:w="381" w:type="pct"/>
            <w:vAlign w:val="center"/>
          </w:tcPr>
          <w:p w14:paraId="7200B807">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0.500</w:t>
            </w:r>
          </w:p>
        </w:tc>
        <w:tc>
          <w:tcPr>
            <w:tcW w:w="366" w:type="pct"/>
            <w:vAlign w:val="center"/>
          </w:tcPr>
          <w:p w14:paraId="6662CA8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原油</w:t>
            </w:r>
          </w:p>
        </w:tc>
        <w:tc>
          <w:tcPr>
            <w:tcW w:w="720" w:type="pct"/>
            <w:vAlign w:val="center"/>
          </w:tcPr>
          <w:p w14:paraId="6D2AA57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Φ</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76</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4.5</w:t>
            </w:r>
          </w:p>
        </w:tc>
        <w:tc>
          <w:tcPr>
            <w:tcW w:w="485" w:type="pct"/>
            <w:vAlign w:val="center"/>
          </w:tcPr>
          <w:p w14:paraId="26B13D6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0.69km</w:t>
            </w:r>
          </w:p>
        </w:tc>
        <w:tc>
          <w:tcPr>
            <w:tcW w:w="640" w:type="pct"/>
            <w:vMerge w:val="continue"/>
            <w:vAlign w:val="center"/>
          </w:tcPr>
          <w:p w14:paraId="133739E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bl>
    <w:p w14:paraId="0FE55B94">
      <w:pPr>
        <w:widowControl w:val="0"/>
        <w:autoSpaceDE w:val="0"/>
        <w:autoSpaceDN w:val="0"/>
        <w:adjustRightInd w:val="0"/>
        <w:spacing w:line="440" w:lineRule="exact"/>
        <w:ind w:firstLine="482" w:firstLineChars="200"/>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 xml:space="preserve">表3.4-2     </w:t>
      </w:r>
      <w:r>
        <w:rPr>
          <w:rFonts w:hint="eastAsia" w:ascii="Times New Roman" w:hAnsi="Times New Roman" w:cs="Times New Roman"/>
          <w:b/>
          <w:bCs/>
          <w:caps w:val="0"/>
          <w:smallCaps w:val="0"/>
          <w:color w:val="auto"/>
          <w:spacing w:val="0"/>
          <w:w w:val="100"/>
          <w:kern w:val="2"/>
          <w:position w:val="0"/>
          <w:highlight w:val="none"/>
          <w:lang w:bidi="zh-CN"/>
        </w:rPr>
        <w:t>项目拟建管道坐标统计表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2530"/>
        <w:gridCol w:w="1617"/>
        <w:gridCol w:w="3380"/>
        <w:gridCol w:w="1563"/>
      </w:tblGrid>
      <w:tr w14:paraId="1946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3E698B9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序号</w:t>
            </w:r>
          </w:p>
        </w:tc>
        <w:tc>
          <w:tcPr>
            <w:tcW w:w="1327" w:type="pct"/>
            <w:vAlign w:val="center"/>
          </w:tcPr>
          <w:p w14:paraId="383ABE82">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管线名称</w:t>
            </w:r>
          </w:p>
        </w:tc>
        <w:tc>
          <w:tcPr>
            <w:tcW w:w="848" w:type="pct"/>
            <w:vAlign w:val="center"/>
          </w:tcPr>
          <w:p w14:paraId="3AD3DD0D">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起点坐标</w:t>
            </w:r>
          </w:p>
        </w:tc>
        <w:tc>
          <w:tcPr>
            <w:tcW w:w="1773" w:type="pct"/>
            <w:vAlign w:val="center"/>
          </w:tcPr>
          <w:p w14:paraId="2962D321">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节点坐标</w:t>
            </w:r>
          </w:p>
        </w:tc>
        <w:tc>
          <w:tcPr>
            <w:tcW w:w="820" w:type="pct"/>
            <w:vAlign w:val="center"/>
          </w:tcPr>
          <w:p w14:paraId="52250C3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终点坐标</w:t>
            </w:r>
          </w:p>
        </w:tc>
      </w:tr>
      <w:tr w14:paraId="5FB7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vAlign w:val="center"/>
          </w:tcPr>
          <w:p w14:paraId="2A6A428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1</w:t>
            </w:r>
          </w:p>
        </w:tc>
        <w:tc>
          <w:tcPr>
            <w:tcW w:w="1327" w:type="pct"/>
            <w:vMerge w:val="restart"/>
            <w:vAlign w:val="center"/>
          </w:tcPr>
          <w:p w14:paraId="2B0C8E52">
            <w:pPr>
              <w:widowControl w:val="0"/>
              <w:autoSpaceDE w:val="0"/>
              <w:autoSpaceDN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卫1转油站至1-6#集油阀组间管线</w:t>
            </w:r>
          </w:p>
        </w:tc>
        <w:tc>
          <w:tcPr>
            <w:tcW w:w="848" w:type="pct"/>
            <w:vMerge w:val="restart"/>
            <w:vAlign w:val="center"/>
          </w:tcPr>
          <w:p w14:paraId="0AEBC3D1">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46.15583</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125.01134</w:t>
            </w:r>
          </w:p>
        </w:tc>
        <w:tc>
          <w:tcPr>
            <w:tcW w:w="1773" w:type="pct"/>
            <w:vAlign w:val="center"/>
          </w:tcPr>
          <w:p w14:paraId="65E5AA8C">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节点1：</w:t>
            </w:r>
            <w:r>
              <w:rPr>
                <w:rFonts w:hint="eastAsia" w:ascii="Times New Roman" w:hAnsi="Times New Roman" w:cs="Times New Roman"/>
                <w:bCs/>
                <w:caps w:val="0"/>
                <w:smallCaps w:val="0"/>
                <w:color w:val="auto"/>
                <w:spacing w:val="0"/>
                <w:w w:val="100"/>
                <w:position w:val="0"/>
                <w:sz w:val="21"/>
                <w:szCs w:val="21"/>
                <w:highlight w:val="none"/>
              </w:rPr>
              <w:t>46.15569</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125.01436</w:t>
            </w:r>
          </w:p>
        </w:tc>
        <w:tc>
          <w:tcPr>
            <w:tcW w:w="820" w:type="pct"/>
            <w:vMerge w:val="restart"/>
            <w:vAlign w:val="center"/>
          </w:tcPr>
          <w:p w14:paraId="6FB66A8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46.13242</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125.02991</w:t>
            </w:r>
          </w:p>
        </w:tc>
      </w:tr>
      <w:tr w14:paraId="1DCD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9" w:type="pct"/>
            <w:vMerge w:val="continue"/>
            <w:vAlign w:val="center"/>
          </w:tcPr>
          <w:p w14:paraId="6A4F3436">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5B629F09">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848" w:type="pct"/>
            <w:vMerge w:val="continue"/>
            <w:vAlign w:val="center"/>
          </w:tcPr>
          <w:p w14:paraId="46916F0D">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7886050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节点2：</w:t>
            </w:r>
            <w:r>
              <w:rPr>
                <w:rFonts w:hint="eastAsia" w:ascii="Times New Roman" w:hAnsi="Times New Roman" w:cs="Times New Roman"/>
                <w:bCs/>
                <w:caps w:val="0"/>
                <w:smallCaps w:val="0"/>
                <w:color w:val="auto"/>
                <w:spacing w:val="0"/>
                <w:w w:val="100"/>
                <w:position w:val="0"/>
                <w:sz w:val="21"/>
                <w:szCs w:val="21"/>
                <w:highlight w:val="none"/>
              </w:rPr>
              <w:t>46.15275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125.01528</w:t>
            </w:r>
          </w:p>
        </w:tc>
        <w:tc>
          <w:tcPr>
            <w:tcW w:w="820" w:type="pct"/>
            <w:vMerge w:val="continue"/>
            <w:vAlign w:val="center"/>
          </w:tcPr>
          <w:p w14:paraId="0BFB7B4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7DC9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9" w:type="pct"/>
            <w:vMerge w:val="continue"/>
            <w:vAlign w:val="center"/>
          </w:tcPr>
          <w:p w14:paraId="31EE493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606C2D9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848" w:type="pct"/>
            <w:vMerge w:val="continue"/>
            <w:vAlign w:val="center"/>
          </w:tcPr>
          <w:p w14:paraId="27AE421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3926EAEE">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w:t>
            </w:r>
            <w:r>
              <w:rPr>
                <w:rFonts w:hint="eastAsia" w:ascii="Times New Roman" w:hAnsi="Times New Roman" w:cs="Times New Roman"/>
                <w:bCs/>
                <w:caps w:val="0"/>
                <w:smallCaps w:val="0"/>
                <w:color w:val="auto"/>
                <w:spacing w:val="0"/>
                <w:w w:val="100"/>
                <w:position w:val="0"/>
                <w:sz w:val="21"/>
                <w:szCs w:val="21"/>
                <w:highlight w:val="none"/>
                <w:lang w:val="en-US" w:eastAsia="zh-CN"/>
              </w:rPr>
              <w:t>3：</w:t>
            </w:r>
            <w:r>
              <w:rPr>
                <w:rFonts w:hint="eastAsia" w:ascii="Times New Roman" w:hAnsi="Times New Roman" w:cs="Times New Roman"/>
                <w:bCs/>
                <w:caps w:val="0"/>
                <w:smallCaps w:val="0"/>
                <w:color w:val="auto"/>
                <w:spacing w:val="0"/>
                <w:w w:val="100"/>
                <w:position w:val="0"/>
                <w:sz w:val="21"/>
                <w:szCs w:val="21"/>
                <w:highlight w:val="none"/>
              </w:rPr>
              <w:t>46.15406</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125.02339</w:t>
            </w:r>
          </w:p>
        </w:tc>
        <w:tc>
          <w:tcPr>
            <w:tcW w:w="820" w:type="pct"/>
            <w:vMerge w:val="continue"/>
            <w:vAlign w:val="center"/>
          </w:tcPr>
          <w:p w14:paraId="7F40497E">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139B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025791EA">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3F4C5F1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848" w:type="pct"/>
            <w:vMerge w:val="continue"/>
            <w:vAlign w:val="center"/>
          </w:tcPr>
          <w:p w14:paraId="45ACE16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19AD99C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w:t>
            </w:r>
            <w:r>
              <w:rPr>
                <w:rFonts w:hint="eastAsia" w:ascii="Times New Roman" w:hAnsi="Times New Roman" w:cs="Times New Roman"/>
                <w:bCs/>
                <w:caps w:val="0"/>
                <w:smallCaps w:val="0"/>
                <w:color w:val="auto"/>
                <w:spacing w:val="0"/>
                <w:w w:val="100"/>
                <w:position w:val="0"/>
                <w:sz w:val="21"/>
                <w:szCs w:val="21"/>
                <w:highlight w:val="none"/>
                <w:lang w:val="en-US" w:eastAsia="zh-CN"/>
              </w:rPr>
              <w:t>:4</w:t>
            </w:r>
            <w:r>
              <w:rPr>
                <w:rFonts w:ascii="Times New Roman" w:hAnsi="Times New Roman" w:cs="Times New Roman"/>
                <w:bCs/>
                <w:caps w:val="0"/>
                <w:smallCaps w:val="0"/>
                <w:color w:val="auto"/>
                <w:spacing w:val="0"/>
                <w:w w:val="100"/>
                <w:position w:val="0"/>
                <w:sz w:val="21"/>
                <w:szCs w:val="21"/>
                <w:highlight w:val="none"/>
              </w:rPr>
              <w:t>：</w:t>
            </w:r>
            <w:r>
              <w:rPr>
                <w:rFonts w:hint="eastAsia" w:ascii="Times New Roman" w:hAnsi="Times New Roman" w:cs="Times New Roman"/>
                <w:bCs/>
                <w:caps w:val="0"/>
                <w:smallCaps w:val="0"/>
                <w:color w:val="auto"/>
                <w:spacing w:val="0"/>
                <w:w w:val="100"/>
                <w:position w:val="0"/>
                <w:sz w:val="21"/>
                <w:szCs w:val="21"/>
                <w:highlight w:val="none"/>
              </w:rPr>
              <w:t>46.14801</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125.02629</w:t>
            </w:r>
          </w:p>
        </w:tc>
        <w:tc>
          <w:tcPr>
            <w:tcW w:w="820" w:type="pct"/>
            <w:vMerge w:val="continue"/>
            <w:vAlign w:val="center"/>
          </w:tcPr>
          <w:p w14:paraId="72C0F6E0">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1566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0C792999">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316B5D1D">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848" w:type="pct"/>
            <w:vMerge w:val="continue"/>
            <w:vAlign w:val="center"/>
          </w:tcPr>
          <w:p w14:paraId="046EA5A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7C5C52DC">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w:t>
            </w:r>
            <w:r>
              <w:rPr>
                <w:rFonts w:hint="eastAsia" w:ascii="Times New Roman" w:hAnsi="Times New Roman" w:cs="Times New Roman"/>
                <w:bCs/>
                <w:caps w:val="0"/>
                <w:smallCaps w:val="0"/>
                <w:color w:val="auto"/>
                <w:spacing w:val="0"/>
                <w:w w:val="100"/>
                <w:position w:val="0"/>
                <w:sz w:val="21"/>
                <w:szCs w:val="21"/>
                <w:highlight w:val="none"/>
                <w:lang w:val="en-US" w:eastAsia="zh-CN"/>
              </w:rPr>
              <w:t>5：</w:t>
            </w:r>
            <w:r>
              <w:rPr>
                <w:rFonts w:hint="eastAsia" w:ascii="Times New Roman" w:hAnsi="Times New Roman" w:cs="Times New Roman"/>
                <w:bCs/>
                <w:caps w:val="0"/>
                <w:smallCaps w:val="0"/>
                <w:color w:val="auto"/>
                <w:spacing w:val="0"/>
                <w:w w:val="100"/>
                <w:position w:val="0"/>
                <w:sz w:val="21"/>
                <w:szCs w:val="21"/>
                <w:highlight w:val="none"/>
              </w:rPr>
              <w:t>46.14761</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125.02573</w:t>
            </w:r>
          </w:p>
        </w:tc>
        <w:tc>
          <w:tcPr>
            <w:tcW w:w="820" w:type="pct"/>
            <w:vMerge w:val="continue"/>
            <w:vAlign w:val="center"/>
          </w:tcPr>
          <w:p w14:paraId="418E55E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4144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305B38A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72FC892B">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848" w:type="pct"/>
            <w:vMerge w:val="continue"/>
            <w:vAlign w:val="center"/>
          </w:tcPr>
          <w:p w14:paraId="1B4E2295">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1FFA434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w:t>
            </w:r>
            <w:r>
              <w:rPr>
                <w:rFonts w:hint="eastAsia" w:ascii="Times New Roman" w:hAnsi="Times New Roman" w:cs="Times New Roman"/>
                <w:bCs/>
                <w:caps w:val="0"/>
                <w:smallCaps w:val="0"/>
                <w:color w:val="auto"/>
                <w:spacing w:val="0"/>
                <w:w w:val="100"/>
                <w:position w:val="0"/>
                <w:sz w:val="21"/>
                <w:szCs w:val="21"/>
                <w:highlight w:val="none"/>
                <w:lang w:val="en-US" w:eastAsia="zh-CN"/>
              </w:rPr>
              <w:t>6：</w:t>
            </w:r>
            <w:r>
              <w:rPr>
                <w:rFonts w:hint="eastAsia" w:ascii="Times New Roman" w:hAnsi="Times New Roman" w:cs="Times New Roman"/>
                <w:bCs/>
                <w:caps w:val="0"/>
                <w:smallCaps w:val="0"/>
                <w:color w:val="auto"/>
                <w:spacing w:val="0"/>
                <w:w w:val="100"/>
                <w:position w:val="0"/>
                <w:sz w:val="21"/>
                <w:szCs w:val="21"/>
                <w:highlight w:val="none"/>
              </w:rPr>
              <w:t>46.13273</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125.03052</w:t>
            </w:r>
          </w:p>
        </w:tc>
        <w:tc>
          <w:tcPr>
            <w:tcW w:w="820" w:type="pct"/>
            <w:vMerge w:val="continue"/>
            <w:vAlign w:val="center"/>
          </w:tcPr>
          <w:p w14:paraId="753DB00D">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3D86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vAlign w:val="center"/>
          </w:tcPr>
          <w:p w14:paraId="4E9CBF4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2</w:t>
            </w:r>
          </w:p>
        </w:tc>
        <w:tc>
          <w:tcPr>
            <w:tcW w:w="1327" w:type="pct"/>
            <w:vMerge w:val="restart"/>
            <w:vAlign w:val="center"/>
          </w:tcPr>
          <w:p w14:paraId="133051B4">
            <w:pPr>
              <w:widowControl w:val="0"/>
              <w:autoSpaceDE w:val="0"/>
              <w:autoSpaceDN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卫1脱水站至2-9#集油阀组间管线</w:t>
            </w:r>
          </w:p>
        </w:tc>
        <w:tc>
          <w:tcPr>
            <w:tcW w:w="848" w:type="pct"/>
            <w:vMerge w:val="restart"/>
            <w:vAlign w:val="center"/>
          </w:tcPr>
          <w:p w14:paraId="580DB9F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46.16886</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124.93970</w:t>
            </w:r>
          </w:p>
        </w:tc>
        <w:tc>
          <w:tcPr>
            <w:tcW w:w="1773" w:type="pct"/>
            <w:vAlign w:val="center"/>
          </w:tcPr>
          <w:p w14:paraId="127C4C80">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节点1：</w:t>
            </w:r>
            <w:r>
              <w:rPr>
                <w:rFonts w:hint="eastAsia" w:ascii="Times New Roman" w:hAnsi="Times New Roman" w:cs="Times New Roman"/>
                <w:bCs/>
                <w:caps w:val="0"/>
                <w:smallCaps w:val="0"/>
                <w:color w:val="auto"/>
                <w:spacing w:val="0"/>
                <w:w w:val="100"/>
                <w:position w:val="0"/>
                <w:sz w:val="21"/>
                <w:szCs w:val="21"/>
                <w:highlight w:val="none"/>
              </w:rPr>
              <w:t>46.16694</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124.93950</w:t>
            </w:r>
          </w:p>
        </w:tc>
        <w:tc>
          <w:tcPr>
            <w:tcW w:w="820" w:type="pct"/>
            <w:vMerge w:val="restart"/>
            <w:vAlign w:val="center"/>
          </w:tcPr>
          <w:p w14:paraId="1F6E397D">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46.13037</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124.97778</w:t>
            </w:r>
          </w:p>
        </w:tc>
      </w:tr>
      <w:tr w14:paraId="0BED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0E5E6789">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7F9377CD">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848" w:type="pct"/>
            <w:vMerge w:val="continue"/>
            <w:vAlign w:val="center"/>
          </w:tcPr>
          <w:p w14:paraId="12EDABC1">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453314D0">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节点2：</w:t>
            </w:r>
            <w:r>
              <w:rPr>
                <w:rFonts w:hint="eastAsia" w:ascii="Times New Roman" w:hAnsi="Times New Roman" w:cs="Times New Roman"/>
                <w:bCs/>
                <w:caps w:val="0"/>
                <w:smallCaps w:val="0"/>
                <w:color w:val="auto"/>
                <w:spacing w:val="0"/>
                <w:w w:val="100"/>
                <w:position w:val="0"/>
                <w:sz w:val="21"/>
                <w:szCs w:val="21"/>
                <w:highlight w:val="none"/>
              </w:rPr>
              <w:t>46.16615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124.94209</w:t>
            </w:r>
          </w:p>
        </w:tc>
        <w:tc>
          <w:tcPr>
            <w:tcW w:w="820" w:type="pct"/>
            <w:vMerge w:val="continue"/>
            <w:vAlign w:val="center"/>
          </w:tcPr>
          <w:p w14:paraId="1B959A7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76B7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39482BF2">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673CFF9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848" w:type="pct"/>
            <w:vMerge w:val="continue"/>
            <w:vAlign w:val="center"/>
          </w:tcPr>
          <w:p w14:paraId="0B3B330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5152B640">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w:t>
            </w:r>
            <w:r>
              <w:rPr>
                <w:rFonts w:hint="eastAsia" w:ascii="Times New Roman" w:hAnsi="Times New Roman" w:cs="Times New Roman"/>
                <w:bCs/>
                <w:caps w:val="0"/>
                <w:smallCaps w:val="0"/>
                <w:color w:val="auto"/>
                <w:spacing w:val="0"/>
                <w:w w:val="100"/>
                <w:position w:val="0"/>
                <w:sz w:val="21"/>
                <w:szCs w:val="21"/>
                <w:highlight w:val="none"/>
                <w:lang w:val="en-US" w:eastAsia="zh-CN"/>
              </w:rPr>
              <w:t>3：</w:t>
            </w:r>
            <w:r>
              <w:rPr>
                <w:rFonts w:hint="eastAsia" w:ascii="Times New Roman" w:hAnsi="Times New Roman" w:cs="Times New Roman"/>
                <w:bCs/>
                <w:caps w:val="0"/>
                <w:smallCaps w:val="0"/>
                <w:color w:val="auto"/>
                <w:spacing w:val="0"/>
                <w:w w:val="100"/>
                <w:position w:val="0"/>
                <w:sz w:val="21"/>
                <w:szCs w:val="21"/>
                <w:highlight w:val="none"/>
              </w:rPr>
              <w:t>46.16012</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124.94565</w:t>
            </w:r>
          </w:p>
        </w:tc>
        <w:tc>
          <w:tcPr>
            <w:tcW w:w="820" w:type="pct"/>
            <w:vMerge w:val="continue"/>
            <w:vAlign w:val="center"/>
          </w:tcPr>
          <w:p w14:paraId="3140154C">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4C4A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403561D6">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3AB88C2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848" w:type="pct"/>
            <w:vMerge w:val="continue"/>
            <w:vAlign w:val="center"/>
          </w:tcPr>
          <w:p w14:paraId="7426E43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0E7A3925">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w:t>
            </w:r>
            <w:r>
              <w:rPr>
                <w:rFonts w:hint="eastAsia" w:ascii="Times New Roman" w:hAnsi="Times New Roman" w:cs="Times New Roman"/>
                <w:bCs/>
                <w:caps w:val="0"/>
                <w:smallCaps w:val="0"/>
                <w:color w:val="auto"/>
                <w:spacing w:val="0"/>
                <w:w w:val="100"/>
                <w:position w:val="0"/>
                <w:sz w:val="21"/>
                <w:szCs w:val="21"/>
                <w:highlight w:val="none"/>
                <w:lang w:val="en-US" w:eastAsia="zh-CN"/>
              </w:rPr>
              <w:t>4：</w:t>
            </w:r>
            <w:r>
              <w:rPr>
                <w:rFonts w:hint="eastAsia" w:ascii="Times New Roman" w:hAnsi="Times New Roman" w:cs="Times New Roman"/>
                <w:bCs/>
                <w:caps w:val="0"/>
                <w:smallCaps w:val="0"/>
                <w:color w:val="auto"/>
                <w:spacing w:val="0"/>
                <w:w w:val="100"/>
                <w:position w:val="0"/>
                <w:sz w:val="21"/>
                <w:szCs w:val="21"/>
                <w:highlight w:val="none"/>
              </w:rPr>
              <w:t>46.15746</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124.94975</w:t>
            </w:r>
          </w:p>
        </w:tc>
        <w:tc>
          <w:tcPr>
            <w:tcW w:w="820" w:type="pct"/>
            <w:vMerge w:val="continue"/>
            <w:vAlign w:val="center"/>
          </w:tcPr>
          <w:p w14:paraId="21C9863B">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5B45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vAlign w:val="center"/>
          </w:tcPr>
          <w:p w14:paraId="42C8F0E0">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3</w:t>
            </w:r>
          </w:p>
        </w:tc>
        <w:tc>
          <w:tcPr>
            <w:tcW w:w="1327" w:type="pct"/>
            <w:vMerge w:val="restart"/>
            <w:vAlign w:val="center"/>
          </w:tcPr>
          <w:p w14:paraId="2D1E53B9">
            <w:pPr>
              <w:widowControl w:val="0"/>
              <w:autoSpaceDE w:val="0"/>
              <w:autoSpaceDN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1-3#集油阀组间至卫2-18-斜35井间管线</w:t>
            </w:r>
          </w:p>
        </w:tc>
        <w:tc>
          <w:tcPr>
            <w:tcW w:w="848" w:type="pct"/>
            <w:vMerge w:val="restart"/>
            <w:vAlign w:val="center"/>
          </w:tcPr>
          <w:p w14:paraId="48DA24C1">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46.15784</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125.01120</w:t>
            </w:r>
          </w:p>
        </w:tc>
        <w:tc>
          <w:tcPr>
            <w:tcW w:w="1773" w:type="pct"/>
            <w:vAlign w:val="center"/>
          </w:tcPr>
          <w:p w14:paraId="4FA200FC">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节点1：</w:t>
            </w:r>
            <w:r>
              <w:rPr>
                <w:rFonts w:hint="eastAsia" w:ascii="Times New Roman" w:hAnsi="Times New Roman" w:cs="Times New Roman"/>
                <w:bCs/>
                <w:caps w:val="0"/>
                <w:smallCaps w:val="0"/>
                <w:color w:val="auto"/>
                <w:spacing w:val="0"/>
                <w:w w:val="100"/>
                <w:position w:val="0"/>
                <w:sz w:val="21"/>
                <w:szCs w:val="21"/>
                <w:highlight w:val="none"/>
              </w:rPr>
              <w:t>46.15647</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125.01061</w:t>
            </w:r>
          </w:p>
        </w:tc>
        <w:tc>
          <w:tcPr>
            <w:tcW w:w="820" w:type="pct"/>
            <w:vMerge w:val="restart"/>
            <w:vAlign w:val="center"/>
          </w:tcPr>
          <w:p w14:paraId="167780F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46.14782</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124.99691</w:t>
            </w:r>
          </w:p>
        </w:tc>
      </w:tr>
      <w:tr w14:paraId="255D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3FAA166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04D2E28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848" w:type="pct"/>
            <w:vMerge w:val="continue"/>
            <w:vAlign w:val="center"/>
          </w:tcPr>
          <w:p w14:paraId="0E17D5E3">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70C6D336">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w:t>
            </w:r>
            <w:r>
              <w:rPr>
                <w:rFonts w:hint="eastAsia" w:ascii="Times New Roman" w:hAnsi="Times New Roman" w:cs="Times New Roman"/>
                <w:bCs/>
                <w:caps w:val="0"/>
                <w:smallCaps w:val="0"/>
                <w:color w:val="auto"/>
                <w:spacing w:val="0"/>
                <w:w w:val="100"/>
                <w:position w:val="0"/>
                <w:sz w:val="21"/>
                <w:szCs w:val="21"/>
                <w:highlight w:val="none"/>
                <w:lang w:val="en-US" w:eastAsia="zh-CN"/>
              </w:rPr>
              <w:t>2：</w:t>
            </w:r>
            <w:r>
              <w:rPr>
                <w:rFonts w:hint="eastAsia" w:ascii="Times New Roman" w:hAnsi="Times New Roman" w:cs="Times New Roman"/>
                <w:bCs/>
                <w:caps w:val="0"/>
                <w:smallCaps w:val="0"/>
                <w:color w:val="auto"/>
                <w:spacing w:val="0"/>
                <w:w w:val="100"/>
                <w:position w:val="0"/>
                <w:sz w:val="21"/>
                <w:szCs w:val="21"/>
                <w:highlight w:val="none"/>
              </w:rPr>
              <w:t>46.15437</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125.00623</w:t>
            </w:r>
          </w:p>
        </w:tc>
        <w:tc>
          <w:tcPr>
            <w:tcW w:w="820" w:type="pct"/>
            <w:vMerge w:val="continue"/>
            <w:vAlign w:val="center"/>
          </w:tcPr>
          <w:p w14:paraId="71D32798">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p>
        </w:tc>
      </w:tr>
      <w:tr w14:paraId="1668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1AA79B7B">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4</w:t>
            </w:r>
          </w:p>
        </w:tc>
        <w:tc>
          <w:tcPr>
            <w:tcW w:w="1327" w:type="pct"/>
            <w:vAlign w:val="center"/>
          </w:tcPr>
          <w:p w14:paraId="5D278E15">
            <w:pPr>
              <w:widowControl w:val="0"/>
              <w:autoSpaceDE w:val="0"/>
              <w:autoSpaceDN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卫2-18-斜35井至卫2-18-34井间管线</w:t>
            </w:r>
          </w:p>
        </w:tc>
        <w:tc>
          <w:tcPr>
            <w:tcW w:w="848" w:type="pct"/>
            <w:vAlign w:val="center"/>
          </w:tcPr>
          <w:p w14:paraId="767D02EA">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46.14782</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124.99691</w:t>
            </w:r>
          </w:p>
        </w:tc>
        <w:tc>
          <w:tcPr>
            <w:tcW w:w="1773" w:type="pct"/>
            <w:vAlign w:val="center"/>
          </w:tcPr>
          <w:p w14:paraId="343F5425">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4E876F1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46.14752</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124.99394</w:t>
            </w:r>
          </w:p>
        </w:tc>
      </w:tr>
      <w:tr w14:paraId="7209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4BB25D1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5</w:t>
            </w:r>
          </w:p>
        </w:tc>
        <w:tc>
          <w:tcPr>
            <w:tcW w:w="1327" w:type="pct"/>
            <w:vAlign w:val="center"/>
          </w:tcPr>
          <w:p w14:paraId="7773475F">
            <w:pPr>
              <w:widowControl w:val="0"/>
              <w:autoSpaceDE w:val="0"/>
              <w:autoSpaceDN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卫2-18-34井至卫2-20-35井间管线</w:t>
            </w:r>
          </w:p>
        </w:tc>
        <w:tc>
          <w:tcPr>
            <w:tcW w:w="848" w:type="pct"/>
            <w:vAlign w:val="center"/>
          </w:tcPr>
          <w:p w14:paraId="2E7DB71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46.14752</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124.99394</w:t>
            </w:r>
          </w:p>
        </w:tc>
        <w:tc>
          <w:tcPr>
            <w:tcW w:w="1773" w:type="pct"/>
            <w:vAlign w:val="center"/>
          </w:tcPr>
          <w:p w14:paraId="66BA711D">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0CA08ED5">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46.15195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124.99515</w:t>
            </w:r>
          </w:p>
        </w:tc>
      </w:tr>
      <w:tr w14:paraId="3BB2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53D51E42">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6</w:t>
            </w:r>
          </w:p>
        </w:tc>
        <w:tc>
          <w:tcPr>
            <w:tcW w:w="1327" w:type="pct"/>
            <w:vAlign w:val="center"/>
          </w:tcPr>
          <w:p w14:paraId="4EF954E8">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卫2-20-35井至卫2-21-35井间管线</w:t>
            </w:r>
          </w:p>
        </w:tc>
        <w:tc>
          <w:tcPr>
            <w:tcW w:w="848" w:type="pct"/>
            <w:vAlign w:val="center"/>
          </w:tcPr>
          <w:p w14:paraId="50F3505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46.15195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124.99515</w:t>
            </w:r>
          </w:p>
        </w:tc>
        <w:tc>
          <w:tcPr>
            <w:tcW w:w="1773" w:type="pct"/>
            <w:vAlign w:val="center"/>
          </w:tcPr>
          <w:p w14:paraId="64A9D2E8">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08917E01">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46.15359</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124.99515</w:t>
            </w:r>
          </w:p>
        </w:tc>
      </w:tr>
      <w:tr w14:paraId="6ABF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vAlign w:val="center"/>
          </w:tcPr>
          <w:p w14:paraId="5CA4AA2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7</w:t>
            </w:r>
          </w:p>
        </w:tc>
        <w:tc>
          <w:tcPr>
            <w:tcW w:w="1327" w:type="pct"/>
            <w:vMerge w:val="restart"/>
            <w:vAlign w:val="center"/>
          </w:tcPr>
          <w:p w14:paraId="06FD7CC9">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卫2-21-35井至1-3#集油阀组间间管线</w:t>
            </w:r>
          </w:p>
        </w:tc>
        <w:tc>
          <w:tcPr>
            <w:tcW w:w="848" w:type="pct"/>
            <w:vMerge w:val="restart"/>
            <w:vAlign w:val="center"/>
          </w:tcPr>
          <w:p w14:paraId="3FB1C3F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46.15359</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124.99515</w:t>
            </w:r>
          </w:p>
        </w:tc>
        <w:tc>
          <w:tcPr>
            <w:tcW w:w="1773" w:type="pct"/>
            <w:vAlign w:val="center"/>
          </w:tcPr>
          <w:p w14:paraId="1F6585B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w:t>
            </w:r>
            <w:r>
              <w:rPr>
                <w:rFonts w:hint="eastAsia" w:ascii="Times New Roman" w:hAnsi="Times New Roman" w:cs="Times New Roman"/>
                <w:bCs/>
                <w:caps w:val="0"/>
                <w:smallCaps w:val="0"/>
                <w:color w:val="auto"/>
                <w:spacing w:val="0"/>
                <w:w w:val="100"/>
                <w:position w:val="0"/>
                <w:sz w:val="21"/>
                <w:szCs w:val="21"/>
                <w:highlight w:val="none"/>
              </w:rPr>
              <w:t>1：46.15465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125.00631</w:t>
            </w:r>
          </w:p>
        </w:tc>
        <w:tc>
          <w:tcPr>
            <w:tcW w:w="820" w:type="pct"/>
            <w:vMerge w:val="restart"/>
            <w:vAlign w:val="center"/>
          </w:tcPr>
          <w:p w14:paraId="4C19196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46.15784</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125.01120</w:t>
            </w:r>
          </w:p>
        </w:tc>
      </w:tr>
      <w:tr w14:paraId="6D73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77ABF93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327" w:type="pct"/>
            <w:vMerge w:val="continue"/>
            <w:vAlign w:val="center"/>
          </w:tcPr>
          <w:p w14:paraId="3257F6B4">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848" w:type="pct"/>
            <w:vMerge w:val="continue"/>
            <w:vAlign w:val="center"/>
          </w:tcPr>
          <w:p w14:paraId="2345262A">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773" w:type="pct"/>
            <w:vAlign w:val="center"/>
          </w:tcPr>
          <w:p w14:paraId="5F2E76E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节点2：</w:t>
            </w:r>
            <w:r>
              <w:rPr>
                <w:rFonts w:hint="eastAsia" w:ascii="Times New Roman" w:hAnsi="Times New Roman" w:cs="Times New Roman"/>
                <w:bCs/>
                <w:caps w:val="0"/>
                <w:smallCaps w:val="0"/>
                <w:color w:val="auto"/>
                <w:spacing w:val="0"/>
                <w:w w:val="100"/>
                <w:position w:val="0"/>
                <w:sz w:val="21"/>
                <w:szCs w:val="21"/>
                <w:highlight w:val="none"/>
              </w:rPr>
              <w:t>46.15681</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125.01048</w:t>
            </w:r>
          </w:p>
        </w:tc>
        <w:tc>
          <w:tcPr>
            <w:tcW w:w="820" w:type="pct"/>
            <w:vMerge w:val="continue"/>
            <w:vAlign w:val="center"/>
          </w:tcPr>
          <w:p w14:paraId="2A225649">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46A6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76E9C23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8</w:t>
            </w:r>
          </w:p>
        </w:tc>
        <w:tc>
          <w:tcPr>
            <w:tcW w:w="1327" w:type="pct"/>
            <w:vAlign w:val="center"/>
          </w:tcPr>
          <w:p w14:paraId="59EC209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1-5#集油阀组间至卫 </w:t>
            </w:r>
            <w: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t>1-17-14</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848" w:type="pct"/>
            <w:vAlign w:val="center"/>
          </w:tcPr>
          <w:p w14:paraId="282DD42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46.14868</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125.03662</w:t>
            </w:r>
          </w:p>
        </w:tc>
        <w:tc>
          <w:tcPr>
            <w:tcW w:w="1773" w:type="pct"/>
            <w:vAlign w:val="center"/>
          </w:tcPr>
          <w:p w14:paraId="09C068C5">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4D4AFF52">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46.14383</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125.04499</w:t>
            </w:r>
          </w:p>
        </w:tc>
      </w:tr>
      <w:tr w14:paraId="3170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315C1079">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9</w:t>
            </w:r>
          </w:p>
        </w:tc>
        <w:tc>
          <w:tcPr>
            <w:tcW w:w="1327" w:type="pct"/>
            <w:vAlign w:val="center"/>
          </w:tcPr>
          <w:p w14:paraId="36A4E07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 1-17-14井至卫1-161-斜131井间管线</w:t>
            </w:r>
          </w:p>
        </w:tc>
        <w:tc>
          <w:tcPr>
            <w:tcW w:w="848" w:type="pct"/>
            <w:vAlign w:val="center"/>
          </w:tcPr>
          <w:p w14:paraId="36CE9859">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46.14383</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125.04499</w:t>
            </w:r>
          </w:p>
        </w:tc>
        <w:tc>
          <w:tcPr>
            <w:tcW w:w="1773" w:type="pct"/>
            <w:vAlign w:val="center"/>
          </w:tcPr>
          <w:p w14:paraId="68E685E6">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3624CA3B">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rPr>
              <w:t>46.14357</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125.0450</w:t>
            </w:r>
            <w:r>
              <w:rPr>
                <w:rFonts w:hint="eastAsia" w:ascii="Times New Roman" w:hAnsi="Times New Roman" w:cs="Times New Roman"/>
                <w:bCs/>
                <w:caps w:val="0"/>
                <w:smallCaps w:val="0"/>
                <w:color w:val="auto"/>
                <w:spacing w:val="0"/>
                <w:w w:val="100"/>
                <w:position w:val="0"/>
                <w:sz w:val="21"/>
                <w:szCs w:val="21"/>
                <w:highlight w:val="none"/>
                <w:lang w:val="en-US" w:eastAsia="zh-CN"/>
              </w:rPr>
              <w:t>3</w:t>
            </w:r>
          </w:p>
        </w:tc>
      </w:tr>
      <w:tr w14:paraId="4554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9" w:type="pct"/>
            <w:vAlign w:val="center"/>
          </w:tcPr>
          <w:p w14:paraId="6C95FB9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1</w:t>
            </w:r>
            <w:r>
              <w:rPr>
                <w:rFonts w:ascii="Times New Roman" w:hAnsi="Times New Roman" w:cs="Times New Roman"/>
                <w:bCs/>
                <w:caps w:val="0"/>
                <w:smallCaps w:val="0"/>
                <w:color w:val="auto"/>
                <w:spacing w:val="0"/>
                <w:w w:val="100"/>
                <w:position w:val="0"/>
                <w:sz w:val="21"/>
                <w:szCs w:val="21"/>
                <w:highlight w:val="none"/>
              </w:rPr>
              <w:t>0</w:t>
            </w:r>
          </w:p>
        </w:tc>
        <w:tc>
          <w:tcPr>
            <w:tcW w:w="1327" w:type="pct"/>
            <w:vAlign w:val="center"/>
          </w:tcPr>
          <w:p w14:paraId="4992102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卫1-17-12井至1-5#集油阀组间间管线</w:t>
            </w:r>
          </w:p>
        </w:tc>
        <w:tc>
          <w:tcPr>
            <w:tcW w:w="848" w:type="pct"/>
            <w:vAlign w:val="center"/>
          </w:tcPr>
          <w:p w14:paraId="49785280">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46.14363</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125.03965</w:t>
            </w:r>
          </w:p>
        </w:tc>
        <w:tc>
          <w:tcPr>
            <w:tcW w:w="1773" w:type="pct"/>
            <w:vAlign w:val="center"/>
          </w:tcPr>
          <w:p w14:paraId="582C049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节点1：</w:t>
            </w:r>
            <w:r>
              <w:rPr>
                <w:rFonts w:hint="eastAsia" w:ascii="Times New Roman" w:hAnsi="Times New Roman" w:cs="Times New Roman"/>
                <w:bCs/>
                <w:caps w:val="0"/>
                <w:smallCaps w:val="0"/>
                <w:color w:val="auto"/>
                <w:spacing w:val="0"/>
                <w:w w:val="100"/>
                <w:position w:val="0"/>
                <w:sz w:val="21"/>
                <w:szCs w:val="21"/>
                <w:highlight w:val="none"/>
              </w:rPr>
              <w:t>46.14583</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125.03920</w:t>
            </w:r>
          </w:p>
        </w:tc>
        <w:tc>
          <w:tcPr>
            <w:tcW w:w="820" w:type="pct"/>
            <w:vAlign w:val="center"/>
          </w:tcPr>
          <w:p w14:paraId="0839068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46.14868</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125.03662</w:t>
            </w:r>
          </w:p>
        </w:tc>
      </w:tr>
      <w:tr w14:paraId="0982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5A2A898C">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11</w:t>
            </w:r>
          </w:p>
        </w:tc>
        <w:tc>
          <w:tcPr>
            <w:tcW w:w="1327" w:type="pct"/>
            <w:vAlign w:val="center"/>
          </w:tcPr>
          <w:p w14:paraId="3EDAFFF7">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卫2-25-斜29井至卫2-25-28井间管线</w:t>
            </w:r>
          </w:p>
        </w:tc>
        <w:tc>
          <w:tcPr>
            <w:tcW w:w="848" w:type="pct"/>
            <w:vAlign w:val="center"/>
          </w:tcPr>
          <w:p w14:paraId="3EB6BBDA">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46.16326</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124.97489</w:t>
            </w:r>
          </w:p>
        </w:tc>
        <w:tc>
          <w:tcPr>
            <w:tcW w:w="1773" w:type="pct"/>
            <w:vAlign w:val="center"/>
          </w:tcPr>
          <w:p w14:paraId="0E7E32AB">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49F2E66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46.16335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124.97493</w:t>
            </w:r>
          </w:p>
        </w:tc>
      </w:tr>
      <w:tr w14:paraId="626C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21528B0B">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12</w:t>
            </w:r>
          </w:p>
        </w:tc>
        <w:tc>
          <w:tcPr>
            <w:tcW w:w="1327" w:type="pct"/>
            <w:vAlign w:val="center"/>
          </w:tcPr>
          <w:p w14:paraId="1F7FBD74">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卫2-25-28井至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卫2-24-斜28</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848" w:type="pct"/>
            <w:vAlign w:val="center"/>
          </w:tcPr>
          <w:p w14:paraId="10D11CA5">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46.16335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124.97493</w:t>
            </w:r>
          </w:p>
        </w:tc>
        <w:tc>
          <w:tcPr>
            <w:tcW w:w="1773" w:type="pct"/>
            <w:vAlign w:val="center"/>
          </w:tcPr>
          <w:p w14:paraId="5B8A3F32">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39A2B1EC">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46.16344</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124.97494</w:t>
            </w:r>
          </w:p>
        </w:tc>
      </w:tr>
      <w:tr w14:paraId="7472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2DED83C9">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13</w:t>
            </w:r>
          </w:p>
        </w:tc>
        <w:tc>
          <w:tcPr>
            <w:tcW w:w="1327" w:type="pct"/>
            <w:vAlign w:val="center"/>
          </w:tcPr>
          <w:p w14:paraId="479FD7CC">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卫2-24-斜28</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卫2-25-25</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848" w:type="pct"/>
            <w:vAlign w:val="center"/>
          </w:tcPr>
          <w:p w14:paraId="5F7F1A45">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46.16344</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124.97494</w:t>
            </w:r>
          </w:p>
        </w:tc>
        <w:tc>
          <w:tcPr>
            <w:tcW w:w="1773" w:type="pct"/>
            <w:vAlign w:val="center"/>
          </w:tcPr>
          <w:p w14:paraId="41FE78AE">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73EB750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46.16359</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124.96589</w:t>
            </w:r>
          </w:p>
        </w:tc>
      </w:tr>
      <w:tr w14:paraId="71AB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098ED266">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14</w:t>
            </w:r>
          </w:p>
        </w:tc>
        <w:tc>
          <w:tcPr>
            <w:tcW w:w="1327" w:type="pct"/>
            <w:vAlign w:val="center"/>
          </w:tcPr>
          <w:p w14:paraId="53EAC400">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卫2-25-25</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4井间管线</w:t>
            </w:r>
          </w:p>
        </w:tc>
        <w:tc>
          <w:tcPr>
            <w:tcW w:w="848" w:type="pct"/>
            <w:vAlign w:val="center"/>
          </w:tcPr>
          <w:p w14:paraId="1529E51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46.16359</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124.96589</w:t>
            </w:r>
          </w:p>
        </w:tc>
        <w:tc>
          <w:tcPr>
            <w:tcW w:w="1773" w:type="pct"/>
            <w:vAlign w:val="center"/>
          </w:tcPr>
          <w:p w14:paraId="0AAFCB37">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56216635">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46.16375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124.96259</w:t>
            </w:r>
          </w:p>
        </w:tc>
      </w:tr>
      <w:tr w14:paraId="1020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6A496AE8">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15</w:t>
            </w:r>
          </w:p>
        </w:tc>
        <w:tc>
          <w:tcPr>
            <w:tcW w:w="1327" w:type="pct"/>
            <w:vAlign w:val="center"/>
          </w:tcPr>
          <w:p w14:paraId="375A2E0F">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4井至2-5#集油阀组间间管线</w:t>
            </w:r>
          </w:p>
        </w:tc>
        <w:tc>
          <w:tcPr>
            <w:tcW w:w="848" w:type="pct"/>
            <w:vAlign w:val="center"/>
          </w:tcPr>
          <w:p w14:paraId="7EB535A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46.16375</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124.96259</w:t>
            </w:r>
          </w:p>
        </w:tc>
        <w:tc>
          <w:tcPr>
            <w:tcW w:w="1773" w:type="pct"/>
            <w:vAlign w:val="center"/>
          </w:tcPr>
          <w:p w14:paraId="0A976A5D">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w:t>
            </w:r>
          </w:p>
        </w:tc>
        <w:tc>
          <w:tcPr>
            <w:tcW w:w="820" w:type="pct"/>
            <w:vAlign w:val="center"/>
          </w:tcPr>
          <w:p w14:paraId="048250D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46.16710</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124.95648</w:t>
            </w:r>
          </w:p>
        </w:tc>
      </w:tr>
    </w:tbl>
    <w:p w14:paraId="7D72E63F">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3.4.2穿越工程</w:t>
      </w:r>
    </w:p>
    <w:p w14:paraId="1CD7CDE8">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snapToGrid w:val="0"/>
          <w:color w:val="auto"/>
          <w:spacing w:val="0"/>
          <w:w w:val="100"/>
          <w:position w:val="0"/>
          <w:highlight w:val="none"/>
        </w:rPr>
      </w:pPr>
      <w:r>
        <w:rPr>
          <w:rFonts w:ascii="Times New Roman" w:hAnsi="Times New Roman" w:cs="Times New Roman" w:eastAsiaTheme="minorEastAsia"/>
          <w:bCs/>
          <w:snapToGrid w:val="0"/>
          <w:color w:val="auto"/>
          <w:highlight w:val="none"/>
        </w:rPr>
        <w:t>本项目管线施工涉及穿越</w:t>
      </w:r>
      <w:r>
        <w:rPr>
          <w:rFonts w:hint="eastAsia" w:ascii="Times New Roman" w:hAnsi="Times New Roman" w:cs="Times New Roman" w:eastAsiaTheme="minorEastAsia"/>
          <w:bCs/>
          <w:snapToGrid w:val="0"/>
          <w:color w:val="auto"/>
          <w:highlight w:val="none"/>
        </w:rPr>
        <w:t>道</w:t>
      </w:r>
      <w:r>
        <w:rPr>
          <w:rFonts w:ascii="Times New Roman" w:hAnsi="Times New Roman" w:cs="Times New Roman" w:eastAsiaTheme="minorEastAsia"/>
          <w:bCs/>
          <w:snapToGrid w:val="0"/>
          <w:color w:val="auto"/>
          <w:highlight w:val="none"/>
        </w:rPr>
        <w:t>路</w:t>
      </w:r>
      <w:r>
        <w:rPr>
          <w:rFonts w:hint="eastAsia" w:ascii="Times New Roman" w:hAnsi="Times New Roman" w:cs="Times New Roman" w:eastAsiaTheme="minorEastAsia"/>
          <w:bCs/>
          <w:snapToGrid w:val="0"/>
          <w:color w:val="auto"/>
          <w:highlight w:val="none"/>
        </w:rPr>
        <w:t>2</w:t>
      </w:r>
      <w:r>
        <w:rPr>
          <w:rFonts w:hint="eastAsia" w:ascii="Times New Roman" w:hAnsi="Times New Roman" w:cs="Times New Roman" w:eastAsiaTheme="minorEastAsia"/>
          <w:bCs/>
          <w:snapToGrid w:val="0"/>
          <w:color w:val="auto"/>
          <w:highlight w:val="none"/>
          <w:lang w:val="en-US" w:eastAsia="zh-CN"/>
        </w:rPr>
        <w:t>8</w:t>
      </w:r>
      <w:r>
        <w:rPr>
          <w:rFonts w:ascii="Times New Roman" w:hAnsi="Times New Roman" w:cs="Times New Roman" w:eastAsiaTheme="minorEastAsia"/>
          <w:bCs/>
          <w:snapToGrid w:val="0"/>
          <w:color w:val="auto"/>
          <w:highlight w:val="none"/>
        </w:rPr>
        <w:t>处，</w:t>
      </w:r>
      <w:r>
        <w:rPr>
          <w:rFonts w:hint="eastAsia" w:ascii="Times New Roman" w:hAnsi="Times New Roman" w:cs="Times New Roman" w:eastAsiaTheme="minorEastAsia"/>
          <w:bCs/>
          <w:snapToGrid w:val="0"/>
          <w:color w:val="auto"/>
          <w:highlight w:val="none"/>
          <w:lang w:val="en-US" w:eastAsia="zh-CN"/>
        </w:rPr>
        <w:t>其中</w:t>
      </w:r>
      <w:r>
        <w:rPr>
          <w:rFonts w:ascii="Times New Roman" w:hAnsi="Times New Roman" w:cs="Times New Roman" w:eastAsiaTheme="minorEastAsia"/>
          <w:bCs/>
          <w:snapToGrid w:val="0"/>
          <w:color w:val="auto"/>
          <w:highlight w:val="none"/>
        </w:rPr>
        <w:t>定向钻穿越方式</w:t>
      </w:r>
      <w:r>
        <w:rPr>
          <w:rFonts w:hint="eastAsia" w:ascii="Times New Roman" w:hAnsi="Times New Roman" w:cs="Times New Roman" w:eastAsiaTheme="minorEastAsia"/>
          <w:bCs/>
          <w:snapToGrid w:val="0"/>
          <w:color w:val="auto"/>
          <w:highlight w:val="none"/>
          <w:lang w:val="en-US" w:eastAsia="zh-CN"/>
        </w:rPr>
        <w:t>24处，钢开穿越方式4处</w:t>
      </w:r>
      <w:r>
        <w:rPr>
          <w:rFonts w:ascii="Times New Roman" w:hAnsi="Times New Roman" w:cs="Times New Roman" w:eastAsiaTheme="minorEastAsia"/>
          <w:bCs/>
          <w:snapToGrid w:val="0"/>
          <w:color w:val="auto"/>
          <w:highlight w:val="none"/>
        </w:rPr>
        <w:t>，定向钻穿越采用的泥浆配方为</w:t>
      </w:r>
      <w:r>
        <w:rPr>
          <w:rFonts w:ascii="Times New Roman" w:hAnsi="Times New Roman" w:cs="Times New Roman"/>
          <w:bCs/>
          <w:color w:val="auto"/>
          <w:kern w:val="21"/>
          <w:highlight w:val="none"/>
        </w:rPr>
        <w:t>膨润土（4.0%~5.0%）+纯碱（0.2%~0.4%）</w:t>
      </w:r>
      <w:r>
        <w:rPr>
          <w:rFonts w:hint="eastAsia" w:ascii="Times New Roman" w:hAnsi="Times New Roman" w:cs="Times New Roman"/>
          <w:bCs/>
          <w:color w:val="auto"/>
          <w:kern w:val="21"/>
          <w:highlight w:val="none"/>
        </w:rPr>
        <w:t>+水</w:t>
      </w:r>
      <w:r>
        <w:rPr>
          <w:rFonts w:ascii="Times New Roman" w:hAnsi="Times New Roman" w:cs="Times New Roman" w:eastAsiaTheme="minorEastAsia"/>
          <w:bCs/>
          <w:snapToGrid w:val="0"/>
          <w:color w:val="auto"/>
          <w:highlight w:val="none"/>
        </w:rPr>
        <w:t>。</w:t>
      </w:r>
      <w:r>
        <w:rPr>
          <w:rFonts w:ascii="Times New Roman" w:hAnsi="Times New Roman" w:cs="Times New Roman" w:eastAsiaTheme="minorEastAsia"/>
          <w:bCs/>
          <w:caps w:val="0"/>
          <w:smallCaps w:val="0"/>
          <w:snapToGrid w:val="0"/>
          <w:color w:val="auto"/>
          <w:spacing w:val="0"/>
          <w:w w:val="100"/>
          <w:position w:val="0"/>
          <w:highlight w:val="none"/>
        </w:rPr>
        <w:t>本项目新建管线穿越点位坐标及穿越套管规格统计见表3.4-3，</w:t>
      </w:r>
      <w:r>
        <w:rPr>
          <w:rFonts w:hint="eastAsia" w:ascii="Times New Roman" w:hAnsi="Times New Roman" w:cs="Times New Roman" w:eastAsiaTheme="minorEastAsia"/>
          <w:bCs/>
          <w:caps w:val="0"/>
          <w:smallCaps w:val="0"/>
          <w:snapToGrid w:val="0"/>
          <w:color w:val="auto"/>
          <w:spacing w:val="0"/>
          <w:w w:val="100"/>
          <w:position w:val="0"/>
          <w:highlight w:val="none"/>
        </w:rPr>
        <w:t>拟建管道</w:t>
      </w:r>
      <w:r>
        <w:rPr>
          <w:rFonts w:ascii="Times New Roman" w:hAnsi="Times New Roman" w:cs="Times New Roman" w:eastAsiaTheme="minorEastAsia"/>
          <w:bCs/>
          <w:caps w:val="0"/>
          <w:smallCaps w:val="0"/>
          <w:snapToGrid w:val="0"/>
          <w:color w:val="auto"/>
          <w:spacing w:val="0"/>
          <w:w w:val="100"/>
          <w:position w:val="0"/>
          <w:highlight w:val="none"/>
        </w:rPr>
        <w:t>路由走向及穿越点位置见</w:t>
      </w:r>
      <w:r>
        <w:rPr>
          <w:rFonts w:hint="eastAsia" w:ascii="Times New Roman" w:hAnsi="Times New Roman" w:cs="Times New Roman" w:eastAsiaTheme="minorEastAsia"/>
          <w:bCs/>
          <w:caps w:val="0"/>
          <w:smallCaps w:val="0"/>
          <w:snapToGrid w:val="0"/>
          <w:color w:val="auto"/>
          <w:spacing w:val="0"/>
          <w:w w:val="100"/>
          <w:position w:val="0"/>
          <w:highlight w:val="none"/>
        </w:rPr>
        <w:t>附图3</w:t>
      </w:r>
      <w:r>
        <w:rPr>
          <w:rFonts w:ascii="Times New Roman" w:hAnsi="Times New Roman" w:cs="Times New Roman" w:eastAsiaTheme="minorEastAsia"/>
          <w:bCs/>
          <w:caps w:val="0"/>
          <w:smallCaps w:val="0"/>
          <w:snapToGrid w:val="0"/>
          <w:color w:val="auto"/>
          <w:spacing w:val="0"/>
          <w:w w:val="100"/>
          <w:position w:val="0"/>
          <w:highlight w:val="none"/>
        </w:rPr>
        <w:t>。</w:t>
      </w:r>
    </w:p>
    <w:p w14:paraId="0E8FBEE9">
      <w:pPr>
        <w:widowControl w:val="0"/>
        <w:autoSpaceDE w:val="0"/>
        <w:autoSpaceDN w:val="0"/>
        <w:adjustRightInd w:val="0"/>
        <w:spacing w:line="440" w:lineRule="exact"/>
        <w:ind w:firstLine="482" w:firstLineChars="200"/>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 xml:space="preserve">表3.4-3     </w:t>
      </w:r>
      <w:r>
        <w:rPr>
          <w:rFonts w:ascii="Times New Roman" w:hAnsi="Times New Roman" w:cs="Times New Roman"/>
          <w:b/>
          <w:bCs/>
          <w:caps w:val="0"/>
          <w:smallCaps w:val="0"/>
          <w:color w:val="auto"/>
          <w:spacing w:val="0"/>
          <w:w w:val="100"/>
          <w:kern w:val="2"/>
          <w:position w:val="0"/>
          <w:highlight w:val="none"/>
          <w:lang w:bidi="zh-CN"/>
        </w:rPr>
        <w:t>本项目新建管线穿越点位坐标及穿越套管规格统计表</w:t>
      </w:r>
    </w:p>
    <w:tbl>
      <w:tblPr>
        <w:tblStyle w:val="8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2604"/>
        <w:gridCol w:w="2447"/>
        <w:gridCol w:w="1860"/>
        <w:gridCol w:w="1861"/>
      </w:tblGrid>
      <w:tr w14:paraId="0E2F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Align w:val="center"/>
          </w:tcPr>
          <w:p w14:paraId="3DAA64A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序号</w:t>
            </w:r>
          </w:p>
        </w:tc>
        <w:tc>
          <w:tcPr>
            <w:tcW w:w="1389" w:type="pct"/>
            <w:vAlign w:val="center"/>
          </w:tcPr>
          <w:p w14:paraId="251817C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管线名称</w:t>
            </w:r>
          </w:p>
        </w:tc>
        <w:tc>
          <w:tcPr>
            <w:tcW w:w="1190" w:type="pct"/>
            <w:vAlign w:val="center"/>
          </w:tcPr>
          <w:p w14:paraId="71EF8970">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顶管</w:t>
            </w:r>
            <w:r>
              <w:rPr>
                <w:rFonts w:ascii="Times New Roman" w:hAnsi="Times New Roman" w:cs="Times New Roman" w:eastAsiaTheme="minorEastAsia"/>
                <w:caps w:val="0"/>
                <w:smallCaps w:val="0"/>
                <w:snapToGrid w:val="0"/>
                <w:color w:val="auto"/>
                <w:spacing w:val="0"/>
                <w:w w:val="100"/>
                <w:position w:val="0"/>
                <w:sz w:val="21"/>
                <w:szCs w:val="21"/>
                <w:highlight w:val="none"/>
              </w:rPr>
              <w:t>穿越处坐标</w:t>
            </w:r>
          </w:p>
        </w:tc>
        <w:tc>
          <w:tcPr>
            <w:tcW w:w="999" w:type="pct"/>
            <w:vAlign w:val="center"/>
          </w:tcPr>
          <w:p w14:paraId="1572C906">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穿越方式</w:t>
            </w:r>
          </w:p>
        </w:tc>
        <w:tc>
          <w:tcPr>
            <w:tcW w:w="999" w:type="pct"/>
            <w:vAlign w:val="center"/>
          </w:tcPr>
          <w:p w14:paraId="51E6224D">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 xml:space="preserve"> 穿越套管规格</w:t>
            </w:r>
          </w:p>
        </w:tc>
      </w:tr>
      <w:tr w14:paraId="2C5D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Align w:val="center"/>
          </w:tcPr>
          <w:p w14:paraId="7F5DABBC">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w:t>
            </w:r>
          </w:p>
        </w:tc>
        <w:tc>
          <w:tcPr>
            <w:tcW w:w="1389" w:type="pct"/>
            <w:vMerge w:val="restart"/>
            <w:vAlign w:val="center"/>
          </w:tcPr>
          <w:p w14:paraId="160EA7D6">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卫1转油站至1-6#集油阀组间管线</w:t>
            </w:r>
          </w:p>
        </w:tc>
        <w:tc>
          <w:tcPr>
            <w:tcW w:w="1190" w:type="pct"/>
            <w:vAlign w:val="center"/>
          </w:tcPr>
          <w:p w14:paraId="69A1C086">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46.15268&amp;lng=125.01510</w:t>
            </w:r>
          </w:p>
        </w:tc>
        <w:tc>
          <w:tcPr>
            <w:tcW w:w="999" w:type="pct"/>
            <w:vAlign w:val="center"/>
          </w:tcPr>
          <w:p w14:paraId="386661D4">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46110826">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2C89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857CD73">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2</w:t>
            </w:r>
          </w:p>
        </w:tc>
        <w:tc>
          <w:tcPr>
            <w:tcW w:w="1389" w:type="pct"/>
            <w:vMerge w:val="continue"/>
            <w:vAlign w:val="center"/>
          </w:tcPr>
          <w:p w14:paraId="47AEB97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02172C67">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46.15260&amp;lng=125.02407</w:t>
            </w:r>
          </w:p>
        </w:tc>
        <w:tc>
          <w:tcPr>
            <w:tcW w:w="999" w:type="pct"/>
            <w:vAlign w:val="center"/>
          </w:tcPr>
          <w:p w14:paraId="74B2CC68">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6617A236">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43E9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6FDC68F0">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3</w:t>
            </w:r>
          </w:p>
        </w:tc>
        <w:tc>
          <w:tcPr>
            <w:tcW w:w="1389" w:type="pct"/>
            <w:vMerge w:val="continue"/>
            <w:vAlign w:val="center"/>
          </w:tcPr>
          <w:p w14:paraId="19B5C35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4BA1A216">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46.14789&amp;lng=125.02609</w:t>
            </w:r>
          </w:p>
        </w:tc>
        <w:tc>
          <w:tcPr>
            <w:tcW w:w="999" w:type="pct"/>
            <w:vAlign w:val="center"/>
          </w:tcPr>
          <w:p w14:paraId="2EBAC3A0">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5EA46D30">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74AB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5E27AE4C">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4</w:t>
            </w:r>
          </w:p>
        </w:tc>
        <w:tc>
          <w:tcPr>
            <w:tcW w:w="1389" w:type="pct"/>
            <w:vMerge w:val="continue"/>
            <w:vAlign w:val="center"/>
          </w:tcPr>
          <w:p w14:paraId="17BC549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25BE4933">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46.14739&amp;lng=125.02572</w:t>
            </w:r>
          </w:p>
        </w:tc>
        <w:tc>
          <w:tcPr>
            <w:tcW w:w="999" w:type="pct"/>
            <w:vAlign w:val="center"/>
          </w:tcPr>
          <w:p w14:paraId="038AAE6B">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22398A10">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29B5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649F575E">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5</w:t>
            </w:r>
          </w:p>
        </w:tc>
        <w:tc>
          <w:tcPr>
            <w:tcW w:w="1389" w:type="pct"/>
            <w:vMerge w:val="continue"/>
            <w:vAlign w:val="center"/>
          </w:tcPr>
          <w:p w14:paraId="2D559EF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1E8521C6">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46.13268&amp;lng=125.03037</w:t>
            </w:r>
          </w:p>
        </w:tc>
        <w:tc>
          <w:tcPr>
            <w:tcW w:w="999" w:type="pct"/>
            <w:vAlign w:val="center"/>
          </w:tcPr>
          <w:p w14:paraId="24C48263">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2B6EA8A3">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7B06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8718F19">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6</w:t>
            </w:r>
          </w:p>
        </w:tc>
        <w:tc>
          <w:tcPr>
            <w:tcW w:w="1389" w:type="pct"/>
            <w:vMerge w:val="restart"/>
            <w:vAlign w:val="center"/>
          </w:tcPr>
          <w:p w14:paraId="0894460D">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卫1脱水站至2-9#集油阀组间管线</w:t>
            </w:r>
          </w:p>
        </w:tc>
        <w:tc>
          <w:tcPr>
            <w:tcW w:w="1190" w:type="pct"/>
            <w:vAlign w:val="center"/>
          </w:tcPr>
          <w:p w14:paraId="6C7B7690">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46.16628&amp;lng=124.94151</w:t>
            </w:r>
          </w:p>
        </w:tc>
        <w:tc>
          <w:tcPr>
            <w:tcW w:w="999" w:type="pct"/>
            <w:vAlign w:val="center"/>
          </w:tcPr>
          <w:p w14:paraId="65ECE0BE">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0557865C">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3F9B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AFE439C">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7</w:t>
            </w:r>
          </w:p>
        </w:tc>
        <w:tc>
          <w:tcPr>
            <w:tcW w:w="1389" w:type="pct"/>
            <w:vMerge w:val="continue"/>
            <w:vAlign w:val="center"/>
          </w:tcPr>
          <w:p w14:paraId="0382932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66052BDA">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46.16325&amp;lng=124.94366</w:t>
            </w:r>
          </w:p>
        </w:tc>
        <w:tc>
          <w:tcPr>
            <w:tcW w:w="999" w:type="pct"/>
            <w:vAlign w:val="center"/>
          </w:tcPr>
          <w:p w14:paraId="6598EB77">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3908E035">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167A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C467134">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8</w:t>
            </w:r>
          </w:p>
        </w:tc>
        <w:tc>
          <w:tcPr>
            <w:tcW w:w="1389" w:type="pct"/>
            <w:vMerge w:val="continue"/>
            <w:vAlign w:val="center"/>
          </w:tcPr>
          <w:p w14:paraId="2BEE87A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2EE0A0C1">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46.16191&amp;lng=124.94446</w:t>
            </w:r>
          </w:p>
        </w:tc>
        <w:tc>
          <w:tcPr>
            <w:tcW w:w="999" w:type="pct"/>
            <w:vAlign w:val="center"/>
          </w:tcPr>
          <w:p w14:paraId="0002790E">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136D1F95">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71E0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ABD0022">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9</w:t>
            </w:r>
          </w:p>
        </w:tc>
        <w:tc>
          <w:tcPr>
            <w:tcW w:w="1389" w:type="pct"/>
            <w:vMerge w:val="continue"/>
            <w:vAlign w:val="center"/>
          </w:tcPr>
          <w:p w14:paraId="41D5089C">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2AAF6C7E">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46.16016&amp;lng=124.94548</w:t>
            </w:r>
          </w:p>
        </w:tc>
        <w:tc>
          <w:tcPr>
            <w:tcW w:w="999" w:type="pct"/>
            <w:vAlign w:val="center"/>
          </w:tcPr>
          <w:p w14:paraId="6744BE47">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4BAE40FB">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5E6A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3DB43CC6">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10</w:t>
            </w:r>
          </w:p>
        </w:tc>
        <w:tc>
          <w:tcPr>
            <w:tcW w:w="1389" w:type="pct"/>
            <w:vMerge w:val="continue"/>
            <w:vAlign w:val="center"/>
          </w:tcPr>
          <w:p w14:paraId="0551138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7AC425A1">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46.15726&amp;lng=124.94975</w:t>
            </w:r>
          </w:p>
        </w:tc>
        <w:tc>
          <w:tcPr>
            <w:tcW w:w="999" w:type="pct"/>
            <w:vAlign w:val="center"/>
          </w:tcPr>
          <w:p w14:paraId="448831D5">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7DE986DA">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641F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5AB4DBD1">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11</w:t>
            </w:r>
          </w:p>
        </w:tc>
        <w:tc>
          <w:tcPr>
            <w:tcW w:w="1389" w:type="pct"/>
            <w:vMerge w:val="continue"/>
            <w:vAlign w:val="center"/>
          </w:tcPr>
          <w:p w14:paraId="48CAA4A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3A22E3EC">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46.15174&amp;lng=124.95560</w:t>
            </w:r>
          </w:p>
        </w:tc>
        <w:tc>
          <w:tcPr>
            <w:tcW w:w="999" w:type="pct"/>
            <w:vAlign w:val="center"/>
          </w:tcPr>
          <w:p w14:paraId="0EB5B0A1">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0A2132BC">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2506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BCB61BC">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12</w:t>
            </w:r>
          </w:p>
        </w:tc>
        <w:tc>
          <w:tcPr>
            <w:tcW w:w="1389" w:type="pct"/>
            <w:vMerge w:val="continue"/>
            <w:vAlign w:val="center"/>
          </w:tcPr>
          <w:p w14:paraId="071C71E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6AB7FDF0">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46.13634&amp;lng=124.97176</w:t>
            </w:r>
          </w:p>
        </w:tc>
        <w:tc>
          <w:tcPr>
            <w:tcW w:w="999" w:type="pct"/>
            <w:vAlign w:val="center"/>
          </w:tcPr>
          <w:p w14:paraId="67834CEF">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5A5A2445">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17FE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709A5D39">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13</w:t>
            </w:r>
          </w:p>
        </w:tc>
        <w:tc>
          <w:tcPr>
            <w:tcW w:w="1389" w:type="pct"/>
            <w:vMerge w:val="continue"/>
            <w:vAlign w:val="center"/>
          </w:tcPr>
          <w:p w14:paraId="712AA41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42C51366">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46.16701&amp;lng=124.95679</w:t>
            </w:r>
          </w:p>
        </w:tc>
        <w:tc>
          <w:tcPr>
            <w:tcW w:w="999" w:type="pct"/>
            <w:vAlign w:val="center"/>
          </w:tcPr>
          <w:p w14:paraId="058F1A34">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1095F71D">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DN300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5EC2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6D54716D">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14</w:t>
            </w:r>
          </w:p>
        </w:tc>
        <w:tc>
          <w:tcPr>
            <w:tcW w:w="1389" w:type="pct"/>
            <w:vMerge w:val="restart"/>
            <w:vAlign w:val="center"/>
          </w:tcPr>
          <w:p w14:paraId="641B1772">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1-3#集油阀组间至卫2-18-斜35井间管线</w:t>
            </w:r>
          </w:p>
        </w:tc>
        <w:tc>
          <w:tcPr>
            <w:tcW w:w="1190" w:type="pct"/>
            <w:vAlign w:val="center"/>
          </w:tcPr>
          <w:p w14:paraId="13F671D1">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46.15647&amp;lng=125.01025</w:t>
            </w:r>
          </w:p>
        </w:tc>
        <w:tc>
          <w:tcPr>
            <w:tcW w:w="999" w:type="pct"/>
            <w:vAlign w:val="center"/>
          </w:tcPr>
          <w:p w14:paraId="29BB788D">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2DFCC2B0">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6713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5452326B">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15</w:t>
            </w:r>
          </w:p>
        </w:tc>
        <w:tc>
          <w:tcPr>
            <w:tcW w:w="1389" w:type="pct"/>
            <w:vMerge w:val="continue"/>
            <w:vAlign w:val="center"/>
          </w:tcPr>
          <w:p w14:paraId="49F40D1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4A0AB0C8">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46.15400&amp;lng=125.00581</w:t>
            </w:r>
          </w:p>
        </w:tc>
        <w:tc>
          <w:tcPr>
            <w:tcW w:w="999" w:type="pct"/>
            <w:vAlign w:val="center"/>
          </w:tcPr>
          <w:p w14:paraId="63CB3524">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5FD4D46F">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46B5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106D948">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16</w:t>
            </w:r>
          </w:p>
        </w:tc>
        <w:tc>
          <w:tcPr>
            <w:tcW w:w="1389" w:type="pct"/>
            <w:vMerge w:val="continue"/>
            <w:vAlign w:val="center"/>
          </w:tcPr>
          <w:p w14:paraId="36FCA08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380824F8">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46.15033&amp;lng=125.00049</w:t>
            </w:r>
          </w:p>
        </w:tc>
        <w:tc>
          <w:tcPr>
            <w:tcW w:w="999" w:type="pct"/>
            <w:vAlign w:val="center"/>
          </w:tcPr>
          <w:p w14:paraId="52735B7F">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57A99399">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134C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2274C8A">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17</w:t>
            </w:r>
          </w:p>
        </w:tc>
        <w:tc>
          <w:tcPr>
            <w:tcW w:w="1389" w:type="pct"/>
            <w:vAlign w:val="center"/>
          </w:tcPr>
          <w:p w14:paraId="42977263">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卫2-18-34井至卫2-20-35井间管线</w:t>
            </w:r>
          </w:p>
        </w:tc>
        <w:tc>
          <w:tcPr>
            <w:tcW w:w="1190" w:type="pct"/>
            <w:vAlign w:val="center"/>
          </w:tcPr>
          <w:p w14:paraId="13D3B6BB">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46.15149&amp;lng=124.99502</w:t>
            </w:r>
          </w:p>
        </w:tc>
        <w:tc>
          <w:tcPr>
            <w:tcW w:w="999" w:type="pct"/>
            <w:vAlign w:val="center"/>
          </w:tcPr>
          <w:p w14:paraId="4EB32ABF">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bCs/>
                <w:snapToGrid w:val="0"/>
                <w:color w:val="auto"/>
                <w:highlight w:val="none"/>
                <w:lang w:val="en-US" w:eastAsia="zh-CN"/>
              </w:rPr>
              <w:t>钢开</w:t>
            </w:r>
          </w:p>
        </w:tc>
        <w:tc>
          <w:tcPr>
            <w:tcW w:w="999" w:type="pct"/>
            <w:vAlign w:val="center"/>
          </w:tcPr>
          <w:p w14:paraId="3B9E929D">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0F56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00548D33">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18</w:t>
            </w:r>
          </w:p>
        </w:tc>
        <w:tc>
          <w:tcPr>
            <w:tcW w:w="1389" w:type="pct"/>
            <w:vMerge w:val="restart"/>
            <w:vAlign w:val="center"/>
          </w:tcPr>
          <w:p w14:paraId="22F009B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卫2-21-35井至1-3#集油阀组间间管线</w:t>
            </w:r>
          </w:p>
        </w:tc>
        <w:tc>
          <w:tcPr>
            <w:tcW w:w="1190" w:type="pct"/>
            <w:vAlign w:val="center"/>
          </w:tcPr>
          <w:p w14:paraId="5F7AC3B5">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46.15405&amp;lng=124.99957</w:t>
            </w:r>
          </w:p>
        </w:tc>
        <w:tc>
          <w:tcPr>
            <w:tcW w:w="999" w:type="pct"/>
            <w:vAlign w:val="center"/>
          </w:tcPr>
          <w:p w14:paraId="47C8CEBD">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bCs/>
                <w:snapToGrid w:val="0"/>
                <w:color w:val="auto"/>
                <w:highlight w:val="none"/>
                <w:lang w:val="en-US" w:eastAsia="zh-CN"/>
              </w:rPr>
              <w:t>钢开</w:t>
            </w:r>
          </w:p>
        </w:tc>
        <w:tc>
          <w:tcPr>
            <w:tcW w:w="999" w:type="pct"/>
            <w:vAlign w:val="center"/>
          </w:tcPr>
          <w:p w14:paraId="759368FA">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21A3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36FAC937">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19</w:t>
            </w:r>
          </w:p>
        </w:tc>
        <w:tc>
          <w:tcPr>
            <w:tcW w:w="1389" w:type="pct"/>
            <w:vMerge w:val="continue"/>
            <w:vAlign w:val="center"/>
          </w:tcPr>
          <w:p w14:paraId="127F96C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16AAD151">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46.15405&amp;lng=124.99957</w:t>
            </w:r>
          </w:p>
        </w:tc>
        <w:tc>
          <w:tcPr>
            <w:tcW w:w="999" w:type="pct"/>
            <w:vAlign w:val="center"/>
          </w:tcPr>
          <w:p w14:paraId="549840E6">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54156B24">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7495C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551593D8">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20</w:t>
            </w:r>
          </w:p>
        </w:tc>
        <w:tc>
          <w:tcPr>
            <w:tcW w:w="1389" w:type="pct"/>
            <w:vMerge w:val="continue"/>
            <w:vAlign w:val="center"/>
          </w:tcPr>
          <w:p w14:paraId="4D9A4EB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375F8335">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46.15674&amp;lng=125.01018</w:t>
            </w:r>
          </w:p>
        </w:tc>
        <w:tc>
          <w:tcPr>
            <w:tcW w:w="999" w:type="pct"/>
            <w:vAlign w:val="center"/>
          </w:tcPr>
          <w:p w14:paraId="459614A4">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30DAC6BA">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45F7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0AD63EF3">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21</w:t>
            </w:r>
          </w:p>
        </w:tc>
        <w:tc>
          <w:tcPr>
            <w:tcW w:w="1389" w:type="pct"/>
            <w:vMerge w:val="restart"/>
            <w:vAlign w:val="center"/>
          </w:tcPr>
          <w:p w14:paraId="1416CBE5">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 xml:space="preserve">1-5#集油阀组间至卫 </w:t>
            </w:r>
            <w: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t>1-17-14</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1190" w:type="pct"/>
            <w:vAlign w:val="center"/>
          </w:tcPr>
          <w:p w14:paraId="55440156">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46.14673&amp;lng=125.03983</w:t>
            </w:r>
          </w:p>
        </w:tc>
        <w:tc>
          <w:tcPr>
            <w:tcW w:w="999" w:type="pct"/>
            <w:vAlign w:val="center"/>
          </w:tcPr>
          <w:p w14:paraId="2D705D24">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495FE90B">
            <w:pPr>
              <w:autoSpaceDE w:val="0"/>
              <w:autoSpaceDN w:val="0"/>
              <w:adjustRightInd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08F7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17CB11A2">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22</w:t>
            </w:r>
          </w:p>
        </w:tc>
        <w:tc>
          <w:tcPr>
            <w:tcW w:w="1389" w:type="pct"/>
            <w:vMerge w:val="continue"/>
            <w:vAlign w:val="center"/>
          </w:tcPr>
          <w:p w14:paraId="4A1C2DE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46F92D42">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46.14548&amp;lng=125.04192</w:t>
            </w:r>
          </w:p>
        </w:tc>
        <w:tc>
          <w:tcPr>
            <w:tcW w:w="999" w:type="pct"/>
            <w:vAlign w:val="center"/>
          </w:tcPr>
          <w:p w14:paraId="2A2F6A46">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2D3583FA">
            <w:pPr>
              <w:autoSpaceDE w:val="0"/>
              <w:autoSpaceDN w:val="0"/>
              <w:adjustRightInd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42A2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19B9E5D4">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23</w:t>
            </w:r>
          </w:p>
        </w:tc>
        <w:tc>
          <w:tcPr>
            <w:tcW w:w="1389" w:type="pct"/>
            <w:vMerge w:val="continue"/>
            <w:vAlign w:val="center"/>
          </w:tcPr>
          <w:p w14:paraId="68CD0A91">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36F4141B">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46.14442&amp;lng=125.04385</w:t>
            </w:r>
          </w:p>
        </w:tc>
        <w:tc>
          <w:tcPr>
            <w:tcW w:w="999" w:type="pct"/>
            <w:vAlign w:val="center"/>
          </w:tcPr>
          <w:p w14:paraId="3423EB8A">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5428EBA2">
            <w:pPr>
              <w:autoSpaceDE w:val="0"/>
              <w:autoSpaceDN w:val="0"/>
              <w:adjustRightInd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6B63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67B186E">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24</w:t>
            </w:r>
          </w:p>
        </w:tc>
        <w:tc>
          <w:tcPr>
            <w:tcW w:w="1389" w:type="pct"/>
            <w:vMerge w:val="restart"/>
            <w:vAlign w:val="center"/>
          </w:tcPr>
          <w:p w14:paraId="6FB43A8A">
            <w:pPr>
              <w:widowControl w:val="0"/>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卫1-17-12井至1-5#集油阀组间间管线</w:t>
            </w:r>
          </w:p>
        </w:tc>
        <w:tc>
          <w:tcPr>
            <w:tcW w:w="1190" w:type="pct"/>
            <w:vAlign w:val="center"/>
          </w:tcPr>
          <w:p w14:paraId="2F704BC2">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46.14398&amp;lng=125.03966</w:t>
            </w:r>
          </w:p>
        </w:tc>
        <w:tc>
          <w:tcPr>
            <w:tcW w:w="999" w:type="pct"/>
            <w:vAlign w:val="center"/>
          </w:tcPr>
          <w:p w14:paraId="1504D773">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5762F041">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DN400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5338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BB7F1EB">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25</w:t>
            </w:r>
          </w:p>
        </w:tc>
        <w:tc>
          <w:tcPr>
            <w:tcW w:w="1389" w:type="pct"/>
            <w:vMerge w:val="continue"/>
            <w:vAlign w:val="center"/>
          </w:tcPr>
          <w:p w14:paraId="197BCA2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p>
        </w:tc>
        <w:tc>
          <w:tcPr>
            <w:tcW w:w="1190" w:type="pct"/>
            <w:vAlign w:val="center"/>
          </w:tcPr>
          <w:p w14:paraId="77B87C5A">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46.14646&amp;lng=125.03855</w:t>
            </w:r>
          </w:p>
        </w:tc>
        <w:tc>
          <w:tcPr>
            <w:tcW w:w="999" w:type="pct"/>
            <w:vAlign w:val="center"/>
          </w:tcPr>
          <w:p w14:paraId="42A634A2">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686EF747">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DN400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48F2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08477077">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bidi="ar-SA"/>
              </w:rPr>
            </w:pPr>
            <w:r>
              <w:rPr>
                <w:rFonts w:hint="eastAsia" w:ascii="Times New Roman" w:hAnsi="Times New Roman" w:cs="Times New Roman"/>
                <w:bCs/>
                <w:caps w:val="0"/>
                <w:smallCaps w:val="0"/>
                <w:color w:val="auto"/>
                <w:spacing w:val="0"/>
                <w:w w:val="100"/>
                <w:position w:val="0"/>
                <w:sz w:val="21"/>
                <w:szCs w:val="21"/>
                <w:highlight w:val="none"/>
                <w:lang w:val="en-US" w:eastAsia="zh-CN"/>
              </w:rPr>
              <w:t>26</w:t>
            </w:r>
          </w:p>
        </w:tc>
        <w:tc>
          <w:tcPr>
            <w:tcW w:w="1389" w:type="pct"/>
            <w:vAlign w:val="center"/>
          </w:tcPr>
          <w:p w14:paraId="060BF2A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卫2-24-斜28</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井至</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卫2-25-25</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井间管线</w:t>
            </w:r>
          </w:p>
        </w:tc>
        <w:tc>
          <w:tcPr>
            <w:tcW w:w="1190" w:type="pct"/>
            <w:vAlign w:val="center"/>
          </w:tcPr>
          <w:p w14:paraId="39B94867">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46.16351&amp;lng=124.97145</w:t>
            </w:r>
          </w:p>
        </w:tc>
        <w:tc>
          <w:tcPr>
            <w:tcW w:w="999" w:type="pct"/>
            <w:vAlign w:val="center"/>
          </w:tcPr>
          <w:p w14:paraId="165AE35E">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bCs/>
                <w:snapToGrid w:val="0"/>
                <w:color w:val="auto"/>
                <w:highlight w:val="none"/>
                <w:lang w:val="en-US" w:eastAsia="zh-CN"/>
              </w:rPr>
              <w:t>钢开</w:t>
            </w:r>
          </w:p>
        </w:tc>
        <w:tc>
          <w:tcPr>
            <w:tcW w:w="999" w:type="pct"/>
            <w:vAlign w:val="center"/>
          </w:tcPr>
          <w:p w14:paraId="52F8D885">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1C22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Align w:val="center"/>
          </w:tcPr>
          <w:p w14:paraId="2CA51C96">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27</w:t>
            </w:r>
          </w:p>
        </w:tc>
        <w:tc>
          <w:tcPr>
            <w:tcW w:w="1389" w:type="pct"/>
            <w:vMerge w:val="restart"/>
            <w:vAlign w:val="center"/>
          </w:tcPr>
          <w:p w14:paraId="62B20ED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卫2-25-2</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4井至2-5#集油阀组间间管线</w:t>
            </w:r>
          </w:p>
        </w:tc>
        <w:tc>
          <w:tcPr>
            <w:tcW w:w="1190" w:type="pct"/>
            <w:vAlign w:val="center"/>
          </w:tcPr>
          <w:p w14:paraId="1138BE68">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46.16568&amp;lng=124.95915</w:t>
            </w:r>
          </w:p>
        </w:tc>
        <w:tc>
          <w:tcPr>
            <w:tcW w:w="999" w:type="pct"/>
            <w:vAlign w:val="center"/>
          </w:tcPr>
          <w:p w14:paraId="48005A5B">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bCs/>
                <w:snapToGrid w:val="0"/>
                <w:color w:val="auto"/>
                <w:highlight w:val="none"/>
                <w:lang w:val="en-US" w:eastAsia="zh-CN"/>
              </w:rPr>
              <w:t>钢开</w:t>
            </w:r>
          </w:p>
        </w:tc>
        <w:tc>
          <w:tcPr>
            <w:tcW w:w="999" w:type="pct"/>
            <w:vAlign w:val="center"/>
          </w:tcPr>
          <w:p w14:paraId="46644C93">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r w14:paraId="5FDE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Align w:val="center"/>
          </w:tcPr>
          <w:p w14:paraId="1B635CC7">
            <w:pPr>
              <w:autoSpaceDE w:val="0"/>
              <w:autoSpaceDN w:val="0"/>
              <w:adjustRightInd w:val="0"/>
              <w:spacing w:line="320" w:lineRule="exact"/>
              <w:jc w:val="center"/>
              <w:rPr>
                <w:rFonts w:hint="default" w:ascii="Times New Roman" w:hAnsi="Times New Roman"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28</w:t>
            </w:r>
          </w:p>
        </w:tc>
        <w:tc>
          <w:tcPr>
            <w:tcW w:w="1389" w:type="pct"/>
            <w:vMerge w:val="continue"/>
            <w:vAlign w:val="center"/>
          </w:tcPr>
          <w:p w14:paraId="1F2AAD1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p>
        </w:tc>
        <w:tc>
          <w:tcPr>
            <w:tcW w:w="1190" w:type="pct"/>
            <w:vAlign w:val="center"/>
          </w:tcPr>
          <w:p w14:paraId="4FEAB20B">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46.16701&amp;lng=124.95679</w:t>
            </w:r>
          </w:p>
        </w:tc>
        <w:tc>
          <w:tcPr>
            <w:tcW w:w="999" w:type="pct"/>
            <w:vAlign w:val="center"/>
          </w:tcPr>
          <w:p w14:paraId="36A7107C">
            <w:pPr>
              <w:autoSpaceDE w:val="0"/>
              <w:autoSpaceDN w:val="0"/>
              <w:spacing w:line="320" w:lineRule="exact"/>
              <w:jc w:val="center"/>
              <w:rPr>
                <w:rFonts w:hint="eastAsia"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定向钻</w:t>
            </w:r>
          </w:p>
        </w:tc>
        <w:tc>
          <w:tcPr>
            <w:tcW w:w="999" w:type="pct"/>
            <w:vAlign w:val="center"/>
          </w:tcPr>
          <w:p w14:paraId="3E24D4A7">
            <w:pPr>
              <w:autoSpaceDE w:val="0"/>
              <w:autoSpaceDN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DN250</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snapToGrid w:val="0"/>
                <w:color w:val="auto"/>
                <w:spacing w:val="0"/>
                <w:w w:val="100"/>
                <w:position w:val="0"/>
                <w:sz w:val="21"/>
                <w:szCs w:val="21"/>
                <w:highlight w:val="none"/>
              </w:rPr>
              <w:t>L=1</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snapToGrid w:val="0"/>
                <w:color w:val="auto"/>
                <w:spacing w:val="0"/>
                <w:w w:val="100"/>
                <w:position w:val="0"/>
                <w:sz w:val="21"/>
                <w:szCs w:val="21"/>
                <w:highlight w:val="none"/>
              </w:rPr>
              <w:t>m</w:t>
            </w:r>
          </w:p>
        </w:tc>
      </w:tr>
    </w:tbl>
    <w:p w14:paraId="702F133C">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3.4.4管道防腐工程</w:t>
      </w:r>
    </w:p>
    <w:p w14:paraId="5ABC9C93">
      <w:pPr>
        <w:widowControl w:val="0"/>
        <w:autoSpaceDE w:val="0"/>
        <w:autoSpaceDN w:val="0"/>
        <w:spacing w:line="500" w:lineRule="exact"/>
        <w:ind w:firstLine="480" w:firstLineChars="200"/>
        <w:jc w:val="both"/>
        <w:rPr>
          <w:rFonts w:hint="default" w:ascii="Times New Roman" w:hAnsi="Times New Roman" w:cs="Times New Roman" w:eastAsiaTheme="minorEastAsia"/>
          <w:caps w:val="0"/>
          <w:smallCaps w:val="0"/>
          <w:snapToGrid w:val="0"/>
          <w:color w:val="auto"/>
          <w:spacing w:val="0"/>
          <w:w w:val="100"/>
          <w:position w:val="0"/>
          <w:highlight w:val="none"/>
          <w:lang w:val="en-US" w:eastAsia="zh-CN"/>
        </w:rPr>
      </w:pPr>
      <w:r>
        <w:rPr>
          <w:rFonts w:ascii="Times New Roman" w:hAnsi="Times New Roman" w:cs="Times New Roman" w:eastAsiaTheme="minorEastAsia"/>
          <w:caps w:val="0"/>
          <w:smallCaps w:val="0"/>
          <w:snapToGrid w:val="0"/>
          <w:color w:val="auto"/>
          <w:spacing w:val="0"/>
          <w:w w:val="100"/>
          <w:position w:val="0"/>
          <w:highlight w:val="none"/>
        </w:rPr>
        <w:t>（1）</w:t>
      </w: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管道防腐结构</w:t>
      </w:r>
    </w:p>
    <w:p w14:paraId="0EB4076C">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auto"/>
          <w:spacing w:val="0"/>
          <w:w w:val="100"/>
          <w:position w:val="0"/>
          <w:highlight w:val="none"/>
        </w:rPr>
      </w:pP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1）</w:t>
      </w:r>
      <w:r>
        <w:rPr>
          <w:rFonts w:hint="eastAsia" w:ascii="Times New Roman" w:hAnsi="Times New Roman" w:cs="Times New Roman" w:eastAsiaTheme="minorEastAsia"/>
          <w:caps w:val="0"/>
          <w:smallCaps w:val="0"/>
          <w:snapToGrid w:val="0"/>
          <w:color w:val="auto"/>
          <w:spacing w:val="0"/>
          <w:w w:val="100"/>
          <w:position w:val="0"/>
          <w:highlight w:val="none"/>
        </w:rPr>
        <w:t>埋地保温管道外防腐、保温结构</w:t>
      </w:r>
      <w:r>
        <w:rPr>
          <w:rFonts w:hint="eastAsia" w:ascii="Times New Roman" w:hAnsi="Times New Roman" w:cs="Times New Roman" w:eastAsiaTheme="minorEastAsia"/>
          <w:caps w:val="0"/>
          <w:smallCaps w:val="0"/>
          <w:snapToGrid w:val="0"/>
          <w:color w:val="auto"/>
          <w:spacing w:val="0"/>
          <w:w w:val="100"/>
          <w:position w:val="0"/>
          <w:highlight w:val="none"/>
          <w:lang w:eastAsia="zh-CN"/>
        </w:rPr>
        <w:t>：</w:t>
      </w:r>
      <w:r>
        <w:rPr>
          <w:rFonts w:hint="eastAsia" w:ascii="Times New Roman" w:hAnsi="Times New Roman" w:cs="Times New Roman" w:eastAsiaTheme="minorEastAsia"/>
          <w:caps w:val="0"/>
          <w:smallCaps w:val="0"/>
          <w:snapToGrid w:val="0"/>
          <w:color w:val="auto"/>
          <w:spacing w:val="0"/>
          <w:w w:val="100"/>
          <w:position w:val="0"/>
          <w:highlight w:val="none"/>
        </w:rPr>
        <w:t>防腐采用内缠聚乙烯胶带普通级防腐聚氨酯保温聚乙烯保护成品管。</w:t>
      </w: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保温层厚30mm，立管部分延伸到地面以上200mm。</w:t>
      </w:r>
    </w:p>
    <w:p w14:paraId="26F7961E">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auto"/>
          <w:spacing w:val="0"/>
          <w:w w:val="100"/>
          <w:position w:val="0"/>
          <w:highlight w:val="none"/>
        </w:rPr>
      </w:pP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2）</w:t>
      </w:r>
      <w:r>
        <w:rPr>
          <w:rFonts w:hint="eastAsia" w:ascii="Times New Roman" w:hAnsi="Times New Roman" w:cs="Times New Roman" w:eastAsiaTheme="minorEastAsia"/>
          <w:caps w:val="0"/>
          <w:smallCaps w:val="0"/>
          <w:snapToGrid w:val="0"/>
          <w:color w:val="auto"/>
          <w:spacing w:val="0"/>
          <w:w w:val="100"/>
          <w:position w:val="0"/>
          <w:highlight w:val="none"/>
        </w:rPr>
        <w:t>穿路套管防腐</w:t>
      </w:r>
      <w:r>
        <w:rPr>
          <w:rFonts w:hint="eastAsia" w:ascii="Times New Roman" w:hAnsi="Times New Roman" w:cs="Times New Roman" w:eastAsiaTheme="minorEastAsia"/>
          <w:caps w:val="0"/>
          <w:smallCaps w:val="0"/>
          <w:snapToGrid w:val="0"/>
          <w:color w:val="auto"/>
          <w:spacing w:val="0"/>
          <w:w w:val="100"/>
          <w:position w:val="0"/>
          <w:highlight w:val="none"/>
          <w:lang w:eastAsia="zh-CN"/>
        </w:rPr>
        <w:t>：</w:t>
      </w:r>
      <w:r>
        <w:rPr>
          <w:rFonts w:hint="eastAsia" w:ascii="Times New Roman" w:hAnsi="Times New Roman" w:cs="Times New Roman" w:eastAsiaTheme="minorEastAsia"/>
          <w:caps w:val="0"/>
          <w:smallCaps w:val="0"/>
          <w:snapToGrid w:val="0"/>
          <w:color w:val="auto"/>
          <w:spacing w:val="0"/>
          <w:w w:val="100"/>
          <w:position w:val="0"/>
          <w:highlight w:val="none"/>
        </w:rPr>
        <w:t>套管内外壁防腐采用环氧煤沥青涂料普通级，1底4面</w:t>
      </w:r>
      <w:r>
        <w:rPr>
          <w:rFonts w:hint="eastAsia" w:ascii="Times New Roman" w:hAnsi="Times New Roman" w:cs="Times New Roman" w:eastAsiaTheme="minorEastAsia"/>
          <w:caps w:val="0"/>
          <w:smallCaps w:val="0"/>
          <w:snapToGrid w:val="0"/>
          <w:color w:val="auto"/>
          <w:spacing w:val="0"/>
          <w:w w:val="100"/>
          <w:position w:val="0"/>
          <w:highlight w:val="none"/>
          <w:lang w:eastAsia="zh-CN"/>
        </w:rPr>
        <w:t>，</w:t>
      </w: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总干膜厚度不小于400μm。</w:t>
      </w:r>
    </w:p>
    <w:p w14:paraId="7580A03A">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auto"/>
          <w:spacing w:val="0"/>
          <w:w w:val="100"/>
          <w:position w:val="0"/>
          <w:highlight w:val="none"/>
          <w:lang w:eastAsia="zh-CN"/>
        </w:rPr>
      </w:pPr>
      <w:r>
        <w:rPr>
          <w:rFonts w:hint="eastAsia" w:ascii="Times New Roman" w:hAnsi="Times New Roman" w:cs="Times New Roman" w:eastAsiaTheme="minorEastAsia"/>
          <w:caps w:val="0"/>
          <w:smallCaps w:val="0"/>
          <w:snapToGrid w:val="0"/>
          <w:color w:val="auto"/>
          <w:spacing w:val="0"/>
          <w:w w:val="100"/>
          <w:position w:val="0"/>
          <w:highlight w:val="none"/>
          <w:lang w:eastAsia="zh-CN"/>
        </w:rPr>
        <w:t>（</w:t>
      </w: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2</w:t>
      </w:r>
      <w:r>
        <w:rPr>
          <w:rFonts w:hint="eastAsia" w:ascii="Times New Roman" w:hAnsi="Times New Roman" w:cs="Times New Roman" w:eastAsiaTheme="minorEastAsia"/>
          <w:caps w:val="0"/>
          <w:smallCaps w:val="0"/>
          <w:snapToGrid w:val="0"/>
          <w:color w:val="auto"/>
          <w:spacing w:val="0"/>
          <w:w w:val="100"/>
          <w:position w:val="0"/>
          <w:highlight w:val="none"/>
          <w:lang w:eastAsia="zh-CN"/>
        </w:rPr>
        <w:t>）</w:t>
      </w:r>
      <w:r>
        <w:rPr>
          <w:rFonts w:hint="eastAsia" w:ascii="Times New Roman" w:hAnsi="Times New Roman" w:cs="Times New Roman" w:eastAsiaTheme="minorEastAsia"/>
          <w:caps w:val="0"/>
          <w:smallCaps w:val="0"/>
          <w:snapToGrid w:val="0"/>
          <w:color w:val="auto"/>
          <w:spacing w:val="0"/>
          <w:w w:val="100"/>
          <w:position w:val="0"/>
          <w:highlight w:val="none"/>
        </w:rPr>
        <w:t>保温补口结构</w:t>
      </w:r>
    </w:p>
    <w:p w14:paraId="339DBE0D">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auto"/>
          <w:spacing w:val="0"/>
          <w:w w:val="100"/>
          <w:position w:val="0"/>
          <w:highlight w:val="none"/>
        </w:rPr>
      </w:pP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1）</w:t>
      </w:r>
      <w:r>
        <w:rPr>
          <w:rFonts w:hint="eastAsia" w:ascii="Times New Roman" w:hAnsi="Times New Roman" w:cs="Times New Roman" w:eastAsiaTheme="minorEastAsia"/>
          <w:caps w:val="0"/>
          <w:smallCaps w:val="0"/>
          <w:snapToGrid w:val="0"/>
          <w:color w:val="auto"/>
          <w:spacing w:val="0"/>
          <w:w w:val="100"/>
          <w:position w:val="0"/>
          <w:highlight w:val="none"/>
        </w:rPr>
        <w:t>埋地保温管道外防腐、保温补口结构</w:t>
      </w:r>
      <w:r>
        <w:rPr>
          <w:rFonts w:hint="eastAsia" w:ascii="Times New Roman" w:hAnsi="Times New Roman" w:cs="Times New Roman" w:eastAsiaTheme="minorEastAsia"/>
          <w:caps w:val="0"/>
          <w:smallCaps w:val="0"/>
          <w:snapToGrid w:val="0"/>
          <w:color w:val="auto"/>
          <w:spacing w:val="0"/>
          <w:w w:val="100"/>
          <w:position w:val="0"/>
          <w:highlight w:val="none"/>
          <w:lang w:eastAsia="zh-CN"/>
        </w:rPr>
        <w:t>：</w:t>
      </w:r>
      <w:r>
        <w:rPr>
          <w:rFonts w:hint="eastAsia" w:ascii="Times New Roman" w:hAnsi="Times New Roman" w:cs="Times New Roman" w:eastAsiaTheme="minorEastAsia"/>
          <w:caps w:val="0"/>
          <w:smallCaps w:val="0"/>
          <w:snapToGrid w:val="0"/>
          <w:color w:val="auto"/>
          <w:spacing w:val="0"/>
          <w:w w:val="100"/>
          <w:position w:val="0"/>
          <w:highlight w:val="none"/>
        </w:rPr>
        <w:t>防腐补口采用配套聚乙烯黏胶带防腐补口。保温补口采用配套硬质聚氨酯管壳补口。保护层补口采用配套2PE交联聚乙烯热收缩带补口。</w:t>
      </w:r>
    </w:p>
    <w:p w14:paraId="3AEABCD6">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auto"/>
          <w:spacing w:val="0"/>
          <w:w w:val="100"/>
          <w:position w:val="0"/>
          <w:highlight w:val="none"/>
          <w:lang w:eastAsia="zh-CN"/>
        </w:rPr>
      </w:pP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2）</w:t>
      </w:r>
      <w:r>
        <w:rPr>
          <w:rFonts w:hint="eastAsia" w:ascii="Times New Roman" w:hAnsi="Times New Roman" w:cs="Times New Roman" w:eastAsiaTheme="minorEastAsia"/>
          <w:caps w:val="0"/>
          <w:smallCaps w:val="0"/>
          <w:snapToGrid w:val="0"/>
          <w:color w:val="auto"/>
          <w:spacing w:val="0"/>
          <w:w w:val="100"/>
          <w:position w:val="0"/>
          <w:highlight w:val="none"/>
        </w:rPr>
        <w:t>沥青防腐胶带补口</w:t>
      </w:r>
      <w:r>
        <w:rPr>
          <w:rFonts w:hint="eastAsia" w:ascii="Times New Roman" w:hAnsi="Times New Roman" w:cs="Times New Roman" w:eastAsiaTheme="minorEastAsia"/>
          <w:caps w:val="0"/>
          <w:smallCaps w:val="0"/>
          <w:snapToGrid w:val="0"/>
          <w:color w:val="auto"/>
          <w:spacing w:val="0"/>
          <w:w w:val="100"/>
          <w:position w:val="0"/>
          <w:highlight w:val="none"/>
          <w:lang w:eastAsia="zh-CN"/>
        </w:rPr>
        <w:t>：</w:t>
      </w:r>
      <w:r>
        <w:rPr>
          <w:rFonts w:hint="eastAsia" w:ascii="Times New Roman" w:hAnsi="Times New Roman" w:cs="Times New Roman" w:eastAsiaTheme="minorEastAsia"/>
          <w:caps w:val="0"/>
          <w:smallCaps w:val="0"/>
          <w:snapToGrid w:val="0"/>
          <w:color w:val="auto"/>
          <w:spacing w:val="0"/>
          <w:w w:val="100"/>
          <w:position w:val="0"/>
          <w:highlight w:val="none"/>
          <w:lang w:val="en-US" w:eastAsia="zh-CN"/>
        </w:rPr>
        <w:t>补口采用无溶剂环氧底漆(干膜总厚度不小于400μm)+沥青防腐胶带(胶带单层厚0.8mm，带宽100mm)，加强级，胶带缠2遍，每遍搭接胶带宽度的 50%~55%，补口防腐层总厚度不小于3.2mm。补口处胶带与管体防腐层搭接不小于 100mm。</w:t>
      </w:r>
    </w:p>
    <w:p w14:paraId="6FB2E00C">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3.4.5主要工程量汇总</w:t>
      </w:r>
    </w:p>
    <w:p w14:paraId="147633B5">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snapToGrid w:val="0"/>
          <w:color w:val="auto"/>
          <w:spacing w:val="0"/>
          <w:w w:val="100"/>
          <w:position w:val="0"/>
          <w:highlight w:val="none"/>
        </w:rPr>
      </w:pPr>
      <w:r>
        <w:rPr>
          <w:rFonts w:ascii="Times New Roman" w:hAnsi="Times New Roman" w:cs="Times New Roman" w:eastAsiaTheme="minorEastAsia"/>
          <w:caps w:val="0"/>
          <w:smallCaps w:val="0"/>
          <w:snapToGrid w:val="0"/>
          <w:color w:val="auto"/>
          <w:spacing w:val="0"/>
          <w:w w:val="100"/>
          <w:position w:val="0"/>
          <w:highlight w:val="none"/>
        </w:rPr>
        <w:t>本项目主要工程量汇总见表3.4-5。</w:t>
      </w:r>
    </w:p>
    <w:p w14:paraId="552F6568">
      <w:pPr>
        <w:widowControl w:val="0"/>
        <w:autoSpaceDE w:val="0"/>
        <w:autoSpaceDN w:val="0"/>
        <w:adjustRightInd w:val="0"/>
        <w:spacing w:line="440" w:lineRule="exact"/>
        <w:ind w:firstLine="482" w:firstLineChars="200"/>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 xml:space="preserve">表3.4-5     </w:t>
      </w:r>
      <w:r>
        <w:rPr>
          <w:rFonts w:ascii="Times New Roman" w:hAnsi="Times New Roman" w:cs="Times New Roman"/>
          <w:b/>
          <w:bCs/>
          <w:caps w:val="0"/>
          <w:smallCaps w:val="0"/>
          <w:color w:val="auto"/>
          <w:spacing w:val="0"/>
          <w:w w:val="100"/>
          <w:kern w:val="2"/>
          <w:position w:val="0"/>
          <w:highlight w:val="none"/>
          <w:lang w:bidi="zh-CN"/>
        </w:rPr>
        <w:t>本项目主要工程量汇总表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5407"/>
        <w:gridCol w:w="1168"/>
        <w:gridCol w:w="1941"/>
      </w:tblGrid>
      <w:tr w14:paraId="115B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245B6D9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序号</w:t>
            </w:r>
          </w:p>
        </w:tc>
        <w:tc>
          <w:tcPr>
            <w:tcW w:w="2837" w:type="pct"/>
            <w:vAlign w:val="center"/>
          </w:tcPr>
          <w:p w14:paraId="444C7C7E">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单项工程量</w:t>
            </w:r>
          </w:p>
        </w:tc>
        <w:tc>
          <w:tcPr>
            <w:tcW w:w="613" w:type="pct"/>
            <w:vAlign w:val="center"/>
          </w:tcPr>
          <w:p w14:paraId="5812C37B">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单位</w:t>
            </w:r>
          </w:p>
        </w:tc>
        <w:tc>
          <w:tcPr>
            <w:tcW w:w="1018" w:type="pct"/>
            <w:vAlign w:val="center"/>
          </w:tcPr>
          <w:p w14:paraId="339E783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数量</w:t>
            </w:r>
          </w:p>
        </w:tc>
      </w:tr>
      <w:tr w14:paraId="5EC7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5C240375">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一</w:t>
            </w:r>
          </w:p>
        </w:tc>
        <w:tc>
          <w:tcPr>
            <w:tcW w:w="2837" w:type="pct"/>
            <w:vAlign w:val="center"/>
          </w:tcPr>
          <w:p w14:paraId="721B25AC">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集输部分</w:t>
            </w:r>
          </w:p>
        </w:tc>
        <w:tc>
          <w:tcPr>
            <w:tcW w:w="613" w:type="pct"/>
            <w:vAlign w:val="center"/>
          </w:tcPr>
          <w:p w14:paraId="582C8275">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018" w:type="pct"/>
            <w:vAlign w:val="center"/>
          </w:tcPr>
          <w:p w14:paraId="0778F09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718B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5E01A8E9">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w:t>
            </w:r>
          </w:p>
        </w:tc>
        <w:tc>
          <w:tcPr>
            <w:tcW w:w="2837" w:type="pct"/>
            <w:vAlign w:val="center"/>
          </w:tcPr>
          <w:p w14:paraId="0E38867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无缝钢管</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SMLS-Φ</w:t>
            </w:r>
            <w:r>
              <w:rPr>
                <w:rFonts w:hint="eastAsia" w:ascii="Times New Roman" w:hAnsi="Times New Roman" w:cs="Times New Roman"/>
                <w:bCs/>
                <w:caps w:val="0"/>
                <w:smallCaps w:val="0"/>
                <w:color w:val="auto"/>
                <w:spacing w:val="0"/>
                <w:w w:val="100"/>
                <w:position w:val="0"/>
                <w:sz w:val="21"/>
                <w:szCs w:val="21"/>
                <w:highlight w:val="none"/>
                <w:lang w:val="en-US" w:eastAsia="zh-CN"/>
              </w:rPr>
              <w:t>60</w:t>
            </w:r>
            <w:r>
              <w:rPr>
                <w:rFonts w:hint="eastAsia" w:ascii="Times New Roman" w:hAnsi="Times New Roman" w:cs="Times New Roman"/>
                <w:bCs/>
                <w:caps w:val="0"/>
                <w:smallCaps w:val="0"/>
                <w:color w:val="auto"/>
                <w:spacing w:val="0"/>
                <w:w w:val="100"/>
                <w:position w:val="0"/>
                <w:sz w:val="21"/>
                <w:szCs w:val="21"/>
                <w:highlight w:val="none"/>
              </w:rPr>
              <w:t>×</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3.5 </w:t>
            </w:r>
            <w:r>
              <w:rPr>
                <w:rFonts w:hint="eastAsia" w:ascii="Times New Roman" w:hAnsi="Times New Roman" w:cs="Times New Roman"/>
                <w:bCs/>
                <w:caps w:val="0"/>
                <w:smallCaps w:val="0"/>
                <w:color w:val="auto"/>
                <w:spacing w:val="0"/>
                <w:w w:val="100"/>
                <w:position w:val="0"/>
                <w:sz w:val="21"/>
                <w:szCs w:val="21"/>
                <w:highlight w:val="none"/>
              </w:rPr>
              <w:t xml:space="preserve"> 20 </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PN25</w:t>
            </w:r>
          </w:p>
        </w:tc>
        <w:tc>
          <w:tcPr>
            <w:tcW w:w="613" w:type="pct"/>
            <w:vAlign w:val="center"/>
          </w:tcPr>
          <w:p w14:paraId="75DCA830">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km</w:t>
            </w:r>
          </w:p>
        </w:tc>
        <w:tc>
          <w:tcPr>
            <w:tcW w:w="1018" w:type="pct"/>
            <w:vAlign w:val="center"/>
          </w:tcPr>
          <w:p w14:paraId="7F9D0316">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3.81</w:t>
            </w:r>
          </w:p>
        </w:tc>
      </w:tr>
      <w:tr w14:paraId="5BC9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653CBAE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2837" w:type="pct"/>
            <w:vAlign w:val="center"/>
          </w:tcPr>
          <w:p w14:paraId="376B5EE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内缠胶带硬质聚氨酯泡沫保温管</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30mm</w:t>
            </w:r>
          </w:p>
        </w:tc>
        <w:tc>
          <w:tcPr>
            <w:tcW w:w="613" w:type="pct"/>
            <w:vAlign w:val="center"/>
          </w:tcPr>
          <w:p w14:paraId="65BCA1B6">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018" w:type="pct"/>
            <w:vAlign w:val="center"/>
          </w:tcPr>
          <w:p w14:paraId="01919C9A">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p>
        </w:tc>
      </w:tr>
      <w:tr w14:paraId="4A27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776ABE5E">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2</w:t>
            </w:r>
          </w:p>
        </w:tc>
        <w:tc>
          <w:tcPr>
            <w:tcW w:w="2837" w:type="pct"/>
            <w:vAlign w:val="center"/>
          </w:tcPr>
          <w:p w14:paraId="4A6D99A2">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无缝钢管</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 xml:space="preserve"> SMLS-Φ</w:t>
            </w:r>
            <w:r>
              <w:rPr>
                <w:rFonts w:hint="eastAsia" w:ascii="Times New Roman" w:hAnsi="Times New Roman" w:cs="Times New Roman"/>
                <w:bCs/>
                <w:caps w:val="0"/>
                <w:smallCaps w:val="0"/>
                <w:color w:val="auto"/>
                <w:spacing w:val="0"/>
                <w:w w:val="100"/>
                <w:position w:val="0"/>
                <w:sz w:val="21"/>
                <w:szCs w:val="21"/>
                <w:highlight w:val="none"/>
                <w:lang w:val="en-US" w:eastAsia="zh-CN"/>
              </w:rPr>
              <w:t>76</w:t>
            </w:r>
            <w:r>
              <w:rPr>
                <w:rFonts w:hint="eastAsia" w:ascii="Times New Roman" w:hAnsi="Times New Roman" w:cs="Times New Roman"/>
                <w:bCs/>
                <w:caps w:val="0"/>
                <w:smallCaps w:val="0"/>
                <w:color w:val="auto"/>
                <w:spacing w:val="0"/>
                <w:w w:val="100"/>
                <w:position w:val="0"/>
                <w:sz w:val="21"/>
                <w:szCs w:val="21"/>
                <w:highlight w:val="none"/>
              </w:rPr>
              <w:t>×</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4.5 </w:t>
            </w:r>
            <w:r>
              <w:rPr>
                <w:rFonts w:hint="eastAsia" w:ascii="Times New Roman" w:hAnsi="Times New Roman" w:cs="Times New Roman"/>
                <w:bCs/>
                <w:caps w:val="0"/>
                <w:smallCaps w:val="0"/>
                <w:color w:val="auto"/>
                <w:spacing w:val="0"/>
                <w:w w:val="100"/>
                <w:position w:val="0"/>
                <w:sz w:val="21"/>
                <w:szCs w:val="21"/>
                <w:highlight w:val="none"/>
              </w:rPr>
              <w:t xml:space="preserve"> 20 </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PN25</w:t>
            </w:r>
          </w:p>
        </w:tc>
        <w:tc>
          <w:tcPr>
            <w:tcW w:w="613" w:type="pct"/>
            <w:vAlign w:val="center"/>
          </w:tcPr>
          <w:p w14:paraId="20567C8A">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km</w:t>
            </w:r>
          </w:p>
        </w:tc>
        <w:tc>
          <w:tcPr>
            <w:tcW w:w="1018" w:type="pct"/>
            <w:vAlign w:val="center"/>
          </w:tcPr>
          <w:p w14:paraId="52EA2A45">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4.02</w:t>
            </w:r>
          </w:p>
        </w:tc>
      </w:tr>
      <w:tr w14:paraId="5A1C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099116E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2837" w:type="pct"/>
            <w:vAlign w:val="center"/>
          </w:tcPr>
          <w:p w14:paraId="3E6786F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内缠胶带硬质聚氨酯泡沫保温管</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30mm</w:t>
            </w:r>
          </w:p>
        </w:tc>
        <w:tc>
          <w:tcPr>
            <w:tcW w:w="613" w:type="pct"/>
            <w:vAlign w:val="center"/>
          </w:tcPr>
          <w:p w14:paraId="509E33D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018" w:type="pct"/>
            <w:vAlign w:val="center"/>
          </w:tcPr>
          <w:p w14:paraId="433884FD">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541A4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0764FDB6">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3</w:t>
            </w:r>
          </w:p>
        </w:tc>
        <w:tc>
          <w:tcPr>
            <w:tcW w:w="2837" w:type="pct"/>
            <w:vAlign w:val="center"/>
          </w:tcPr>
          <w:p w14:paraId="1C35A41C">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无缝钢管</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SMLS-Φ</w:t>
            </w:r>
            <w:r>
              <w:rPr>
                <w:rFonts w:hint="eastAsia" w:ascii="Times New Roman" w:hAnsi="Times New Roman" w:cs="Times New Roman"/>
                <w:bCs/>
                <w:caps w:val="0"/>
                <w:smallCaps w:val="0"/>
                <w:color w:val="auto"/>
                <w:spacing w:val="0"/>
                <w:w w:val="100"/>
                <w:position w:val="0"/>
                <w:sz w:val="21"/>
                <w:szCs w:val="21"/>
                <w:highlight w:val="none"/>
                <w:lang w:val="en-US" w:eastAsia="zh-CN"/>
              </w:rPr>
              <w:t>114</w:t>
            </w:r>
            <w:r>
              <w:rPr>
                <w:rFonts w:hint="eastAsia" w:ascii="Times New Roman" w:hAnsi="Times New Roman" w:cs="Times New Roman"/>
                <w:bCs/>
                <w:caps w:val="0"/>
                <w:smallCaps w:val="0"/>
                <w:color w:val="auto"/>
                <w:spacing w:val="0"/>
                <w:w w:val="100"/>
                <w:position w:val="0"/>
                <w:sz w:val="21"/>
                <w:szCs w:val="21"/>
                <w:highlight w:val="none"/>
              </w:rPr>
              <w:t>×</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4.5 </w:t>
            </w:r>
            <w:r>
              <w:rPr>
                <w:rFonts w:hint="eastAsia" w:ascii="Times New Roman" w:hAnsi="Times New Roman" w:cs="Times New Roman"/>
                <w:bCs/>
                <w:caps w:val="0"/>
                <w:smallCaps w:val="0"/>
                <w:color w:val="auto"/>
                <w:spacing w:val="0"/>
                <w:w w:val="100"/>
                <w:position w:val="0"/>
                <w:sz w:val="21"/>
                <w:szCs w:val="21"/>
                <w:highlight w:val="none"/>
              </w:rPr>
              <w:t xml:space="preserve"> 20 </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PN25</w:t>
            </w:r>
          </w:p>
        </w:tc>
        <w:tc>
          <w:tcPr>
            <w:tcW w:w="613" w:type="pct"/>
            <w:vAlign w:val="center"/>
          </w:tcPr>
          <w:p w14:paraId="01F97D76">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km</w:t>
            </w:r>
          </w:p>
        </w:tc>
        <w:tc>
          <w:tcPr>
            <w:tcW w:w="1018" w:type="pct"/>
            <w:vAlign w:val="center"/>
          </w:tcPr>
          <w:p w14:paraId="3E3A6E7B">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8.29</w:t>
            </w:r>
          </w:p>
        </w:tc>
      </w:tr>
      <w:tr w14:paraId="3F2C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60B3C7B8">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p>
        </w:tc>
        <w:tc>
          <w:tcPr>
            <w:tcW w:w="2837" w:type="pct"/>
            <w:vAlign w:val="center"/>
          </w:tcPr>
          <w:p w14:paraId="04E95C5D">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内缠胶带硬质聚氨酯泡沫保温管</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30mm</w:t>
            </w:r>
          </w:p>
        </w:tc>
        <w:tc>
          <w:tcPr>
            <w:tcW w:w="613" w:type="pct"/>
            <w:vAlign w:val="center"/>
          </w:tcPr>
          <w:p w14:paraId="041C1D5C">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018" w:type="pct"/>
            <w:vAlign w:val="center"/>
          </w:tcPr>
          <w:p w14:paraId="1A49312B">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p>
        </w:tc>
      </w:tr>
      <w:tr w14:paraId="5F50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68374FAF">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4</w:t>
            </w:r>
          </w:p>
        </w:tc>
        <w:tc>
          <w:tcPr>
            <w:tcW w:w="2837" w:type="pct"/>
            <w:vAlign w:val="center"/>
          </w:tcPr>
          <w:p w14:paraId="599F8081">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公路穿越</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定向钻</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DN400</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L=16m</w:t>
            </w:r>
          </w:p>
        </w:tc>
        <w:tc>
          <w:tcPr>
            <w:tcW w:w="613" w:type="pct"/>
            <w:vAlign w:val="center"/>
          </w:tcPr>
          <w:p w14:paraId="415317DE">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处</w:t>
            </w:r>
          </w:p>
        </w:tc>
        <w:tc>
          <w:tcPr>
            <w:tcW w:w="1018" w:type="pct"/>
            <w:vAlign w:val="center"/>
          </w:tcPr>
          <w:p w14:paraId="76FC66CE">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2</w:t>
            </w:r>
          </w:p>
        </w:tc>
      </w:tr>
      <w:tr w14:paraId="4107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64FF73E6">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5</w:t>
            </w:r>
          </w:p>
        </w:tc>
        <w:tc>
          <w:tcPr>
            <w:tcW w:w="2837" w:type="pct"/>
            <w:vAlign w:val="center"/>
          </w:tcPr>
          <w:p w14:paraId="60F68E08">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公路穿越</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定向钻</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DN300</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L=16m</w:t>
            </w:r>
          </w:p>
        </w:tc>
        <w:tc>
          <w:tcPr>
            <w:tcW w:w="613" w:type="pct"/>
            <w:vAlign w:val="center"/>
          </w:tcPr>
          <w:p w14:paraId="365FFC6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lang w:val="en-US" w:eastAsia="zh-CN"/>
              </w:rPr>
              <w:t>处</w:t>
            </w:r>
          </w:p>
        </w:tc>
        <w:tc>
          <w:tcPr>
            <w:tcW w:w="1018" w:type="pct"/>
            <w:vAlign w:val="center"/>
          </w:tcPr>
          <w:p w14:paraId="749A953B">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13</w:t>
            </w:r>
          </w:p>
        </w:tc>
      </w:tr>
      <w:tr w14:paraId="2BE5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296AFCAE">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6</w:t>
            </w:r>
          </w:p>
        </w:tc>
        <w:tc>
          <w:tcPr>
            <w:tcW w:w="2837" w:type="pct"/>
            <w:vAlign w:val="center"/>
          </w:tcPr>
          <w:p w14:paraId="43BE7722">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公路穿越</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定向钻</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DN250</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L=16m</w:t>
            </w:r>
          </w:p>
        </w:tc>
        <w:tc>
          <w:tcPr>
            <w:tcW w:w="613" w:type="pct"/>
            <w:vAlign w:val="center"/>
          </w:tcPr>
          <w:p w14:paraId="233E1F1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lang w:val="en-US" w:eastAsia="zh-CN"/>
              </w:rPr>
              <w:t>处</w:t>
            </w:r>
          </w:p>
        </w:tc>
        <w:tc>
          <w:tcPr>
            <w:tcW w:w="1018" w:type="pct"/>
            <w:vAlign w:val="center"/>
          </w:tcPr>
          <w:p w14:paraId="1157C6BB">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9</w:t>
            </w:r>
          </w:p>
        </w:tc>
      </w:tr>
      <w:tr w14:paraId="0DF3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1EEC4A29">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7</w:t>
            </w:r>
          </w:p>
        </w:tc>
        <w:tc>
          <w:tcPr>
            <w:tcW w:w="2837" w:type="pct"/>
            <w:vAlign w:val="center"/>
          </w:tcPr>
          <w:p w14:paraId="5C0A3B4F">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公路穿越</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钢开</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rPr>
              <w:t>DN250</w:t>
            </w:r>
            <w:r>
              <w:rPr>
                <w:rFonts w:hint="eastAsia" w:ascii="Times New Roman" w:hAnsi="Times New Roman" w:cs="Times New Roman"/>
                <w:bCs/>
                <w:caps w:val="0"/>
                <w:smallCaps w:val="0"/>
                <w:color w:val="auto"/>
                <w:spacing w:val="0"/>
                <w:w w:val="100"/>
                <w:position w:val="0"/>
                <w:sz w:val="21"/>
                <w:szCs w:val="21"/>
                <w:highlight w:val="none"/>
                <w:lang w:eastAsia="zh-CN"/>
              </w:rPr>
              <w:t>）</w:t>
            </w:r>
            <w:r>
              <w:rPr>
                <w:rFonts w:hint="eastAsia" w:ascii="Times New Roman" w:hAnsi="Times New Roman" w:cs="Times New Roman"/>
                <w:bCs/>
                <w:caps w:val="0"/>
                <w:smallCaps w:val="0"/>
                <w:color w:val="auto"/>
                <w:spacing w:val="0"/>
                <w:w w:val="100"/>
                <w:position w:val="0"/>
                <w:sz w:val="21"/>
                <w:szCs w:val="21"/>
                <w:highlight w:val="none"/>
                <w:lang w:val="en-US" w:eastAsia="zh-CN"/>
              </w:rPr>
              <w:t xml:space="preserve"> </w:t>
            </w:r>
            <w:r>
              <w:rPr>
                <w:rFonts w:hint="eastAsia" w:ascii="Times New Roman" w:hAnsi="Times New Roman" w:cs="Times New Roman"/>
                <w:bCs/>
                <w:caps w:val="0"/>
                <w:smallCaps w:val="0"/>
                <w:color w:val="auto"/>
                <w:spacing w:val="0"/>
                <w:w w:val="100"/>
                <w:position w:val="0"/>
                <w:sz w:val="21"/>
                <w:szCs w:val="21"/>
                <w:highlight w:val="none"/>
              </w:rPr>
              <w:t>L=16m</w:t>
            </w:r>
          </w:p>
        </w:tc>
        <w:tc>
          <w:tcPr>
            <w:tcW w:w="613" w:type="pct"/>
            <w:vAlign w:val="center"/>
          </w:tcPr>
          <w:p w14:paraId="6B7D0FF7">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lang w:val="en-US" w:eastAsia="zh-CN"/>
              </w:rPr>
              <w:t>处</w:t>
            </w:r>
          </w:p>
        </w:tc>
        <w:tc>
          <w:tcPr>
            <w:tcW w:w="1018" w:type="pct"/>
            <w:vAlign w:val="center"/>
          </w:tcPr>
          <w:p w14:paraId="3B58A640">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4</w:t>
            </w:r>
          </w:p>
        </w:tc>
      </w:tr>
      <w:tr w14:paraId="252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5F857BCD">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8</w:t>
            </w:r>
          </w:p>
        </w:tc>
        <w:tc>
          <w:tcPr>
            <w:tcW w:w="2837" w:type="pct"/>
            <w:vAlign w:val="center"/>
          </w:tcPr>
          <w:p w14:paraId="7D2B5FBC">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绝缘接头DN50 PN25</w:t>
            </w:r>
          </w:p>
        </w:tc>
        <w:tc>
          <w:tcPr>
            <w:tcW w:w="613" w:type="pct"/>
            <w:vAlign w:val="center"/>
          </w:tcPr>
          <w:p w14:paraId="30917DE0">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个</w:t>
            </w:r>
          </w:p>
        </w:tc>
        <w:tc>
          <w:tcPr>
            <w:tcW w:w="1018" w:type="pct"/>
            <w:vAlign w:val="center"/>
          </w:tcPr>
          <w:p w14:paraId="6DD8D614">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20</w:t>
            </w:r>
          </w:p>
        </w:tc>
      </w:tr>
      <w:tr w14:paraId="015D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7184078B">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9</w:t>
            </w:r>
          </w:p>
        </w:tc>
        <w:tc>
          <w:tcPr>
            <w:tcW w:w="2837" w:type="pct"/>
            <w:vAlign w:val="center"/>
          </w:tcPr>
          <w:p w14:paraId="52C616D1">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绝缘接头DN65 PN25</w:t>
            </w:r>
          </w:p>
        </w:tc>
        <w:tc>
          <w:tcPr>
            <w:tcW w:w="613" w:type="pct"/>
            <w:vAlign w:val="center"/>
          </w:tcPr>
          <w:p w14:paraId="110B5CDC">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lang w:val="en-US" w:eastAsia="zh-CN"/>
              </w:rPr>
              <w:t>个</w:t>
            </w:r>
          </w:p>
        </w:tc>
        <w:tc>
          <w:tcPr>
            <w:tcW w:w="1018" w:type="pct"/>
            <w:vAlign w:val="center"/>
          </w:tcPr>
          <w:p w14:paraId="3D4B5A7D">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10</w:t>
            </w:r>
          </w:p>
        </w:tc>
      </w:tr>
      <w:tr w14:paraId="72C0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5F41C59F">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10</w:t>
            </w:r>
          </w:p>
        </w:tc>
        <w:tc>
          <w:tcPr>
            <w:tcW w:w="2837" w:type="pct"/>
            <w:vAlign w:val="center"/>
          </w:tcPr>
          <w:p w14:paraId="4B0AE9D9">
            <w:pPr>
              <w:autoSpaceDE w:val="0"/>
              <w:autoSpaceDN w:val="0"/>
              <w:adjustRightInd w:val="0"/>
              <w:spacing w:line="320" w:lineRule="exact"/>
              <w:jc w:val="center"/>
              <w:rPr>
                <w:rFonts w:hint="eastAsia"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绝缘接头DN100 PN25</w:t>
            </w:r>
          </w:p>
        </w:tc>
        <w:tc>
          <w:tcPr>
            <w:tcW w:w="613" w:type="pct"/>
            <w:vAlign w:val="center"/>
          </w:tcPr>
          <w:p w14:paraId="17E7C12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lang w:val="en-US" w:eastAsia="zh-CN"/>
              </w:rPr>
              <w:t>个</w:t>
            </w:r>
          </w:p>
        </w:tc>
        <w:tc>
          <w:tcPr>
            <w:tcW w:w="1018" w:type="pct"/>
            <w:vAlign w:val="center"/>
          </w:tcPr>
          <w:p w14:paraId="34D367B6">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2</w:t>
            </w:r>
          </w:p>
        </w:tc>
      </w:tr>
      <w:tr w14:paraId="6D66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79068B3F">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二</w:t>
            </w:r>
          </w:p>
        </w:tc>
        <w:tc>
          <w:tcPr>
            <w:tcW w:w="2837" w:type="pct"/>
            <w:vAlign w:val="center"/>
          </w:tcPr>
          <w:p w14:paraId="519BDCBC">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防腐部分</w:t>
            </w:r>
          </w:p>
        </w:tc>
        <w:tc>
          <w:tcPr>
            <w:tcW w:w="613" w:type="pct"/>
            <w:vAlign w:val="center"/>
          </w:tcPr>
          <w:p w14:paraId="172C37C3">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c>
          <w:tcPr>
            <w:tcW w:w="1018" w:type="pct"/>
            <w:vAlign w:val="center"/>
          </w:tcPr>
          <w:p w14:paraId="7AC38B44">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p>
        </w:tc>
      </w:tr>
      <w:tr w14:paraId="3A8A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122C5EE2">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1</w:t>
            </w:r>
          </w:p>
        </w:tc>
        <w:tc>
          <w:tcPr>
            <w:tcW w:w="2837" w:type="pct"/>
            <w:vAlign w:val="center"/>
          </w:tcPr>
          <w:p w14:paraId="238B93B8">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组合式镁合金阳极 11kg/支</w:t>
            </w:r>
          </w:p>
        </w:tc>
        <w:tc>
          <w:tcPr>
            <w:tcW w:w="613" w:type="pct"/>
            <w:vAlign w:val="center"/>
          </w:tcPr>
          <w:p w14:paraId="3710C2D1">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支</w:t>
            </w:r>
          </w:p>
        </w:tc>
        <w:tc>
          <w:tcPr>
            <w:tcW w:w="1018" w:type="pct"/>
            <w:vAlign w:val="center"/>
          </w:tcPr>
          <w:p w14:paraId="6D102F23">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46</w:t>
            </w:r>
          </w:p>
        </w:tc>
      </w:tr>
      <w:tr w14:paraId="7C4E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3E03658B">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2</w:t>
            </w:r>
          </w:p>
        </w:tc>
        <w:tc>
          <w:tcPr>
            <w:tcW w:w="2837" w:type="pct"/>
            <w:vAlign w:val="center"/>
          </w:tcPr>
          <w:p w14:paraId="0A08F52C">
            <w:pPr>
              <w:autoSpaceDE w:val="0"/>
              <w:autoSpaceDN w:val="0"/>
              <w:adjustRightInd w:val="0"/>
              <w:spacing w:line="320" w:lineRule="exact"/>
              <w:jc w:val="center"/>
              <w:rPr>
                <w:rFonts w:ascii="Times New Roman" w:hAnsi="Times New Roman" w:cs="Times New Roman"/>
                <w:bCs/>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铜芯铠装电缆VV-1/1kV1X10mm2安装</w:t>
            </w:r>
          </w:p>
        </w:tc>
        <w:tc>
          <w:tcPr>
            <w:tcW w:w="613" w:type="pct"/>
            <w:vAlign w:val="center"/>
          </w:tcPr>
          <w:p w14:paraId="5E041190">
            <w:pPr>
              <w:autoSpaceDE w:val="0"/>
              <w:autoSpaceDN w:val="0"/>
              <w:adjustRightInd w:val="0"/>
              <w:spacing w:line="32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米</w:t>
            </w:r>
          </w:p>
        </w:tc>
        <w:tc>
          <w:tcPr>
            <w:tcW w:w="1018" w:type="pct"/>
            <w:vAlign w:val="center"/>
          </w:tcPr>
          <w:p w14:paraId="6DD31F1A">
            <w:pPr>
              <w:autoSpaceDE w:val="0"/>
              <w:autoSpaceDN w:val="0"/>
              <w:adjustRightInd w:val="0"/>
              <w:spacing w:line="320" w:lineRule="exact"/>
              <w:jc w:val="center"/>
              <w:rPr>
                <w:rFonts w:hint="default"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200</w:t>
            </w:r>
          </w:p>
        </w:tc>
      </w:tr>
    </w:tbl>
    <w:p w14:paraId="60E23C1E">
      <w:pPr>
        <w:pStyle w:val="6"/>
        <w:widowControl w:val="0"/>
        <w:spacing w:before="60" w:after="60" w:line="440" w:lineRule="exact"/>
        <w:jc w:val="both"/>
        <w:rPr>
          <w:rFonts w:eastAsia="宋体"/>
          <w:b/>
          <w:caps w:val="0"/>
          <w:smallCaps w:val="0"/>
          <w:color w:val="auto"/>
          <w:spacing w:val="0"/>
          <w:w w:val="100"/>
          <w:kern w:val="2"/>
          <w:position w:val="0"/>
          <w:sz w:val="24"/>
          <w:szCs w:val="24"/>
          <w:highlight w:val="none"/>
        </w:rPr>
      </w:pPr>
      <w:bookmarkStart w:id="444" w:name="_Toc78816462"/>
      <w:bookmarkStart w:id="445" w:name="_Toc80588257"/>
      <w:bookmarkStart w:id="446" w:name="_Toc80971379"/>
      <w:bookmarkStart w:id="447" w:name="_Toc77067661"/>
      <w:bookmarkStart w:id="448" w:name="_Toc76976245"/>
      <w:bookmarkStart w:id="449" w:name="_Toc83209474"/>
      <w:bookmarkStart w:id="450" w:name="_Toc186444282"/>
      <w:r>
        <w:rPr>
          <w:rFonts w:eastAsia="宋体"/>
          <w:b/>
          <w:caps w:val="0"/>
          <w:smallCaps w:val="0"/>
          <w:color w:val="auto"/>
          <w:spacing w:val="0"/>
          <w:w w:val="100"/>
          <w:kern w:val="2"/>
          <w:position w:val="0"/>
          <w:sz w:val="24"/>
          <w:szCs w:val="24"/>
          <w:highlight w:val="none"/>
        </w:rPr>
        <w:t>3.4.6公用工程</w:t>
      </w:r>
      <w:bookmarkEnd w:id="444"/>
      <w:bookmarkEnd w:id="445"/>
      <w:bookmarkEnd w:id="446"/>
      <w:bookmarkEnd w:id="447"/>
      <w:bookmarkEnd w:id="448"/>
      <w:bookmarkEnd w:id="449"/>
      <w:bookmarkEnd w:id="450"/>
    </w:p>
    <w:p w14:paraId="2E6E5231">
      <w:pPr>
        <w:spacing w:line="440" w:lineRule="exact"/>
        <w:outlineLvl w:val="3"/>
        <w:rPr>
          <w:rFonts w:ascii="Times New Roman" w:hAnsi="Times New Roman" w:cs="Times New Roman"/>
          <w:b/>
          <w:caps w:val="0"/>
          <w:smallCaps w:val="0"/>
          <w:color w:val="auto"/>
          <w:spacing w:val="0"/>
          <w:w w:val="100"/>
          <w:position w:val="0"/>
          <w:szCs w:val="20"/>
          <w:highlight w:val="none"/>
        </w:rPr>
      </w:pPr>
      <w:r>
        <w:rPr>
          <w:rFonts w:ascii="Times New Roman" w:hAnsi="Times New Roman" w:cs="Times New Roman"/>
          <w:b/>
          <w:caps w:val="0"/>
          <w:smallCaps w:val="0"/>
          <w:color w:val="auto"/>
          <w:spacing w:val="0"/>
          <w:w w:val="100"/>
          <w:position w:val="0"/>
          <w:szCs w:val="20"/>
          <w:highlight w:val="none"/>
        </w:rPr>
        <w:t>3.4.6.1供水、排水系统</w:t>
      </w:r>
    </w:p>
    <w:p w14:paraId="4180000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bookmarkStart w:id="451" w:name="_Toc11047792"/>
      <w:r>
        <w:rPr>
          <w:rFonts w:ascii="Times New Roman" w:hAnsi="Times New Roman" w:cs="Times New Roman" w:eastAsiaTheme="minorEastAsia"/>
          <w:caps w:val="0"/>
          <w:smallCaps w:val="0"/>
          <w:color w:val="auto"/>
          <w:spacing w:val="0"/>
          <w:w w:val="100"/>
          <w:kern w:val="21"/>
          <w:position w:val="0"/>
          <w:highlight w:val="none"/>
        </w:rPr>
        <w:t>（1）施工期</w:t>
      </w:r>
    </w:p>
    <w:p w14:paraId="5B7696BF">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本项目施工期用水主要为施工生活用水、管线试压用水、</w:t>
      </w:r>
      <w:r>
        <w:rPr>
          <w:rFonts w:hint="eastAsia" w:ascii="Times New Roman" w:hAnsi="Times New Roman" w:cs="Times New Roman" w:eastAsiaTheme="minorEastAsia"/>
          <w:caps w:val="0"/>
          <w:smallCaps w:val="0"/>
          <w:color w:val="auto"/>
          <w:spacing w:val="0"/>
          <w:w w:val="100"/>
          <w:position w:val="0"/>
          <w:highlight w:val="none"/>
          <w:lang w:val="en-US" w:eastAsia="zh-CN"/>
        </w:rPr>
        <w:t>废弃</w:t>
      </w:r>
      <w:r>
        <w:rPr>
          <w:rFonts w:ascii="Times New Roman" w:hAnsi="Times New Roman" w:cs="Times New Roman" w:eastAsiaTheme="minorEastAsia"/>
          <w:caps w:val="0"/>
          <w:smallCaps w:val="0"/>
          <w:color w:val="auto"/>
          <w:spacing w:val="0"/>
          <w:w w:val="100"/>
          <w:kern w:val="21"/>
          <w:position w:val="0"/>
          <w:highlight w:val="none"/>
        </w:rPr>
        <w:t>管线</w:t>
      </w:r>
      <w:r>
        <w:rPr>
          <w:rFonts w:hint="eastAsia" w:ascii="Times New Roman" w:hAnsi="Times New Roman" w:cs="Times New Roman" w:eastAsiaTheme="minorEastAsia"/>
          <w:caps w:val="0"/>
          <w:smallCaps w:val="0"/>
          <w:color w:val="auto"/>
          <w:spacing w:val="0"/>
          <w:w w:val="100"/>
          <w:kern w:val="21"/>
          <w:position w:val="0"/>
          <w:highlight w:val="none"/>
        </w:rPr>
        <w:t>清洗</w:t>
      </w:r>
      <w:r>
        <w:rPr>
          <w:rFonts w:ascii="Times New Roman" w:hAnsi="Times New Roman" w:cs="Times New Roman" w:eastAsiaTheme="minorEastAsia"/>
          <w:caps w:val="0"/>
          <w:smallCaps w:val="0"/>
          <w:color w:val="auto"/>
          <w:spacing w:val="0"/>
          <w:w w:val="100"/>
          <w:kern w:val="21"/>
          <w:position w:val="0"/>
          <w:highlight w:val="none"/>
        </w:rPr>
        <w:t>用水，施工期试压用水及</w:t>
      </w:r>
      <w:r>
        <w:rPr>
          <w:rFonts w:hint="eastAsia" w:ascii="Times New Roman" w:hAnsi="Times New Roman" w:cs="Times New Roman" w:eastAsiaTheme="minorEastAsia"/>
          <w:caps w:val="0"/>
          <w:smallCaps w:val="0"/>
          <w:color w:val="auto"/>
          <w:spacing w:val="0"/>
          <w:w w:val="100"/>
          <w:kern w:val="21"/>
          <w:position w:val="0"/>
          <w:highlight w:val="none"/>
        </w:rPr>
        <w:t>清洗</w:t>
      </w:r>
      <w:r>
        <w:rPr>
          <w:rFonts w:ascii="Times New Roman" w:hAnsi="Times New Roman" w:cs="Times New Roman" w:eastAsiaTheme="minorEastAsia"/>
          <w:caps w:val="0"/>
          <w:smallCaps w:val="0"/>
          <w:color w:val="auto"/>
          <w:spacing w:val="0"/>
          <w:w w:val="100"/>
          <w:kern w:val="21"/>
          <w:position w:val="0"/>
          <w:highlight w:val="none"/>
        </w:rPr>
        <w:t>用水由水罐车运送，生活用水采用桶装纯净水，产生的废水主要为生活污水、管线试压废水、清洗废水。</w:t>
      </w:r>
    </w:p>
    <w:p w14:paraId="149754CF">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①</w:t>
      </w:r>
      <w:r>
        <w:rPr>
          <w:rFonts w:ascii="Times New Roman" w:hAnsi="Times New Roman" w:cs="Times New Roman" w:eastAsiaTheme="minorEastAsia"/>
          <w:caps w:val="0"/>
          <w:smallCaps w:val="0"/>
          <w:color w:val="auto"/>
          <w:spacing w:val="0"/>
          <w:w w:val="100"/>
          <w:kern w:val="21"/>
          <w:position w:val="0"/>
          <w:highlight w:val="none"/>
        </w:rPr>
        <w:t>生活用水及生活污水</w:t>
      </w:r>
    </w:p>
    <w:p w14:paraId="223DA456">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项目生活用水采用桶装水，</w:t>
      </w:r>
      <w:r>
        <w:rPr>
          <w:rFonts w:ascii="Times New Roman" w:hAnsi="Times New Roman" w:cs="Times New Roman" w:eastAsiaTheme="minorEastAsia"/>
          <w:bCs/>
          <w:caps w:val="0"/>
          <w:smallCaps w:val="0"/>
          <w:color w:val="auto"/>
          <w:spacing w:val="0"/>
          <w:w w:val="100"/>
          <w:kern w:val="21"/>
          <w:position w:val="0"/>
          <w:highlight w:val="none"/>
        </w:rPr>
        <w:t>本项目施工约</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6</w:t>
      </w:r>
      <w:r>
        <w:rPr>
          <w:rFonts w:ascii="Times New Roman" w:hAnsi="Times New Roman" w:cs="Times New Roman" w:eastAsiaTheme="minorEastAsia"/>
          <w:bCs/>
          <w:caps w:val="0"/>
          <w:smallCaps w:val="0"/>
          <w:color w:val="auto"/>
          <w:spacing w:val="0"/>
          <w:w w:val="100"/>
          <w:kern w:val="21"/>
          <w:position w:val="0"/>
          <w:highlight w:val="none"/>
        </w:rPr>
        <w:t>0d，施工人数30人</w:t>
      </w:r>
      <w:r>
        <w:rPr>
          <w:rFonts w:ascii="Times New Roman" w:hAnsi="Times New Roman" w:cs="Times New Roman" w:eastAsiaTheme="minorEastAsia"/>
          <w:caps w:val="0"/>
          <w:smallCaps w:val="0"/>
          <w:color w:val="auto"/>
          <w:spacing w:val="0"/>
          <w:w w:val="100"/>
          <w:kern w:val="21"/>
          <w:position w:val="0"/>
          <w:highlight w:val="none"/>
        </w:rPr>
        <w:t>。根据黑龙江省地方标准《用水定额》（DB23/T727-2025），施工期生活用水量每人80L/d，生活用水量共计</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144</w:t>
      </w:r>
      <w:r>
        <w:rPr>
          <w:rFonts w:ascii="Times New Roman" w:hAnsi="Times New Roman" w:cs="Times New Roman" w:eastAsiaTheme="minorEastAsia"/>
          <w:caps w:val="0"/>
          <w:smallCaps w:val="0"/>
          <w:color w:val="auto"/>
          <w:spacing w:val="0"/>
          <w:w w:val="100"/>
          <w:kern w:val="21"/>
          <w:position w:val="0"/>
          <w:highlight w:val="none"/>
        </w:rPr>
        <w:t>m</w:t>
      </w:r>
      <w:r>
        <w:rPr>
          <w:rFonts w:ascii="Times New Roman" w:hAnsi="Times New Roman" w:cs="Times New Roman" w:eastAsiaTheme="minorEastAsia"/>
          <w:caps w:val="0"/>
          <w:smallCaps w:val="0"/>
          <w:color w:val="auto"/>
          <w:spacing w:val="0"/>
          <w:w w:val="100"/>
          <w:kern w:val="21"/>
          <w:position w:val="0"/>
          <w:highlight w:val="none"/>
          <w:vertAlign w:val="superscript"/>
        </w:rPr>
        <w:t>3</w:t>
      </w:r>
      <w:r>
        <w:rPr>
          <w:rFonts w:ascii="Times New Roman" w:hAnsi="Times New Roman" w:cs="Times New Roman" w:eastAsiaTheme="minorEastAsia"/>
          <w:caps w:val="0"/>
          <w:smallCaps w:val="0"/>
          <w:color w:val="auto"/>
          <w:spacing w:val="0"/>
          <w:w w:val="100"/>
          <w:kern w:val="21"/>
          <w:position w:val="0"/>
          <w:highlight w:val="none"/>
        </w:rPr>
        <w:t>。生活污水产生量按生活用水的80%计算，则生活污水产生量为</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115.2</w:t>
      </w:r>
      <w:r>
        <w:rPr>
          <w:rFonts w:ascii="Times New Roman" w:hAnsi="Times New Roman" w:cs="Times New Roman" w:eastAsiaTheme="minorEastAsia"/>
          <w:caps w:val="0"/>
          <w:smallCaps w:val="0"/>
          <w:color w:val="auto"/>
          <w:spacing w:val="0"/>
          <w:w w:val="100"/>
          <w:kern w:val="21"/>
          <w:position w:val="0"/>
          <w:highlight w:val="none"/>
        </w:rPr>
        <w:t>m</w:t>
      </w:r>
      <w:r>
        <w:rPr>
          <w:rFonts w:ascii="Times New Roman" w:hAnsi="Times New Roman" w:cs="Times New Roman" w:eastAsiaTheme="minorEastAsia"/>
          <w:caps w:val="0"/>
          <w:smallCaps w:val="0"/>
          <w:color w:val="auto"/>
          <w:spacing w:val="0"/>
          <w:w w:val="100"/>
          <w:kern w:val="21"/>
          <w:position w:val="0"/>
          <w:highlight w:val="none"/>
          <w:vertAlign w:val="superscript"/>
        </w:rPr>
        <w:t>3</w:t>
      </w:r>
      <w:r>
        <w:rPr>
          <w:rFonts w:ascii="Times New Roman" w:hAnsi="Times New Roman" w:cs="Times New Roman" w:eastAsiaTheme="minorEastAsia"/>
          <w:caps w:val="0"/>
          <w:smallCaps w:val="0"/>
          <w:color w:val="auto"/>
          <w:spacing w:val="0"/>
          <w:w w:val="100"/>
          <w:kern w:val="21"/>
          <w:position w:val="0"/>
          <w:highlight w:val="none"/>
        </w:rPr>
        <w:t>。施工期施工人员产生的生活污水排入附近</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阀组</w:t>
      </w:r>
      <w:r>
        <w:rPr>
          <w:rFonts w:ascii="Times New Roman" w:hAnsi="Times New Roman" w:cs="Times New Roman" w:eastAsiaTheme="minorEastAsia"/>
          <w:caps w:val="0"/>
          <w:smallCaps w:val="0"/>
          <w:color w:val="auto"/>
          <w:spacing w:val="0"/>
          <w:w w:val="100"/>
          <w:kern w:val="21"/>
          <w:position w:val="0"/>
          <w:highlight w:val="none"/>
        </w:rPr>
        <w:t>间或场站内已建防渗旱厕，定期</w:t>
      </w:r>
      <w:r>
        <w:rPr>
          <w:rFonts w:hint="eastAsia" w:ascii="Times New Roman" w:hAnsi="Times New Roman" w:cs="Times New Roman" w:eastAsiaTheme="minorEastAsia"/>
          <w:caps w:val="0"/>
          <w:smallCaps w:val="0"/>
          <w:color w:val="auto"/>
          <w:spacing w:val="0"/>
          <w:w w:val="100"/>
          <w:kern w:val="21"/>
          <w:position w:val="0"/>
          <w:highlight w:val="none"/>
          <w:lang w:eastAsia="zh-CN"/>
        </w:rPr>
        <w:t>由安达市同昌油田工程有限公司拉运至大庆市净源环保科技有限公司进行处理</w:t>
      </w:r>
      <w:r>
        <w:rPr>
          <w:rFonts w:ascii="Times New Roman" w:hAnsi="Times New Roman" w:cs="Times New Roman" w:eastAsiaTheme="minorEastAsia"/>
          <w:caps w:val="0"/>
          <w:smallCaps w:val="0"/>
          <w:color w:val="auto"/>
          <w:spacing w:val="0"/>
          <w:w w:val="100"/>
          <w:kern w:val="21"/>
          <w:position w:val="0"/>
          <w:highlight w:val="none"/>
        </w:rPr>
        <w:t>。</w:t>
      </w:r>
    </w:p>
    <w:p w14:paraId="20A6A815">
      <w:pPr>
        <w:widowControl w:val="0"/>
        <w:spacing w:line="440" w:lineRule="exact"/>
        <w:ind w:firstLine="480" w:firstLineChars="200"/>
        <w:jc w:val="both"/>
        <w:rPr>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②</w:t>
      </w:r>
      <w:r>
        <w:rPr>
          <w:rFonts w:hint="eastAsia" w:ascii="Times New Roman" w:hAnsi="Times New Roman" w:cs="Times New Roman" w:eastAsiaTheme="minorEastAsia"/>
          <w:caps w:val="0"/>
          <w:smallCaps w:val="0"/>
          <w:color w:val="auto"/>
          <w:spacing w:val="0"/>
          <w:w w:val="100"/>
          <w:position w:val="0"/>
          <w:highlight w:val="none"/>
          <w:lang w:val="en-US" w:eastAsia="zh-CN"/>
        </w:rPr>
        <w:t>废弃</w:t>
      </w:r>
      <w:r>
        <w:rPr>
          <w:rFonts w:hint="eastAsia"/>
          <w:caps w:val="0"/>
          <w:smallCaps w:val="0"/>
          <w:color w:val="auto"/>
          <w:spacing w:val="0"/>
          <w:w w:val="100"/>
          <w:kern w:val="21"/>
          <w:position w:val="0"/>
          <w:highlight w:val="none"/>
        </w:rPr>
        <w:t>管线清洗用水及清洗废水</w:t>
      </w:r>
    </w:p>
    <w:p w14:paraId="0DEBDB2B">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kern w:val="21"/>
          <w:position w:val="0"/>
          <w:highlight w:val="none"/>
        </w:rPr>
        <w:t>本项目对现有</w:t>
      </w:r>
      <w:r>
        <w:rPr>
          <w:rFonts w:hint="eastAsia" w:ascii="Times New Roman" w:hAnsi="Times New Roman" w:cs="Times New Roman"/>
          <w:caps w:val="0"/>
          <w:smallCaps w:val="0"/>
          <w:color w:val="auto"/>
          <w:spacing w:val="0"/>
          <w:w w:val="100"/>
          <w:kern w:val="21"/>
          <w:position w:val="0"/>
          <w:highlight w:val="none"/>
        </w:rPr>
        <w:t>管道</w:t>
      </w:r>
      <w:r>
        <w:rPr>
          <w:rFonts w:ascii="Times New Roman" w:hAnsi="Times New Roman" w:cs="Times New Roman"/>
          <w:caps w:val="0"/>
          <w:smallCaps w:val="0"/>
          <w:color w:val="auto"/>
          <w:spacing w:val="0"/>
          <w:w w:val="100"/>
          <w:kern w:val="21"/>
          <w:position w:val="0"/>
          <w:highlight w:val="none"/>
        </w:rPr>
        <w:t>进行全管段清洗，清洗用水</w:t>
      </w:r>
      <w:r>
        <w:rPr>
          <w:rFonts w:hint="eastAsia" w:ascii="Times New Roman" w:hAnsi="Times New Roman" w:cs="Times New Roman"/>
          <w:bCs/>
          <w:caps w:val="0"/>
          <w:smallCaps w:val="0"/>
          <w:color w:val="auto"/>
          <w:spacing w:val="0"/>
          <w:w w:val="100"/>
          <w:kern w:val="21"/>
          <w:position w:val="0"/>
          <w:highlight w:val="none"/>
        </w:rPr>
        <w:t>量以管道容积</w:t>
      </w:r>
      <w:r>
        <w:rPr>
          <w:rFonts w:ascii="Times New Roman" w:hAnsi="Times New Roman" w:cs="Times New Roman"/>
          <w:bCs/>
          <w:caps w:val="0"/>
          <w:smallCaps w:val="0"/>
          <w:color w:val="auto"/>
          <w:spacing w:val="0"/>
          <w:w w:val="100"/>
          <w:kern w:val="21"/>
          <w:position w:val="0"/>
          <w:highlight w:val="none"/>
        </w:rPr>
        <w:t>V=πr</w:t>
      </w:r>
      <w:r>
        <w:rPr>
          <w:rFonts w:ascii="Times New Roman" w:hAnsi="Times New Roman" w:cs="Times New Roman"/>
          <w:bCs/>
          <w:caps w:val="0"/>
          <w:smallCaps w:val="0"/>
          <w:color w:val="auto"/>
          <w:spacing w:val="0"/>
          <w:w w:val="100"/>
          <w:kern w:val="21"/>
          <w:position w:val="0"/>
          <w:highlight w:val="none"/>
          <w:vertAlign w:val="superscript"/>
        </w:rPr>
        <w:t>2</w:t>
      </w:r>
      <w:r>
        <w:rPr>
          <w:rFonts w:ascii="Times New Roman" w:hAnsi="Times New Roman" w:cs="Times New Roman"/>
          <w:bCs/>
          <w:caps w:val="0"/>
          <w:smallCaps w:val="0"/>
          <w:color w:val="auto"/>
          <w:spacing w:val="0"/>
          <w:w w:val="100"/>
          <w:kern w:val="21"/>
          <w:position w:val="0"/>
          <w:highlight w:val="none"/>
        </w:rPr>
        <w:t>L的3倍计，现有位于两个截断阀之间的</w:t>
      </w:r>
      <w:r>
        <w:rPr>
          <w:rFonts w:hint="eastAsia" w:ascii="Times New Roman" w:hAnsi="Times New Roman" w:cs="Times New Roman"/>
          <w:bCs/>
          <w:caps w:val="0"/>
          <w:smallCaps w:val="0"/>
          <w:color w:val="auto"/>
          <w:spacing w:val="0"/>
          <w:w w:val="100"/>
          <w:kern w:val="21"/>
          <w:position w:val="0"/>
          <w:highlight w:val="none"/>
        </w:rPr>
        <w:t>现有</w:t>
      </w:r>
      <w:r>
        <w:rPr>
          <w:rFonts w:ascii="Times New Roman" w:hAnsi="Times New Roman" w:cs="Times New Roman"/>
          <w:bCs/>
          <w:caps w:val="0"/>
          <w:smallCaps w:val="0"/>
          <w:color w:val="auto"/>
          <w:spacing w:val="0"/>
          <w:w w:val="100"/>
          <w:kern w:val="21"/>
          <w:position w:val="0"/>
          <w:highlight w:val="none"/>
        </w:rPr>
        <w:t>管道规格包括Φ114×4.5~</w:t>
      </w:r>
      <w:r>
        <w:rPr>
          <w:rFonts w:hint="eastAsia" w:ascii="Times New Roman" w:hAnsi="Times New Roman" w:cs="Times New Roman"/>
          <w:bCs/>
          <w:caps w:val="0"/>
          <w:smallCaps w:val="0"/>
          <w:color w:val="auto"/>
          <w:spacing w:val="0"/>
          <w:w w:val="100"/>
          <w:kern w:val="21"/>
          <w:position w:val="0"/>
          <w:highlight w:val="none"/>
          <w:lang w:val="en-US" w:eastAsia="zh-CN"/>
        </w:rPr>
        <w:t>8.29</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60</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3.81</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76</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4.02</w:t>
      </w:r>
      <w:r>
        <w:rPr>
          <w:rFonts w:ascii="Times New Roman" w:hAnsi="Times New Roman" w:cs="Times New Roman"/>
          <w:bCs/>
          <w:caps w:val="0"/>
          <w:smallCaps w:val="0"/>
          <w:color w:val="auto"/>
          <w:spacing w:val="0"/>
          <w:w w:val="100"/>
          <w:kern w:val="21"/>
          <w:position w:val="0"/>
          <w:highlight w:val="none"/>
        </w:rPr>
        <w:t>km，则管道清洗用水量合计</w:t>
      </w:r>
      <w:r>
        <w:rPr>
          <w:rFonts w:hint="eastAsia" w:ascii="Times New Roman" w:hAnsi="Times New Roman" w:cs="Times New Roman"/>
          <w:bCs/>
          <w:caps w:val="0"/>
          <w:smallCaps w:val="0"/>
          <w:color w:val="auto"/>
          <w:spacing w:val="0"/>
          <w:w w:val="100"/>
          <w:kern w:val="21"/>
          <w:position w:val="0"/>
          <w:highlight w:val="none"/>
          <w:lang w:val="en-US" w:eastAsia="zh-CN"/>
        </w:rPr>
        <w:t>286.7</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3</w:t>
      </w:r>
      <w:r>
        <w:rPr>
          <w:rFonts w:hint="eastAsia" w:ascii="Times New Roman" w:hAnsi="Times New Roman" w:cs="Times New Roman"/>
          <w:bCs/>
          <w:caps w:val="0"/>
          <w:smallCaps w:val="0"/>
          <w:color w:val="auto"/>
          <w:spacing w:val="0"/>
          <w:w w:val="100"/>
          <w:kern w:val="21"/>
          <w:position w:val="0"/>
          <w:highlight w:val="none"/>
        </w:rPr>
        <w:t>，</w:t>
      </w:r>
      <w:r>
        <w:rPr>
          <w:rFonts w:ascii="Times New Roman" w:hAnsi="Times New Roman" w:cs="Times New Roman"/>
          <w:bCs/>
          <w:caps w:val="0"/>
          <w:smallCaps w:val="0"/>
          <w:color w:val="auto"/>
          <w:spacing w:val="0"/>
          <w:w w:val="100"/>
          <w:kern w:val="21"/>
          <w:position w:val="0"/>
          <w:highlight w:val="none"/>
        </w:rPr>
        <w:t>清洗废水按用水量的95%计算，</w:t>
      </w:r>
      <w:r>
        <w:rPr>
          <w:rFonts w:hint="eastAsia" w:ascii="Times New Roman" w:hAnsi="Times New Roman" w:cs="Times New Roman"/>
          <w:bCs/>
          <w:caps w:val="0"/>
          <w:smallCaps w:val="0"/>
          <w:color w:val="auto"/>
          <w:spacing w:val="0"/>
          <w:w w:val="100"/>
          <w:kern w:val="21"/>
          <w:position w:val="0"/>
          <w:highlight w:val="none"/>
        </w:rPr>
        <w:t>则项目</w:t>
      </w:r>
      <w:r>
        <w:rPr>
          <w:rFonts w:hint="eastAsia" w:ascii="Times New Roman" w:hAnsi="Times New Roman" w:cs="Times New Roman" w:eastAsiaTheme="minorEastAsia"/>
          <w:caps w:val="0"/>
          <w:smallCaps w:val="0"/>
          <w:color w:val="auto"/>
          <w:spacing w:val="0"/>
          <w:w w:val="100"/>
          <w:position w:val="0"/>
          <w:highlight w:val="none"/>
          <w:lang w:val="en-US" w:eastAsia="zh-CN"/>
        </w:rPr>
        <w:t>废弃</w:t>
      </w:r>
      <w:r>
        <w:rPr>
          <w:rFonts w:hint="eastAsia" w:ascii="Times New Roman" w:hAnsi="Times New Roman" w:cs="Times New Roman"/>
          <w:bCs/>
          <w:caps w:val="0"/>
          <w:smallCaps w:val="0"/>
          <w:color w:val="auto"/>
          <w:spacing w:val="0"/>
          <w:w w:val="100"/>
          <w:kern w:val="21"/>
          <w:position w:val="0"/>
          <w:highlight w:val="none"/>
        </w:rPr>
        <w:t>管线清洗废水产生量为</w:t>
      </w:r>
      <w:r>
        <w:rPr>
          <w:rFonts w:hint="eastAsia" w:ascii="Times New Roman" w:hAnsi="Times New Roman" w:cs="Times New Roman"/>
          <w:bCs/>
          <w:caps w:val="0"/>
          <w:smallCaps w:val="0"/>
          <w:color w:val="auto"/>
          <w:spacing w:val="0"/>
          <w:w w:val="100"/>
          <w:kern w:val="21"/>
          <w:position w:val="0"/>
          <w:highlight w:val="none"/>
          <w:lang w:val="en-US" w:eastAsia="zh-CN"/>
        </w:rPr>
        <w:t>281.9</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3</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caps w:val="0"/>
          <w:smallCaps w:val="0"/>
          <w:color w:val="auto"/>
          <w:spacing w:val="0"/>
          <w:w w:val="100"/>
          <w:kern w:val="21"/>
          <w:position w:val="0"/>
          <w:highlight w:val="none"/>
        </w:rPr>
        <w:t>清洗废水由罐车拉运至</w:t>
      </w:r>
      <w:r>
        <w:rPr>
          <w:rFonts w:hint="eastAsia" w:ascii="Times New Roman" w:hAnsi="Times New Roman" w:cs="Times New Roman"/>
          <w:caps w:val="0"/>
          <w:smallCaps w:val="0"/>
          <w:color w:val="auto"/>
          <w:spacing w:val="0"/>
          <w:w w:val="100"/>
          <w:kern w:val="21"/>
          <w:position w:val="0"/>
          <w:highlight w:val="none"/>
          <w:lang w:eastAsia="zh-CN"/>
        </w:rPr>
        <w:t>卫一联含油污水深度处理站</w:t>
      </w:r>
      <w:r>
        <w:rPr>
          <w:rFonts w:hint="eastAsia" w:ascii="Times New Roman" w:hAnsi="Times New Roman" w:cs="Times New Roman"/>
          <w:caps w:val="0"/>
          <w:smallCaps w:val="0"/>
          <w:color w:val="auto"/>
          <w:spacing w:val="0"/>
          <w:w w:val="100"/>
          <w:kern w:val="21"/>
          <w:position w:val="0"/>
          <w:highlight w:val="none"/>
        </w:rPr>
        <w:t>处理满足《大庆油田地面工程</w:t>
      </w:r>
      <w:r>
        <w:rPr>
          <w:rFonts w:ascii="Times New Roman" w:hAnsi="Times New Roman" w:cs="Times New Roman"/>
          <w:bCs/>
          <w:caps w:val="0"/>
          <w:smallCaps w:val="0"/>
          <w:color w:val="auto"/>
          <w:spacing w:val="0"/>
          <w:w w:val="100"/>
          <w:kern w:val="21"/>
          <w:position w:val="0"/>
          <w:highlight w:val="none"/>
        </w:rPr>
        <w:t>建设设计规定》（Q/SYDQ0639-2015）及《碎屑岩油藏注水水质指标技术要求及分析方法》（SY/T5329-2022）限值要求后回注油层，不外排。</w:t>
      </w:r>
    </w:p>
    <w:p w14:paraId="2B1C713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③</w:t>
      </w:r>
      <w:r>
        <w:rPr>
          <w:rFonts w:ascii="Times New Roman" w:hAnsi="Times New Roman" w:cs="Times New Roman"/>
          <w:caps w:val="0"/>
          <w:smallCaps w:val="0"/>
          <w:color w:val="auto"/>
          <w:spacing w:val="0"/>
          <w:w w:val="100"/>
          <w:kern w:val="21"/>
          <w:position w:val="0"/>
          <w:highlight w:val="none"/>
        </w:rPr>
        <w:t>管线</w:t>
      </w:r>
      <w:r>
        <w:rPr>
          <w:rFonts w:ascii="Times New Roman" w:hAnsi="Times New Roman" w:cs="Times New Roman" w:eastAsiaTheme="minorEastAsia"/>
          <w:caps w:val="0"/>
          <w:smallCaps w:val="0"/>
          <w:color w:val="auto"/>
          <w:spacing w:val="0"/>
          <w:w w:val="100"/>
          <w:kern w:val="21"/>
          <w:position w:val="0"/>
          <w:highlight w:val="none"/>
        </w:rPr>
        <w:t>试压用水及管线试压废水</w:t>
      </w:r>
    </w:p>
    <w:p w14:paraId="5B067A59">
      <w:pPr>
        <w:widowControl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本工程新建管线采取清水试压的方式，试压用水量以管道容积 V=πr</w:t>
      </w:r>
      <w:r>
        <w:rPr>
          <w:rFonts w:ascii="Times New Roman" w:hAnsi="Times New Roman" w:cs="Times New Roman"/>
          <w:bCs/>
          <w:caps w:val="0"/>
          <w:smallCaps w:val="0"/>
          <w:color w:val="auto"/>
          <w:spacing w:val="0"/>
          <w:w w:val="100"/>
          <w:position w:val="0"/>
          <w:highlight w:val="none"/>
          <w:vertAlign w:val="superscript"/>
        </w:rPr>
        <w:t>2</w:t>
      </w:r>
      <w:r>
        <w:rPr>
          <w:rFonts w:ascii="Times New Roman" w:hAnsi="Times New Roman" w:cs="Times New Roman"/>
          <w:bCs/>
          <w:caps w:val="0"/>
          <w:smallCaps w:val="0"/>
          <w:color w:val="auto"/>
          <w:spacing w:val="0"/>
          <w:w w:val="100"/>
          <w:position w:val="0"/>
          <w:highlight w:val="none"/>
        </w:rPr>
        <w:t>L计，本项目新建管线</w:t>
      </w:r>
      <w:r>
        <w:rPr>
          <w:rFonts w:ascii="Times New Roman" w:hAnsi="Times New Roman" w:cs="Times New Roman"/>
          <w:bCs/>
          <w:caps w:val="0"/>
          <w:smallCaps w:val="0"/>
          <w:color w:val="auto"/>
          <w:spacing w:val="0"/>
          <w:w w:val="100"/>
          <w:kern w:val="21"/>
          <w:position w:val="0"/>
          <w:highlight w:val="none"/>
        </w:rPr>
        <w:t>Φ114×4.5~</w:t>
      </w:r>
      <w:r>
        <w:rPr>
          <w:rFonts w:hint="eastAsia" w:ascii="Times New Roman" w:hAnsi="Times New Roman" w:cs="Times New Roman"/>
          <w:bCs/>
          <w:caps w:val="0"/>
          <w:smallCaps w:val="0"/>
          <w:color w:val="auto"/>
          <w:spacing w:val="0"/>
          <w:w w:val="100"/>
          <w:kern w:val="21"/>
          <w:position w:val="0"/>
          <w:highlight w:val="none"/>
          <w:lang w:val="en-US" w:eastAsia="zh-CN"/>
        </w:rPr>
        <w:t>8.29</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60</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3.81</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76</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4.02</w:t>
      </w:r>
      <w:r>
        <w:rPr>
          <w:rFonts w:ascii="Times New Roman" w:hAnsi="Times New Roman" w:cs="Times New Roman"/>
          <w:bCs/>
          <w:caps w:val="0"/>
          <w:smallCaps w:val="0"/>
          <w:color w:val="auto"/>
          <w:spacing w:val="0"/>
          <w:w w:val="100"/>
          <w:kern w:val="21"/>
          <w:position w:val="0"/>
          <w:highlight w:val="none"/>
        </w:rPr>
        <w:t>km</w:t>
      </w:r>
      <w:r>
        <w:rPr>
          <w:rFonts w:ascii="Times New Roman" w:hAnsi="Times New Roman" w:cs="Times New Roman"/>
          <w:bCs/>
          <w:caps w:val="0"/>
          <w:smallCaps w:val="0"/>
          <w:color w:val="auto"/>
          <w:spacing w:val="0"/>
          <w:w w:val="100"/>
          <w:position w:val="0"/>
          <w:highlight w:val="none"/>
        </w:rPr>
        <w:t>，则管线试压用水总量为</w:t>
      </w:r>
      <w:r>
        <w:rPr>
          <w:rFonts w:hint="eastAsia" w:ascii="Times New Roman" w:hAnsi="Times New Roman" w:cs="Times New Roman"/>
          <w:bCs/>
          <w:caps w:val="0"/>
          <w:smallCaps w:val="0"/>
          <w:color w:val="auto"/>
          <w:spacing w:val="0"/>
          <w:w w:val="100"/>
          <w:position w:val="0"/>
          <w:highlight w:val="none"/>
          <w:lang w:val="en-US" w:eastAsia="zh-CN"/>
        </w:rPr>
        <w:t>95.6</w:t>
      </w:r>
      <w:r>
        <w:rPr>
          <w:rFonts w:ascii="Times New Roman" w:hAnsi="Times New Roman" w:cs="Times New Roman"/>
          <w:bCs/>
          <w:caps w:val="0"/>
          <w:smallCaps w:val="0"/>
          <w:color w:val="auto"/>
          <w:spacing w:val="0"/>
          <w:w w:val="100"/>
          <w:position w:val="0"/>
          <w:highlight w:val="none"/>
        </w:rPr>
        <w:t>m</w:t>
      </w:r>
      <w:r>
        <w:rPr>
          <w:rFonts w:ascii="Times New Roman" w:hAnsi="Times New Roman" w:cs="Times New Roman"/>
          <w:bCs/>
          <w:caps w:val="0"/>
          <w:smallCaps w:val="0"/>
          <w:color w:val="auto"/>
          <w:spacing w:val="0"/>
          <w:w w:val="100"/>
          <w:position w:val="0"/>
          <w:highlight w:val="none"/>
          <w:vertAlign w:val="superscript"/>
        </w:rPr>
        <w:t>3</w:t>
      </w:r>
      <w:r>
        <w:rPr>
          <w:rFonts w:ascii="Times New Roman" w:hAnsi="Times New Roman" w:cs="Times New Roman"/>
          <w:bCs/>
          <w:caps w:val="0"/>
          <w:smallCaps w:val="0"/>
          <w:color w:val="auto"/>
          <w:spacing w:val="0"/>
          <w:w w:val="100"/>
          <w:position w:val="0"/>
          <w:highlight w:val="none"/>
        </w:rPr>
        <w:t>，试压废水按用水量的95%计算，试压废水产生量为</w:t>
      </w:r>
      <w:r>
        <w:rPr>
          <w:rFonts w:hint="eastAsia" w:ascii="Times New Roman" w:hAnsi="Times New Roman" w:cs="Times New Roman"/>
          <w:bCs/>
          <w:caps w:val="0"/>
          <w:smallCaps w:val="0"/>
          <w:color w:val="auto"/>
          <w:spacing w:val="0"/>
          <w:w w:val="100"/>
          <w:position w:val="0"/>
          <w:highlight w:val="none"/>
          <w:lang w:val="en-US" w:eastAsia="zh-CN"/>
        </w:rPr>
        <w:t>90.8</w:t>
      </w:r>
      <w:r>
        <w:rPr>
          <w:rFonts w:ascii="Times New Roman" w:hAnsi="Times New Roman" w:cs="Times New Roman"/>
          <w:bCs/>
          <w:caps w:val="0"/>
          <w:smallCaps w:val="0"/>
          <w:color w:val="auto"/>
          <w:spacing w:val="0"/>
          <w:w w:val="100"/>
          <w:position w:val="0"/>
          <w:highlight w:val="none"/>
        </w:rPr>
        <w:t>m</w:t>
      </w:r>
      <w:r>
        <w:rPr>
          <w:rFonts w:ascii="Times New Roman" w:hAnsi="Times New Roman" w:cs="Times New Roman"/>
          <w:bCs/>
          <w:caps w:val="0"/>
          <w:smallCaps w:val="0"/>
          <w:color w:val="auto"/>
          <w:spacing w:val="0"/>
          <w:w w:val="100"/>
          <w:position w:val="0"/>
          <w:highlight w:val="none"/>
          <w:vertAlign w:val="superscript"/>
        </w:rPr>
        <w:t>3</w:t>
      </w:r>
      <w:r>
        <w:rPr>
          <w:rFonts w:ascii="Times New Roman" w:hAnsi="Times New Roman" w:cs="Times New Roman"/>
          <w:bCs/>
          <w:caps w:val="0"/>
          <w:smallCaps w:val="0"/>
          <w:color w:val="auto"/>
          <w:spacing w:val="0"/>
          <w:w w:val="100"/>
          <w:position w:val="0"/>
          <w:highlight w:val="none"/>
        </w:rPr>
        <w:t>。管线试压废水</w:t>
      </w:r>
      <w:r>
        <w:rPr>
          <w:rFonts w:ascii="Times New Roman" w:hAnsi="Times New Roman" w:cs="Times New Roman"/>
          <w:bCs/>
          <w:caps w:val="0"/>
          <w:smallCaps w:val="0"/>
          <w:color w:val="auto"/>
          <w:spacing w:val="0"/>
          <w:w w:val="100"/>
          <w:position w:val="0"/>
          <w:highlight w:val="none"/>
        </w:rPr>
        <w:t>由罐车拉运至</w:t>
      </w:r>
      <w:r>
        <w:rPr>
          <w:rFonts w:hint="eastAsia" w:ascii="Times New Roman" w:hAnsi="Times New Roman" w:cs="Times New Roman"/>
          <w:bCs/>
          <w:caps w:val="0"/>
          <w:smallCaps w:val="0"/>
          <w:color w:val="auto"/>
          <w:spacing w:val="0"/>
          <w:w w:val="100"/>
          <w:position w:val="0"/>
          <w:highlight w:val="none"/>
          <w:lang w:eastAsia="zh-CN"/>
        </w:rPr>
        <w:t>卫一联含油污水深度处理站</w:t>
      </w:r>
      <w:r>
        <w:rPr>
          <w:rFonts w:ascii="Times New Roman" w:hAnsi="Times New Roman" w:cs="Times New Roman"/>
          <w:bCs/>
          <w:caps w:val="0"/>
          <w:smallCaps w:val="0"/>
          <w:color w:val="auto"/>
          <w:spacing w:val="0"/>
          <w:w w:val="100"/>
          <w:position w:val="0"/>
          <w:highlight w:val="none"/>
        </w:rPr>
        <w:t>处理满足《大庆油田地面工程建设设计规定》（Q/SYDQ0639-2015）及《碎屑岩油藏注水水质指标技术要求及分析方法》（SY/T5329-2022）限值要求后回注油层，不外排。</w:t>
      </w:r>
    </w:p>
    <w:p w14:paraId="7A9A01BE">
      <w:pPr>
        <w:widowControl w:val="0"/>
        <w:spacing w:line="440" w:lineRule="exact"/>
        <w:ind w:firstLine="480" w:firstLineChars="200"/>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kern w:val="21"/>
          <w:position w:val="0"/>
          <w:highlight w:val="none"/>
        </w:rPr>
        <w:t>（2）运营期</w:t>
      </w:r>
    </w:p>
    <w:p w14:paraId="271A6DD1">
      <w:pPr>
        <w:widowControl w:val="0"/>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kern w:val="21"/>
          <w:position w:val="0"/>
          <w:highlight w:val="none"/>
        </w:rPr>
        <w:t>本项目</w:t>
      </w:r>
      <w:r>
        <w:rPr>
          <w:rFonts w:ascii="Times New Roman" w:hAnsi="Times New Roman" w:cs="Times New Roman"/>
          <w:bCs/>
          <w:caps w:val="0"/>
          <w:smallCaps w:val="0"/>
          <w:color w:val="auto"/>
          <w:spacing w:val="0"/>
          <w:w w:val="100"/>
          <w:kern w:val="21"/>
          <w:position w:val="0"/>
          <w:highlight w:val="none"/>
        </w:rPr>
        <w:t>运营期不新增劳动定员，不新增生活用水，因此不新增生活污水</w:t>
      </w:r>
      <w:r>
        <w:rPr>
          <w:rFonts w:ascii="Times New Roman" w:hAnsi="Times New Roman" w:cs="Times New Roman"/>
          <w:caps w:val="0"/>
          <w:smallCaps w:val="0"/>
          <w:color w:val="auto"/>
          <w:spacing w:val="0"/>
          <w:w w:val="100"/>
          <w:kern w:val="21"/>
          <w:position w:val="0"/>
          <w:highlight w:val="none"/>
        </w:rPr>
        <w:t>。</w:t>
      </w:r>
    </w:p>
    <w:bookmarkEnd w:id="443"/>
    <w:bookmarkEnd w:id="451"/>
    <w:p w14:paraId="66516A04">
      <w:pPr>
        <w:spacing w:line="440" w:lineRule="exact"/>
        <w:outlineLvl w:val="3"/>
        <w:rPr>
          <w:rFonts w:ascii="Times New Roman" w:hAnsi="Times New Roman" w:cs="Times New Roman"/>
          <w:b/>
          <w:caps w:val="0"/>
          <w:smallCaps w:val="0"/>
          <w:color w:val="auto"/>
          <w:spacing w:val="0"/>
          <w:w w:val="100"/>
          <w:position w:val="0"/>
          <w:szCs w:val="20"/>
          <w:highlight w:val="none"/>
        </w:rPr>
      </w:pPr>
      <w:r>
        <w:rPr>
          <w:rFonts w:ascii="Times New Roman" w:hAnsi="Times New Roman" w:cs="Times New Roman"/>
          <w:b/>
          <w:caps w:val="0"/>
          <w:smallCaps w:val="0"/>
          <w:color w:val="auto"/>
          <w:spacing w:val="0"/>
          <w:w w:val="100"/>
          <w:position w:val="0"/>
          <w:szCs w:val="20"/>
          <w:highlight w:val="none"/>
        </w:rPr>
        <w:t>3.4.6.2供电系统</w:t>
      </w:r>
    </w:p>
    <w:p w14:paraId="0442556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bookmarkStart w:id="452" w:name="_Toc5710035"/>
      <w:bookmarkStart w:id="453" w:name="_Toc13059820"/>
      <w:r>
        <w:rPr>
          <w:rFonts w:ascii="Times New Roman" w:hAnsi="Times New Roman" w:cs="Times New Roman" w:eastAsiaTheme="minorEastAsia"/>
          <w:caps w:val="0"/>
          <w:smallCaps w:val="0"/>
          <w:color w:val="auto"/>
          <w:spacing w:val="0"/>
          <w:w w:val="100"/>
          <w:kern w:val="2"/>
          <w:position w:val="0"/>
          <w:highlight w:val="none"/>
        </w:rPr>
        <w:t>本项目施工期用电依托第</w:t>
      </w:r>
      <w:r>
        <w:rPr>
          <w:rFonts w:hint="eastAsia" w:ascii="Times New Roman" w:hAnsi="Times New Roman" w:cs="Times New Roman" w:eastAsiaTheme="minorEastAsia"/>
          <w:caps w:val="0"/>
          <w:smallCaps w:val="0"/>
          <w:color w:val="auto"/>
          <w:spacing w:val="0"/>
          <w:w w:val="100"/>
          <w:kern w:val="2"/>
          <w:position w:val="0"/>
          <w:highlight w:val="none"/>
          <w:lang w:val="en-US" w:eastAsia="zh-CN"/>
        </w:rPr>
        <w:t>十一</w:t>
      </w:r>
      <w:r>
        <w:rPr>
          <w:rFonts w:ascii="Times New Roman" w:hAnsi="Times New Roman" w:cs="Times New Roman" w:eastAsiaTheme="minorEastAsia"/>
          <w:caps w:val="0"/>
          <w:smallCaps w:val="0"/>
          <w:color w:val="auto"/>
          <w:spacing w:val="0"/>
          <w:w w:val="100"/>
          <w:kern w:val="2"/>
          <w:position w:val="0"/>
          <w:highlight w:val="none"/>
        </w:rPr>
        <w:t>采油厂已建油田供电线路。本项目运营期无需用电。</w:t>
      </w:r>
    </w:p>
    <w:p w14:paraId="73A4A119">
      <w:pPr>
        <w:spacing w:line="440" w:lineRule="exact"/>
        <w:outlineLvl w:val="3"/>
        <w:rPr>
          <w:rFonts w:ascii="Times New Roman" w:hAnsi="Times New Roman" w:cs="Times New Roman"/>
          <w:b/>
          <w:caps w:val="0"/>
          <w:smallCaps w:val="0"/>
          <w:color w:val="auto"/>
          <w:spacing w:val="0"/>
          <w:w w:val="100"/>
          <w:position w:val="0"/>
          <w:szCs w:val="20"/>
          <w:highlight w:val="none"/>
        </w:rPr>
      </w:pPr>
      <w:bookmarkStart w:id="454" w:name="_Toc67523607"/>
      <w:bookmarkStart w:id="455" w:name="_Toc69690825"/>
      <w:bookmarkStart w:id="456" w:name="_Toc74812329"/>
      <w:bookmarkStart w:id="457" w:name="_Toc71371958"/>
      <w:bookmarkStart w:id="458" w:name="_Toc61597235"/>
      <w:r>
        <w:rPr>
          <w:rFonts w:ascii="Times New Roman" w:hAnsi="Times New Roman" w:cs="Times New Roman"/>
          <w:b/>
          <w:caps w:val="0"/>
          <w:smallCaps w:val="0"/>
          <w:color w:val="auto"/>
          <w:spacing w:val="0"/>
          <w:w w:val="100"/>
          <w:position w:val="0"/>
          <w:szCs w:val="20"/>
          <w:highlight w:val="none"/>
        </w:rPr>
        <w:t>3.4.6.</w:t>
      </w:r>
      <w:bookmarkEnd w:id="452"/>
      <w:bookmarkEnd w:id="453"/>
      <w:bookmarkEnd w:id="454"/>
      <w:bookmarkEnd w:id="455"/>
      <w:bookmarkEnd w:id="456"/>
      <w:bookmarkEnd w:id="457"/>
      <w:bookmarkEnd w:id="458"/>
      <w:r>
        <w:rPr>
          <w:rFonts w:ascii="Times New Roman" w:hAnsi="Times New Roman" w:cs="Times New Roman"/>
          <w:b/>
          <w:caps w:val="0"/>
          <w:smallCaps w:val="0"/>
          <w:color w:val="auto"/>
          <w:spacing w:val="0"/>
          <w:w w:val="100"/>
          <w:position w:val="0"/>
          <w:szCs w:val="20"/>
          <w:highlight w:val="none"/>
        </w:rPr>
        <w:t>3供热系统</w:t>
      </w:r>
    </w:p>
    <w:p w14:paraId="4171688E">
      <w:pPr>
        <w:widowControl w:val="0"/>
        <w:spacing w:line="440" w:lineRule="exact"/>
        <w:ind w:firstLine="480" w:firstLineChars="200"/>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kern w:val="21"/>
          <w:position w:val="0"/>
          <w:highlight w:val="none"/>
        </w:rPr>
        <w:t>本项目施工不设施工营地，不需供暖；运营期依托场站采用现有供暖方式。</w:t>
      </w:r>
    </w:p>
    <w:p w14:paraId="5A8915D1">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459" w:name="_Toc219900383"/>
      <w:r>
        <w:rPr>
          <w:rFonts w:ascii="Times New Roman" w:hAnsi="Times New Roman" w:eastAsiaTheme="minorEastAsia"/>
          <w:b/>
          <w:caps w:val="0"/>
          <w:smallCaps w:val="0"/>
          <w:snapToGrid w:val="0"/>
          <w:color w:val="auto"/>
          <w:spacing w:val="0"/>
          <w:w w:val="100"/>
          <w:position w:val="0"/>
          <w:highlight w:val="none"/>
        </w:rPr>
        <w:t>3.5</w:t>
      </w:r>
      <w:r>
        <w:rPr>
          <w:rFonts w:hint="eastAsia" w:ascii="Times New Roman" w:hAnsi="Times New Roman" w:eastAsiaTheme="minorEastAsia"/>
          <w:b/>
          <w:caps w:val="0"/>
          <w:smallCaps w:val="0"/>
          <w:snapToGrid w:val="0"/>
          <w:color w:val="auto"/>
          <w:spacing w:val="0"/>
          <w:w w:val="100"/>
          <w:position w:val="0"/>
          <w:highlight w:val="none"/>
          <w:lang w:val="en-US" w:eastAsia="zh-CN"/>
        </w:rPr>
        <w:t>工程占地及土石方平衡</w:t>
      </w:r>
      <w:bookmarkEnd w:id="459"/>
    </w:p>
    <w:p w14:paraId="4EEE0771">
      <w:pPr>
        <w:pStyle w:val="6"/>
        <w:widowControl w:val="0"/>
        <w:spacing w:before="60" w:after="60"/>
        <w:jc w:val="both"/>
        <w:rPr>
          <w:rFonts w:eastAsiaTheme="minorEastAsia"/>
          <w:b/>
          <w:caps w:val="0"/>
          <w:smallCaps w:val="0"/>
          <w:color w:val="auto"/>
          <w:spacing w:val="0"/>
          <w:w w:val="100"/>
          <w:kern w:val="2"/>
          <w:position w:val="0"/>
          <w:sz w:val="24"/>
          <w:szCs w:val="24"/>
          <w:highlight w:val="none"/>
        </w:rPr>
      </w:pPr>
      <w:bookmarkStart w:id="460" w:name="_Toc83209476"/>
      <w:bookmarkStart w:id="461" w:name="_Toc86141935"/>
      <w:bookmarkStart w:id="462" w:name="_Toc78816464"/>
      <w:bookmarkStart w:id="463" w:name="_Toc110438478"/>
      <w:bookmarkStart w:id="464" w:name="_Toc80971381"/>
      <w:bookmarkStart w:id="465" w:name="_Toc85640756"/>
      <w:bookmarkStart w:id="466" w:name="_Toc84929232"/>
      <w:bookmarkStart w:id="467" w:name="_Toc80588259"/>
      <w:bookmarkStart w:id="468" w:name="_Toc70050182"/>
      <w:bookmarkStart w:id="469" w:name="_Toc77067663"/>
      <w:bookmarkStart w:id="470" w:name="_Toc61597227"/>
      <w:bookmarkStart w:id="471" w:name="_Toc67860135"/>
      <w:bookmarkStart w:id="472" w:name="_Toc76976247"/>
      <w:r>
        <w:rPr>
          <w:rFonts w:eastAsiaTheme="minorEastAsia"/>
          <w:b/>
          <w:caps w:val="0"/>
          <w:smallCaps w:val="0"/>
          <w:color w:val="auto"/>
          <w:spacing w:val="0"/>
          <w:w w:val="100"/>
          <w:kern w:val="2"/>
          <w:position w:val="0"/>
          <w:sz w:val="24"/>
          <w:szCs w:val="24"/>
          <w:highlight w:val="none"/>
        </w:rPr>
        <w:t>3.5.1</w:t>
      </w:r>
      <w:bookmarkEnd w:id="460"/>
      <w:bookmarkEnd w:id="461"/>
      <w:bookmarkEnd w:id="462"/>
      <w:bookmarkEnd w:id="463"/>
      <w:bookmarkEnd w:id="464"/>
      <w:bookmarkEnd w:id="465"/>
      <w:bookmarkEnd w:id="466"/>
      <w:bookmarkEnd w:id="467"/>
      <w:r>
        <w:rPr>
          <w:rFonts w:hint="eastAsia" w:eastAsiaTheme="minorEastAsia"/>
          <w:b/>
          <w:caps w:val="0"/>
          <w:smallCaps w:val="0"/>
          <w:color w:val="auto"/>
          <w:spacing w:val="0"/>
          <w:w w:val="100"/>
          <w:kern w:val="2"/>
          <w:position w:val="0"/>
          <w:sz w:val="24"/>
          <w:szCs w:val="24"/>
          <w:highlight w:val="none"/>
          <w:lang w:val="en-US" w:eastAsia="zh-CN"/>
        </w:rPr>
        <w:t>工程占地</w:t>
      </w:r>
    </w:p>
    <w:p w14:paraId="14444224">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本工程占地主要为新建管线及废弃</w:t>
      </w:r>
      <w:r>
        <w:rPr>
          <w:rFonts w:ascii="Times New Roman" w:hAnsi="Times New Roman" w:cs="Times New Roman"/>
          <w:bCs/>
          <w:caps w:val="0"/>
          <w:smallCaps w:val="0"/>
          <w:color w:val="auto"/>
          <w:spacing w:val="0"/>
          <w:w w:val="100"/>
          <w:position w:val="0"/>
          <w:highlight w:val="none"/>
        </w:rPr>
        <w:t>管道</w:t>
      </w:r>
      <w:r>
        <w:rPr>
          <w:rFonts w:ascii="Times New Roman" w:hAnsi="Times New Roman" w:cs="Times New Roman"/>
          <w:caps w:val="0"/>
          <w:smallCaps w:val="0"/>
          <w:color w:val="auto"/>
          <w:spacing w:val="0"/>
          <w:w w:val="100"/>
          <w:position w:val="0"/>
          <w:highlight w:val="none"/>
        </w:rPr>
        <w:t>施工发生的临时占地及</w:t>
      </w:r>
      <w:r>
        <w:rPr>
          <w:rFonts w:hint="eastAsia" w:ascii="Times New Roman" w:hAnsi="Times New Roman" w:cs="Times New Roman"/>
          <w:caps w:val="0"/>
          <w:smallCaps w:val="0"/>
          <w:color w:val="auto"/>
          <w:spacing w:val="0"/>
          <w:w w:val="100"/>
          <w:position w:val="0"/>
          <w:highlight w:val="none"/>
          <w:lang w:val="en-US" w:eastAsia="zh-CN"/>
        </w:rPr>
        <w:t>定向钻</w:t>
      </w:r>
      <w:r>
        <w:rPr>
          <w:rFonts w:ascii="Times New Roman" w:hAnsi="Times New Roman" w:cs="Times New Roman"/>
          <w:bCs/>
          <w:caps w:val="0"/>
          <w:smallCaps w:val="0"/>
          <w:color w:val="auto"/>
          <w:spacing w:val="0"/>
          <w:w w:val="100"/>
          <w:position w:val="0"/>
          <w:highlight w:val="none"/>
        </w:rPr>
        <w:t>穿越施工场地</w:t>
      </w:r>
      <w:r>
        <w:rPr>
          <w:rFonts w:ascii="Times New Roman" w:hAnsi="Times New Roman" w:cs="Times New Roman"/>
          <w:caps w:val="0"/>
          <w:smallCaps w:val="0"/>
          <w:color w:val="auto"/>
          <w:spacing w:val="0"/>
          <w:w w:val="100"/>
          <w:position w:val="0"/>
          <w:highlight w:val="none"/>
        </w:rPr>
        <w:t>发生的临时占地，</w:t>
      </w:r>
      <w:r>
        <w:rPr>
          <w:rFonts w:ascii="Times New Roman" w:hAnsi="Times New Roman" w:cs="Times New Roman"/>
          <w:caps w:val="0"/>
          <w:smallCaps w:val="0"/>
          <w:color w:val="auto"/>
          <w:spacing w:val="0"/>
          <w:w w:val="100"/>
          <w:kern w:val="21"/>
          <w:position w:val="0"/>
          <w:highlight w:val="none"/>
        </w:rPr>
        <w:t>所涉及的临时占地需要征用土地。</w:t>
      </w:r>
    </w:p>
    <w:p w14:paraId="26D3076A">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snapToGrid w:val="0"/>
          <w:color w:val="auto"/>
          <w:spacing w:val="0"/>
          <w:w w:val="100"/>
          <w:position w:val="0"/>
          <w:highlight w:val="none"/>
        </w:rPr>
      </w:pPr>
      <w:r>
        <w:rPr>
          <w:rFonts w:ascii="Times New Roman" w:hAnsi="Times New Roman" w:cs="Times New Roman" w:eastAsiaTheme="minorEastAsia"/>
          <w:bCs/>
          <w:caps w:val="0"/>
          <w:smallCaps w:val="0"/>
          <w:snapToGrid w:val="0"/>
          <w:color w:val="auto"/>
          <w:spacing w:val="0"/>
          <w:w w:val="100"/>
          <w:position w:val="0"/>
          <w:highlight w:val="none"/>
        </w:rPr>
        <w:t>本项目</w:t>
      </w:r>
      <w:r>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t>更换管线共16.12km，</w:t>
      </w:r>
      <w:r>
        <w:rPr>
          <w:rFonts w:ascii="Times New Roman" w:hAnsi="Times New Roman" w:cs="Times New Roman" w:eastAsiaTheme="minorEastAsia"/>
          <w:bCs/>
          <w:caps w:val="0"/>
          <w:smallCaps w:val="0"/>
          <w:snapToGrid w:val="0"/>
          <w:color w:val="auto"/>
          <w:spacing w:val="0"/>
          <w:w w:val="100"/>
          <w:position w:val="0"/>
          <w:highlight w:val="none"/>
        </w:rPr>
        <w:t>管线采取平埋敷设，沿管线路由设置施工场地，管线施工作业面宽度为10m，</w:t>
      </w:r>
      <w:r>
        <w:rPr>
          <w:rFonts w:hint="eastAsia" w:ascii="Times New Roman" w:hAnsi="Times New Roman" w:cs="Times New Roman" w:eastAsiaTheme="minorEastAsia"/>
          <w:bCs/>
          <w:caps w:val="0"/>
          <w:smallCaps w:val="0"/>
          <w:snapToGrid w:val="0"/>
          <w:color w:val="auto"/>
          <w:spacing w:val="0"/>
          <w:w w:val="100"/>
          <w:position w:val="0"/>
          <w:highlight w:val="none"/>
        </w:rPr>
        <w:t>管线</w:t>
      </w:r>
      <w:r>
        <w:rPr>
          <w:rFonts w:ascii="Times New Roman" w:hAnsi="Times New Roman" w:cs="Times New Roman" w:eastAsiaTheme="minorEastAsia"/>
          <w:bCs/>
          <w:caps w:val="0"/>
          <w:smallCaps w:val="0"/>
          <w:snapToGrid w:val="0"/>
          <w:color w:val="auto"/>
          <w:spacing w:val="0"/>
          <w:w w:val="100"/>
          <w:position w:val="0"/>
          <w:highlight w:val="none"/>
        </w:rPr>
        <w:t>走向</w:t>
      </w:r>
      <w:r>
        <w:rPr>
          <w:rFonts w:hint="eastAsia" w:ascii="Times New Roman" w:hAnsi="Times New Roman" w:cs="Times New Roman" w:eastAsiaTheme="minorEastAsia"/>
          <w:bCs/>
          <w:caps w:val="0"/>
          <w:smallCaps w:val="0"/>
          <w:snapToGrid w:val="0"/>
          <w:color w:val="auto"/>
          <w:spacing w:val="0"/>
          <w:w w:val="100"/>
          <w:position w:val="0"/>
          <w:highlight w:val="none"/>
        </w:rPr>
        <w:t>尽可能</w:t>
      </w:r>
      <w:r>
        <w:rPr>
          <w:rFonts w:ascii="Times New Roman" w:hAnsi="Times New Roman" w:cs="Times New Roman" w:eastAsiaTheme="minorEastAsia"/>
          <w:bCs/>
          <w:caps w:val="0"/>
          <w:smallCaps w:val="0"/>
          <w:snapToGrid w:val="0"/>
          <w:color w:val="auto"/>
          <w:spacing w:val="0"/>
          <w:w w:val="100"/>
          <w:position w:val="0"/>
          <w:highlight w:val="none"/>
        </w:rPr>
        <w:t>沿现有</w:t>
      </w:r>
      <w:r>
        <w:rPr>
          <w:rFonts w:hint="eastAsia" w:ascii="Times New Roman" w:hAnsi="Times New Roman" w:cs="Times New Roman" w:eastAsiaTheme="minorEastAsia"/>
          <w:bCs/>
          <w:caps w:val="0"/>
          <w:smallCaps w:val="0"/>
          <w:snapToGrid w:val="0"/>
          <w:color w:val="auto"/>
          <w:spacing w:val="0"/>
          <w:w w:val="100"/>
          <w:position w:val="0"/>
          <w:highlight w:val="none"/>
        </w:rPr>
        <w:t>道路</w:t>
      </w:r>
      <w:r>
        <w:rPr>
          <w:rFonts w:ascii="Times New Roman" w:hAnsi="Times New Roman" w:cs="Times New Roman" w:eastAsiaTheme="minorEastAsia"/>
          <w:bCs/>
          <w:caps w:val="0"/>
          <w:smallCaps w:val="0"/>
          <w:snapToGrid w:val="0"/>
          <w:color w:val="auto"/>
          <w:spacing w:val="0"/>
          <w:w w:val="100"/>
          <w:position w:val="0"/>
          <w:highlight w:val="none"/>
        </w:rPr>
        <w:t>敷设，</w:t>
      </w:r>
      <w:r>
        <w:rPr>
          <w:rFonts w:hint="eastAsia" w:ascii="Times New Roman" w:hAnsi="Times New Roman" w:cs="Times New Roman" w:eastAsiaTheme="minorEastAsia"/>
          <w:bCs/>
          <w:caps w:val="0"/>
          <w:smallCaps w:val="0"/>
          <w:snapToGrid w:val="0"/>
          <w:color w:val="auto"/>
          <w:spacing w:val="0"/>
          <w:w w:val="100"/>
          <w:position w:val="0"/>
          <w:highlight w:val="none"/>
        </w:rPr>
        <w:t>施工期不设专门</w:t>
      </w:r>
      <w:r>
        <w:rPr>
          <w:rFonts w:ascii="Times New Roman" w:hAnsi="Times New Roman" w:cs="Times New Roman" w:eastAsiaTheme="minorEastAsia"/>
          <w:bCs/>
          <w:caps w:val="0"/>
          <w:smallCaps w:val="0"/>
          <w:snapToGrid w:val="0"/>
          <w:color w:val="auto"/>
          <w:spacing w:val="0"/>
          <w:w w:val="100"/>
          <w:position w:val="0"/>
          <w:highlight w:val="none"/>
        </w:rPr>
        <w:t>料场和堆管场</w:t>
      </w:r>
      <w:r>
        <w:rPr>
          <w:rFonts w:hint="eastAsia" w:ascii="Times New Roman" w:hAnsi="Times New Roman" w:cs="Times New Roman" w:eastAsiaTheme="minorEastAsia"/>
          <w:bCs/>
          <w:caps w:val="0"/>
          <w:smallCaps w:val="0"/>
          <w:snapToGrid w:val="0"/>
          <w:color w:val="auto"/>
          <w:spacing w:val="0"/>
          <w:w w:val="100"/>
          <w:position w:val="0"/>
          <w:highlight w:val="none"/>
        </w:rPr>
        <w:t>，</w:t>
      </w:r>
      <w:r>
        <w:rPr>
          <w:rFonts w:ascii="Times New Roman" w:hAnsi="Times New Roman" w:cs="Times New Roman" w:eastAsiaTheme="minorEastAsia"/>
          <w:bCs/>
          <w:caps w:val="0"/>
          <w:smallCaps w:val="0"/>
          <w:snapToGrid w:val="0"/>
          <w:color w:val="auto"/>
          <w:spacing w:val="0"/>
          <w:w w:val="100"/>
          <w:position w:val="0"/>
          <w:highlight w:val="none"/>
        </w:rPr>
        <w:t>管线</w:t>
      </w:r>
      <w:r>
        <w:rPr>
          <w:rFonts w:hint="eastAsia" w:ascii="Times New Roman" w:hAnsi="Times New Roman" w:cs="Times New Roman" w:eastAsiaTheme="minorEastAsia"/>
          <w:bCs/>
          <w:caps w:val="0"/>
          <w:smallCaps w:val="0"/>
          <w:snapToGrid w:val="0"/>
          <w:color w:val="auto"/>
          <w:spacing w:val="0"/>
          <w:w w:val="100"/>
          <w:position w:val="0"/>
          <w:highlight w:val="none"/>
        </w:rPr>
        <w:t>直接卸</w:t>
      </w:r>
      <w:r>
        <w:rPr>
          <w:rFonts w:ascii="Times New Roman" w:hAnsi="Times New Roman" w:cs="Times New Roman" w:eastAsiaTheme="minorEastAsia"/>
          <w:bCs/>
          <w:caps w:val="0"/>
          <w:smallCaps w:val="0"/>
          <w:snapToGrid w:val="0"/>
          <w:color w:val="auto"/>
          <w:spacing w:val="0"/>
          <w:w w:val="100"/>
          <w:position w:val="0"/>
          <w:highlight w:val="none"/>
        </w:rPr>
        <w:t>置在</w:t>
      </w:r>
      <w:r>
        <w:rPr>
          <w:rFonts w:hint="eastAsia" w:ascii="Times New Roman" w:hAnsi="Times New Roman" w:cs="Times New Roman" w:eastAsiaTheme="minorEastAsia"/>
          <w:bCs/>
          <w:caps w:val="0"/>
          <w:smallCaps w:val="0"/>
          <w:snapToGrid w:val="0"/>
          <w:color w:val="auto"/>
          <w:spacing w:val="0"/>
          <w:w w:val="100"/>
          <w:position w:val="0"/>
          <w:highlight w:val="none"/>
        </w:rPr>
        <w:t>临时占地</w:t>
      </w:r>
      <w:r>
        <w:rPr>
          <w:rFonts w:ascii="Times New Roman" w:hAnsi="Times New Roman" w:cs="Times New Roman" w:eastAsiaTheme="minorEastAsia"/>
          <w:bCs/>
          <w:caps w:val="0"/>
          <w:smallCaps w:val="0"/>
          <w:snapToGrid w:val="0"/>
          <w:color w:val="auto"/>
          <w:spacing w:val="0"/>
          <w:w w:val="100"/>
          <w:position w:val="0"/>
          <w:highlight w:val="none"/>
        </w:rPr>
        <w:t>边缘</w:t>
      </w:r>
      <w:r>
        <w:rPr>
          <w:rFonts w:hint="eastAsia" w:ascii="Times New Roman" w:hAnsi="Times New Roman" w:cs="Times New Roman" w:eastAsiaTheme="minorEastAsia"/>
          <w:bCs/>
          <w:caps w:val="0"/>
          <w:smallCaps w:val="0"/>
          <w:snapToGrid w:val="0"/>
          <w:color w:val="auto"/>
          <w:spacing w:val="0"/>
          <w:w w:val="100"/>
          <w:position w:val="0"/>
          <w:highlight w:val="none"/>
        </w:rPr>
        <w:t>，敷设</w:t>
      </w:r>
      <w:r>
        <w:rPr>
          <w:rFonts w:ascii="Times New Roman" w:hAnsi="Times New Roman" w:cs="Times New Roman" w:eastAsiaTheme="minorEastAsia"/>
          <w:bCs/>
          <w:caps w:val="0"/>
          <w:smallCaps w:val="0"/>
          <w:snapToGrid w:val="0"/>
          <w:color w:val="auto"/>
          <w:spacing w:val="0"/>
          <w:w w:val="100"/>
          <w:position w:val="0"/>
          <w:highlight w:val="none"/>
        </w:rPr>
        <w:t>时再由</w:t>
      </w:r>
      <w:r>
        <w:rPr>
          <w:rFonts w:hint="eastAsia" w:ascii="Times New Roman" w:hAnsi="Times New Roman" w:cs="Times New Roman" w:eastAsiaTheme="minorEastAsia"/>
          <w:bCs/>
          <w:caps w:val="0"/>
          <w:smallCaps w:val="0"/>
          <w:snapToGrid w:val="0"/>
          <w:color w:val="auto"/>
          <w:spacing w:val="0"/>
          <w:w w:val="100"/>
          <w:position w:val="0"/>
          <w:highlight w:val="none"/>
        </w:rPr>
        <w:t>施工机械</w:t>
      </w:r>
      <w:r>
        <w:rPr>
          <w:rFonts w:ascii="Times New Roman" w:hAnsi="Times New Roman" w:cs="Times New Roman" w:eastAsiaTheme="minorEastAsia"/>
          <w:bCs/>
          <w:caps w:val="0"/>
          <w:smallCaps w:val="0"/>
          <w:snapToGrid w:val="0"/>
          <w:color w:val="auto"/>
          <w:spacing w:val="0"/>
          <w:w w:val="100"/>
          <w:position w:val="0"/>
          <w:highlight w:val="none"/>
        </w:rPr>
        <w:t>具体施工，减少二次转运造成扬尘污染和占地。管线工程表土临时堆放在管沟土方一侧，单独存放，苫盖防尘网并在完工后及时回填。</w:t>
      </w:r>
    </w:p>
    <w:p w14:paraId="25E51368">
      <w:pPr>
        <w:widowControl w:val="0"/>
        <w:autoSpaceDE w:val="0"/>
        <w:autoSpaceDN w:val="0"/>
        <w:spacing w:line="500" w:lineRule="exact"/>
        <w:ind w:firstLine="480" w:firstLineChars="200"/>
        <w:jc w:val="both"/>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pPr>
      <w:r>
        <w:rPr>
          <w:rFonts w:ascii="Times New Roman" w:hAnsi="Times New Roman" w:cs="Times New Roman" w:eastAsiaTheme="minorEastAsia"/>
          <w:bCs/>
          <w:caps w:val="0"/>
          <w:smallCaps w:val="0"/>
          <w:snapToGrid w:val="0"/>
          <w:color w:val="auto"/>
          <w:spacing w:val="0"/>
          <w:w w:val="100"/>
          <w:position w:val="0"/>
          <w:highlight w:val="none"/>
        </w:rPr>
        <w:t>本项目管线施工涉及穿越</w:t>
      </w:r>
      <w:r>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t>公路28</w:t>
      </w:r>
      <w:r>
        <w:rPr>
          <w:rFonts w:ascii="Times New Roman" w:hAnsi="Times New Roman" w:cs="Times New Roman" w:eastAsiaTheme="minorEastAsia"/>
          <w:bCs/>
          <w:caps w:val="0"/>
          <w:smallCaps w:val="0"/>
          <w:snapToGrid w:val="0"/>
          <w:color w:val="auto"/>
          <w:spacing w:val="0"/>
          <w:w w:val="100"/>
          <w:position w:val="0"/>
          <w:highlight w:val="none"/>
        </w:rPr>
        <w:t>处，</w:t>
      </w:r>
      <w:r>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t>其中24处采用定向钻穿越，4处采用钢开穿越。</w:t>
      </w:r>
    </w:p>
    <w:p w14:paraId="47D00341">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定向钻临时施工占地主要包括定向钻施工场地穿越入土点施工场地和出土施工场地，每处定向钻施工占地面积为3000m</w:t>
      </w:r>
      <w:r>
        <w:rPr>
          <w:rFonts w:ascii="Times New Roman" w:hAnsi="Times New Roman" w:cs="Times New Roman" w:eastAsiaTheme="minorEastAsia"/>
          <w:caps w:val="0"/>
          <w:smallCaps w:val="0"/>
          <w:color w:val="auto"/>
          <w:spacing w:val="0"/>
          <w:w w:val="100"/>
          <w:kern w:val="21"/>
          <w:position w:val="0"/>
          <w:highlight w:val="none"/>
          <w:vertAlign w:val="superscript"/>
        </w:rPr>
        <w:t>2</w:t>
      </w:r>
      <w:r>
        <w:rPr>
          <w:rFonts w:ascii="Times New Roman" w:hAnsi="Times New Roman" w:cs="Times New Roman" w:eastAsiaTheme="minorEastAsia"/>
          <w:caps w:val="0"/>
          <w:smallCaps w:val="0"/>
          <w:color w:val="auto"/>
          <w:spacing w:val="0"/>
          <w:w w:val="100"/>
          <w:kern w:val="21"/>
          <w:position w:val="0"/>
          <w:highlight w:val="none"/>
        </w:rPr>
        <w:t>（出入点各1500m</w:t>
      </w:r>
      <w:r>
        <w:rPr>
          <w:rFonts w:ascii="Times New Roman" w:hAnsi="Times New Roman" w:cs="Times New Roman" w:eastAsiaTheme="minorEastAsia"/>
          <w:caps w:val="0"/>
          <w:smallCaps w:val="0"/>
          <w:color w:val="auto"/>
          <w:spacing w:val="0"/>
          <w:w w:val="100"/>
          <w:kern w:val="21"/>
          <w:position w:val="0"/>
          <w:highlight w:val="none"/>
          <w:vertAlign w:val="superscript"/>
        </w:rPr>
        <w:t>2</w:t>
      </w:r>
      <w:r>
        <w:rPr>
          <w:rFonts w:ascii="Times New Roman" w:hAnsi="Times New Roman" w:cs="Times New Roman" w:eastAsiaTheme="minorEastAsia"/>
          <w:caps w:val="0"/>
          <w:smallCaps w:val="0"/>
          <w:color w:val="auto"/>
          <w:spacing w:val="0"/>
          <w:w w:val="100"/>
          <w:kern w:val="21"/>
          <w:position w:val="0"/>
          <w:highlight w:val="none"/>
        </w:rPr>
        <w:t>，每处50m×30m），考虑本项目管线施工时已计算相应的临时占地面积，则每处定向钻施工占地面积为2400m</w:t>
      </w:r>
      <w:r>
        <w:rPr>
          <w:rFonts w:ascii="Times New Roman" w:hAnsi="Times New Roman" w:cs="Times New Roman" w:eastAsiaTheme="minorEastAsia"/>
          <w:caps w:val="0"/>
          <w:smallCaps w:val="0"/>
          <w:color w:val="auto"/>
          <w:spacing w:val="0"/>
          <w:w w:val="100"/>
          <w:kern w:val="21"/>
          <w:position w:val="0"/>
          <w:highlight w:val="none"/>
          <w:vertAlign w:val="superscript"/>
        </w:rPr>
        <w:t>2</w:t>
      </w:r>
      <w:r>
        <w:rPr>
          <w:rFonts w:ascii="Times New Roman" w:hAnsi="Times New Roman" w:cs="Times New Roman" w:eastAsiaTheme="minorEastAsia"/>
          <w:caps w:val="0"/>
          <w:smallCaps w:val="0"/>
          <w:color w:val="auto"/>
          <w:spacing w:val="0"/>
          <w:w w:val="100"/>
          <w:kern w:val="21"/>
          <w:position w:val="0"/>
          <w:highlight w:val="none"/>
        </w:rPr>
        <w:t>（出入点每处1500m</w:t>
      </w:r>
      <w:r>
        <w:rPr>
          <w:rFonts w:ascii="Times New Roman" w:hAnsi="Times New Roman" w:cs="Times New Roman" w:eastAsiaTheme="minorEastAsia"/>
          <w:caps w:val="0"/>
          <w:smallCaps w:val="0"/>
          <w:color w:val="auto"/>
          <w:spacing w:val="0"/>
          <w:w w:val="100"/>
          <w:kern w:val="21"/>
          <w:position w:val="0"/>
          <w:highlight w:val="none"/>
          <w:vertAlign w:val="superscript"/>
        </w:rPr>
        <w:t>2</w:t>
      </w:r>
      <w:r>
        <w:rPr>
          <w:rFonts w:ascii="Times New Roman" w:hAnsi="Times New Roman" w:cs="Times New Roman" w:eastAsiaTheme="minorEastAsia"/>
          <w:caps w:val="0"/>
          <w:smallCaps w:val="0"/>
          <w:color w:val="auto"/>
          <w:spacing w:val="0"/>
          <w:w w:val="100"/>
          <w:kern w:val="21"/>
          <w:position w:val="0"/>
          <w:highlight w:val="none"/>
        </w:rPr>
        <w:t>-30m管线的临时占地面积300m</w:t>
      </w:r>
      <w:r>
        <w:rPr>
          <w:rFonts w:ascii="Times New Roman" w:hAnsi="Times New Roman" w:cs="Times New Roman" w:eastAsiaTheme="minorEastAsia"/>
          <w:caps w:val="0"/>
          <w:smallCaps w:val="0"/>
          <w:color w:val="auto"/>
          <w:spacing w:val="0"/>
          <w:w w:val="100"/>
          <w:kern w:val="21"/>
          <w:position w:val="0"/>
          <w:highlight w:val="none"/>
          <w:vertAlign w:val="superscript"/>
        </w:rPr>
        <w:t>2</w:t>
      </w:r>
      <w:r>
        <w:rPr>
          <w:rFonts w:ascii="Times New Roman" w:hAnsi="Times New Roman" w:cs="Times New Roman" w:eastAsiaTheme="minorEastAsia"/>
          <w:caps w:val="0"/>
          <w:smallCaps w:val="0"/>
          <w:color w:val="auto"/>
          <w:spacing w:val="0"/>
          <w:w w:val="100"/>
          <w:kern w:val="21"/>
          <w:position w:val="0"/>
          <w:highlight w:val="none"/>
        </w:rPr>
        <w:t>）。</w:t>
      </w:r>
    </w:p>
    <w:p w14:paraId="148EC4FB">
      <w:pPr>
        <w:widowControl w:val="0"/>
        <w:autoSpaceDE w:val="0"/>
        <w:autoSpaceDN w:val="0"/>
        <w:spacing w:line="500" w:lineRule="exact"/>
        <w:ind w:firstLine="480" w:firstLineChars="200"/>
        <w:jc w:val="both"/>
        <w:rPr>
          <w:rFonts w:ascii="Times New Roman" w:hAnsi="Times New Roman" w:cs="Times New Roman" w:eastAsiaTheme="minorEastAsia"/>
          <w:bCs/>
          <w:caps w:val="0"/>
          <w:smallCaps w:val="0"/>
          <w:snapToGrid w:val="0"/>
          <w:color w:val="auto"/>
          <w:spacing w:val="0"/>
          <w:w w:val="100"/>
          <w:position w:val="0"/>
          <w:highlight w:val="none"/>
        </w:rPr>
      </w:pPr>
      <w:r>
        <w:rPr>
          <w:rFonts w:hint="eastAsia" w:ascii="Times New Roman" w:hAnsi="Times New Roman" w:cs="Times New Roman" w:eastAsiaTheme="minorEastAsia"/>
          <w:caps w:val="0"/>
          <w:smallCaps w:val="0"/>
          <w:color w:val="auto"/>
          <w:spacing w:val="0"/>
          <w:w w:val="100"/>
          <w:kern w:val="21"/>
          <w:position w:val="0"/>
          <w:highlight w:val="none"/>
          <w:lang w:val="en-US" w:eastAsia="zh-CN"/>
        </w:rPr>
        <w:t>钢开穿越均在管线施工的临时占地范围内进行，不新增临时占地。</w:t>
      </w:r>
    </w:p>
    <w:p w14:paraId="27FB893C">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snapToGrid w:val="0"/>
          <w:color w:val="auto"/>
          <w:spacing w:val="0"/>
          <w:w w:val="100"/>
          <w:position w:val="0"/>
          <w:highlight w:val="none"/>
        </w:rPr>
      </w:pPr>
      <w:r>
        <w:rPr>
          <w:rFonts w:ascii="Times New Roman" w:hAnsi="Times New Roman" w:cs="Times New Roman" w:eastAsiaTheme="minorEastAsia"/>
          <w:bCs/>
          <w:caps w:val="0"/>
          <w:smallCaps w:val="0"/>
          <w:snapToGrid w:val="0"/>
          <w:color w:val="auto"/>
          <w:spacing w:val="0"/>
          <w:w w:val="100"/>
          <w:position w:val="0"/>
          <w:highlight w:val="none"/>
        </w:rPr>
        <w:t>本项目施工</w:t>
      </w:r>
      <w:r>
        <w:rPr>
          <w:rFonts w:hint="eastAsia" w:ascii="Times New Roman" w:hAnsi="Times New Roman" w:cs="Times New Roman" w:eastAsiaTheme="minorEastAsia"/>
          <w:bCs/>
          <w:caps w:val="0"/>
          <w:smallCaps w:val="0"/>
          <w:snapToGrid w:val="0"/>
          <w:color w:val="auto"/>
          <w:spacing w:val="0"/>
          <w:w w:val="100"/>
          <w:position w:val="0"/>
          <w:highlight w:val="none"/>
        </w:rPr>
        <w:t>总平面布置图见附图</w:t>
      </w:r>
      <w:r>
        <w:rPr>
          <w:rFonts w:ascii="Times New Roman" w:hAnsi="Times New Roman" w:cs="Times New Roman" w:eastAsiaTheme="minorEastAsia"/>
          <w:bCs/>
          <w:caps w:val="0"/>
          <w:smallCaps w:val="0"/>
          <w:snapToGrid w:val="0"/>
          <w:color w:val="auto"/>
          <w:spacing w:val="0"/>
          <w:w w:val="100"/>
          <w:position w:val="0"/>
          <w:highlight w:val="none"/>
        </w:rPr>
        <w:t>5。</w:t>
      </w:r>
    </w:p>
    <w:bookmarkEnd w:id="468"/>
    <w:bookmarkEnd w:id="469"/>
    <w:bookmarkEnd w:id="470"/>
    <w:bookmarkEnd w:id="471"/>
    <w:bookmarkEnd w:id="472"/>
    <w:p w14:paraId="45977F6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position w:val="0"/>
          <w:highlight w:val="none"/>
        </w:rPr>
        <w:t>根据《2020年国家重要湿地名录》、《黑龙江省湿地名录》（2022年），本项目不占用重要湿地、一般湿地，根据现场勘查，本项目占地类型为</w:t>
      </w:r>
      <w:r>
        <w:rPr>
          <w:rFonts w:hint="eastAsia" w:ascii="Times New Roman" w:hAnsi="Times New Roman" w:cs="Times New Roman"/>
          <w:bCs/>
          <w:caps w:val="0"/>
          <w:smallCaps w:val="0"/>
          <w:color w:val="auto"/>
          <w:spacing w:val="0"/>
          <w:w w:val="100"/>
          <w:position w:val="0"/>
          <w:highlight w:val="none"/>
          <w:lang w:val="en-US" w:eastAsia="zh-CN"/>
        </w:rPr>
        <w:t>耕地（基本农田）和</w:t>
      </w:r>
      <w:r>
        <w:rPr>
          <w:rFonts w:ascii="Times New Roman" w:hAnsi="Times New Roman" w:cs="Times New Roman"/>
          <w:bCs/>
          <w:caps w:val="0"/>
          <w:smallCaps w:val="0"/>
          <w:color w:val="auto"/>
          <w:spacing w:val="0"/>
          <w:w w:val="100"/>
          <w:position w:val="0"/>
          <w:highlight w:val="none"/>
        </w:rPr>
        <w:t>草地（非基本草原）。</w:t>
      </w:r>
    </w:p>
    <w:p w14:paraId="2BA58D10">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kern w:val="21"/>
          <w:position w:val="0"/>
          <w:highlight w:val="none"/>
        </w:rPr>
        <w:t>本项目占地情况见表3.5-1。</w:t>
      </w:r>
    </w:p>
    <w:p w14:paraId="2B4A44F9">
      <w:pPr>
        <w:widowControl w:val="0"/>
        <w:snapToGrid w:val="0"/>
        <w:spacing w:line="440" w:lineRule="exact"/>
        <w:ind w:firstLine="482" w:firstLineChars="200"/>
        <w:jc w:val="both"/>
        <w:rPr>
          <w:rFonts w:ascii="Times New Roman" w:hAnsi="Times New Roman" w:cs="Times New Roman"/>
          <w:b/>
          <w:bCs/>
          <w:caps w:val="0"/>
          <w:smallCaps w:val="0"/>
          <w:color w:val="auto"/>
          <w:spacing w:val="0"/>
          <w:w w:val="100"/>
          <w:position w:val="0"/>
          <w:highlight w:val="none"/>
        </w:rPr>
      </w:pPr>
      <w:r>
        <w:rPr>
          <w:rFonts w:ascii="Times New Roman" w:hAnsi="Times New Roman" w:cs="Times New Roman"/>
          <w:b/>
          <w:bCs/>
          <w:caps w:val="0"/>
          <w:smallCaps w:val="0"/>
          <w:color w:val="auto"/>
          <w:spacing w:val="0"/>
          <w:w w:val="100"/>
          <w:kern w:val="21"/>
          <w:position w:val="0"/>
          <w:highlight w:val="none"/>
        </w:rPr>
        <w:t>表3.5-1</w:t>
      </w:r>
      <w:r>
        <w:rPr>
          <w:rFonts w:ascii="Times New Roman" w:hAnsi="Times New Roman" w:cs="Times New Roman"/>
          <w:b/>
          <w:bCs/>
          <w:caps w:val="0"/>
          <w:smallCaps w:val="0"/>
          <w:color w:val="auto"/>
          <w:spacing w:val="0"/>
          <w:w w:val="100"/>
          <w:kern w:val="2"/>
          <w:position w:val="0"/>
          <w:highlight w:val="none"/>
        </w:rPr>
        <w:t xml:space="preserve">    本项目新增占地类型及面积表    单位：hm</w:t>
      </w:r>
      <w:r>
        <w:rPr>
          <w:rFonts w:ascii="Times New Roman" w:hAnsi="Times New Roman" w:cs="Times New Roman"/>
          <w:b/>
          <w:bCs/>
          <w:caps w:val="0"/>
          <w:smallCaps w:val="0"/>
          <w:color w:val="auto"/>
          <w:spacing w:val="0"/>
          <w:w w:val="100"/>
          <w:kern w:val="2"/>
          <w:position w:val="0"/>
          <w:highlight w:val="none"/>
          <w:vertAlign w:val="superscript"/>
        </w:rPr>
        <w:t>2</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2683"/>
        <w:gridCol w:w="3108"/>
        <w:gridCol w:w="3108"/>
      </w:tblGrid>
      <w:tr w14:paraId="099A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9" w:type="pct"/>
            <w:vMerge w:val="restart"/>
            <w:vAlign w:val="center"/>
          </w:tcPr>
          <w:p w14:paraId="0381D699">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序号</w:t>
            </w:r>
          </w:p>
        </w:tc>
        <w:tc>
          <w:tcPr>
            <w:tcW w:w="1407" w:type="pct"/>
            <w:vMerge w:val="restart"/>
            <w:vAlign w:val="center"/>
          </w:tcPr>
          <w:p w14:paraId="37832AA2">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建设内容</w:t>
            </w:r>
          </w:p>
        </w:tc>
        <w:tc>
          <w:tcPr>
            <w:tcW w:w="3262" w:type="pct"/>
            <w:gridSpan w:val="2"/>
          </w:tcPr>
          <w:p w14:paraId="56541E0C">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新增临时占地（hm</w:t>
            </w:r>
            <w:r>
              <w:rPr>
                <w:rFonts w:ascii="Times New Roman" w:hAnsi="Times New Roman" w:cs="Times New Roman"/>
                <w:caps w:val="0"/>
                <w:smallCaps w:val="0"/>
                <w:color w:val="auto"/>
                <w:spacing w:val="0"/>
                <w:w w:val="100"/>
                <w:position w:val="0"/>
                <w:sz w:val="21"/>
                <w:szCs w:val="21"/>
                <w:highlight w:val="none"/>
                <w:vertAlign w:val="superscript"/>
              </w:rPr>
              <w:t>2</w:t>
            </w:r>
            <w:r>
              <w:rPr>
                <w:rFonts w:ascii="Times New Roman" w:hAnsi="Times New Roman" w:cs="Times New Roman"/>
                <w:caps w:val="0"/>
                <w:smallCaps w:val="0"/>
                <w:color w:val="auto"/>
                <w:spacing w:val="0"/>
                <w:w w:val="100"/>
                <w:position w:val="0"/>
                <w:sz w:val="21"/>
                <w:szCs w:val="21"/>
                <w:highlight w:val="none"/>
              </w:rPr>
              <w:t>）</w:t>
            </w:r>
          </w:p>
        </w:tc>
      </w:tr>
      <w:tr w14:paraId="3FDC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9" w:type="pct"/>
            <w:vMerge w:val="continue"/>
            <w:vAlign w:val="center"/>
          </w:tcPr>
          <w:p w14:paraId="135882A7">
            <w:pPr>
              <w:spacing w:line="360" w:lineRule="exact"/>
              <w:jc w:val="center"/>
              <w:rPr>
                <w:rFonts w:ascii="Times New Roman" w:hAnsi="Times New Roman" w:cs="Times New Roman"/>
                <w:caps w:val="0"/>
                <w:smallCaps w:val="0"/>
                <w:color w:val="auto"/>
                <w:spacing w:val="0"/>
                <w:w w:val="100"/>
                <w:position w:val="0"/>
                <w:sz w:val="21"/>
                <w:szCs w:val="21"/>
                <w:highlight w:val="none"/>
              </w:rPr>
            </w:pPr>
          </w:p>
        </w:tc>
        <w:tc>
          <w:tcPr>
            <w:tcW w:w="1407" w:type="pct"/>
            <w:vMerge w:val="continue"/>
            <w:vAlign w:val="center"/>
          </w:tcPr>
          <w:p w14:paraId="240196BD">
            <w:pPr>
              <w:spacing w:line="360" w:lineRule="exact"/>
              <w:jc w:val="center"/>
              <w:rPr>
                <w:rFonts w:ascii="Times New Roman" w:hAnsi="Times New Roman" w:cs="Times New Roman"/>
                <w:caps w:val="0"/>
                <w:smallCaps w:val="0"/>
                <w:color w:val="auto"/>
                <w:spacing w:val="0"/>
                <w:w w:val="100"/>
                <w:position w:val="0"/>
                <w:sz w:val="21"/>
                <w:szCs w:val="21"/>
                <w:highlight w:val="none"/>
              </w:rPr>
            </w:pPr>
          </w:p>
        </w:tc>
        <w:tc>
          <w:tcPr>
            <w:tcW w:w="1631" w:type="pct"/>
          </w:tcPr>
          <w:p w14:paraId="42D6765E">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草地（非基本草原）</w:t>
            </w:r>
          </w:p>
        </w:tc>
        <w:tc>
          <w:tcPr>
            <w:tcW w:w="1631" w:type="pct"/>
          </w:tcPr>
          <w:p w14:paraId="294DA7D1">
            <w:pPr>
              <w:spacing w:line="360" w:lineRule="exact"/>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耕地（基本农田）</w:t>
            </w:r>
          </w:p>
        </w:tc>
      </w:tr>
      <w:tr w14:paraId="2E9B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9" w:type="pct"/>
            <w:vAlign w:val="center"/>
          </w:tcPr>
          <w:p w14:paraId="52896B1E">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w:t>
            </w:r>
          </w:p>
        </w:tc>
        <w:tc>
          <w:tcPr>
            <w:tcW w:w="1407" w:type="pct"/>
            <w:vAlign w:val="center"/>
          </w:tcPr>
          <w:p w14:paraId="00AC8974">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bCs/>
                <w:caps w:val="0"/>
                <w:smallCaps w:val="0"/>
                <w:color w:val="auto"/>
                <w:spacing w:val="0"/>
                <w:w w:val="100"/>
                <w:position w:val="0"/>
                <w:sz w:val="21"/>
                <w:szCs w:val="21"/>
                <w:highlight w:val="none"/>
              </w:rPr>
              <w:t>新建</w:t>
            </w:r>
            <w:r>
              <w:rPr>
                <w:rFonts w:ascii="Times New Roman" w:hAnsi="Times New Roman" w:cs="Times New Roman"/>
                <w:bCs/>
                <w:caps w:val="0"/>
                <w:smallCaps w:val="0"/>
                <w:color w:val="auto"/>
                <w:spacing w:val="0"/>
                <w:w w:val="100"/>
                <w:position w:val="0"/>
                <w:sz w:val="21"/>
                <w:szCs w:val="21"/>
                <w:highlight w:val="none"/>
              </w:rPr>
              <w:t>管线施工</w:t>
            </w:r>
          </w:p>
        </w:tc>
        <w:tc>
          <w:tcPr>
            <w:tcW w:w="1631" w:type="pct"/>
          </w:tcPr>
          <w:p w14:paraId="6A83F95A">
            <w:pPr>
              <w:spacing w:line="360" w:lineRule="exact"/>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3.77</w:t>
            </w:r>
          </w:p>
        </w:tc>
        <w:tc>
          <w:tcPr>
            <w:tcW w:w="1631" w:type="pct"/>
          </w:tcPr>
          <w:p w14:paraId="48CF206F">
            <w:pPr>
              <w:spacing w:line="360" w:lineRule="exact"/>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12.35</w:t>
            </w:r>
          </w:p>
        </w:tc>
      </w:tr>
      <w:tr w14:paraId="239E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9" w:type="pct"/>
            <w:vAlign w:val="center"/>
          </w:tcPr>
          <w:p w14:paraId="5FBED074">
            <w:pPr>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2</w:t>
            </w:r>
          </w:p>
        </w:tc>
        <w:tc>
          <w:tcPr>
            <w:tcW w:w="1407" w:type="pct"/>
            <w:vAlign w:val="center"/>
          </w:tcPr>
          <w:p w14:paraId="7D355999">
            <w:pPr>
              <w:spacing w:line="36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顶管施工</w:t>
            </w:r>
          </w:p>
        </w:tc>
        <w:tc>
          <w:tcPr>
            <w:tcW w:w="1631" w:type="pct"/>
          </w:tcPr>
          <w:p w14:paraId="4DE3EF8F">
            <w:pPr>
              <w:spacing w:line="360" w:lineRule="exact"/>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1.15</w:t>
            </w:r>
          </w:p>
        </w:tc>
        <w:tc>
          <w:tcPr>
            <w:tcW w:w="1631" w:type="pct"/>
          </w:tcPr>
          <w:p w14:paraId="60193F12">
            <w:pPr>
              <w:spacing w:line="360" w:lineRule="exact"/>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4.61</w:t>
            </w:r>
          </w:p>
        </w:tc>
      </w:tr>
      <w:tr w14:paraId="07CD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7" w:type="pct"/>
            <w:gridSpan w:val="2"/>
            <w:vAlign w:val="center"/>
          </w:tcPr>
          <w:p w14:paraId="391E949B">
            <w:pPr>
              <w:spacing w:line="360" w:lineRule="exact"/>
              <w:jc w:val="center"/>
              <w:rPr>
                <w:rFonts w:ascii="Times New Roman" w:hAnsi="Times New Roman" w:cs="Times New Roman"/>
                <w:bCs/>
                <w:caps w:val="0"/>
                <w:smallCaps w:val="0"/>
                <w:color w:val="auto"/>
                <w:spacing w:val="0"/>
                <w:w w:val="100"/>
                <w:position w:val="0"/>
                <w:sz w:val="21"/>
                <w:szCs w:val="21"/>
                <w:highlight w:val="none"/>
              </w:rPr>
            </w:pPr>
            <w:r>
              <w:rPr>
                <w:rFonts w:ascii="Times New Roman" w:hAnsi="Times New Roman" w:cs="Times New Roman"/>
                <w:bCs/>
                <w:caps w:val="0"/>
                <w:smallCaps w:val="0"/>
                <w:color w:val="auto"/>
                <w:spacing w:val="0"/>
                <w:w w:val="100"/>
                <w:position w:val="0"/>
                <w:sz w:val="21"/>
                <w:szCs w:val="21"/>
                <w:highlight w:val="none"/>
              </w:rPr>
              <w:t>合计</w:t>
            </w:r>
          </w:p>
        </w:tc>
        <w:tc>
          <w:tcPr>
            <w:tcW w:w="1631" w:type="pct"/>
          </w:tcPr>
          <w:p w14:paraId="2709ED34">
            <w:pPr>
              <w:spacing w:line="360" w:lineRule="exact"/>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4.92</w:t>
            </w:r>
          </w:p>
        </w:tc>
        <w:tc>
          <w:tcPr>
            <w:tcW w:w="1631" w:type="pct"/>
          </w:tcPr>
          <w:p w14:paraId="51AE655B">
            <w:pPr>
              <w:spacing w:line="360" w:lineRule="exact"/>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16.96</w:t>
            </w:r>
          </w:p>
        </w:tc>
      </w:tr>
      <w:tr w14:paraId="5E29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7" w:type="pct"/>
            <w:gridSpan w:val="2"/>
            <w:vAlign w:val="center"/>
          </w:tcPr>
          <w:p w14:paraId="6A5DA70F">
            <w:pPr>
              <w:spacing w:line="360" w:lineRule="exact"/>
              <w:jc w:val="center"/>
              <w:rPr>
                <w:rFonts w:hint="eastAsia" w:ascii="Times New Roman" w:hAnsi="Times New Roman" w:eastAsia="宋体" w:cs="Times New Roman"/>
                <w:bCs/>
                <w:caps w:val="0"/>
                <w:smallCaps w:val="0"/>
                <w:color w:val="auto"/>
                <w:spacing w:val="0"/>
                <w:w w:val="100"/>
                <w:position w:val="0"/>
                <w:sz w:val="21"/>
                <w:szCs w:val="21"/>
                <w:highlight w:val="none"/>
                <w:lang w:val="en-US" w:eastAsia="zh-CN"/>
              </w:rPr>
            </w:pPr>
            <w:r>
              <w:rPr>
                <w:rFonts w:hint="eastAsia" w:ascii="Times New Roman" w:hAnsi="Times New Roman" w:cs="Times New Roman"/>
                <w:bCs/>
                <w:caps w:val="0"/>
                <w:smallCaps w:val="0"/>
                <w:color w:val="auto"/>
                <w:spacing w:val="0"/>
                <w:w w:val="100"/>
                <w:position w:val="0"/>
                <w:sz w:val="21"/>
                <w:szCs w:val="21"/>
                <w:highlight w:val="none"/>
                <w:lang w:val="en-US" w:eastAsia="zh-CN"/>
              </w:rPr>
              <w:t>总计</w:t>
            </w:r>
          </w:p>
        </w:tc>
        <w:tc>
          <w:tcPr>
            <w:tcW w:w="3262" w:type="pct"/>
            <w:gridSpan w:val="2"/>
          </w:tcPr>
          <w:p w14:paraId="0BA6F724">
            <w:pPr>
              <w:spacing w:line="360" w:lineRule="exact"/>
              <w:jc w:val="center"/>
              <w:rPr>
                <w:rFonts w:hint="default" w:ascii="Times New Roman" w:hAnsi="Times New Roman"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21.88</w:t>
            </w:r>
          </w:p>
        </w:tc>
      </w:tr>
    </w:tbl>
    <w:p w14:paraId="209EC71B">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kern w:val="21"/>
          <w:position w:val="0"/>
          <w:highlight w:val="none"/>
        </w:rPr>
        <w:t>由上表可知，本项目总占地面积为</w:t>
      </w:r>
      <w:r>
        <w:rPr>
          <w:rFonts w:hint="eastAsia" w:ascii="Times New Roman" w:hAnsi="Times New Roman" w:cs="Times New Roman"/>
          <w:caps w:val="0"/>
          <w:smallCaps w:val="0"/>
          <w:color w:val="auto"/>
          <w:spacing w:val="0"/>
          <w:w w:val="100"/>
          <w:kern w:val="21"/>
          <w:position w:val="0"/>
          <w:highlight w:val="none"/>
          <w:lang w:val="en-US" w:eastAsia="zh-CN"/>
        </w:rPr>
        <w:t>21.88</w:t>
      </w:r>
      <w:r>
        <w:rPr>
          <w:rFonts w:ascii="Times New Roman" w:hAnsi="Times New Roman" w:cs="Times New Roman"/>
          <w:caps w:val="0"/>
          <w:smallCaps w:val="0"/>
          <w:color w:val="auto"/>
          <w:spacing w:val="0"/>
          <w:w w:val="100"/>
          <w:kern w:val="21"/>
          <w:position w:val="0"/>
          <w:highlight w:val="none"/>
        </w:rPr>
        <w:t>hm</w:t>
      </w:r>
      <w:r>
        <w:rPr>
          <w:rFonts w:ascii="Times New Roman" w:hAnsi="Times New Roman" w:cs="Times New Roman"/>
          <w:caps w:val="0"/>
          <w:smallCaps w:val="0"/>
          <w:color w:val="auto"/>
          <w:spacing w:val="0"/>
          <w:w w:val="100"/>
          <w:kern w:val="21"/>
          <w:position w:val="0"/>
          <w:highlight w:val="none"/>
          <w:vertAlign w:val="superscript"/>
        </w:rPr>
        <w:t>2</w:t>
      </w:r>
      <w:r>
        <w:rPr>
          <w:rFonts w:ascii="Times New Roman" w:hAnsi="Times New Roman" w:cs="Times New Roman"/>
          <w:caps w:val="0"/>
          <w:smallCaps w:val="0"/>
          <w:color w:val="auto"/>
          <w:spacing w:val="0"/>
          <w:w w:val="100"/>
          <w:kern w:val="21"/>
          <w:position w:val="0"/>
          <w:highlight w:val="none"/>
        </w:rPr>
        <w:t>，均为临时占地，占地类型为</w:t>
      </w:r>
      <w:r>
        <w:rPr>
          <w:rFonts w:ascii="Times New Roman" w:hAnsi="Times New Roman" w:cs="Times New Roman"/>
          <w:bCs/>
          <w:caps w:val="0"/>
          <w:smallCaps w:val="0"/>
          <w:color w:val="auto"/>
          <w:spacing w:val="0"/>
          <w:w w:val="100"/>
          <w:kern w:val="21"/>
          <w:position w:val="0"/>
          <w:highlight w:val="none"/>
        </w:rPr>
        <w:t>草地（非基本草原）</w:t>
      </w:r>
      <w:r>
        <w:rPr>
          <w:rFonts w:hint="eastAsia" w:ascii="Times New Roman" w:hAnsi="Times New Roman" w:cs="Times New Roman"/>
          <w:bCs/>
          <w:caps w:val="0"/>
          <w:smallCaps w:val="0"/>
          <w:color w:val="auto"/>
          <w:spacing w:val="0"/>
          <w:w w:val="100"/>
          <w:kern w:val="21"/>
          <w:position w:val="0"/>
          <w:highlight w:val="none"/>
          <w:lang w:val="en-US" w:eastAsia="zh-CN"/>
        </w:rPr>
        <w:t>和耕地（基本农田）</w:t>
      </w:r>
      <w:r>
        <w:rPr>
          <w:rFonts w:ascii="Times New Roman" w:hAnsi="Times New Roman" w:cs="Times New Roman"/>
          <w:caps w:val="0"/>
          <w:smallCaps w:val="0"/>
          <w:color w:val="auto"/>
          <w:spacing w:val="0"/>
          <w:w w:val="100"/>
          <w:position w:val="0"/>
          <w:highlight w:val="none"/>
        </w:rPr>
        <w:t>。</w:t>
      </w:r>
    </w:p>
    <w:p w14:paraId="59611067">
      <w:pPr>
        <w:pStyle w:val="6"/>
        <w:widowControl w:val="0"/>
        <w:spacing w:before="60" w:after="60"/>
        <w:jc w:val="both"/>
        <w:rPr>
          <w:rFonts w:eastAsiaTheme="minorEastAsia"/>
          <w:b/>
          <w:caps w:val="0"/>
          <w:smallCaps w:val="0"/>
          <w:color w:val="auto"/>
          <w:spacing w:val="0"/>
          <w:w w:val="100"/>
          <w:kern w:val="2"/>
          <w:position w:val="0"/>
          <w:sz w:val="24"/>
          <w:szCs w:val="24"/>
          <w:highlight w:val="none"/>
        </w:rPr>
      </w:pPr>
      <w:bookmarkStart w:id="473" w:name="_Toc61597228"/>
      <w:bookmarkStart w:id="474" w:name="_Toc70050183"/>
      <w:bookmarkStart w:id="475" w:name="_Toc85640758"/>
      <w:bookmarkStart w:id="476" w:name="_Toc110438480"/>
      <w:bookmarkStart w:id="477" w:name="_Toc80588261"/>
      <w:bookmarkStart w:id="478" w:name="_Toc84929234"/>
      <w:bookmarkStart w:id="479" w:name="_Toc76976248"/>
      <w:bookmarkStart w:id="480" w:name="_Toc77067664"/>
      <w:bookmarkStart w:id="481" w:name="_Toc83209478"/>
      <w:bookmarkStart w:id="482" w:name="_Toc86141937"/>
      <w:bookmarkStart w:id="483" w:name="_Toc67860136"/>
      <w:bookmarkStart w:id="484" w:name="_Toc80971383"/>
      <w:bookmarkStart w:id="485" w:name="_Toc78816466"/>
      <w:r>
        <w:rPr>
          <w:rFonts w:eastAsiaTheme="minorEastAsia"/>
          <w:b/>
          <w:caps w:val="0"/>
          <w:smallCaps w:val="0"/>
          <w:color w:val="auto"/>
          <w:spacing w:val="0"/>
          <w:w w:val="100"/>
          <w:kern w:val="2"/>
          <w:position w:val="0"/>
          <w:sz w:val="24"/>
          <w:szCs w:val="24"/>
          <w:highlight w:val="none"/>
        </w:rPr>
        <w:t>3.5.3土石方平衡</w:t>
      </w:r>
      <w:bookmarkEnd w:id="473"/>
      <w:bookmarkEnd w:id="474"/>
      <w:bookmarkEnd w:id="475"/>
      <w:bookmarkEnd w:id="476"/>
      <w:bookmarkEnd w:id="477"/>
      <w:bookmarkEnd w:id="478"/>
      <w:bookmarkEnd w:id="479"/>
      <w:bookmarkEnd w:id="480"/>
      <w:bookmarkEnd w:id="481"/>
      <w:bookmarkEnd w:id="482"/>
      <w:bookmarkEnd w:id="483"/>
      <w:bookmarkEnd w:id="484"/>
      <w:bookmarkEnd w:id="485"/>
    </w:p>
    <w:p w14:paraId="3F479CC2">
      <w:pPr>
        <w:spacing w:line="440" w:lineRule="exact"/>
        <w:ind w:firstLine="482"/>
        <w:jc w:val="both"/>
        <w:rPr>
          <w:rFonts w:hint="eastAsia" w:ascii="Times New Roman" w:hAnsi="Times New Roman" w:cs="Times New Roman"/>
          <w:bCs/>
          <w:caps w:val="0"/>
          <w:smallCaps w:val="0"/>
          <w:color w:val="auto"/>
          <w:spacing w:val="0"/>
          <w:w w:val="100"/>
          <w:position w:val="0"/>
          <w:szCs w:val="20"/>
          <w:highlight w:val="none"/>
          <w:lang w:val="en-US" w:bidi="zh-CN"/>
        </w:rPr>
      </w:pPr>
      <w:r>
        <w:rPr>
          <w:rFonts w:ascii="Times New Roman" w:hAnsi="Times New Roman" w:cs="Times New Roman"/>
          <w:bCs/>
          <w:caps w:val="0"/>
          <w:smallCaps w:val="0"/>
          <w:color w:val="auto"/>
          <w:spacing w:val="0"/>
          <w:w w:val="100"/>
          <w:position w:val="0"/>
          <w:szCs w:val="20"/>
          <w:highlight w:val="none"/>
          <w:lang w:bidi="zh-CN"/>
        </w:rPr>
        <w:t>本项目</w:t>
      </w:r>
      <w:r>
        <w:rPr>
          <w:rFonts w:hint="eastAsia" w:ascii="Times New Roman" w:hAnsi="Times New Roman" w:cs="Times New Roman"/>
          <w:bCs/>
          <w:caps w:val="0"/>
          <w:smallCaps w:val="0"/>
          <w:color w:val="auto"/>
          <w:spacing w:val="0"/>
          <w:w w:val="100"/>
          <w:position w:val="0"/>
          <w:szCs w:val="20"/>
          <w:highlight w:val="none"/>
          <w:lang w:bidi="zh-CN"/>
        </w:rPr>
        <w:t>开工前由</w:t>
      </w:r>
      <w:r>
        <w:rPr>
          <w:rFonts w:hint="eastAsia" w:ascii="Times New Roman" w:hAnsi="Times New Roman" w:cs="Times New Roman"/>
          <w:bCs/>
          <w:caps w:val="0"/>
          <w:smallCaps w:val="0"/>
          <w:color w:val="auto"/>
          <w:spacing w:val="0"/>
          <w:w w:val="100"/>
          <w:position w:val="0"/>
          <w:szCs w:val="20"/>
          <w:highlight w:val="none"/>
          <w:lang w:val="en-US" w:bidi="zh-CN"/>
        </w:rPr>
        <w:t>第十一采油厂</w:t>
      </w:r>
      <w:r>
        <w:rPr>
          <w:rFonts w:hint="eastAsia" w:ascii="Times New Roman" w:hAnsi="Times New Roman" w:cs="Times New Roman"/>
          <w:bCs/>
          <w:caps w:val="0"/>
          <w:smallCaps w:val="0"/>
          <w:color w:val="auto"/>
          <w:spacing w:val="0"/>
          <w:w w:val="100"/>
          <w:position w:val="0"/>
          <w:szCs w:val="20"/>
          <w:highlight w:val="none"/>
          <w:lang w:bidi="zh-CN"/>
        </w:rPr>
        <w:t>编制表土剥离利用方案，</w:t>
      </w:r>
      <w:r>
        <w:rPr>
          <w:rFonts w:hint="eastAsia" w:ascii="Times New Roman" w:hAnsi="Times New Roman" w:cs="Times New Roman"/>
          <w:bCs/>
          <w:iCs/>
          <w:caps w:val="0"/>
          <w:smallCaps w:val="0"/>
          <w:color w:val="auto"/>
          <w:spacing w:val="0"/>
          <w:w w:val="100"/>
          <w:position w:val="0"/>
          <w:szCs w:val="20"/>
          <w:highlight w:val="none"/>
          <w:lang w:bidi="zh-CN"/>
        </w:rPr>
        <w:t>报自然资源主管部门备案，施工占用土地应报请相关主管部门同意，取得用地审批。</w:t>
      </w:r>
      <w:r>
        <w:rPr>
          <w:rFonts w:ascii="Times New Roman" w:hAnsi="Times New Roman" w:cs="Times New Roman"/>
          <w:bCs/>
          <w:caps w:val="0"/>
          <w:smallCaps w:val="0"/>
          <w:color w:val="auto"/>
          <w:spacing w:val="0"/>
          <w:w w:val="100"/>
          <w:position w:val="0"/>
          <w:szCs w:val="20"/>
          <w:highlight w:val="none"/>
          <w:lang w:bidi="zh-CN"/>
        </w:rPr>
        <w:t>对</w:t>
      </w:r>
      <w:r>
        <w:rPr>
          <w:rFonts w:hint="eastAsia" w:ascii="Times New Roman" w:hAnsi="Times New Roman" w:cs="Times New Roman"/>
          <w:bCs/>
          <w:caps w:val="0"/>
          <w:smallCaps w:val="0"/>
          <w:color w:val="auto"/>
          <w:spacing w:val="0"/>
          <w:w w:val="100"/>
          <w:position w:val="0"/>
          <w:szCs w:val="20"/>
          <w:highlight w:val="none"/>
          <w:lang w:bidi="zh-CN"/>
        </w:rPr>
        <w:t>临时占地的</w:t>
      </w:r>
      <w:r>
        <w:rPr>
          <w:rFonts w:ascii="Times New Roman" w:hAnsi="Times New Roman" w:cs="Times New Roman"/>
          <w:bCs/>
          <w:caps w:val="0"/>
          <w:smallCaps w:val="0"/>
          <w:color w:val="auto"/>
          <w:spacing w:val="0"/>
          <w:w w:val="100"/>
          <w:position w:val="0"/>
          <w:szCs w:val="20"/>
          <w:highlight w:val="none"/>
          <w:lang w:bidi="zh-CN"/>
        </w:rPr>
        <w:t>0.3m表土进行剥离，采用分层开挖，分层堆放，</w:t>
      </w:r>
      <w:r>
        <w:rPr>
          <w:rFonts w:hint="eastAsia" w:ascii="Times New Roman" w:hAnsi="Times New Roman" w:cs="Times New Roman"/>
          <w:bCs/>
          <w:caps w:val="0"/>
          <w:smallCaps w:val="0"/>
          <w:color w:val="auto"/>
          <w:spacing w:val="0"/>
          <w:w w:val="100"/>
          <w:position w:val="0"/>
          <w:szCs w:val="20"/>
          <w:highlight w:val="none"/>
          <w:lang w:bidi="zh-CN"/>
        </w:rPr>
        <w:t>管线施工区剥离表土暂存于</w:t>
      </w:r>
      <w:r>
        <w:rPr>
          <w:rFonts w:ascii="Times New Roman" w:hAnsi="Times New Roman" w:cs="Times New Roman"/>
          <w:bCs/>
          <w:iCs/>
          <w:caps w:val="0"/>
          <w:smallCaps w:val="0"/>
          <w:color w:val="auto"/>
          <w:spacing w:val="0"/>
          <w:w w:val="100"/>
          <w:position w:val="0"/>
          <w:szCs w:val="20"/>
          <w:highlight w:val="none"/>
          <w:lang w:bidi="zh-CN"/>
        </w:rPr>
        <w:t>暂存于管线一侧临时占地内沿管沟布设的表土堆放区</w:t>
      </w:r>
      <w:r>
        <w:rPr>
          <w:rFonts w:hint="eastAsia" w:ascii="Times New Roman" w:hAnsi="Times New Roman" w:cs="Times New Roman"/>
          <w:bCs/>
          <w:iCs/>
          <w:caps w:val="0"/>
          <w:smallCaps w:val="0"/>
          <w:color w:val="auto"/>
          <w:spacing w:val="0"/>
          <w:w w:val="100"/>
          <w:position w:val="0"/>
          <w:szCs w:val="20"/>
          <w:highlight w:val="none"/>
          <w:lang w:bidi="zh-CN"/>
        </w:rPr>
        <w:t>，底土暂存在靠近管沟的置土带内，</w:t>
      </w:r>
      <w:r>
        <w:rPr>
          <w:rFonts w:ascii="Times New Roman" w:hAnsi="Times New Roman" w:cs="Times New Roman"/>
          <w:bCs/>
          <w:caps w:val="0"/>
          <w:smallCaps w:val="0"/>
          <w:color w:val="auto"/>
          <w:spacing w:val="0"/>
          <w:w w:val="100"/>
          <w:position w:val="0"/>
          <w:szCs w:val="20"/>
          <w:highlight w:val="none"/>
          <w:lang w:bidi="zh-CN"/>
        </w:rPr>
        <w:t>采取苫布遮盖等措施防止水土流失，并定期采取洒水抑尘措施，临时占地</w:t>
      </w:r>
      <w:r>
        <w:rPr>
          <w:rFonts w:hint="eastAsia" w:ascii="Times New Roman" w:hAnsi="Times New Roman" w:cs="Times New Roman"/>
          <w:bCs/>
          <w:caps w:val="0"/>
          <w:smallCaps w:val="0"/>
          <w:color w:val="auto"/>
          <w:spacing w:val="0"/>
          <w:w w:val="100"/>
          <w:position w:val="0"/>
          <w:szCs w:val="20"/>
          <w:highlight w:val="none"/>
          <w:lang w:bidi="zh-CN"/>
        </w:rPr>
        <w:t>土方</w:t>
      </w:r>
      <w:r>
        <w:rPr>
          <w:rFonts w:ascii="Times New Roman" w:hAnsi="Times New Roman" w:cs="Times New Roman"/>
          <w:bCs/>
          <w:caps w:val="0"/>
          <w:smallCaps w:val="0"/>
          <w:color w:val="auto"/>
          <w:spacing w:val="0"/>
          <w:w w:val="100"/>
          <w:position w:val="0"/>
          <w:szCs w:val="20"/>
          <w:highlight w:val="none"/>
          <w:lang w:bidi="zh-CN"/>
        </w:rPr>
        <w:t>在施工结束后分层回填，</w:t>
      </w:r>
      <w:r>
        <w:rPr>
          <w:rFonts w:hint="eastAsia" w:ascii="Times New Roman" w:hAnsi="Times New Roman" w:cs="Times New Roman"/>
          <w:bCs/>
          <w:caps w:val="0"/>
          <w:smallCaps w:val="0"/>
          <w:color w:val="auto"/>
          <w:spacing w:val="0"/>
          <w:w w:val="100"/>
          <w:position w:val="0"/>
          <w:szCs w:val="20"/>
          <w:highlight w:val="none"/>
          <w:lang w:bidi="zh-CN"/>
        </w:rPr>
        <w:t>先填底土，在填表土，</w:t>
      </w:r>
      <w:r>
        <w:rPr>
          <w:rFonts w:ascii="Times New Roman" w:hAnsi="Times New Roman" w:cs="Times New Roman"/>
          <w:bCs/>
          <w:caps w:val="0"/>
          <w:smallCaps w:val="0"/>
          <w:color w:val="auto"/>
          <w:spacing w:val="0"/>
          <w:w w:val="100"/>
          <w:position w:val="0"/>
          <w:szCs w:val="20"/>
          <w:highlight w:val="none"/>
          <w:lang w:bidi="zh-CN"/>
        </w:rPr>
        <w:t>并及时恢复地表植被</w:t>
      </w:r>
      <w:r>
        <w:rPr>
          <w:rFonts w:hint="eastAsia" w:ascii="Times New Roman" w:hAnsi="Times New Roman" w:cs="Times New Roman"/>
          <w:bCs/>
          <w:caps w:val="0"/>
          <w:smallCaps w:val="0"/>
          <w:color w:val="auto"/>
          <w:spacing w:val="0"/>
          <w:w w:val="100"/>
          <w:position w:val="0"/>
          <w:szCs w:val="20"/>
          <w:highlight w:val="none"/>
          <w:lang w:val="en-US" w:bidi="zh-CN"/>
        </w:rPr>
        <w:t>.</w:t>
      </w:r>
    </w:p>
    <w:p w14:paraId="42E02E0E">
      <w:pPr>
        <w:widowControl w:val="0"/>
        <w:autoSpaceDE w:val="0"/>
        <w:autoSpaceDN w:val="0"/>
        <w:spacing w:line="440" w:lineRule="exact"/>
        <w:ind w:firstLine="480" w:firstLineChars="200"/>
        <w:jc w:val="both"/>
        <w:rPr>
          <w:rFonts w:ascii="Times New Roman" w:hAnsi="Times New Roman" w:cs="Times New Roman"/>
          <w:bCs/>
          <w:caps w:val="0"/>
          <w:smallCaps w:val="0"/>
          <w:color w:val="auto"/>
          <w:spacing w:val="0"/>
          <w:w w:val="100"/>
          <w:position w:val="0"/>
          <w:szCs w:val="20"/>
          <w:highlight w:val="none"/>
          <w:lang w:bidi="zh-CN"/>
        </w:rPr>
      </w:pPr>
      <w:r>
        <w:rPr>
          <w:rFonts w:hint="eastAsia" w:ascii="Times New Roman" w:hAnsi="Times New Roman" w:cs="Times New Roman"/>
          <w:bCs/>
          <w:caps w:val="0"/>
          <w:smallCaps w:val="0"/>
          <w:color w:val="auto"/>
          <w:spacing w:val="0"/>
          <w:w w:val="100"/>
          <w:position w:val="0"/>
          <w:szCs w:val="20"/>
          <w:highlight w:val="none"/>
          <w:lang w:bidi="zh-CN"/>
        </w:rPr>
        <w:t>（1）表土剥离</w:t>
      </w:r>
    </w:p>
    <w:p w14:paraId="126F418A">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管道施工采取机械、人工分层开挖方式，管线施工作业带除去管线一侧设置的置土带外，管沟及设备区在施工前剥离表土。</w:t>
      </w:r>
    </w:p>
    <w:p w14:paraId="15170051">
      <w:pPr>
        <w:spacing w:line="440" w:lineRule="exact"/>
        <w:ind w:firstLine="482"/>
        <w:jc w:val="both"/>
        <w:rPr>
          <w:rFonts w:hint="default" w:ascii="Times New Roman" w:hAnsi="Times New Roman" w:cs="Times New Roman" w:eastAsiaTheme="minorEastAsia"/>
          <w:caps w:val="0"/>
          <w:smallCaps w:val="0"/>
          <w:color w:val="auto"/>
          <w:spacing w:val="0"/>
          <w:w w:val="100"/>
          <w:position w:val="0"/>
          <w:highlight w:val="none"/>
          <w:vertAlign w:val="baseline"/>
          <w:lang w:val="en-US"/>
        </w:rPr>
      </w:pPr>
      <w:r>
        <w:rPr>
          <w:rFonts w:ascii="Times New Roman" w:hAnsi="Times New Roman" w:cs="Times New Roman" w:eastAsiaTheme="minorEastAsia"/>
          <w:caps w:val="0"/>
          <w:smallCaps w:val="0"/>
          <w:color w:val="auto"/>
          <w:spacing w:val="0"/>
          <w:w w:val="100"/>
          <w:position w:val="0"/>
          <w:highlight w:val="none"/>
        </w:rPr>
        <w:t>本项目一般地段管道（除定向钻施工管段外），管沟施工长度为</w:t>
      </w:r>
      <w:r>
        <w:rPr>
          <w:rFonts w:hint="eastAsia" w:ascii="Times New Roman" w:hAnsi="Times New Roman" w:cs="Times New Roman" w:eastAsiaTheme="minorEastAsia"/>
          <w:caps w:val="0"/>
          <w:smallCaps w:val="0"/>
          <w:color w:val="auto"/>
          <w:spacing w:val="0"/>
          <w:w w:val="100"/>
          <w:position w:val="0"/>
          <w:highlight w:val="none"/>
          <w:lang w:val="en-US" w:eastAsia="zh-CN"/>
        </w:rPr>
        <w:t>11</w:t>
      </w:r>
      <w:r>
        <w:rPr>
          <w:rFonts w:ascii="Times New Roman" w:hAnsi="Times New Roman" w:cs="Times New Roman" w:eastAsiaTheme="minorEastAsia"/>
          <w:caps w:val="0"/>
          <w:smallCaps w:val="0"/>
          <w:color w:val="auto"/>
          <w:spacing w:val="0"/>
          <w:w w:val="100"/>
          <w:position w:val="0"/>
          <w:highlight w:val="none"/>
        </w:rPr>
        <w:t>km，表土剥离厚度30cm，管沟及设备区宽度为6m，置土带宽度为4m（表土2m、基础挖方2m），管道表土剥离堆场面积为</w:t>
      </w:r>
      <w:r>
        <w:rPr>
          <w:rFonts w:hint="eastAsia" w:ascii="Times New Roman" w:hAnsi="Times New Roman" w:cs="Times New Roman" w:eastAsiaTheme="minorEastAsia"/>
          <w:caps w:val="0"/>
          <w:smallCaps w:val="0"/>
          <w:color w:val="auto"/>
          <w:spacing w:val="0"/>
          <w:w w:val="100"/>
          <w:position w:val="0"/>
          <w:highlight w:val="none"/>
          <w:lang w:val="en-US" w:eastAsia="zh-CN"/>
        </w:rPr>
        <w:t>32200</w:t>
      </w:r>
      <w:r>
        <w:rPr>
          <w:rFonts w:ascii="Times New Roman" w:hAnsi="Times New Roman" w:cs="Times New Roman" w:eastAsiaTheme="minorEastAsia"/>
          <w:caps w:val="0"/>
          <w:smallCaps w:val="0"/>
          <w:color w:val="auto"/>
          <w:spacing w:val="0"/>
          <w:w w:val="100"/>
          <w:position w:val="0"/>
          <w:highlight w:val="none"/>
        </w:rPr>
        <w:t>m</w:t>
      </w:r>
      <w:r>
        <w:rPr>
          <w:rFonts w:ascii="Times New Roman" w:hAnsi="Times New Roman" w:cs="Times New Roman" w:eastAsiaTheme="minorEastAsia"/>
          <w:caps w:val="0"/>
          <w:smallCaps w:val="0"/>
          <w:color w:val="auto"/>
          <w:spacing w:val="0"/>
          <w:w w:val="100"/>
          <w:position w:val="0"/>
          <w:highlight w:val="none"/>
          <w:vertAlign w:val="superscript"/>
        </w:rPr>
        <w:t>2</w:t>
      </w:r>
      <w:r>
        <w:rPr>
          <w:rFonts w:ascii="Times New Roman" w:hAnsi="Times New Roman" w:cs="Times New Roman" w:eastAsiaTheme="minorEastAsia"/>
          <w:caps w:val="0"/>
          <w:smallCaps w:val="0"/>
          <w:color w:val="auto"/>
          <w:spacing w:val="0"/>
          <w:w w:val="100"/>
          <w:position w:val="0"/>
          <w:highlight w:val="none"/>
        </w:rPr>
        <w:t>，管道施工表土剥离</w:t>
      </w:r>
      <w:r>
        <w:rPr>
          <w:rFonts w:hint="eastAsia" w:ascii="Times New Roman" w:hAnsi="Times New Roman" w:cs="Times New Roman" w:eastAsiaTheme="minorEastAsia"/>
          <w:caps w:val="0"/>
          <w:smallCaps w:val="0"/>
          <w:color w:val="auto"/>
          <w:spacing w:val="0"/>
          <w:w w:val="100"/>
          <w:position w:val="0"/>
          <w:highlight w:val="none"/>
          <w:lang w:val="en-US" w:eastAsia="zh-CN"/>
        </w:rPr>
        <w:t>29016</w:t>
      </w:r>
      <w:r>
        <w:rPr>
          <w:rFonts w:ascii="Times New Roman" w:hAnsi="Times New Roman" w:cs="Times New Roman" w:eastAsiaTheme="minorEastAsia"/>
          <w:caps w:val="0"/>
          <w:smallCaps w:val="0"/>
          <w:color w:val="auto"/>
          <w:spacing w:val="0"/>
          <w:w w:val="100"/>
          <w:position w:val="0"/>
          <w:highlight w:val="none"/>
        </w:rPr>
        <w:t>m</w:t>
      </w:r>
      <w:r>
        <w:rPr>
          <w:rFonts w:ascii="Times New Roman" w:hAnsi="Times New Roman" w:cs="Times New Roman" w:eastAsiaTheme="minorEastAsia"/>
          <w:caps w:val="0"/>
          <w:smallCaps w:val="0"/>
          <w:color w:val="auto"/>
          <w:spacing w:val="0"/>
          <w:w w:val="100"/>
          <w:position w:val="0"/>
          <w:highlight w:val="none"/>
          <w:vertAlign w:val="superscript"/>
        </w:rPr>
        <w:t>3</w:t>
      </w:r>
      <w:r>
        <w:rPr>
          <w:rFonts w:ascii="Times New Roman" w:hAnsi="Times New Roman" w:cs="Times New Roman" w:eastAsiaTheme="minorEastAsia"/>
          <w:caps w:val="0"/>
          <w:smallCaps w:val="0"/>
          <w:color w:val="auto"/>
          <w:spacing w:val="0"/>
          <w:w w:val="100"/>
          <w:position w:val="0"/>
          <w:highlight w:val="none"/>
        </w:rPr>
        <w:t>（堆放高度约0.9m）。</w:t>
      </w:r>
    </w:p>
    <w:p w14:paraId="3D97992D">
      <w:pPr>
        <w:spacing w:line="440" w:lineRule="exact"/>
        <w:ind w:firstLine="482"/>
        <w:jc w:val="both"/>
        <w:rPr>
          <w:rFonts w:ascii="Times New Roman" w:hAnsi="Times New Roman" w:cs="Times New Roman"/>
          <w:caps w:val="0"/>
          <w:smallCaps w:val="0"/>
          <w:color w:val="auto"/>
          <w:spacing w:val="0"/>
          <w:w w:val="100"/>
          <w:position w:val="0"/>
          <w:highlight w:val="none"/>
        </w:rPr>
      </w:pPr>
      <w:r>
        <w:rPr>
          <w:rFonts w:hint="eastAsia" w:ascii="Times New Roman" w:hAnsi="Times New Roman" w:cs="Times New Roman"/>
          <w:bCs/>
          <w:caps w:val="0"/>
          <w:smallCaps w:val="0"/>
          <w:color w:val="auto"/>
          <w:spacing w:val="0"/>
          <w:w w:val="100"/>
          <w:position w:val="0"/>
          <w:szCs w:val="20"/>
          <w:highlight w:val="none"/>
          <w:lang w:bidi="zh-CN"/>
        </w:rPr>
        <w:t>（2）</w:t>
      </w:r>
      <w:r>
        <w:rPr>
          <w:rFonts w:hint="eastAsia" w:ascii="Times New Roman" w:hAnsi="Times New Roman" w:cs="Times New Roman"/>
          <w:caps w:val="0"/>
          <w:smallCaps w:val="0"/>
          <w:color w:val="auto"/>
          <w:spacing w:val="0"/>
          <w:w w:val="100"/>
          <w:position w:val="0"/>
          <w:highlight w:val="none"/>
        </w:rPr>
        <w:t>管沟施工</w:t>
      </w:r>
    </w:p>
    <w:p w14:paraId="6B9374D0">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管沟横截面为梯形，管道管顶距地表为-1.2m，管沟挖深约为1.5m（去除表土挖深0.3m后，实际挖深1.2m），沟带上宽2m，下宽0.5m，管沟截面积为1.5m</w:t>
      </w:r>
      <w:r>
        <w:rPr>
          <w:rFonts w:ascii="Times New Roman" w:hAnsi="Times New Roman" w:cs="Times New Roman" w:eastAsiaTheme="minorEastAsia"/>
          <w:caps w:val="0"/>
          <w:smallCaps w:val="0"/>
          <w:color w:val="auto"/>
          <w:spacing w:val="0"/>
          <w:w w:val="100"/>
          <w:position w:val="0"/>
          <w:highlight w:val="none"/>
          <w:vertAlign w:val="superscript"/>
        </w:rPr>
        <w:t>2</w:t>
      </w:r>
      <w:r>
        <w:rPr>
          <w:rFonts w:ascii="Times New Roman" w:hAnsi="Times New Roman" w:cs="Times New Roman" w:eastAsiaTheme="minorEastAsia"/>
          <w:caps w:val="0"/>
          <w:smallCaps w:val="0"/>
          <w:color w:val="auto"/>
          <w:spacing w:val="0"/>
          <w:w w:val="100"/>
          <w:position w:val="0"/>
          <w:highlight w:val="none"/>
        </w:rPr>
        <w:t>，则管道管沟挖方量约为</w:t>
      </w:r>
      <w:r>
        <w:rPr>
          <w:rFonts w:hint="eastAsia" w:ascii="Times New Roman" w:hAnsi="Times New Roman" w:cs="Times New Roman" w:eastAsiaTheme="minorEastAsia"/>
          <w:caps w:val="0"/>
          <w:smallCaps w:val="0"/>
          <w:color w:val="auto"/>
          <w:spacing w:val="0"/>
          <w:w w:val="100"/>
          <w:position w:val="0"/>
          <w:highlight w:val="none"/>
          <w:lang w:val="en-US" w:eastAsia="zh-CN"/>
        </w:rPr>
        <w:t>24180</w:t>
      </w:r>
      <w:r>
        <w:rPr>
          <w:rFonts w:ascii="Times New Roman" w:hAnsi="Times New Roman" w:cs="Times New Roman" w:eastAsiaTheme="minorEastAsia"/>
          <w:caps w:val="0"/>
          <w:smallCaps w:val="0"/>
          <w:color w:val="auto"/>
          <w:spacing w:val="0"/>
          <w:w w:val="100"/>
          <w:position w:val="0"/>
          <w:highlight w:val="none"/>
        </w:rPr>
        <w:t>m</w:t>
      </w:r>
      <w:r>
        <w:rPr>
          <w:rFonts w:ascii="Times New Roman" w:hAnsi="Times New Roman" w:cs="Times New Roman" w:eastAsiaTheme="minorEastAsia"/>
          <w:caps w:val="0"/>
          <w:smallCaps w:val="0"/>
          <w:color w:val="auto"/>
          <w:spacing w:val="0"/>
          <w:w w:val="100"/>
          <w:position w:val="0"/>
          <w:highlight w:val="none"/>
          <w:vertAlign w:val="superscript"/>
        </w:rPr>
        <w:t>3</w:t>
      </w:r>
      <w:r>
        <w:rPr>
          <w:rFonts w:ascii="Times New Roman" w:hAnsi="Times New Roman" w:cs="Times New Roman" w:eastAsiaTheme="minorEastAsia"/>
          <w:caps w:val="0"/>
          <w:smallCaps w:val="0"/>
          <w:color w:val="auto"/>
          <w:spacing w:val="0"/>
          <w:w w:val="100"/>
          <w:position w:val="0"/>
          <w:highlight w:val="none"/>
        </w:rPr>
        <w:t>（堆放高度约为0.75m）。</w:t>
      </w:r>
    </w:p>
    <w:p w14:paraId="1C7E7A1B">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hint="eastAsia"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剥离的表土放在置土带外侧，置土带采取先设置编织袋压护，在采用单行十字形压护，沿堆土带每隔一定距离设置横向排水沟，将水流有序导至临时沉淀池，防止形成长距离汇水冲刷。管道施工结束后，采用分层回填压实，按生、熟土顺序填放，保护耕作层，回填后管沟上方留有自然沉降余量，管沟回填多余的土严禁大量集中弃置，应均匀分散</w:t>
      </w:r>
      <w:r>
        <w:rPr>
          <w:rFonts w:hint="eastAsia" w:ascii="Times New Roman" w:hAnsi="Times New Roman" w:cs="Times New Roman" w:eastAsiaTheme="minorEastAsia"/>
          <w:caps w:val="0"/>
          <w:smallCaps w:val="0"/>
          <w:color w:val="auto"/>
          <w:spacing w:val="0"/>
          <w:w w:val="100"/>
          <w:position w:val="0"/>
          <w:highlight w:val="none"/>
        </w:rPr>
        <w:t>在管道中心两侧，并使管沟与周围地表形成平滑过度，不得形成汇水环境，防止水土流失。</w:t>
      </w:r>
    </w:p>
    <w:p w14:paraId="45D5DD9B">
      <w:pPr>
        <w:widowControl w:val="0"/>
        <w:spacing w:line="440" w:lineRule="exact"/>
        <w:ind w:firstLine="482"/>
        <w:jc w:val="both"/>
        <w:rPr>
          <w:rFonts w:ascii="Times New Roman" w:hAnsi="Times New Roman" w:cs="Times New Roman"/>
          <w:caps w:val="0"/>
          <w:smallCaps w:val="0"/>
          <w:color w:val="auto"/>
          <w:spacing w:val="0"/>
          <w:w w:val="100"/>
          <w:position w:val="0"/>
          <w:highlight w:val="none"/>
        </w:rPr>
      </w:pPr>
      <w:r>
        <w:rPr>
          <w:rFonts w:hint="eastAsia" w:ascii="Times New Roman" w:hAnsi="Times New Roman" w:cs="Times New Roman"/>
          <w:caps w:val="0"/>
          <w:smallCaps w:val="0"/>
          <w:color w:val="auto"/>
          <w:spacing w:val="0"/>
          <w:w w:val="100"/>
          <w:position w:val="0"/>
          <w:highlight w:val="none"/>
        </w:rPr>
        <w:t>（</w:t>
      </w:r>
      <w:r>
        <w:rPr>
          <w:rFonts w:hint="eastAsia" w:ascii="Times New Roman" w:hAnsi="Times New Roman" w:cs="Times New Roman"/>
          <w:caps w:val="0"/>
          <w:smallCaps w:val="0"/>
          <w:color w:val="auto"/>
          <w:spacing w:val="0"/>
          <w:w w:val="100"/>
          <w:position w:val="0"/>
          <w:highlight w:val="none"/>
          <w:lang w:val="en-US" w:eastAsia="zh-CN"/>
        </w:rPr>
        <w:t>3</w:t>
      </w:r>
      <w:r>
        <w:rPr>
          <w:rFonts w:hint="eastAsia" w:ascii="Times New Roman" w:hAnsi="Times New Roman" w:cs="Times New Roman"/>
          <w:caps w:val="0"/>
          <w:smallCaps w:val="0"/>
          <w:color w:val="auto"/>
          <w:spacing w:val="0"/>
          <w:w w:val="100"/>
          <w:position w:val="0"/>
          <w:highlight w:val="none"/>
        </w:rPr>
        <w:t>）</w:t>
      </w:r>
      <w:r>
        <w:rPr>
          <w:rFonts w:hint="eastAsia" w:ascii="Times New Roman" w:hAnsi="Times New Roman" w:cs="Times New Roman"/>
          <w:caps w:val="0"/>
          <w:smallCaps w:val="0"/>
          <w:color w:val="auto"/>
          <w:spacing w:val="0"/>
          <w:w w:val="100"/>
          <w:position w:val="0"/>
          <w:highlight w:val="none"/>
          <w:lang w:val="en-US" w:eastAsia="zh-CN"/>
        </w:rPr>
        <w:t>定向钻</w:t>
      </w:r>
      <w:r>
        <w:rPr>
          <w:rFonts w:hint="eastAsia" w:ascii="Times New Roman" w:hAnsi="Times New Roman" w:cs="Times New Roman"/>
          <w:caps w:val="0"/>
          <w:smallCaps w:val="0"/>
          <w:color w:val="auto"/>
          <w:spacing w:val="0"/>
          <w:w w:val="100"/>
          <w:position w:val="0"/>
          <w:highlight w:val="none"/>
        </w:rPr>
        <w:t>挖方</w:t>
      </w:r>
    </w:p>
    <w:p w14:paraId="5AE1B8A9">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hint="eastAsia" w:ascii="Times New Roman" w:hAnsi="Times New Roman" w:cs="Times New Roman" w:eastAsiaTheme="minorEastAsia"/>
          <w:caps w:val="0"/>
          <w:smallCaps w:val="0"/>
          <w:color w:val="auto"/>
          <w:spacing w:val="0"/>
          <w:w w:val="100"/>
          <w:position w:val="0"/>
          <w:highlight w:val="none"/>
        </w:rPr>
      </w:pPr>
      <w:r>
        <w:rPr>
          <w:rFonts w:hint="eastAsia" w:ascii="Times New Roman" w:hAnsi="Times New Roman" w:cs="Times New Roman" w:eastAsiaTheme="minorEastAsia"/>
          <w:caps w:val="0"/>
          <w:smallCaps w:val="0"/>
          <w:color w:val="auto"/>
          <w:spacing w:val="0"/>
          <w:w w:val="100"/>
          <w:position w:val="0"/>
          <w:highlight w:val="none"/>
        </w:rPr>
        <w:t>定向钻临时施工占地主要包括定向钻施工场地穿越入土点施工场地和出土施工场地，每处定向钻穿越施工区域表土剥离厚度30cm，剥离量为720m</w:t>
      </w:r>
      <w:r>
        <w:rPr>
          <w:rFonts w:hint="eastAsia" w:ascii="Times New Roman" w:hAnsi="Times New Roman" w:cs="Times New Roman" w:eastAsiaTheme="minorEastAsia"/>
          <w:caps w:val="0"/>
          <w:smallCaps w:val="0"/>
          <w:color w:val="auto"/>
          <w:spacing w:val="0"/>
          <w:w w:val="100"/>
          <w:position w:val="0"/>
          <w:highlight w:val="none"/>
          <w:vertAlign w:val="superscript"/>
        </w:rPr>
        <w:t>3</w:t>
      </w:r>
      <w:r>
        <w:rPr>
          <w:rFonts w:hint="eastAsia" w:ascii="Times New Roman" w:hAnsi="Times New Roman" w:cs="Times New Roman" w:eastAsiaTheme="minorEastAsia"/>
          <w:caps w:val="0"/>
          <w:smallCaps w:val="0"/>
          <w:color w:val="auto"/>
          <w:spacing w:val="0"/>
          <w:w w:val="100"/>
          <w:position w:val="0"/>
          <w:highlight w:val="none"/>
        </w:rPr>
        <w:t>/每处，堆放在定向钻场地临时表土堆场，共计</w:t>
      </w:r>
      <w:r>
        <w:rPr>
          <w:rFonts w:hint="eastAsia" w:ascii="Times New Roman" w:hAnsi="Times New Roman" w:cs="Times New Roman" w:eastAsiaTheme="minorEastAsia"/>
          <w:caps w:val="0"/>
          <w:smallCaps w:val="0"/>
          <w:color w:val="auto"/>
          <w:spacing w:val="0"/>
          <w:w w:val="100"/>
          <w:position w:val="0"/>
          <w:highlight w:val="none"/>
          <w:lang w:val="en-US" w:eastAsia="zh-CN"/>
        </w:rPr>
        <w:t>24</w:t>
      </w:r>
      <w:r>
        <w:rPr>
          <w:rFonts w:hint="eastAsia" w:ascii="Times New Roman" w:hAnsi="Times New Roman" w:cs="Times New Roman" w:eastAsiaTheme="minorEastAsia"/>
          <w:caps w:val="0"/>
          <w:smallCaps w:val="0"/>
          <w:color w:val="auto"/>
          <w:spacing w:val="0"/>
          <w:w w:val="100"/>
          <w:position w:val="0"/>
          <w:highlight w:val="none"/>
        </w:rPr>
        <w:t>处定向钻穿越施工处，施工结束后原址分层回填。</w:t>
      </w:r>
    </w:p>
    <w:p w14:paraId="00FD68B4">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hint="eastAsia" w:ascii="Times New Roman" w:hAnsi="Times New Roman" w:cs="Times New Roman" w:eastAsiaTheme="minorEastAsia"/>
          <w:caps w:val="0"/>
          <w:smallCaps w:val="0"/>
          <w:color w:val="auto"/>
          <w:spacing w:val="0"/>
          <w:w w:val="100"/>
          <w:position w:val="0"/>
          <w:highlight w:val="none"/>
        </w:rPr>
      </w:pPr>
      <w:r>
        <w:rPr>
          <w:rFonts w:hint="eastAsia" w:ascii="Times New Roman" w:hAnsi="Times New Roman" w:cs="Times New Roman" w:eastAsiaTheme="minorEastAsia"/>
          <w:caps w:val="0"/>
          <w:smallCaps w:val="0"/>
          <w:color w:val="auto"/>
          <w:spacing w:val="0"/>
          <w:w w:val="100"/>
          <w:position w:val="0"/>
          <w:highlight w:val="none"/>
        </w:rPr>
        <w:t>定向钻施工过程中在穿越两端各开挖一个作业坑（一个作为起始作业坑、一个作为接收坑），每个作业坑长10m、宽10m、去除表土挖深0.3m后，实际挖深2.7m，挖方量为540m</w:t>
      </w:r>
      <w:r>
        <w:rPr>
          <w:rFonts w:hint="eastAsia" w:ascii="Times New Roman" w:hAnsi="Times New Roman" w:cs="Times New Roman" w:eastAsiaTheme="minorEastAsia"/>
          <w:caps w:val="0"/>
          <w:smallCaps w:val="0"/>
          <w:color w:val="auto"/>
          <w:spacing w:val="0"/>
          <w:w w:val="100"/>
          <w:position w:val="0"/>
          <w:highlight w:val="none"/>
          <w:vertAlign w:val="superscript"/>
        </w:rPr>
        <w:t>3</w:t>
      </w:r>
      <w:r>
        <w:rPr>
          <w:rFonts w:hint="eastAsia" w:ascii="Times New Roman" w:hAnsi="Times New Roman" w:cs="Times New Roman" w:eastAsiaTheme="minorEastAsia"/>
          <w:caps w:val="0"/>
          <w:smallCaps w:val="0"/>
          <w:color w:val="auto"/>
          <w:spacing w:val="0"/>
          <w:w w:val="100"/>
          <w:position w:val="0"/>
          <w:highlight w:val="none"/>
        </w:rPr>
        <w:t>/处，施工结束后开挖方全部回填作业坑。</w:t>
      </w:r>
    </w:p>
    <w:p w14:paraId="7ACB1A47">
      <w:pPr>
        <w:spacing w:line="500" w:lineRule="exact"/>
        <w:ind w:firstLine="482"/>
        <w:jc w:val="both"/>
        <w:rPr>
          <w:rFonts w:ascii="Times New Roman" w:hAnsi="Times New Roman" w:cs="Times New Roman" w:eastAsiaTheme="minorEastAsia"/>
          <w:caps w:val="0"/>
          <w:smallCaps w:val="0"/>
          <w:color w:val="auto"/>
          <w:spacing w:val="0"/>
          <w:w w:val="100"/>
          <w:position w:val="0"/>
          <w:highlight w:val="none"/>
        </w:rPr>
      </w:pPr>
      <w:r>
        <w:rPr>
          <w:rFonts w:hint="eastAsia" w:ascii="Times New Roman" w:hAnsi="Times New Roman" w:cs="Times New Roman" w:eastAsiaTheme="minorEastAsia"/>
          <w:caps w:val="0"/>
          <w:smallCaps w:val="0"/>
          <w:color w:val="auto"/>
          <w:spacing w:val="0"/>
          <w:w w:val="100"/>
          <w:position w:val="0"/>
          <w:highlight w:val="none"/>
        </w:rPr>
        <w:t>定向钻穿越产生定向钻废弃泥浆，计入一般固体废物，不计入土石方平衡。</w:t>
      </w:r>
      <w:r>
        <w:rPr>
          <w:rFonts w:ascii="Times New Roman" w:hAnsi="Times New Roman" w:cs="Times New Roman" w:eastAsiaTheme="minorEastAsia"/>
          <w:caps w:val="0"/>
          <w:smallCaps w:val="0"/>
          <w:color w:val="auto"/>
          <w:spacing w:val="0"/>
          <w:w w:val="100"/>
          <w:position w:val="0"/>
          <w:highlight w:val="none"/>
        </w:rPr>
        <w:t>本项目土石方情况见表3.5-2。</w:t>
      </w:r>
    </w:p>
    <w:p w14:paraId="5CE561D7">
      <w:pPr>
        <w:widowControl w:val="0"/>
        <w:spacing w:line="440" w:lineRule="exact"/>
        <w:ind w:firstLine="482" w:firstLineChars="200"/>
        <w:rPr>
          <w:rFonts w:hint="eastAsia" w:ascii="Times New Roman" w:hAnsi="Times New Roman" w:cs="Times New Roman" w:eastAsiaTheme="minorEastAsia"/>
          <w:b/>
          <w:bCs/>
          <w:caps w:val="0"/>
          <w:smallCaps w:val="0"/>
          <w:color w:val="auto"/>
          <w:spacing w:val="0"/>
          <w:w w:val="100"/>
          <w:position w:val="0"/>
          <w:sz w:val="24"/>
          <w:szCs w:val="24"/>
          <w:highlight w:val="none"/>
          <w:lang w:val="en-US" w:eastAsia="zh-CN" w:bidi="ar-SA"/>
        </w:rPr>
      </w:pPr>
      <w:r>
        <w:rPr>
          <w:rFonts w:ascii="Times New Roman" w:hAnsi="Times New Roman" w:cs="Times New Roman" w:eastAsiaTheme="minorEastAsia"/>
          <w:b/>
          <w:caps w:val="0"/>
          <w:smallCaps w:val="0"/>
          <w:color w:val="auto"/>
          <w:spacing w:val="0"/>
          <w:w w:val="100"/>
          <w:kern w:val="2"/>
          <w:position w:val="0"/>
          <w:highlight w:val="none"/>
        </w:rPr>
        <w:t xml:space="preserve">表3.5-2    </w:t>
      </w:r>
      <w:bookmarkStart w:id="486" w:name="_Toc219900384"/>
      <w:r>
        <w:rPr>
          <w:rFonts w:hint="eastAsia" w:ascii="Times New Roman" w:hAnsi="Times New Roman" w:cs="Times New Roman" w:eastAsiaTheme="minorEastAsia"/>
          <w:b/>
          <w:bCs/>
          <w:caps w:val="0"/>
          <w:smallCaps w:val="0"/>
          <w:color w:val="auto"/>
          <w:spacing w:val="0"/>
          <w:w w:val="100"/>
          <w:position w:val="0"/>
          <w:sz w:val="24"/>
          <w:szCs w:val="24"/>
          <w:highlight w:val="none"/>
          <w:lang w:val="en-US" w:eastAsia="zh-CN" w:bidi="ar-SA"/>
        </w:rPr>
        <w:t>本项目土石方情况    单位：m</w:t>
      </w:r>
      <w:r>
        <w:rPr>
          <w:rFonts w:hint="eastAsia" w:ascii="Times New Roman" w:hAnsi="Times New Roman" w:cs="Times New Roman" w:eastAsiaTheme="minorEastAsia"/>
          <w:b/>
          <w:bCs/>
          <w:caps w:val="0"/>
          <w:smallCaps w:val="0"/>
          <w:color w:val="auto"/>
          <w:spacing w:val="0"/>
          <w:w w:val="100"/>
          <w:position w:val="0"/>
          <w:sz w:val="24"/>
          <w:szCs w:val="24"/>
          <w:highlight w:val="none"/>
          <w:vertAlign w:val="superscript"/>
          <w:lang w:val="en-US" w:eastAsia="zh-CN" w:bidi="ar-SA"/>
        </w:rPr>
        <w:t>3</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0"/>
        <w:gridCol w:w="1152"/>
        <w:gridCol w:w="1765"/>
        <w:gridCol w:w="1883"/>
        <w:gridCol w:w="1061"/>
        <w:gridCol w:w="1285"/>
        <w:gridCol w:w="1238"/>
      </w:tblGrid>
      <w:tr w14:paraId="2BB35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603" w:type="pct"/>
            <w:vMerge w:val="restart"/>
            <w:vAlign w:val="center"/>
          </w:tcPr>
          <w:p w14:paraId="34211D6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r>
              <w:rPr>
                <w:rFonts w:ascii="Times New Roman" w:hAnsi="Times New Roman" w:cs="Times New Roman" w:eastAsiaTheme="minorEastAsia"/>
                <w:caps w:val="0"/>
                <w:smallCaps w:val="0"/>
                <w:color w:val="auto"/>
                <w:spacing w:val="0"/>
                <w:w w:val="100"/>
                <w:position w:val="0"/>
                <w:sz w:val="21"/>
                <w:szCs w:val="21"/>
                <w:highlight w:val="none"/>
                <w:lang w:bidi="ar"/>
              </w:rPr>
              <w:t>序号</w:t>
            </w:r>
          </w:p>
        </w:tc>
        <w:tc>
          <w:tcPr>
            <w:tcW w:w="604" w:type="pct"/>
            <w:vMerge w:val="restart"/>
            <w:vAlign w:val="center"/>
          </w:tcPr>
          <w:p w14:paraId="6026E9CC">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项目</w:t>
            </w:r>
          </w:p>
        </w:tc>
        <w:tc>
          <w:tcPr>
            <w:tcW w:w="1912" w:type="pct"/>
            <w:gridSpan w:val="2"/>
            <w:vAlign w:val="center"/>
          </w:tcPr>
          <w:p w14:paraId="7EBC30E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r>
              <w:rPr>
                <w:rFonts w:ascii="Times New Roman" w:hAnsi="Times New Roman" w:cs="Times New Roman" w:eastAsiaTheme="minorEastAsia"/>
                <w:caps w:val="0"/>
                <w:smallCaps w:val="0"/>
                <w:color w:val="auto"/>
                <w:spacing w:val="0"/>
                <w:w w:val="100"/>
                <w:position w:val="0"/>
                <w:sz w:val="21"/>
                <w:szCs w:val="21"/>
                <w:highlight w:val="none"/>
                <w:lang w:bidi="ar"/>
              </w:rPr>
              <w:t>挖方</w:t>
            </w:r>
          </w:p>
        </w:tc>
        <w:tc>
          <w:tcPr>
            <w:tcW w:w="556" w:type="pct"/>
            <w:vMerge w:val="restart"/>
            <w:vAlign w:val="center"/>
          </w:tcPr>
          <w:p w14:paraId="60FA53B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r>
              <w:rPr>
                <w:rFonts w:ascii="Times New Roman" w:hAnsi="Times New Roman" w:cs="Times New Roman" w:eastAsiaTheme="minorEastAsia"/>
                <w:caps w:val="0"/>
                <w:smallCaps w:val="0"/>
                <w:color w:val="auto"/>
                <w:spacing w:val="0"/>
                <w:w w:val="100"/>
                <w:position w:val="0"/>
                <w:sz w:val="21"/>
                <w:szCs w:val="21"/>
                <w:highlight w:val="none"/>
                <w:lang w:bidi="ar"/>
              </w:rPr>
              <w:t>借方量</w:t>
            </w:r>
          </w:p>
        </w:tc>
        <w:tc>
          <w:tcPr>
            <w:tcW w:w="674" w:type="pct"/>
            <w:vMerge w:val="restart"/>
            <w:vAlign w:val="center"/>
          </w:tcPr>
          <w:p w14:paraId="5917151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填</w:t>
            </w:r>
            <w:r>
              <w:rPr>
                <w:rFonts w:ascii="Times New Roman" w:hAnsi="Times New Roman" w:cs="Times New Roman" w:eastAsiaTheme="minorEastAsia"/>
                <w:caps w:val="0"/>
                <w:smallCaps w:val="0"/>
                <w:color w:val="auto"/>
                <w:spacing w:val="0"/>
                <w:w w:val="100"/>
                <w:position w:val="0"/>
                <w:sz w:val="21"/>
                <w:szCs w:val="21"/>
                <w:highlight w:val="none"/>
                <w:lang w:bidi="ar"/>
              </w:rPr>
              <w:t>方量</w:t>
            </w:r>
          </w:p>
        </w:tc>
        <w:tc>
          <w:tcPr>
            <w:tcW w:w="649" w:type="pct"/>
            <w:vMerge w:val="restart"/>
            <w:vAlign w:val="center"/>
          </w:tcPr>
          <w:p w14:paraId="227CD80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r>
              <w:rPr>
                <w:rFonts w:ascii="Times New Roman" w:hAnsi="Times New Roman" w:cs="Times New Roman" w:eastAsiaTheme="minorEastAsia"/>
                <w:caps w:val="0"/>
                <w:smallCaps w:val="0"/>
                <w:color w:val="auto"/>
                <w:spacing w:val="0"/>
                <w:w w:val="100"/>
                <w:position w:val="0"/>
                <w:sz w:val="21"/>
                <w:szCs w:val="21"/>
                <w:highlight w:val="none"/>
                <w:lang w:bidi="ar"/>
              </w:rPr>
              <w:t>弃方量</w:t>
            </w:r>
          </w:p>
        </w:tc>
      </w:tr>
      <w:tr w14:paraId="21678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03" w:type="pct"/>
            <w:vMerge w:val="continue"/>
            <w:vAlign w:val="center"/>
          </w:tcPr>
          <w:p w14:paraId="1BE5F14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bookmarkStart w:id="487" w:name="_Hlk194999783"/>
          </w:p>
        </w:tc>
        <w:tc>
          <w:tcPr>
            <w:tcW w:w="604" w:type="pct"/>
            <w:vMerge w:val="continue"/>
            <w:vAlign w:val="center"/>
          </w:tcPr>
          <w:p w14:paraId="663B249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p>
        </w:tc>
        <w:tc>
          <w:tcPr>
            <w:tcW w:w="925" w:type="pct"/>
            <w:vAlign w:val="center"/>
          </w:tcPr>
          <w:p w14:paraId="5CEC3E69">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基础挖方</w:t>
            </w:r>
          </w:p>
        </w:tc>
        <w:tc>
          <w:tcPr>
            <w:tcW w:w="986" w:type="pct"/>
            <w:vAlign w:val="center"/>
          </w:tcPr>
          <w:p w14:paraId="46EC618C">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表土剥离</w:t>
            </w:r>
          </w:p>
        </w:tc>
        <w:tc>
          <w:tcPr>
            <w:tcW w:w="556" w:type="pct"/>
            <w:vMerge w:val="continue"/>
            <w:vAlign w:val="center"/>
          </w:tcPr>
          <w:p w14:paraId="7BF533B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p>
        </w:tc>
        <w:tc>
          <w:tcPr>
            <w:tcW w:w="674" w:type="pct"/>
            <w:vMerge w:val="continue"/>
            <w:vAlign w:val="center"/>
          </w:tcPr>
          <w:p w14:paraId="6933510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p>
        </w:tc>
        <w:tc>
          <w:tcPr>
            <w:tcW w:w="649" w:type="pct"/>
            <w:vMerge w:val="continue"/>
            <w:vAlign w:val="center"/>
          </w:tcPr>
          <w:p w14:paraId="6B52260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p>
        </w:tc>
      </w:tr>
      <w:tr w14:paraId="58571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03" w:type="pct"/>
            <w:vAlign w:val="center"/>
          </w:tcPr>
          <w:p w14:paraId="16DF8870">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1</w:t>
            </w:r>
          </w:p>
        </w:tc>
        <w:tc>
          <w:tcPr>
            <w:tcW w:w="604" w:type="pct"/>
            <w:vAlign w:val="center"/>
          </w:tcPr>
          <w:p w14:paraId="4B09DE00">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管道施工</w:t>
            </w:r>
          </w:p>
        </w:tc>
        <w:tc>
          <w:tcPr>
            <w:tcW w:w="925" w:type="pct"/>
            <w:vAlign w:val="center"/>
          </w:tcPr>
          <w:p w14:paraId="6B380BB5">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24180</w:t>
            </w:r>
          </w:p>
        </w:tc>
        <w:tc>
          <w:tcPr>
            <w:tcW w:w="986" w:type="pct"/>
            <w:vAlign w:val="center"/>
          </w:tcPr>
          <w:p w14:paraId="06CF63C2">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29016</w:t>
            </w:r>
          </w:p>
        </w:tc>
        <w:tc>
          <w:tcPr>
            <w:tcW w:w="556" w:type="pct"/>
            <w:vAlign w:val="center"/>
          </w:tcPr>
          <w:p w14:paraId="18F2E607">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0</w:t>
            </w:r>
          </w:p>
        </w:tc>
        <w:tc>
          <w:tcPr>
            <w:tcW w:w="674" w:type="pct"/>
            <w:vAlign w:val="center"/>
          </w:tcPr>
          <w:p w14:paraId="090497C6">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43196</w:t>
            </w:r>
          </w:p>
        </w:tc>
        <w:tc>
          <w:tcPr>
            <w:tcW w:w="649" w:type="pct"/>
            <w:vAlign w:val="center"/>
          </w:tcPr>
          <w:p w14:paraId="65ABA21E">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0</w:t>
            </w:r>
          </w:p>
        </w:tc>
      </w:tr>
      <w:tr w14:paraId="0FB92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03" w:type="pct"/>
            <w:vAlign w:val="center"/>
          </w:tcPr>
          <w:p w14:paraId="464E0938">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2</w:t>
            </w:r>
          </w:p>
        </w:tc>
        <w:tc>
          <w:tcPr>
            <w:tcW w:w="604" w:type="pct"/>
            <w:vAlign w:val="center"/>
          </w:tcPr>
          <w:p w14:paraId="17E810EB">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定向钻施工</w:t>
            </w:r>
          </w:p>
        </w:tc>
        <w:tc>
          <w:tcPr>
            <w:tcW w:w="925" w:type="pct"/>
            <w:vAlign w:val="center"/>
          </w:tcPr>
          <w:p w14:paraId="7C490823">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12960</w:t>
            </w:r>
          </w:p>
        </w:tc>
        <w:tc>
          <w:tcPr>
            <w:tcW w:w="986" w:type="pct"/>
            <w:vAlign w:val="center"/>
          </w:tcPr>
          <w:p w14:paraId="161C20BA">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17280</w:t>
            </w:r>
          </w:p>
        </w:tc>
        <w:tc>
          <w:tcPr>
            <w:tcW w:w="556" w:type="pct"/>
            <w:vAlign w:val="center"/>
          </w:tcPr>
          <w:p w14:paraId="7E09659B">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0</w:t>
            </w:r>
          </w:p>
        </w:tc>
        <w:tc>
          <w:tcPr>
            <w:tcW w:w="674" w:type="pct"/>
            <w:vAlign w:val="center"/>
          </w:tcPr>
          <w:p w14:paraId="310D7713">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30240</w:t>
            </w:r>
          </w:p>
        </w:tc>
        <w:tc>
          <w:tcPr>
            <w:tcW w:w="649" w:type="pct"/>
            <w:vAlign w:val="center"/>
          </w:tcPr>
          <w:p w14:paraId="3A5C87ED">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0</w:t>
            </w:r>
          </w:p>
        </w:tc>
      </w:tr>
      <w:tr w14:paraId="6EC2C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7" w:type="pct"/>
            <w:gridSpan w:val="2"/>
            <w:vAlign w:val="center"/>
          </w:tcPr>
          <w:p w14:paraId="6DE64ACB">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合计</w:t>
            </w:r>
          </w:p>
        </w:tc>
        <w:tc>
          <w:tcPr>
            <w:tcW w:w="925" w:type="pct"/>
            <w:vAlign w:val="center"/>
          </w:tcPr>
          <w:p w14:paraId="2F697188">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37140</w:t>
            </w:r>
          </w:p>
        </w:tc>
        <w:tc>
          <w:tcPr>
            <w:tcW w:w="986" w:type="pct"/>
            <w:vAlign w:val="center"/>
          </w:tcPr>
          <w:p w14:paraId="6770A5C5">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46296</w:t>
            </w:r>
          </w:p>
        </w:tc>
        <w:tc>
          <w:tcPr>
            <w:tcW w:w="556" w:type="pct"/>
            <w:vAlign w:val="center"/>
          </w:tcPr>
          <w:p w14:paraId="7D34D410">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p>
        </w:tc>
        <w:tc>
          <w:tcPr>
            <w:tcW w:w="674" w:type="pct"/>
            <w:vAlign w:val="center"/>
          </w:tcPr>
          <w:p w14:paraId="29990CCC">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t>83436</w:t>
            </w:r>
          </w:p>
        </w:tc>
        <w:tc>
          <w:tcPr>
            <w:tcW w:w="649" w:type="pct"/>
            <w:vAlign w:val="center"/>
          </w:tcPr>
          <w:p w14:paraId="76DCEA00">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
              </w:rPr>
            </w:pPr>
          </w:p>
        </w:tc>
      </w:tr>
      <w:bookmarkEnd w:id="487"/>
    </w:tbl>
    <w:p w14:paraId="1DDB3355">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r>
        <w:rPr>
          <w:rFonts w:ascii="Times New Roman" w:hAnsi="Times New Roman" w:eastAsiaTheme="minorEastAsia"/>
          <w:b/>
          <w:caps w:val="0"/>
          <w:smallCaps w:val="0"/>
          <w:snapToGrid w:val="0"/>
          <w:color w:val="auto"/>
          <w:spacing w:val="0"/>
          <w:w w:val="100"/>
          <w:position w:val="0"/>
          <w:highlight w:val="none"/>
        </w:rPr>
        <w:t>3.6施工方式</w:t>
      </w:r>
      <w:bookmarkEnd w:id="486"/>
    </w:p>
    <w:p w14:paraId="4CF5E2F2">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bookmarkStart w:id="488" w:name="_Toc85640760"/>
      <w:bookmarkStart w:id="489" w:name="_Toc70050185"/>
      <w:bookmarkStart w:id="490" w:name="_Toc110438482"/>
      <w:bookmarkStart w:id="491" w:name="_Toc84929236"/>
      <w:bookmarkStart w:id="492" w:name="_Toc67860138"/>
      <w:bookmarkStart w:id="493" w:name="_Toc77067666"/>
      <w:bookmarkStart w:id="494" w:name="_Toc78816468"/>
      <w:bookmarkStart w:id="495" w:name="_Toc86141939"/>
      <w:bookmarkStart w:id="496" w:name="_Toc76976250"/>
      <w:bookmarkStart w:id="497" w:name="_Toc80971385"/>
      <w:bookmarkStart w:id="498" w:name="_Toc80588263"/>
      <w:bookmarkStart w:id="499" w:name="_Toc83209480"/>
      <w:r>
        <w:rPr>
          <w:rFonts w:eastAsiaTheme="minorEastAsia"/>
          <w:b/>
          <w:caps w:val="0"/>
          <w:smallCaps w:val="0"/>
          <w:color w:val="auto"/>
          <w:spacing w:val="0"/>
          <w:w w:val="100"/>
          <w:kern w:val="2"/>
          <w:position w:val="0"/>
          <w:sz w:val="24"/>
          <w:szCs w:val="24"/>
          <w:highlight w:val="none"/>
        </w:rPr>
        <w:t>3.6.1</w:t>
      </w:r>
      <w:bookmarkEnd w:id="488"/>
      <w:bookmarkEnd w:id="489"/>
      <w:bookmarkEnd w:id="490"/>
      <w:bookmarkEnd w:id="491"/>
      <w:bookmarkEnd w:id="492"/>
      <w:bookmarkEnd w:id="493"/>
      <w:bookmarkEnd w:id="494"/>
      <w:bookmarkEnd w:id="495"/>
      <w:bookmarkEnd w:id="496"/>
      <w:bookmarkEnd w:id="497"/>
      <w:bookmarkEnd w:id="498"/>
      <w:bookmarkEnd w:id="499"/>
      <w:r>
        <w:rPr>
          <w:rFonts w:hint="eastAsia" w:eastAsiaTheme="minorEastAsia"/>
          <w:b/>
          <w:caps w:val="0"/>
          <w:smallCaps w:val="0"/>
          <w:color w:val="auto"/>
          <w:spacing w:val="0"/>
          <w:w w:val="100"/>
          <w:kern w:val="2"/>
          <w:position w:val="0"/>
          <w:sz w:val="24"/>
          <w:szCs w:val="24"/>
          <w:highlight w:val="none"/>
        </w:rPr>
        <w:t>废弃</w:t>
      </w:r>
      <w:r>
        <w:rPr>
          <w:rFonts w:eastAsiaTheme="minorEastAsia"/>
          <w:b/>
          <w:caps w:val="0"/>
          <w:smallCaps w:val="0"/>
          <w:color w:val="auto"/>
          <w:spacing w:val="0"/>
          <w:w w:val="100"/>
          <w:kern w:val="2"/>
          <w:position w:val="0"/>
          <w:sz w:val="24"/>
          <w:szCs w:val="24"/>
          <w:highlight w:val="none"/>
        </w:rPr>
        <w:t>管道施工</w:t>
      </w:r>
    </w:p>
    <w:p w14:paraId="791EE0E7">
      <w:pPr>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w:t>
      </w:r>
      <w:r>
        <w:rPr>
          <w:rFonts w:hint="eastAsia" w:ascii="Times New Roman" w:hAnsi="Times New Roman" w:cs="Times New Roman" w:eastAsiaTheme="minorEastAsia"/>
          <w:caps w:val="0"/>
          <w:smallCaps w:val="0"/>
          <w:color w:val="auto"/>
          <w:spacing w:val="0"/>
          <w:w w:val="100"/>
          <w:position w:val="0"/>
          <w:highlight w:val="none"/>
        </w:rPr>
        <w:t>1</w:t>
      </w:r>
      <w:r>
        <w:rPr>
          <w:rFonts w:ascii="Times New Roman" w:hAnsi="Times New Roman" w:cs="Times New Roman" w:eastAsiaTheme="minorEastAsia"/>
          <w:caps w:val="0"/>
          <w:smallCaps w:val="0"/>
          <w:color w:val="auto"/>
          <w:spacing w:val="0"/>
          <w:w w:val="100"/>
          <w:position w:val="0"/>
          <w:highlight w:val="none"/>
        </w:rPr>
        <w:t>）废弃输油</w:t>
      </w:r>
      <w:r>
        <w:rPr>
          <w:rFonts w:hint="eastAsia" w:ascii="Times New Roman" w:hAnsi="Times New Roman" w:cs="Times New Roman" w:eastAsiaTheme="minorEastAsia"/>
          <w:caps w:val="0"/>
          <w:smallCaps w:val="0"/>
          <w:color w:val="auto"/>
          <w:spacing w:val="0"/>
          <w:w w:val="100"/>
          <w:position w:val="0"/>
          <w:highlight w:val="none"/>
        </w:rPr>
        <w:t>管道处理</w:t>
      </w:r>
    </w:p>
    <w:p w14:paraId="1165F4EE">
      <w:pPr>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hint="eastAsia" w:ascii="Times New Roman" w:hAnsi="Times New Roman" w:cs="Times New Roman" w:eastAsiaTheme="minorEastAsia"/>
          <w:caps w:val="0"/>
          <w:smallCaps w:val="0"/>
          <w:color w:val="auto"/>
          <w:spacing w:val="0"/>
          <w:w w:val="100"/>
          <w:position w:val="0"/>
          <w:highlight w:val="none"/>
        </w:rPr>
        <w:t>首先停止管道作业，首先停止管道作业，关闭两端截断阀，利用压缩空气进行清管作业，采用热水对管线进行清洗，对管内残余的含油污水进行清除和收集</w:t>
      </w:r>
      <w:r>
        <w:rPr>
          <w:rFonts w:hint="eastAsia" w:ascii="Times New Roman" w:hAnsi="Times New Roman" w:cs="Times New Roman" w:eastAsiaTheme="minorEastAsia"/>
          <w:caps w:val="0"/>
          <w:smallCaps w:val="0"/>
          <w:color w:val="auto"/>
          <w:spacing w:val="0"/>
          <w:w w:val="100"/>
          <w:position w:val="0"/>
          <w:highlight w:val="none"/>
          <w:lang w:eastAsia="zh-CN"/>
        </w:rPr>
        <w:t>，</w:t>
      </w:r>
      <w:r>
        <w:rPr>
          <w:rFonts w:hint="eastAsia" w:ascii="Times New Roman" w:hAnsi="Times New Roman" w:cs="Times New Roman" w:eastAsiaTheme="minorEastAsia"/>
          <w:caps w:val="0"/>
          <w:smallCaps w:val="0"/>
          <w:color w:val="auto"/>
          <w:spacing w:val="0"/>
          <w:w w:val="100"/>
          <w:position w:val="0"/>
          <w:highlight w:val="none"/>
        </w:rPr>
        <w:t>清洗废水</w:t>
      </w:r>
      <w:r>
        <w:rPr>
          <w:rFonts w:hint="eastAsia" w:ascii="Times New Roman" w:hAnsi="Times New Roman" w:cs="Times New Roman" w:eastAsiaTheme="minorEastAsia"/>
          <w:caps w:val="0"/>
          <w:smallCaps w:val="0"/>
          <w:color w:val="auto"/>
          <w:spacing w:val="0"/>
          <w:w w:val="100"/>
          <w:position w:val="0"/>
          <w:highlight w:val="none"/>
          <w:lang w:val="en-US" w:eastAsia="zh-CN"/>
        </w:rPr>
        <w:t>罐车拉运至卫一联含油污水深度处理站</w:t>
      </w:r>
      <w:r>
        <w:rPr>
          <w:rFonts w:hint="eastAsia" w:ascii="Times New Roman" w:hAnsi="Times New Roman" w:cs="Times New Roman" w:eastAsiaTheme="minorEastAsia"/>
          <w:caps w:val="0"/>
          <w:smallCaps w:val="0"/>
          <w:color w:val="auto"/>
          <w:spacing w:val="0"/>
          <w:w w:val="100"/>
          <w:position w:val="0"/>
          <w:highlight w:val="none"/>
        </w:rPr>
        <w:t>处理达标后回注油层。清洗完成后采用氮气对吹扫，吹扫合格后将原有管线的两端切断，并采用混凝土对</w:t>
      </w:r>
      <w:r>
        <w:rPr>
          <w:rFonts w:hint="eastAsia" w:ascii="Times New Roman" w:hAnsi="Times New Roman" w:cs="Times New Roman" w:eastAsiaTheme="minorEastAsia"/>
          <w:caps w:val="0"/>
          <w:smallCaps w:val="0"/>
          <w:color w:val="auto"/>
          <w:spacing w:val="0"/>
          <w:w w:val="100"/>
          <w:position w:val="0"/>
          <w:highlight w:val="none"/>
          <w:lang w:val="en-US" w:eastAsia="zh-CN"/>
        </w:rPr>
        <w:t>废弃</w:t>
      </w:r>
      <w:r>
        <w:rPr>
          <w:rFonts w:hint="eastAsia" w:ascii="Times New Roman" w:hAnsi="Times New Roman" w:cs="Times New Roman" w:eastAsiaTheme="minorEastAsia"/>
          <w:caps w:val="0"/>
          <w:smallCaps w:val="0"/>
          <w:color w:val="auto"/>
          <w:spacing w:val="0"/>
          <w:w w:val="100"/>
          <w:position w:val="0"/>
          <w:highlight w:val="none"/>
        </w:rPr>
        <w:t>管线两端进行封堵后直埋于地下，不再挖出。</w:t>
      </w:r>
    </w:p>
    <w:p w14:paraId="69FF5FAA">
      <w:pPr>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hint="eastAsia" w:ascii="Times New Roman" w:hAnsi="Times New Roman" w:cs="Times New Roman" w:eastAsiaTheme="minorEastAsia"/>
          <w:caps w:val="0"/>
          <w:smallCaps w:val="0"/>
          <w:color w:val="auto"/>
          <w:spacing w:val="0"/>
          <w:w w:val="100"/>
          <w:position w:val="0"/>
          <w:highlight w:val="none"/>
        </w:rPr>
        <w:t>废弃输油管道处理流程</w:t>
      </w:r>
      <w:r>
        <w:rPr>
          <w:rFonts w:ascii="Times New Roman" w:hAnsi="Times New Roman" w:cs="Times New Roman" w:eastAsiaTheme="minorEastAsia"/>
          <w:caps w:val="0"/>
          <w:smallCaps w:val="0"/>
          <w:color w:val="auto"/>
          <w:spacing w:val="0"/>
          <w:w w:val="100"/>
          <w:position w:val="0"/>
          <w:highlight w:val="none"/>
        </w:rPr>
        <w:t>见图3.6-1。</w:t>
      </w:r>
    </w:p>
    <w:p w14:paraId="6446D4CE">
      <w:pPr>
        <w:widowControl w:val="0"/>
        <w:autoSpaceDE w:val="0"/>
        <w:autoSpaceDN w:val="0"/>
        <w:adjustRightInd w:val="0"/>
        <w:snapToGrid w:val="0"/>
        <w:spacing w:before="120" w:beforeLines="50"/>
        <w:jc w:val="center"/>
        <w:rPr>
          <w:rFonts w:ascii="Times New Roman" w:hAnsi="Times New Roman" w:cs="Times New Roman"/>
          <w:caps w:val="0"/>
          <w:smallCaps w:val="0"/>
          <w:snapToGrid w:val="0"/>
          <w:color w:val="auto"/>
          <w:spacing w:val="0"/>
          <w:w w:val="100"/>
          <w:position w:val="0"/>
          <w:highlight w:val="none"/>
        </w:rPr>
      </w:pPr>
      <w:r>
        <w:rPr>
          <w:caps w:val="0"/>
          <w:smallCaps w:val="0"/>
          <w:color w:val="auto"/>
          <w:spacing w:val="0"/>
          <w:w w:val="100"/>
          <w:position w:val="0"/>
          <w:highlight w:val="none"/>
        </w:rPr>
        <w:drawing>
          <wp:inline distT="0" distB="0" distL="0" distR="0">
            <wp:extent cx="3303905" cy="2774315"/>
            <wp:effectExtent l="0" t="0" r="10795" b="6985"/>
            <wp:docPr id="4" name="IM 18"/>
            <wp:cNvGraphicFramePr/>
            <a:graphic xmlns:a="http://schemas.openxmlformats.org/drawingml/2006/main">
              <a:graphicData uri="http://schemas.openxmlformats.org/drawingml/2006/picture">
                <pic:pic xmlns:pic="http://schemas.openxmlformats.org/drawingml/2006/picture">
                  <pic:nvPicPr>
                    <pic:cNvPr id="4" name="IM 18"/>
                    <pic:cNvPicPr/>
                  </pic:nvPicPr>
                  <pic:blipFill>
                    <a:blip r:embed="rId24"/>
                    <a:stretch>
                      <a:fillRect/>
                    </a:stretch>
                  </pic:blipFill>
                  <pic:spPr>
                    <a:xfrm>
                      <a:off x="0" y="0"/>
                      <a:ext cx="3303905" cy="2774315"/>
                    </a:xfrm>
                    <a:prstGeom prst="rect">
                      <a:avLst/>
                    </a:prstGeom>
                  </pic:spPr>
                </pic:pic>
              </a:graphicData>
            </a:graphic>
          </wp:inline>
        </w:drawing>
      </w:r>
    </w:p>
    <w:p w14:paraId="7FA8539E">
      <w:pPr>
        <w:widowControl w:val="0"/>
        <w:spacing w:line="440" w:lineRule="exact"/>
        <w:jc w:val="center"/>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 xml:space="preserve">图3.6-1    </w:t>
      </w:r>
      <w:r>
        <w:rPr>
          <w:rFonts w:hint="eastAsia" w:ascii="Times New Roman" w:hAnsi="Times New Roman" w:cs="Times New Roman"/>
          <w:b/>
          <w:caps w:val="0"/>
          <w:smallCaps w:val="0"/>
          <w:color w:val="auto"/>
          <w:spacing w:val="0"/>
          <w:w w:val="100"/>
          <w:kern w:val="2"/>
          <w:position w:val="0"/>
          <w:highlight w:val="none"/>
        </w:rPr>
        <w:t>废弃</w:t>
      </w:r>
      <w:r>
        <w:rPr>
          <w:rFonts w:ascii="Times New Roman" w:hAnsi="Times New Roman" w:cs="Times New Roman"/>
          <w:b/>
          <w:caps w:val="0"/>
          <w:smallCaps w:val="0"/>
          <w:color w:val="auto"/>
          <w:spacing w:val="0"/>
          <w:w w:val="100"/>
          <w:kern w:val="2"/>
          <w:position w:val="0"/>
          <w:highlight w:val="none"/>
        </w:rPr>
        <w:t>管道处理流程图</w:t>
      </w:r>
    </w:p>
    <w:p w14:paraId="5A54175A">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3.6.2一般管道施工</w:t>
      </w:r>
    </w:p>
    <w:p w14:paraId="23C26073">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管道施工过程为先清理作业线路场地，然后开挖管沟，再组焊管道、下沟管道，特殊地段根据实际情况合理穿插各工序。管沟开挖以机械开挖为主，施工完毕清理现场、恢复地貌。管道施工建设过程见图3.6-3。</w:t>
      </w:r>
    </w:p>
    <w:p w14:paraId="6602434D">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管道作业带宽度为10m，管道埋深2m。施工作业带清理采用挖沟机、推土机扫线，人工配合清理。防腐管由工厂预制，采用专用管拖车拉运现场连接。管沟开挖采用挖掘机等机械及人工辅助清理完成。回填完的管沟进行压实、整形。管道安装完成后，经检验合格，应进行压力和严密性试验，本工程试压采用清水进行试压。</w:t>
      </w:r>
    </w:p>
    <w:p w14:paraId="0EA75CAF">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工艺管线施工技术要求及验收均按国家标准《工业金属管道工程施工及验收标准》(GB50235-2010)、《现场设备、工业管道焊接工程施工及验收规范》 (GB50236-98)、《油气田集输管道施工规范》（GB50819-2013）以及有关国家及行业标准执行。</w:t>
      </w:r>
    </w:p>
    <w:p w14:paraId="5EB1A006">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管道施工作业断面见图3.6-4，管道开挖施工平面布置示意图见图3.6-5。</w:t>
      </w:r>
    </w:p>
    <w:p w14:paraId="616B51F5">
      <w:pPr>
        <w:widowControl w:val="0"/>
        <w:autoSpaceDE w:val="0"/>
        <w:autoSpaceDN w:val="0"/>
        <w:jc w:val="center"/>
        <w:rPr>
          <w:rFonts w:ascii="Times New Roman" w:hAnsi="Times New Roman" w:cs="Times New Roman" w:eastAsiaTheme="minorEastAsia"/>
          <w:caps w:val="0"/>
          <w:smallCaps w:val="0"/>
          <w:color w:val="auto"/>
          <w:spacing w:val="0"/>
          <w:w w:val="100"/>
          <w:position w:val="0"/>
          <w:highlight w:val="none"/>
        </w:rPr>
      </w:pPr>
      <w:r>
        <w:rPr>
          <w:caps w:val="0"/>
          <w:smallCaps w:val="0"/>
          <w:color w:val="auto"/>
          <w:spacing w:val="0"/>
          <w:w w:val="100"/>
          <w:position w:val="0"/>
          <w:highlight w:val="none"/>
        </w:rPr>
        <w:drawing>
          <wp:inline distT="0" distB="0" distL="0" distR="0">
            <wp:extent cx="4429760" cy="3923665"/>
            <wp:effectExtent l="0" t="0" r="8890" b="635"/>
            <wp:docPr id="19" name="IM 20"/>
            <wp:cNvGraphicFramePr/>
            <a:graphic xmlns:a="http://schemas.openxmlformats.org/drawingml/2006/main">
              <a:graphicData uri="http://schemas.openxmlformats.org/drawingml/2006/picture">
                <pic:pic xmlns:pic="http://schemas.openxmlformats.org/drawingml/2006/picture">
                  <pic:nvPicPr>
                    <pic:cNvPr id="19" name="IM 20"/>
                    <pic:cNvPicPr/>
                  </pic:nvPicPr>
                  <pic:blipFill>
                    <a:blip r:embed="rId25"/>
                    <a:stretch>
                      <a:fillRect/>
                    </a:stretch>
                  </pic:blipFill>
                  <pic:spPr>
                    <a:xfrm>
                      <a:off x="0" y="0"/>
                      <a:ext cx="4429760" cy="3923665"/>
                    </a:xfrm>
                    <a:prstGeom prst="rect">
                      <a:avLst/>
                    </a:prstGeom>
                  </pic:spPr>
                </pic:pic>
              </a:graphicData>
            </a:graphic>
          </wp:inline>
        </w:drawing>
      </w:r>
    </w:p>
    <w:p w14:paraId="5EC8B47B">
      <w:pPr>
        <w:widowControl w:val="0"/>
        <w:spacing w:line="440" w:lineRule="exact"/>
        <w:jc w:val="center"/>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图3.6-3    管道施工建设过程</w:t>
      </w:r>
    </w:p>
    <w:p w14:paraId="16B64339">
      <w:pPr>
        <w:pStyle w:val="102"/>
        <w:rPr>
          <w:rFonts w:eastAsiaTheme="minorEastAsia"/>
          <w:caps w:val="0"/>
          <w:smallCaps w:val="0"/>
          <w:color w:val="auto"/>
          <w:spacing w:val="0"/>
          <w:w w:val="100"/>
          <w:position w:val="0"/>
          <w:highlight w:val="none"/>
        </w:rPr>
      </w:pPr>
      <w:r>
        <w:rPr>
          <w:rFonts w:eastAsiaTheme="minorEastAsia"/>
          <w:caps w:val="0"/>
          <w:smallCaps w:val="0"/>
          <w:color w:val="auto"/>
          <w:spacing w:val="0"/>
          <w:w w:val="100"/>
          <w:position w:val="0"/>
          <w:highlight w:val="none"/>
        </w:rPr>
        <w:drawing>
          <wp:inline distT="0" distB="0" distL="0" distR="0">
            <wp:extent cx="4468495" cy="1285240"/>
            <wp:effectExtent l="0" t="0" r="8255"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图片 5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468495" cy="1285240"/>
                    </a:xfrm>
                    <a:prstGeom prst="rect">
                      <a:avLst/>
                    </a:prstGeom>
                    <a:noFill/>
                    <a:ln>
                      <a:noFill/>
                    </a:ln>
                  </pic:spPr>
                </pic:pic>
              </a:graphicData>
            </a:graphic>
          </wp:inline>
        </w:drawing>
      </w:r>
    </w:p>
    <w:p w14:paraId="1FA3EBBB">
      <w:pPr>
        <w:widowControl w:val="0"/>
        <w:spacing w:line="440" w:lineRule="exact"/>
        <w:jc w:val="center"/>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图3.6-4    管道施工作业断面图</w:t>
      </w:r>
    </w:p>
    <w:p w14:paraId="7815EEE3">
      <w:pPr>
        <w:pStyle w:val="102"/>
        <w:spacing w:line="240" w:lineRule="auto"/>
        <w:rPr>
          <w:rFonts w:eastAsiaTheme="minorEastAsia"/>
          <w:caps w:val="0"/>
          <w:smallCaps w:val="0"/>
          <w:color w:val="auto"/>
          <w:spacing w:val="0"/>
          <w:w w:val="100"/>
          <w:position w:val="0"/>
          <w:highlight w:val="none"/>
        </w:rPr>
      </w:pPr>
      <w:r>
        <w:rPr>
          <w:rFonts w:eastAsiaTheme="minorEastAsia"/>
          <w:caps w:val="0"/>
          <w:smallCaps w:val="0"/>
          <w:color w:val="auto"/>
          <w:spacing w:val="0"/>
          <w:w w:val="100"/>
          <w:position w:val="0"/>
          <w:highlight w:val="none"/>
        </w:rPr>
        <w:drawing>
          <wp:inline distT="0" distB="0" distL="0" distR="0">
            <wp:extent cx="4297680" cy="1692910"/>
            <wp:effectExtent l="0" t="0" r="7620" b="2540"/>
            <wp:docPr id="840" name="图片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图片 840"/>
                    <pic:cNvPicPr>
                      <a:picLocks noChangeAspect="1"/>
                    </pic:cNvPicPr>
                  </pic:nvPicPr>
                  <pic:blipFill>
                    <a:blip r:embed="rId27"/>
                    <a:stretch>
                      <a:fillRect/>
                    </a:stretch>
                  </pic:blipFill>
                  <pic:spPr>
                    <a:xfrm>
                      <a:off x="0" y="0"/>
                      <a:ext cx="4326138" cy="1704323"/>
                    </a:xfrm>
                    <a:prstGeom prst="rect">
                      <a:avLst/>
                    </a:prstGeom>
                  </pic:spPr>
                </pic:pic>
              </a:graphicData>
            </a:graphic>
          </wp:inline>
        </w:drawing>
      </w:r>
    </w:p>
    <w:p w14:paraId="3A3ACFF4">
      <w:pPr>
        <w:widowControl w:val="0"/>
        <w:spacing w:line="440" w:lineRule="exact"/>
        <w:jc w:val="center"/>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图3.6-</w:t>
      </w:r>
      <w:bookmarkStart w:id="500" w:name="OLE_LINK25"/>
      <w:r>
        <w:rPr>
          <w:rFonts w:ascii="Times New Roman" w:hAnsi="Times New Roman" w:cs="Times New Roman"/>
          <w:b/>
          <w:caps w:val="0"/>
          <w:smallCaps w:val="0"/>
          <w:color w:val="auto"/>
          <w:spacing w:val="0"/>
          <w:w w:val="100"/>
          <w:kern w:val="2"/>
          <w:position w:val="0"/>
          <w:highlight w:val="none"/>
        </w:rPr>
        <w:t>5    管道开挖施工平面布置</w:t>
      </w:r>
      <w:bookmarkEnd w:id="500"/>
      <w:r>
        <w:rPr>
          <w:rFonts w:ascii="Times New Roman" w:hAnsi="Times New Roman" w:cs="Times New Roman"/>
          <w:b/>
          <w:caps w:val="0"/>
          <w:smallCaps w:val="0"/>
          <w:color w:val="auto"/>
          <w:spacing w:val="0"/>
          <w:w w:val="100"/>
          <w:kern w:val="2"/>
          <w:position w:val="0"/>
          <w:highlight w:val="none"/>
        </w:rPr>
        <w:t>示意图</w:t>
      </w:r>
    </w:p>
    <w:p w14:paraId="4245B18A">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3.6.3管道穿越施工</w:t>
      </w:r>
    </w:p>
    <w:p w14:paraId="6C3C8F3E">
      <w:pPr>
        <w:widowControl w:val="0"/>
        <w:autoSpaceDE w:val="0"/>
        <w:autoSpaceDN w:val="0"/>
        <w:spacing w:line="440" w:lineRule="exact"/>
        <w:ind w:firstLine="480" w:firstLineChars="200"/>
        <w:jc w:val="both"/>
        <w:rPr>
          <w:rFonts w:hint="default" w:ascii="Times New Roman" w:hAnsi="Times New Roman" w:cs="Times New Roman"/>
          <w:caps w:val="0"/>
          <w:smallCaps w:val="0"/>
          <w:color w:val="auto"/>
          <w:spacing w:val="0"/>
          <w:w w:val="100"/>
          <w:position w:val="0"/>
          <w:highlight w:val="none"/>
          <w:lang w:val="en-US" w:eastAsia="zh-CN"/>
        </w:rPr>
      </w:pPr>
      <w:r>
        <w:rPr>
          <w:rFonts w:ascii="Times New Roman" w:hAnsi="Times New Roman" w:cs="Times New Roman"/>
          <w:caps w:val="0"/>
          <w:smallCaps w:val="0"/>
          <w:color w:val="auto"/>
          <w:spacing w:val="0"/>
          <w:w w:val="100"/>
          <w:position w:val="0"/>
          <w:highlight w:val="none"/>
        </w:rPr>
        <w:t>本项目</w:t>
      </w:r>
      <w:r>
        <w:rPr>
          <w:rFonts w:hint="eastAsia" w:ascii="Times New Roman" w:hAnsi="Times New Roman" w:cs="Times New Roman"/>
          <w:caps w:val="0"/>
          <w:smallCaps w:val="0"/>
          <w:color w:val="auto"/>
          <w:spacing w:val="0"/>
          <w:w w:val="100"/>
          <w:position w:val="0"/>
          <w:highlight w:val="none"/>
          <w:lang w:val="en-US" w:eastAsia="zh-CN"/>
        </w:rPr>
        <w:t>28</w:t>
      </w:r>
      <w:r>
        <w:rPr>
          <w:rFonts w:ascii="Times New Roman" w:hAnsi="Times New Roman" w:cs="Times New Roman"/>
          <w:caps w:val="0"/>
          <w:smallCaps w:val="0"/>
          <w:color w:val="auto"/>
          <w:spacing w:val="0"/>
          <w:w w:val="100"/>
          <w:position w:val="0"/>
          <w:highlight w:val="none"/>
        </w:rPr>
        <w:t>处管道穿越</w:t>
      </w:r>
      <w:r>
        <w:rPr>
          <w:rFonts w:hint="eastAsia" w:ascii="Times New Roman" w:hAnsi="Times New Roman" w:cs="Times New Roman"/>
          <w:caps w:val="0"/>
          <w:smallCaps w:val="0"/>
          <w:color w:val="auto"/>
          <w:spacing w:val="0"/>
          <w:w w:val="100"/>
          <w:position w:val="0"/>
          <w:highlight w:val="none"/>
          <w:lang w:val="en-US" w:eastAsia="zh-CN"/>
        </w:rPr>
        <w:t>公路</w:t>
      </w:r>
      <w:r>
        <w:rPr>
          <w:rFonts w:ascii="Times New Roman" w:hAnsi="Times New Roman" w:cs="Times New Roman"/>
          <w:caps w:val="0"/>
          <w:smallCaps w:val="0"/>
          <w:color w:val="auto"/>
          <w:spacing w:val="0"/>
          <w:w w:val="100"/>
          <w:position w:val="0"/>
          <w:highlight w:val="none"/>
        </w:rPr>
        <w:t>，</w:t>
      </w:r>
      <w:r>
        <w:rPr>
          <w:rFonts w:hint="eastAsia" w:ascii="Times New Roman" w:hAnsi="Times New Roman" w:cs="Times New Roman"/>
          <w:caps w:val="0"/>
          <w:smallCaps w:val="0"/>
          <w:color w:val="auto"/>
          <w:spacing w:val="0"/>
          <w:w w:val="100"/>
          <w:position w:val="0"/>
          <w:highlight w:val="none"/>
          <w:lang w:val="en-US" w:eastAsia="zh-CN"/>
        </w:rPr>
        <w:t>其中定向钻穿越24处、</w:t>
      </w:r>
      <w:r>
        <w:rPr>
          <w:rFonts w:hint="eastAsia" w:ascii="Times New Roman" w:hAnsi="Times New Roman" w:cs="Times New Roman" w:eastAsiaTheme="minorEastAsia"/>
          <w:caps w:val="0"/>
          <w:smallCaps w:val="0"/>
          <w:color w:val="auto"/>
          <w:spacing w:val="0"/>
          <w:w w:val="100"/>
          <w:position w:val="0"/>
          <w:highlight w:val="none"/>
          <w:lang w:val="en-US" w:eastAsia="zh-CN" w:bidi="zh-CN"/>
        </w:rPr>
        <w:t>钢开穿越4处。</w:t>
      </w:r>
    </w:p>
    <w:p w14:paraId="08942E5A">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hint="eastAsia" w:ascii="Times New Roman" w:hAnsi="Times New Roman" w:cs="Times New Roman"/>
          <w:caps w:val="0"/>
          <w:smallCaps w:val="0"/>
          <w:color w:val="auto"/>
          <w:spacing w:val="0"/>
          <w:w w:val="100"/>
          <w:position w:val="0"/>
          <w:highlight w:val="none"/>
          <w:lang w:val="en-US" w:eastAsia="zh-CN"/>
        </w:rPr>
        <w:t>定向钻</w:t>
      </w:r>
      <w:r>
        <w:rPr>
          <w:rFonts w:ascii="Times New Roman" w:hAnsi="Times New Roman" w:cs="Times New Roman"/>
          <w:caps w:val="0"/>
          <w:smallCaps w:val="0"/>
          <w:color w:val="auto"/>
          <w:spacing w:val="0"/>
          <w:w w:val="100"/>
          <w:position w:val="0"/>
          <w:highlight w:val="none"/>
        </w:rPr>
        <w:t>施工方式：首先用泥浆通过钻杆推动钻头旋转破土前进，按照设计的管道穿越曲线钻导向孔。当钻杆进尺达十余根时，开始下冲洗管，并使钻杆与冲洗管交替钻进。在钻进过程中，随时通过控向装置掌握钻头所处位置，通过调整弯管壳的方向，使导向孔符合设计曲线。导向孔完成和冲洗管出土后，钻杆全部抽回，在冲洗管出土端，连接上切削刀、扩孔器、旋转接头和已预制好的管道，然后开始连续回拖，即在扩孔器扩孔的同时，将钻台上的卡盘向上移动，拉动扩孔器和管道前进，管道就逐渐地被敷设在扩大的孔中，直至管端在入土点露出，完成管道的穿越。</w:t>
      </w:r>
    </w:p>
    <w:p w14:paraId="35A220D5">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cs="Times New Roman" w:eastAsiaTheme="minorEastAsia"/>
          <w:caps w:val="0"/>
          <w:smallCaps w:val="0"/>
          <w:color w:val="auto"/>
          <w:spacing w:val="0"/>
          <w:w w:val="100"/>
          <w:position w:val="0"/>
          <w:highlight w:val="none"/>
          <w:lang w:val="en-US" w:eastAsia="zh-CN" w:bidi="zh-CN"/>
        </w:rPr>
      </w:pPr>
      <w:r>
        <w:rPr>
          <w:rFonts w:hint="eastAsia" w:ascii="Times New Roman" w:hAnsi="Times New Roman" w:cs="Times New Roman" w:eastAsiaTheme="minorEastAsia"/>
          <w:caps w:val="0"/>
          <w:smallCaps w:val="0"/>
          <w:color w:val="auto"/>
          <w:spacing w:val="0"/>
          <w:w w:val="100"/>
          <w:position w:val="0"/>
          <w:highlight w:val="none"/>
          <w:lang w:val="en-US" w:eastAsia="zh-CN" w:bidi="zh-CN"/>
        </w:rPr>
        <w:t>本项目定向钻穿越施工需在公路两侧分别设置钻机场地（入土点）和回托管场地（出土点），钻机场地及回托管场地的总占地面积 3000m</w:t>
      </w:r>
      <w:r>
        <w:rPr>
          <w:rFonts w:hint="eastAsia" w:ascii="Times New Roman" w:hAnsi="Times New Roman" w:cs="Times New Roman" w:eastAsiaTheme="minorEastAsia"/>
          <w:caps w:val="0"/>
          <w:smallCaps w:val="0"/>
          <w:color w:val="auto"/>
          <w:spacing w:val="0"/>
          <w:w w:val="100"/>
          <w:position w:val="0"/>
          <w:highlight w:val="none"/>
          <w:vertAlign w:val="superscript"/>
          <w:lang w:val="en-US" w:eastAsia="zh-CN" w:bidi="zh-CN"/>
        </w:rPr>
        <w:t>2</w:t>
      </w:r>
      <w:r>
        <w:rPr>
          <w:rFonts w:hint="eastAsia" w:ascii="Times New Roman" w:hAnsi="Times New Roman" w:cs="Times New Roman" w:eastAsiaTheme="minorEastAsia"/>
          <w:caps w:val="0"/>
          <w:smallCaps w:val="0"/>
          <w:color w:val="auto"/>
          <w:spacing w:val="0"/>
          <w:w w:val="100"/>
          <w:position w:val="0"/>
          <w:highlight w:val="none"/>
          <w:lang w:val="en-US" w:eastAsia="zh-CN" w:bidi="zh-CN"/>
        </w:rPr>
        <w:t xml:space="preserve"> 。定向钻施工中泥浆起护壁、润滑、冷却和冲洗钻头、清扫土屑、传递动力等作用，成份一般主要为膨润土和清水、少量的添加剂（羧甲基纤维素钠CMC）等，无毒及无有害成分，项目在定向钻施工期间通过螺旋泵把回扩孔中的泥浆回收到防渗泥浆池（5m×3m×2m）中，经泥浆配置区内装的泥浆净化与回收装置处理后，泥浆循环使用，有效降低了泥浆的使用量，在一定程度上提高了泥浆使用率。施工结束后，防渗泥浆池铺设的高密度聚乙烯膜回收循环使用。定向钻穿越施工过程示意图见图 3.6-6。</w:t>
      </w:r>
    </w:p>
    <w:p w14:paraId="7461A88B">
      <w:pPr>
        <w:pStyle w:val="31"/>
        <w:jc w:val="center"/>
        <w:rPr>
          <w:rFonts w:ascii="Times New Roman" w:hAnsi="Times New Roman"/>
          <w:caps w:val="0"/>
          <w:smallCaps w:val="0"/>
          <w:color w:val="auto"/>
          <w:spacing w:val="0"/>
          <w:w w:val="100"/>
          <w:position w:val="0"/>
          <w:highlight w:val="none"/>
        </w:rPr>
      </w:pPr>
      <w:r>
        <w:rPr>
          <w:caps w:val="0"/>
          <w:smallCaps w:val="0"/>
          <w:color w:val="auto"/>
          <w:spacing w:val="0"/>
          <w:w w:val="100"/>
          <w:position w:val="0"/>
          <w:highlight w:val="none"/>
        </w:rPr>
        <w:drawing>
          <wp:inline distT="0" distB="0" distL="0" distR="0">
            <wp:extent cx="5292725" cy="1402080"/>
            <wp:effectExtent l="0" t="0" r="3175" b="7620"/>
            <wp:docPr id="43" name="IM 22"/>
            <wp:cNvGraphicFramePr/>
            <a:graphic xmlns:a="http://schemas.openxmlformats.org/drawingml/2006/main">
              <a:graphicData uri="http://schemas.openxmlformats.org/drawingml/2006/picture">
                <pic:pic xmlns:pic="http://schemas.openxmlformats.org/drawingml/2006/picture">
                  <pic:nvPicPr>
                    <pic:cNvPr id="43" name="IM 22"/>
                    <pic:cNvPicPr/>
                  </pic:nvPicPr>
                  <pic:blipFill>
                    <a:blip r:embed="rId28"/>
                    <a:stretch>
                      <a:fillRect/>
                    </a:stretch>
                  </pic:blipFill>
                  <pic:spPr>
                    <a:xfrm>
                      <a:off x="0" y="0"/>
                      <a:ext cx="5292852" cy="1402080"/>
                    </a:xfrm>
                    <a:prstGeom prst="rect">
                      <a:avLst/>
                    </a:prstGeom>
                  </pic:spPr>
                </pic:pic>
              </a:graphicData>
            </a:graphic>
          </wp:inline>
        </w:drawing>
      </w:r>
    </w:p>
    <w:p w14:paraId="7A0088CD">
      <w:pPr>
        <w:spacing w:line="440" w:lineRule="exact"/>
        <w:jc w:val="center"/>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 xml:space="preserve">图3.6-6    </w:t>
      </w:r>
      <w:r>
        <w:rPr>
          <w:rFonts w:hint="eastAsia" w:ascii="Times New Roman" w:hAnsi="Times New Roman" w:cs="Times New Roman"/>
          <w:b/>
          <w:bCs/>
          <w:caps w:val="0"/>
          <w:smallCaps w:val="0"/>
          <w:color w:val="auto"/>
          <w:spacing w:val="0"/>
          <w:w w:val="100"/>
          <w:kern w:val="2"/>
          <w:position w:val="0"/>
          <w:highlight w:val="none"/>
          <w:lang w:val="en-US" w:eastAsia="zh-CN"/>
        </w:rPr>
        <w:t>定向钻</w:t>
      </w:r>
      <w:r>
        <w:rPr>
          <w:rFonts w:ascii="Times New Roman" w:hAnsi="Times New Roman" w:cs="Times New Roman"/>
          <w:b/>
          <w:bCs/>
          <w:caps w:val="0"/>
          <w:smallCaps w:val="0"/>
          <w:color w:val="auto"/>
          <w:spacing w:val="0"/>
          <w:w w:val="100"/>
          <w:kern w:val="2"/>
          <w:position w:val="0"/>
          <w:highlight w:val="none"/>
        </w:rPr>
        <w:t>施工示意图</w:t>
      </w:r>
    </w:p>
    <w:p w14:paraId="0BAD3381">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ascii="Times New Roman" w:hAnsi="Times New Roman" w:cs="Times New Roman" w:eastAsiaTheme="minorEastAsia"/>
          <w:caps w:val="0"/>
          <w:smallCaps w:val="0"/>
          <w:color w:val="auto"/>
          <w:spacing w:val="0"/>
          <w:w w:val="100"/>
          <w:position w:val="0"/>
          <w:highlight w:val="none"/>
        </w:rPr>
      </w:pPr>
      <w:r>
        <w:rPr>
          <w:rFonts w:hint="eastAsia" w:ascii="Times New Roman" w:hAnsi="Times New Roman" w:cs="Times New Roman" w:eastAsiaTheme="minorEastAsia"/>
          <w:caps w:val="0"/>
          <w:smallCaps w:val="0"/>
          <w:color w:val="auto"/>
          <w:spacing w:val="0"/>
          <w:w w:val="100"/>
          <w:position w:val="0"/>
          <w:highlight w:val="none"/>
          <w:lang w:val="en-US" w:eastAsia="zh-CN" w:bidi="zh-CN"/>
        </w:rPr>
        <w:t>钢开</w:t>
      </w:r>
      <w:r>
        <w:rPr>
          <w:rFonts w:ascii="Times New Roman" w:hAnsi="Times New Roman" w:cs="Times New Roman"/>
          <w:caps w:val="0"/>
          <w:smallCaps w:val="0"/>
          <w:color w:val="auto"/>
          <w:spacing w:val="0"/>
          <w:w w:val="100"/>
          <w:position w:val="0"/>
          <w:highlight w:val="none"/>
        </w:rPr>
        <w:t>施工方式：</w:t>
      </w:r>
      <w:r>
        <w:rPr>
          <w:rFonts w:ascii="Times New Roman" w:hAnsi="Times New Roman" w:cs="Times New Roman" w:eastAsiaTheme="minorEastAsia"/>
          <w:caps w:val="0"/>
          <w:smallCaps w:val="0"/>
          <w:color w:val="auto"/>
          <w:spacing w:val="0"/>
          <w:w w:val="100"/>
          <w:position w:val="0"/>
          <w:highlight w:val="none"/>
          <w:lang w:val="en-US" w:eastAsia="zh-CN"/>
        </w:rPr>
        <w:t>钢开穿越即为大开挖方式。管沟开挖时，首先将两侧的管沟挖出，最后再破道路，路面开挖要尽量将路面的破坏降到最小限度，穿越管道下沟后，立即进行回填，回填时分层夯实，按原有道路标准恢复，防止塌陷，该过程不产生弃土。</w:t>
      </w:r>
    </w:p>
    <w:p w14:paraId="185BFFF0">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501" w:name="_Toc219900385"/>
      <w:r>
        <w:rPr>
          <w:rFonts w:ascii="Times New Roman" w:hAnsi="Times New Roman" w:eastAsiaTheme="minorEastAsia"/>
          <w:b/>
          <w:caps w:val="0"/>
          <w:smallCaps w:val="0"/>
          <w:snapToGrid w:val="0"/>
          <w:color w:val="auto"/>
          <w:spacing w:val="0"/>
          <w:w w:val="100"/>
          <w:position w:val="0"/>
          <w:highlight w:val="none"/>
        </w:rPr>
        <w:t>3.7施工进度及时序</w:t>
      </w:r>
      <w:bookmarkEnd w:id="501"/>
    </w:p>
    <w:p w14:paraId="70B6D596">
      <w:pPr>
        <w:widowControl w:val="0"/>
        <w:spacing w:line="50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bCs/>
          <w:caps w:val="0"/>
          <w:smallCaps w:val="0"/>
          <w:snapToGrid w:val="0"/>
          <w:color w:val="auto"/>
          <w:spacing w:val="0"/>
          <w:w w:val="100"/>
          <w:position w:val="0"/>
          <w:highlight w:val="none"/>
        </w:rPr>
        <w:t>本项目计划施工期为2026年</w:t>
      </w:r>
      <w:r>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t>9</w:t>
      </w:r>
      <w:r>
        <w:rPr>
          <w:rFonts w:ascii="Times New Roman" w:hAnsi="Times New Roman" w:cs="Times New Roman" w:eastAsiaTheme="minorEastAsia"/>
          <w:bCs/>
          <w:caps w:val="0"/>
          <w:smallCaps w:val="0"/>
          <w:snapToGrid w:val="0"/>
          <w:color w:val="auto"/>
          <w:spacing w:val="0"/>
          <w:w w:val="100"/>
          <w:position w:val="0"/>
          <w:highlight w:val="none"/>
        </w:rPr>
        <w:t>月至2026年</w:t>
      </w:r>
      <w:r>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t>11</w:t>
      </w:r>
      <w:r>
        <w:rPr>
          <w:rFonts w:ascii="Times New Roman" w:hAnsi="Times New Roman" w:cs="Times New Roman" w:eastAsiaTheme="minorEastAsia"/>
          <w:bCs/>
          <w:caps w:val="0"/>
          <w:smallCaps w:val="0"/>
          <w:snapToGrid w:val="0"/>
          <w:color w:val="auto"/>
          <w:spacing w:val="0"/>
          <w:w w:val="100"/>
          <w:position w:val="0"/>
          <w:highlight w:val="none"/>
        </w:rPr>
        <w:t>月，施工约</w:t>
      </w:r>
      <w:r>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t>6</w:t>
      </w:r>
      <w:r>
        <w:rPr>
          <w:rFonts w:ascii="Times New Roman" w:hAnsi="Times New Roman" w:cs="Times New Roman" w:eastAsiaTheme="minorEastAsia"/>
          <w:bCs/>
          <w:caps w:val="0"/>
          <w:smallCaps w:val="0"/>
          <w:snapToGrid w:val="0"/>
          <w:color w:val="auto"/>
          <w:spacing w:val="0"/>
          <w:w w:val="100"/>
          <w:position w:val="0"/>
          <w:highlight w:val="none"/>
        </w:rPr>
        <w:t>0d</w:t>
      </w:r>
      <w:r>
        <w:rPr>
          <w:rFonts w:ascii="Times New Roman" w:hAnsi="Times New Roman" w:cs="Times New Roman" w:eastAsiaTheme="minorEastAsia"/>
          <w:caps w:val="0"/>
          <w:smallCaps w:val="0"/>
          <w:color w:val="auto"/>
          <w:spacing w:val="0"/>
          <w:w w:val="100"/>
          <w:position w:val="0"/>
          <w:highlight w:val="none"/>
        </w:rPr>
        <w:t>。</w:t>
      </w:r>
    </w:p>
    <w:p w14:paraId="0D8E49E3">
      <w:pPr>
        <w:pStyle w:val="4"/>
        <w:keepNext w:val="0"/>
        <w:keepLines w:val="0"/>
        <w:widowControl w:val="0"/>
        <w:rPr>
          <w:rFonts w:ascii="Times New Roman" w:hAnsi="Times New Roman"/>
          <w:b/>
          <w:caps w:val="0"/>
          <w:smallCaps w:val="0"/>
          <w:snapToGrid w:val="0"/>
          <w:color w:val="auto"/>
          <w:spacing w:val="0"/>
          <w:w w:val="100"/>
          <w:position w:val="0"/>
          <w:highlight w:val="none"/>
        </w:rPr>
      </w:pPr>
      <w:bookmarkStart w:id="502" w:name="_Toc74812330"/>
      <w:bookmarkStart w:id="503" w:name="_Toc219900386"/>
      <w:r>
        <w:rPr>
          <w:rFonts w:ascii="Times New Roman" w:hAnsi="Times New Roman"/>
          <w:b/>
          <w:caps w:val="0"/>
          <w:smallCaps w:val="0"/>
          <w:snapToGrid w:val="0"/>
          <w:color w:val="auto"/>
          <w:spacing w:val="0"/>
          <w:w w:val="100"/>
          <w:position w:val="0"/>
          <w:highlight w:val="none"/>
        </w:rPr>
        <w:t>3.</w:t>
      </w:r>
      <w:bookmarkEnd w:id="502"/>
      <w:r>
        <w:rPr>
          <w:rFonts w:ascii="Times New Roman" w:hAnsi="Times New Roman"/>
          <w:b/>
          <w:caps w:val="0"/>
          <w:smallCaps w:val="0"/>
          <w:snapToGrid w:val="0"/>
          <w:color w:val="auto"/>
          <w:spacing w:val="0"/>
          <w:w w:val="100"/>
          <w:position w:val="0"/>
          <w:highlight w:val="none"/>
        </w:rPr>
        <w:t>8设备及物料消耗</w:t>
      </w:r>
      <w:bookmarkEnd w:id="503"/>
    </w:p>
    <w:p w14:paraId="05D4B423">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504" w:name="_Toc186444294"/>
      <w:r>
        <w:rPr>
          <w:rFonts w:eastAsiaTheme="minorEastAsia"/>
          <w:b/>
          <w:caps w:val="0"/>
          <w:smallCaps w:val="0"/>
          <w:color w:val="auto"/>
          <w:spacing w:val="0"/>
          <w:w w:val="100"/>
          <w:kern w:val="2"/>
          <w:position w:val="0"/>
          <w:sz w:val="24"/>
          <w:szCs w:val="24"/>
          <w:highlight w:val="none"/>
        </w:rPr>
        <w:t>3.8.1设备</w:t>
      </w:r>
      <w:bookmarkEnd w:id="504"/>
    </w:p>
    <w:p w14:paraId="17068B2D">
      <w:pPr>
        <w:widowControl w:val="0"/>
        <w:spacing w:line="440" w:lineRule="exact"/>
        <w:ind w:firstLine="480" w:firstLineChars="200"/>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本项目主要设备见表3.8-1。</w:t>
      </w:r>
    </w:p>
    <w:p w14:paraId="3A2E4765">
      <w:pPr>
        <w:widowControl w:val="0"/>
        <w:spacing w:line="440" w:lineRule="exact"/>
        <w:ind w:firstLine="482" w:firstLineChars="200"/>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b/>
          <w:caps w:val="0"/>
          <w:smallCaps w:val="0"/>
          <w:color w:val="auto"/>
          <w:spacing w:val="0"/>
          <w:w w:val="100"/>
          <w:position w:val="0"/>
          <w:highlight w:val="none"/>
        </w:rPr>
        <w:t>表3.8-1    本项目施工期主要设备表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29"/>
        <w:gridCol w:w="3148"/>
        <w:gridCol w:w="2547"/>
        <w:gridCol w:w="2710"/>
      </w:tblGrid>
      <w:tr w14:paraId="1373B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0FEB7184">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序号</w:t>
            </w:r>
          </w:p>
        </w:tc>
        <w:tc>
          <w:tcPr>
            <w:tcW w:w="1651" w:type="pct"/>
            <w:vAlign w:val="center"/>
          </w:tcPr>
          <w:p w14:paraId="22FE8D1B">
            <w:pPr>
              <w:widowControl w:val="0"/>
              <w:adjustRightInd w:val="0"/>
              <w:snapToGrid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设备</w:t>
            </w:r>
          </w:p>
        </w:tc>
        <w:tc>
          <w:tcPr>
            <w:tcW w:w="1336" w:type="pct"/>
            <w:vAlign w:val="center"/>
          </w:tcPr>
          <w:p w14:paraId="445C547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数量</w:t>
            </w:r>
          </w:p>
        </w:tc>
        <w:tc>
          <w:tcPr>
            <w:tcW w:w="1421" w:type="pct"/>
            <w:vAlign w:val="center"/>
          </w:tcPr>
          <w:p w14:paraId="3F7CB999">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单位</w:t>
            </w:r>
          </w:p>
        </w:tc>
      </w:tr>
      <w:tr w14:paraId="1DA8B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419B9F13">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w:t>
            </w:r>
          </w:p>
        </w:tc>
        <w:tc>
          <w:tcPr>
            <w:tcW w:w="1651" w:type="pct"/>
            <w:vAlign w:val="center"/>
          </w:tcPr>
          <w:p w14:paraId="4274D41B">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挖掘机</w:t>
            </w:r>
          </w:p>
        </w:tc>
        <w:tc>
          <w:tcPr>
            <w:tcW w:w="1336" w:type="pct"/>
            <w:vAlign w:val="center"/>
          </w:tcPr>
          <w:p w14:paraId="75B8C7DD">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w:t>
            </w:r>
          </w:p>
        </w:tc>
        <w:tc>
          <w:tcPr>
            <w:tcW w:w="1421" w:type="pct"/>
            <w:vAlign w:val="center"/>
          </w:tcPr>
          <w:p w14:paraId="47519B3F">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台</w:t>
            </w:r>
          </w:p>
        </w:tc>
      </w:tr>
      <w:tr w14:paraId="59351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380BE021">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w:t>
            </w:r>
          </w:p>
        </w:tc>
        <w:tc>
          <w:tcPr>
            <w:tcW w:w="1651" w:type="pct"/>
            <w:vAlign w:val="center"/>
          </w:tcPr>
          <w:p w14:paraId="116077B9">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推土机</w:t>
            </w:r>
          </w:p>
        </w:tc>
        <w:tc>
          <w:tcPr>
            <w:tcW w:w="1336" w:type="pct"/>
            <w:vAlign w:val="center"/>
          </w:tcPr>
          <w:p w14:paraId="11C5EA55">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w:t>
            </w:r>
          </w:p>
        </w:tc>
        <w:tc>
          <w:tcPr>
            <w:tcW w:w="1421" w:type="pct"/>
            <w:vAlign w:val="center"/>
          </w:tcPr>
          <w:p w14:paraId="5CAB3129">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台</w:t>
            </w:r>
          </w:p>
        </w:tc>
      </w:tr>
      <w:tr w14:paraId="24A5B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4239580D">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w:t>
            </w:r>
          </w:p>
        </w:tc>
        <w:tc>
          <w:tcPr>
            <w:tcW w:w="1651" w:type="pct"/>
            <w:vAlign w:val="center"/>
          </w:tcPr>
          <w:p w14:paraId="54F81550">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顶管机</w:t>
            </w:r>
          </w:p>
        </w:tc>
        <w:tc>
          <w:tcPr>
            <w:tcW w:w="1336" w:type="pct"/>
            <w:vAlign w:val="center"/>
          </w:tcPr>
          <w:p w14:paraId="16E2F39C">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w:t>
            </w:r>
          </w:p>
        </w:tc>
        <w:tc>
          <w:tcPr>
            <w:tcW w:w="1421" w:type="pct"/>
            <w:vAlign w:val="center"/>
          </w:tcPr>
          <w:p w14:paraId="1B3E855B">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台</w:t>
            </w:r>
          </w:p>
        </w:tc>
      </w:tr>
      <w:tr w14:paraId="2B64E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549F838F">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w:t>
            </w:r>
          </w:p>
        </w:tc>
        <w:tc>
          <w:tcPr>
            <w:tcW w:w="1651" w:type="pct"/>
            <w:vAlign w:val="center"/>
          </w:tcPr>
          <w:p w14:paraId="61CA71D5">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吊管机</w:t>
            </w:r>
          </w:p>
        </w:tc>
        <w:tc>
          <w:tcPr>
            <w:tcW w:w="1336" w:type="pct"/>
            <w:vAlign w:val="center"/>
          </w:tcPr>
          <w:p w14:paraId="38F0D12A">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w:t>
            </w:r>
          </w:p>
        </w:tc>
        <w:tc>
          <w:tcPr>
            <w:tcW w:w="1421" w:type="pct"/>
            <w:vAlign w:val="center"/>
          </w:tcPr>
          <w:p w14:paraId="31F6AD5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台</w:t>
            </w:r>
          </w:p>
        </w:tc>
      </w:tr>
      <w:tr w14:paraId="53494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36AA30CE">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5</w:t>
            </w:r>
          </w:p>
        </w:tc>
        <w:tc>
          <w:tcPr>
            <w:tcW w:w="1651" w:type="pct"/>
            <w:vAlign w:val="center"/>
          </w:tcPr>
          <w:p w14:paraId="5EE811E9">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切割机</w:t>
            </w:r>
          </w:p>
        </w:tc>
        <w:tc>
          <w:tcPr>
            <w:tcW w:w="1336" w:type="pct"/>
            <w:vAlign w:val="center"/>
          </w:tcPr>
          <w:p w14:paraId="5FA9F56B">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1</w:t>
            </w:r>
          </w:p>
        </w:tc>
        <w:tc>
          <w:tcPr>
            <w:tcW w:w="1421" w:type="pct"/>
            <w:vAlign w:val="center"/>
          </w:tcPr>
          <w:p w14:paraId="4936EE44">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台</w:t>
            </w:r>
          </w:p>
        </w:tc>
      </w:tr>
      <w:tr w14:paraId="176DE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44EB0E85">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6</w:t>
            </w:r>
          </w:p>
        </w:tc>
        <w:tc>
          <w:tcPr>
            <w:tcW w:w="1651" w:type="pct"/>
            <w:vAlign w:val="center"/>
          </w:tcPr>
          <w:p w14:paraId="478CE95D">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电焊机</w:t>
            </w:r>
          </w:p>
        </w:tc>
        <w:tc>
          <w:tcPr>
            <w:tcW w:w="1336" w:type="pct"/>
            <w:vAlign w:val="center"/>
          </w:tcPr>
          <w:p w14:paraId="1439C196">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w:t>
            </w:r>
          </w:p>
        </w:tc>
        <w:tc>
          <w:tcPr>
            <w:tcW w:w="1421" w:type="pct"/>
            <w:vAlign w:val="center"/>
          </w:tcPr>
          <w:p w14:paraId="6E88ED79">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台</w:t>
            </w:r>
          </w:p>
        </w:tc>
      </w:tr>
      <w:tr w14:paraId="0E208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03835CF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7</w:t>
            </w:r>
          </w:p>
        </w:tc>
        <w:tc>
          <w:tcPr>
            <w:tcW w:w="1651" w:type="pct"/>
            <w:vAlign w:val="center"/>
          </w:tcPr>
          <w:p w14:paraId="7F2243AC">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运输车辆</w:t>
            </w:r>
          </w:p>
        </w:tc>
        <w:tc>
          <w:tcPr>
            <w:tcW w:w="1336" w:type="pct"/>
            <w:vAlign w:val="center"/>
          </w:tcPr>
          <w:p w14:paraId="03AE3818">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w:t>
            </w:r>
          </w:p>
        </w:tc>
        <w:tc>
          <w:tcPr>
            <w:tcW w:w="1421" w:type="pct"/>
            <w:vAlign w:val="center"/>
          </w:tcPr>
          <w:p w14:paraId="5C37033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台</w:t>
            </w:r>
          </w:p>
        </w:tc>
      </w:tr>
    </w:tbl>
    <w:p w14:paraId="7F68C172">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505" w:name="_Toc186444295"/>
      <w:r>
        <w:rPr>
          <w:rFonts w:eastAsiaTheme="minorEastAsia"/>
          <w:b/>
          <w:caps w:val="0"/>
          <w:smallCaps w:val="0"/>
          <w:color w:val="auto"/>
          <w:spacing w:val="0"/>
          <w:w w:val="100"/>
          <w:kern w:val="2"/>
          <w:position w:val="0"/>
          <w:sz w:val="24"/>
          <w:szCs w:val="24"/>
          <w:highlight w:val="none"/>
        </w:rPr>
        <w:t>3.8.2物料消耗</w:t>
      </w:r>
      <w:bookmarkEnd w:id="505"/>
    </w:p>
    <w:p w14:paraId="228A373A">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（1）生活用水</w:t>
      </w:r>
    </w:p>
    <w:p w14:paraId="38F0CB6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由公用工程可知，</w:t>
      </w:r>
      <w:r>
        <w:rPr>
          <w:rFonts w:ascii="Times New Roman" w:hAnsi="Times New Roman" w:cs="Times New Roman" w:eastAsiaTheme="minorEastAsia"/>
          <w:caps w:val="0"/>
          <w:smallCaps w:val="0"/>
          <w:color w:val="auto"/>
          <w:spacing w:val="0"/>
          <w:w w:val="100"/>
          <w:kern w:val="2"/>
          <w:position w:val="0"/>
          <w:highlight w:val="none"/>
        </w:rPr>
        <w:t>本项目</w:t>
      </w:r>
      <w:r>
        <w:rPr>
          <w:rFonts w:ascii="Times New Roman" w:hAnsi="Times New Roman" w:cs="Times New Roman" w:eastAsiaTheme="minorEastAsia"/>
          <w:caps w:val="0"/>
          <w:smallCaps w:val="0"/>
          <w:color w:val="auto"/>
          <w:spacing w:val="0"/>
          <w:w w:val="100"/>
          <w:kern w:val="21"/>
          <w:position w:val="0"/>
          <w:highlight w:val="none"/>
        </w:rPr>
        <w:t>生活用水</w:t>
      </w:r>
      <w:r>
        <w:rPr>
          <w:rFonts w:ascii="Times New Roman" w:hAnsi="Times New Roman" w:cs="Times New Roman" w:eastAsiaTheme="minorEastAsia"/>
          <w:caps w:val="0"/>
          <w:smallCaps w:val="0"/>
          <w:color w:val="auto"/>
          <w:spacing w:val="0"/>
          <w:w w:val="100"/>
          <w:kern w:val="2"/>
          <w:position w:val="0"/>
          <w:highlight w:val="none"/>
        </w:rPr>
        <w:t>消耗总量为</w:t>
      </w:r>
      <w:r>
        <w:rPr>
          <w:rFonts w:hint="eastAsia" w:ascii="Times New Roman" w:hAnsi="Times New Roman" w:cs="Times New Roman" w:eastAsiaTheme="minorEastAsia"/>
          <w:caps w:val="0"/>
          <w:smallCaps w:val="0"/>
          <w:color w:val="auto"/>
          <w:spacing w:val="0"/>
          <w:w w:val="100"/>
          <w:kern w:val="2"/>
          <w:position w:val="0"/>
          <w:highlight w:val="none"/>
          <w:lang w:val="en-US" w:eastAsia="zh-CN"/>
        </w:rPr>
        <w:t>144.</w:t>
      </w:r>
      <w:r>
        <w:rPr>
          <w:rFonts w:ascii="Times New Roman" w:hAnsi="Times New Roman" w:cs="Times New Roman" w:eastAsiaTheme="minorEastAsia"/>
          <w:caps w:val="0"/>
          <w:smallCaps w:val="0"/>
          <w:color w:val="auto"/>
          <w:spacing w:val="0"/>
          <w:w w:val="100"/>
          <w:kern w:val="2"/>
          <w:position w:val="0"/>
          <w:highlight w:val="none"/>
        </w:rPr>
        <w:t>2m</w:t>
      </w:r>
      <w:r>
        <w:rPr>
          <w:rFonts w:ascii="Times New Roman" w:hAnsi="Times New Roman" w:cs="Times New Roman" w:eastAsiaTheme="minorEastAsia"/>
          <w:caps w:val="0"/>
          <w:smallCaps w:val="0"/>
          <w:color w:val="auto"/>
          <w:spacing w:val="0"/>
          <w:w w:val="100"/>
          <w:kern w:val="2"/>
          <w:position w:val="0"/>
          <w:highlight w:val="none"/>
          <w:vertAlign w:val="superscript"/>
        </w:rPr>
        <w:t>3</w:t>
      </w:r>
      <w:r>
        <w:rPr>
          <w:rFonts w:ascii="Times New Roman" w:hAnsi="Times New Roman" w:cs="Times New Roman" w:eastAsiaTheme="minorEastAsia"/>
          <w:caps w:val="0"/>
          <w:smallCaps w:val="0"/>
          <w:color w:val="auto"/>
          <w:spacing w:val="0"/>
          <w:w w:val="100"/>
          <w:kern w:val="2"/>
          <w:position w:val="0"/>
          <w:highlight w:val="none"/>
        </w:rPr>
        <w:t>。</w:t>
      </w:r>
    </w:p>
    <w:p w14:paraId="6871E3F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（2）管线试压用水</w:t>
      </w:r>
    </w:p>
    <w:p w14:paraId="374497F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
          <w:position w:val="0"/>
          <w:highlight w:val="none"/>
        </w:rPr>
        <w:t>由公用工程可知，本项目管线试压用水消耗总量为</w:t>
      </w:r>
      <w:r>
        <w:rPr>
          <w:rFonts w:hint="eastAsia" w:ascii="Times New Roman" w:hAnsi="Times New Roman" w:cs="Times New Roman" w:eastAsiaTheme="minorEastAsia"/>
          <w:bCs/>
          <w:caps w:val="0"/>
          <w:smallCaps w:val="0"/>
          <w:color w:val="auto"/>
          <w:spacing w:val="0"/>
          <w:w w:val="100"/>
          <w:kern w:val="2"/>
          <w:position w:val="0"/>
          <w:highlight w:val="none"/>
          <w:lang w:val="en-US" w:eastAsia="zh-CN"/>
        </w:rPr>
        <w:t>95.6</w:t>
      </w:r>
      <w:r>
        <w:rPr>
          <w:rFonts w:ascii="Times New Roman" w:hAnsi="Times New Roman" w:cs="Times New Roman" w:eastAsiaTheme="minorEastAsia"/>
          <w:bCs/>
          <w:caps w:val="0"/>
          <w:smallCaps w:val="0"/>
          <w:color w:val="auto"/>
          <w:spacing w:val="0"/>
          <w:w w:val="100"/>
          <w:kern w:val="2"/>
          <w:position w:val="0"/>
          <w:highlight w:val="none"/>
        </w:rPr>
        <w:t>m</w:t>
      </w:r>
      <w:r>
        <w:rPr>
          <w:rFonts w:ascii="Times New Roman" w:hAnsi="Times New Roman" w:cs="Times New Roman" w:eastAsiaTheme="minorEastAsia"/>
          <w:bCs/>
          <w:caps w:val="0"/>
          <w:smallCaps w:val="0"/>
          <w:color w:val="auto"/>
          <w:spacing w:val="0"/>
          <w:w w:val="100"/>
          <w:kern w:val="2"/>
          <w:position w:val="0"/>
          <w:highlight w:val="none"/>
          <w:vertAlign w:val="superscript"/>
        </w:rPr>
        <w:t>3</w:t>
      </w:r>
      <w:r>
        <w:rPr>
          <w:rFonts w:ascii="Times New Roman" w:hAnsi="Times New Roman" w:cs="Times New Roman" w:eastAsiaTheme="minorEastAsia"/>
          <w:bCs/>
          <w:caps w:val="0"/>
          <w:smallCaps w:val="0"/>
          <w:color w:val="auto"/>
          <w:spacing w:val="0"/>
          <w:w w:val="100"/>
          <w:kern w:val="2"/>
          <w:position w:val="0"/>
          <w:highlight w:val="none"/>
        </w:rPr>
        <w:t>。</w:t>
      </w:r>
    </w:p>
    <w:p w14:paraId="1E39B71F">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w:t>
      </w:r>
      <w:r>
        <w:rPr>
          <w:rFonts w:hint="eastAsia" w:ascii="Times New Roman" w:hAnsi="Times New Roman" w:cs="Times New Roman" w:eastAsiaTheme="minorEastAsia"/>
          <w:caps w:val="0"/>
          <w:smallCaps w:val="0"/>
          <w:color w:val="auto"/>
          <w:spacing w:val="0"/>
          <w:w w:val="100"/>
          <w:kern w:val="21"/>
          <w:position w:val="0"/>
          <w:highlight w:val="none"/>
        </w:rPr>
        <w:t>3</w:t>
      </w:r>
      <w:r>
        <w:rPr>
          <w:rFonts w:ascii="Times New Roman" w:hAnsi="Times New Roman" w:cs="Times New Roman" w:eastAsiaTheme="minorEastAsia"/>
          <w:caps w:val="0"/>
          <w:smallCaps w:val="0"/>
          <w:color w:val="auto"/>
          <w:spacing w:val="0"/>
          <w:w w:val="100"/>
          <w:kern w:val="21"/>
          <w:position w:val="0"/>
          <w:highlight w:val="none"/>
        </w:rPr>
        <w:t>）废弃管道清洗用水</w:t>
      </w:r>
    </w:p>
    <w:p w14:paraId="1BF466B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由公用工程可知，本项目废弃管道清洗用水消耗总量为</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286.7</w:t>
      </w:r>
      <w:r>
        <w:rPr>
          <w:rFonts w:ascii="Times New Roman" w:hAnsi="Times New Roman" w:cs="Times New Roman" w:eastAsiaTheme="minorEastAsia"/>
          <w:bCs/>
          <w:caps w:val="0"/>
          <w:smallCaps w:val="0"/>
          <w:color w:val="auto"/>
          <w:spacing w:val="0"/>
          <w:w w:val="100"/>
          <w:kern w:val="21"/>
          <w:position w:val="0"/>
          <w:highlight w:val="none"/>
        </w:rPr>
        <w:t>m</w:t>
      </w:r>
      <w:r>
        <w:rPr>
          <w:rFonts w:ascii="Times New Roman" w:hAnsi="Times New Roman" w:cs="Times New Roman" w:eastAsiaTheme="minorEastAsia"/>
          <w:bCs/>
          <w:caps w:val="0"/>
          <w:smallCaps w:val="0"/>
          <w:color w:val="auto"/>
          <w:spacing w:val="0"/>
          <w:w w:val="100"/>
          <w:kern w:val="21"/>
          <w:position w:val="0"/>
          <w:highlight w:val="none"/>
          <w:vertAlign w:val="superscript"/>
        </w:rPr>
        <w:t>3</w:t>
      </w:r>
      <w:r>
        <w:rPr>
          <w:rFonts w:ascii="Times New Roman" w:hAnsi="Times New Roman" w:cs="Times New Roman" w:eastAsiaTheme="minorEastAsia"/>
          <w:bCs/>
          <w:caps w:val="0"/>
          <w:smallCaps w:val="0"/>
          <w:color w:val="auto"/>
          <w:spacing w:val="0"/>
          <w:w w:val="100"/>
          <w:kern w:val="21"/>
          <w:position w:val="0"/>
          <w:highlight w:val="none"/>
        </w:rPr>
        <w:t>。</w:t>
      </w:r>
    </w:p>
    <w:p w14:paraId="02558179">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w:t>
      </w:r>
      <w:r>
        <w:rPr>
          <w:rFonts w:hint="eastAsia" w:ascii="Times New Roman" w:hAnsi="Times New Roman" w:cs="Times New Roman" w:eastAsiaTheme="minorEastAsia"/>
          <w:caps w:val="0"/>
          <w:smallCaps w:val="0"/>
          <w:color w:val="auto"/>
          <w:spacing w:val="0"/>
          <w:w w:val="100"/>
          <w:kern w:val="21"/>
          <w:position w:val="0"/>
          <w:highlight w:val="none"/>
        </w:rPr>
        <w:t>4</w:t>
      </w:r>
      <w:r>
        <w:rPr>
          <w:rFonts w:ascii="Times New Roman" w:hAnsi="Times New Roman" w:cs="Times New Roman" w:eastAsiaTheme="minorEastAsia"/>
          <w:caps w:val="0"/>
          <w:smallCaps w:val="0"/>
          <w:color w:val="auto"/>
          <w:spacing w:val="0"/>
          <w:w w:val="100"/>
          <w:kern w:val="21"/>
          <w:position w:val="0"/>
          <w:highlight w:val="none"/>
        </w:rPr>
        <w:t>）焊材用量</w:t>
      </w:r>
    </w:p>
    <w:p w14:paraId="381695C9">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根据设计方案，本项目使用药芯焊丝焊接管道，利用二氧化碳气体做为保护气体，</w:t>
      </w:r>
      <w:r>
        <w:rPr>
          <w:rFonts w:hint="eastAsia" w:ascii="Times New Roman" w:hAnsi="Times New Roman" w:cs="Times New Roman" w:eastAsiaTheme="minorEastAsia"/>
          <w:caps w:val="0"/>
          <w:smallCaps w:val="0"/>
          <w:color w:val="auto"/>
          <w:spacing w:val="0"/>
          <w:w w:val="100"/>
          <w:kern w:val="21"/>
          <w:position w:val="0"/>
          <w:highlight w:val="none"/>
        </w:rPr>
        <w:t>焊</w:t>
      </w:r>
      <w:r>
        <w:rPr>
          <w:rFonts w:ascii="Times New Roman" w:hAnsi="Times New Roman" w:cs="Times New Roman" w:eastAsiaTheme="minorEastAsia"/>
          <w:caps w:val="0"/>
          <w:smallCaps w:val="0"/>
          <w:color w:val="auto"/>
          <w:spacing w:val="0"/>
          <w:w w:val="100"/>
          <w:kern w:val="21"/>
          <w:position w:val="0"/>
          <w:highlight w:val="none"/>
        </w:rPr>
        <w:t>丝用量为</w:t>
      </w:r>
      <w:r>
        <w:rPr>
          <w:rFonts w:hint="eastAsia" w:ascii="Times New Roman" w:hAnsi="Times New Roman" w:cs="Times New Roman" w:eastAsiaTheme="minorEastAsia"/>
          <w:caps w:val="0"/>
          <w:smallCaps w:val="0"/>
          <w:color w:val="auto"/>
          <w:spacing w:val="0"/>
          <w:w w:val="100"/>
          <w:kern w:val="21"/>
          <w:position w:val="0"/>
          <w:highlight w:val="none"/>
        </w:rPr>
        <w:t>0.</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4</w:t>
      </w:r>
      <w:r>
        <w:rPr>
          <w:rFonts w:ascii="Times New Roman" w:hAnsi="Times New Roman" w:cs="Times New Roman" w:eastAsiaTheme="minorEastAsia"/>
          <w:caps w:val="0"/>
          <w:smallCaps w:val="0"/>
          <w:color w:val="auto"/>
          <w:spacing w:val="0"/>
          <w:w w:val="100"/>
          <w:kern w:val="21"/>
          <w:position w:val="0"/>
          <w:highlight w:val="none"/>
        </w:rPr>
        <w:t>t</w:t>
      </w:r>
      <w:r>
        <w:rPr>
          <w:rFonts w:hint="eastAsia" w:ascii="Times New Roman" w:hAnsi="Times New Roman" w:cs="Times New Roman" w:eastAsiaTheme="minorEastAsia"/>
          <w:caps w:val="0"/>
          <w:smallCaps w:val="0"/>
          <w:color w:val="auto"/>
          <w:spacing w:val="0"/>
          <w:w w:val="100"/>
          <w:kern w:val="21"/>
          <w:position w:val="0"/>
          <w:highlight w:val="none"/>
        </w:rPr>
        <w:t>，焊条用量0.</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8</w:t>
      </w:r>
      <w:r>
        <w:rPr>
          <w:rFonts w:hint="eastAsia" w:ascii="Times New Roman" w:hAnsi="Times New Roman" w:cs="Times New Roman" w:eastAsiaTheme="minorEastAsia"/>
          <w:caps w:val="0"/>
          <w:smallCaps w:val="0"/>
          <w:color w:val="auto"/>
          <w:spacing w:val="0"/>
          <w:w w:val="100"/>
          <w:kern w:val="21"/>
          <w:position w:val="0"/>
          <w:highlight w:val="none"/>
        </w:rPr>
        <w:t>t</w:t>
      </w:r>
      <w:r>
        <w:rPr>
          <w:rFonts w:ascii="Times New Roman" w:hAnsi="Times New Roman" w:cs="Times New Roman" w:eastAsiaTheme="minorEastAsia"/>
          <w:caps w:val="0"/>
          <w:smallCaps w:val="0"/>
          <w:color w:val="auto"/>
          <w:spacing w:val="0"/>
          <w:w w:val="100"/>
          <w:kern w:val="21"/>
          <w:position w:val="0"/>
          <w:highlight w:val="none"/>
        </w:rPr>
        <w:t>。</w:t>
      </w:r>
    </w:p>
    <w:p w14:paraId="11E9838B">
      <w:pPr>
        <w:widowControl w:val="0"/>
        <w:spacing w:line="440" w:lineRule="exact"/>
        <w:ind w:firstLine="480" w:firstLineChars="200"/>
        <w:jc w:val="both"/>
        <w:rPr>
          <w:rFonts w:hint="eastAsia" w:ascii="Times New Roman" w:hAnsi="Times New Roman" w:cs="Times New Roman" w:eastAsiaTheme="minorEastAsia"/>
          <w:caps w:val="0"/>
          <w:smallCaps w:val="0"/>
          <w:color w:val="auto"/>
          <w:spacing w:val="0"/>
          <w:w w:val="100"/>
          <w:position w:val="0"/>
          <w:highlight w:val="none"/>
          <w:lang w:val="en-US" w:eastAsia="zh-CN"/>
        </w:rPr>
      </w:pPr>
      <w:r>
        <w:rPr>
          <w:rFonts w:hint="eastAsia" w:ascii="Times New Roman" w:hAnsi="Times New Roman" w:cs="Times New Roman" w:eastAsiaTheme="minorEastAsia"/>
          <w:caps w:val="0"/>
          <w:smallCaps w:val="0"/>
          <w:color w:val="auto"/>
          <w:spacing w:val="0"/>
          <w:w w:val="100"/>
          <w:position w:val="0"/>
          <w:highlight w:val="none"/>
          <w:lang w:eastAsia="zh-CN"/>
        </w:rPr>
        <w:t>（</w:t>
      </w:r>
      <w:r>
        <w:rPr>
          <w:rFonts w:hint="eastAsia" w:ascii="Times New Roman" w:hAnsi="Times New Roman" w:cs="Times New Roman" w:eastAsiaTheme="minorEastAsia"/>
          <w:caps w:val="0"/>
          <w:smallCaps w:val="0"/>
          <w:color w:val="auto"/>
          <w:spacing w:val="0"/>
          <w:w w:val="100"/>
          <w:position w:val="0"/>
          <w:highlight w:val="none"/>
          <w:lang w:val="en-US" w:eastAsia="zh-CN"/>
        </w:rPr>
        <w:t>5</w:t>
      </w:r>
      <w:r>
        <w:rPr>
          <w:rFonts w:hint="eastAsia" w:ascii="Times New Roman" w:hAnsi="Times New Roman" w:cs="Times New Roman" w:eastAsiaTheme="minorEastAsia"/>
          <w:caps w:val="0"/>
          <w:smallCaps w:val="0"/>
          <w:color w:val="auto"/>
          <w:spacing w:val="0"/>
          <w:w w:val="100"/>
          <w:position w:val="0"/>
          <w:highlight w:val="none"/>
          <w:lang w:eastAsia="zh-CN"/>
        </w:rPr>
        <w:t>）</w:t>
      </w:r>
      <w:r>
        <w:rPr>
          <w:rFonts w:hint="eastAsia" w:ascii="Times New Roman" w:hAnsi="Times New Roman" w:cs="Times New Roman" w:eastAsiaTheme="minorEastAsia"/>
          <w:caps w:val="0"/>
          <w:smallCaps w:val="0"/>
          <w:color w:val="auto"/>
          <w:spacing w:val="0"/>
          <w:w w:val="100"/>
          <w:position w:val="0"/>
          <w:highlight w:val="none"/>
          <w:lang w:val="en-US" w:eastAsia="zh-CN"/>
        </w:rPr>
        <w:t>泥浆用量</w:t>
      </w:r>
    </w:p>
    <w:p w14:paraId="37E9C1ED">
      <w:pPr>
        <w:widowControl w:val="0"/>
        <w:spacing w:line="440" w:lineRule="exact"/>
        <w:ind w:firstLine="480" w:firstLineChars="200"/>
        <w:jc w:val="both"/>
        <w:rPr>
          <w:rFonts w:hint="eastAsia" w:ascii="Times New Roman" w:hAnsi="Times New Roman" w:cs="Times New Roman" w:eastAsiaTheme="minorEastAsia"/>
          <w:caps w:val="0"/>
          <w:smallCaps w:val="0"/>
          <w:color w:val="auto"/>
          <w:spacing w:val="0"/>
          <w:w w:val="100"/>
          <w:position w:val="0"/>
          <w:highlight w:val="none"/>
          <w:lang w:val="en-US" w:eastAsia="zh-CN"/>
        </w:rPr>
      </w:pPr>
      <w:r>
        <w:rPr>
          <w:rFonts w:hint="eastAsia" w:ascii="Times New Roman" w:hAnsi="Times New Roman" w:cs="Times New Roman" w:eastAsiaTheme="minorEastAsia"/>
          <w:caps w:val="0"/>
          <w:smallCaps w:val="0"/>
          <w:color w:val="auto"/>
          <w:spacing w:val="0"/>
          <w:w w:val="100"/>
          <w:position w:val="0"/>
          <w:highlight w:val="none"/>
          <w:lang w:val="en-US" w:eastAsia="zh-CN"/>
        </w:rPr>
        <w:t>定向钻泥浆用量=钻孔容积×扩孔系数×循环损耗系数，式中：钻孔容积=π（钻孔半径）2×穿越长度；钻孔直径=套管直径×1.3；扩孔系数通常取2.0~3.0，本次取2.5；循环损耗系数通常取1.2~1.5，本次取1.3。</w:t>
      </w:r>
    </w:p>
    <w:p w14:paraId="00134320">
      <w:pPr>
        <w:widowControl w:val="0"/>
        <w:spacing w:line="440" w:lineRule="exact"/>
        <w:ind w:firstLine="480" w:firstLineChars="200"/>
        <w:jc w:val="both"/>
        <w:rPr>
          <w:rFonts w:hint="eastAsia" w:ascii="Times New Roman" w:hAnsi="Times New Roman" w:cs="Times New Roman" w:eastAsiaTheme="minorEastAsia"/>
          <w:caps w:val="0"/>
          <w:smallCaps w:val="0"/>
          <w:color w:val="auto"/>
          <w:spacing w:val="0"/>
          <w:w w:val="100"/>
          <w:position w:val="0"/>
          <w:highlight w:val="none"/>
          <w:lang w:val="en-US" w:eastAsia="zh-CN"/>
        </w:rPr>
      </w:pPr>
      <w:r>
        <w:rPr>
          <w:rFonts w:hint="eastAsia" w:ascii="Times New Roman" w:hAnsi="Times New Roman" w:cs="Times New Roman" w:eastAsiaTheme="minorEastAsia"/>
          <w:caps w:val="0"/>
          <w:smallCaps w:val="0"/>
          <w:color w:val="auto"/>
          <w:spacing w:val="0"/>
          <w:w w:val="100"/>
          <w:position w:val="0"/>
          <w:highlight w:val="none"/>
          <w:lang w:val="en-US" w:eastAsia="zh-CN"/>
        </w:rPr>
        <w:t>本项目定向钻穿越道路24处，其中套管尺寸DN400、L=16m共计穿越2处，套管尺寸DN300、L=16m共计穿越13处，套管尺寸DN250、L=16m共计穿越9处，因此根据上述计算，本项目泥浆用量为100.8m</w:t>
      </w:r>
      <w:r>
        <w:rPr>
          <w:rFonts w:hint="eastAsia" w:ascii="Times New Roman" w:hAnsi="Times New Roman" w:cs="Times New Roman" w:eastAsiaTheme="minorEastAsia"/>
          <w:caps w:val="0"/>
          <w:smallCaps w:val="0"/>
          <w:color w:val="auto"/>
          <w:spacing w:val="0"/>
          <w:w w:val="100"/>
          <w:position w:val="0"/>
          <w:highlight w:val="none"/>
          <w:vertAlign w:val="superscript"/>
          <w:lang w:val="en-US" w:eastAsia="zh-CN"/>
        </w:rPr>
        <w:t>3</w:t>
      </w:r>
      <w:r>
        <w:rPr>
          <w:rFonts w:hint="eastAsia" w:ascii="Times New Roman" w:hAnsi="Times New Roman" w:cs="Times New Roman" w:eastAsiaTheme="minorEastAsia"/>
          <w:caps w:val="0"/>
          <w:smallCaps w:val="0"/>
          <w:color w:val="auto"/>
          <w:spacing w:val="0"/>
          <w:w w:val="100"/>
          <w:position w:val="0"/>
          <w:highlight w:val="none"/>
          <w:lang w:val="en-US" w:eastAsia="zh-CN"/>
        </w:rPr>
        <w:t>。</w:t>
      </w:r>
    </w:p>
    <w:p w14:paraId="13A6CAF9">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本工程主要消耗物料具体见下表：</w:t>
      </w:r>
    </w:p>
    <w:p w14:paraId="1E632417">
      <w:pPr>
        <w:widowControl w:val="0"/>
        <w:spacing w:line="440" w:lineRule="exact"/>
        <w:ind w:firstLine="482"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表3.8-2    本工程主要物料消耗</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6"/>
        <w:gridCol w:w="954"/>
        <w:gridCol w:w="1773"/>
        <w:gridCol w:w="2528"/>
        <w:gridCol w:w="1542"/>
        <w:gridCol w:w="1931"/>
      </w:tblGrid>
      <w:tr w14:paraId="30816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423" w:type="pct"/>
            <w:vAlign w:val="center"/>
          </w:tcPr>
          <w:p w14:paraId="0943331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序号</w:t>
            </w:r>
          </w:p>
        </w:tc>
        <w:tc>
          <w:tcPr>
            <w:tcW w:w="500" w:type="pct"/>
            <w:vAlign w:val="center"/>
          </w:tcPr>
          <w:p w14:paraId="4A6CCD9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时期</w:t>
            </w:r>
          </w:p>
        </w:tc>
        <w:tc>
          <w:tcPr>
            <w:tcW w:w="929" w:type="pct"/>
            <w:vAlign w:val="center"/>
          </w:tcPr>
          <w:p w14:paraId="660695E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项目</w:t>
            </w:r>
          </w:p>
        </w:tc>
        <w:tc>
          <w:tcPr>
            <w:tcW w:w="1325" w:type="pct"/>
            <w:vAlign w:val="center"/>
          </w:tcPr>
          <w:p w14:paraId="7BA1B07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原辅材料</w:t>
            </w:r>
          </w:p>
        </w:tc>
        <w:tc>
          <w:tcPr>
            <w:tcW w:w="808" w:type="pct"/>
            <w:vAlign w:val="center"/>
          </w:tcPr>
          <w:p w14:paraId="1FC70F3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用量</w:t>
            </w:r>
          </w:p>
        </w:tc>
        <w:tc>
          <w:tcPr>
            <w:tcW w:w="1012" w:type="pct"/>
          </w:tcPr>
          <w:p w14:paraId="6B02637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来源</w:t>
            </w:r>
          </w:p>
        </w:tc>
      </w:tr>
      <w:tr w14:paraId="54679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02BD84A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w:t>
            </w:r>
          </w:p>
        </w:tc>
        <w:tc>
          <w:tcPr>
            <w:tcW w:w="500" w:type="pct"/>
            <w:vMerge w:val="restart"/>
            <w:vAlign w:val="center"/>
          </w:tcPr>
          <w:p w14:paraId="0B555DC8">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施工期</w:t>
            </w:r>
          </w:p>
        </w:tc>
        <w:tc>
          <w:tcPr>
            <w:tcW w:w="929" w:type="pct"/>
            <w:vAlign w:val="center"/>
          </w:tcPr>
          <w:p w14:paraId="6371EED3">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办公生活</w:t>
            </w:r>
          </w:p>
        </w:tc>
        <w:tc>
          <w:tcPr>
            <w:tcW w:w="1325" w:type="pct"/>
            <w:vAlign w:val="center"/>
          </w:tcPr>
          <w:p w14:paraId="399923E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生活用水</w:t>
            </w:r>
            <w:r>
              <w:rPr>
                <w:rFonts w:ascii="Times New Roman" w:hAnsi="Times New Roman" w:cs="Times New Roman" w:eastAsiaTheme="minorEastAsia"/>
                <w:caps w:val="0"/>
                <w:smallCaps w:val="0"/>
                <w:color w:val="auto"/>
                <w:spacing w:val="0"/>
                <w:w w:val="100"/>
                <w:position w:val="0"/>
                <w:sz w:val="21"/>
                <w:szCs w:val="21"/>
                <w:highlight w:val="none"/>
              </w:rPr>
              <w:t>（m</w:t>
            </w:r>
            <w:r>
              <w:rPr>
                <w:rFonts w:ascii="Times New Roman" w:hAnsi="Times New Roman" w:cs="Times New Roman" w:eastAsiaTheme="minorEastAsia"/>
                <w:caps w:val="0"/>
                <w:smallCaps w:val="0"/>
                <w:color w:val="auto"/>
                <w:spacing w:val="0"/>
                <w:w w:val="100"/>
                <w:position w:val="0"/>
                <w:sz w:val="21"/>
                <w:szCs w:val="21"/>
                <w:highlight w:val="none"/>
                <w:vertAlign w:val="superscript"/>
              </w:rPr>
              <w:t>3</w:t>
            </w:r>
            <w:r>
              <w:rPr>
                <w:rFonts w:ascii="Times New Roman" w:hAnsi="Times New Roman" w:cs="Times New Roman" w:eastAsiaTheme="minorEastAsia"/>
                <w:caps w:val="0"/>
                <w:smallCaps w:val="0"/>
                <w:color w:val="auto"/>
                <w:spacing w:val="0"/>
                <w:w w:val="100"/>
                <w:position w:val="0"/>
                <w:sz w:val="21"/>
                <w:szCs w:val="21"/>
                <w:highlight w:val="none"/>
              </w:rPr>
              <w:t>）</w:t>
            </w:r>
          </w:p>
        </w:tc>
        <w:tc>
          <w:tcPr>
            <w:tcW w:w="808" w:type="pct"/>
            <w:vAlign w:val="center"/>
          </w:tcPr>
          <w:p w14:paraId="44F8E71D">
            <w:pPr>
              <w:widowControl w:val="0"/>
              <w:adjustRightInd w:val="0"/>
              <w:snapToGrid w:val="0"/>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144.2</w:t>
            </w:r>
          </w:p>
        </w:tc>
        <w:tc>
          <w:tcPr>
            <w:tcW w:w="1012" w:type="pct"/>
          </w:tcPr>
          <w:p w14:paraId="0E97A3E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桶装水</w:t>
            </w:r>
          </w:p>
        </w:tc>
      </w:tr>
      <w:tr w14:paraId="33892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4DCA9A4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w:t>
            </w:r>
          </w:p>
        </w:tc>
        <w:tc>
          <w:tcPr>
            <w:tcW w:w="500" w:type="pct"/>
            <w:vMerge w:val="continue"/>
            <w:vAlign w:val="center"/>
          </w:tcPr>
          <w:p w14:paraId="05A8A6B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929" w:type="pct"/>
            <w:vAlign w:val="center"/>
          </w:tcPr>
          <w:p w14:paraId="47E49F1C">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管线试压</w:t>
            </w:r>
          </w:p>
        </w:tc>
        <w:tc>
          <w:tcPr>
            <w:tcW w:w="1325" w:type="pct"/>
            <w:vAlign w:val="center"/>
          </w:tcPr>
          <w:p w14:paraId="32792763">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试压用水（m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808" w:type="pct"/>
            <w:vAlign w:val="center"/>
          </w:tcPr>
          <w:p w14:paraId="36C88382">
            <w:pPr>
              <w:widowControl w:val="0"/>
              <w:adjustRightInd w:val="0"/>
              <w:snapToGrid w:val="0"/>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95.6</w:t>
            </w:r>
          </w:p>
        </w:tc>
        <w:tc>
          <w:tcPr>
            <w:tcW w:w="1012" w:type="pct"/>
          </w:tcPr>
          <w:p w14:paraId="561D9EE7">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由水罐车运送</w:t>
            </w:r>
          </w:p>
        </w:tc>
      </w:tr>
      <w:tr w14:paraId="7319A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1507016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w:t>
            </w:r>
          </w:p>
        </w:tc>
        <w:tc>
          <w:tcPr>
            <w:tcW w:w="500" w:type="pct"/>
            <w:vMerge w:val="continue"/>
            <w:vAlign w:val="center"/>
          </w:tcPr>
          <w:p w14:paraId="3929177D">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929" w:type="pct"/>
            <w:vAlign w:val="center"/>
          </w:tcPr>
          <w:p w14:paraId="4D0464B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废弃管道清洗</w:t>
            </w:r>
          </w:p>
        </w:tc>
        <w:tc>
          <w:tcPr>
            <w:tcW w:w="1325" w:type="pct"/>
            <w:vAlign w:val="center"/>
          </w:tcPr>
          <w:p w14:paraId="3A45081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清洗用水（m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808" w:type="pct"/>
            <w:vAlign w:val="center"/>
          </w:tcPr>
          <w:p w14:paraId="32EB00C6">
            <w:pPr>
              <w:widowControl w:val="0"/>
              <w:adjustRightInd w:val="0"/>
              <w:snapToGrid w:val="0"/>
              <w:spacing w:line="32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286.7</w:t>
            </w:r>
          </w:p>
        </w:tc>
        <w:tc>
          <w:tcPr>
            <w:tcW w:w="1012" w:type="pct"/>
          </w:tcPr>
          <w:p w14:paraId="3803DD0C">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由水罐车运送</w:t>
            </w:r>
          </w:p>
        </w:tc>
      </w:tr>
      <w:tr w14:paraId="2DAFC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2FDFB79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5</w:t>
            </w:r>
          </w:p>
        </w:tc>
        <w:tc>
          <w:tcPr>
            <w:tcW w:w="500" w:type="pct"/>
            <w:vMerge w:val="continue"/>
            <w:vAlign w:val="center"/>
          </w:tcPr>
          <w:p w14:paraId="6CFD250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929" w:type="pct"/>
            <w:vAlign w:val="center"/>
          </w:tcPr>
          <w:p w14:paraId="130E795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焊接</w:t>
            </w:r>
          </w:p>
        </w:tc>
        <w:tc>
          <w:tcPr>
            <w:tcW w:w="1325" w:type="pct"/>
            <w:vAlign w:val="center"/>
          </w:tcPr>
          <w:p w14:paraId="22489D2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焊丝（t）</w:t>
            </w:r>
          </w:p>
        </w:tc>
        <w:tc>
          <w:tcPr>
            <w:tcW w:w="808" w:type="pct"/>
            <w:vAlign w:val="center"/>
          </w:tcPr>
          <w:p w14:paraId="2BF73768">
            <w:pPr>
              <w:widowControl w:val="0"/>
              <w:adjustRightInd w:val="0"/>
              <w:snapToGrid w:val="0"/>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0.4</w:t>
            </w:r>
          </w:p>
        </w:tc>
        <w:tc>
          <w:tcPr>
            <w:tcW w:w="1012" w:type="pct"/>
          </w:tcPr>
          <w:p w14:paraId="58187CFF">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外购</w:t>
            </w:r>
          </w:p>
        </w:tc>
      </w:tr>
      <w:tr w14:paraId="480C6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61712EBE">
            <w:pPr>
              <w:widowControl w:val="0"/>
              <w:adjustRightInd w:val="0"/>
              <w:snapToGrid w:val="0"/>
              <w:spacing w:line="32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p>
        </w:tc>
        <w:tc>
          <w:tcPr>
            <w:tcW w:w="500" w:type="pct"/>
            <w:vMerge w:val="continue"/>
            <w:vAlign w:val="center"/>
          </w:tcPr>
          <w:p w14:paraId="1B78D8D8">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929" w:type="pct"/>
            <w:shd w:val="clear" w:color="auto" w:fill="auto"/>
            <w:vAlign w:val="center"/>
          </w:tcPr>
          <w:p w14:paraId="7366DBDD">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kern w:val="2"/>
                <w:position w:val="0"/>
                <w:sz w:val="21"/>
                <w:szCs w:val="21"/>
                <w:highlight w:val="none"/>
              </w:rPr>
              <w:t>焊接</w:t>
            </w:r>
          </w:p>
        </w:tc>
        <w:tc>
          <w:tcPr>
            <w:tcW w:w="1325" w:type="pct"/>
            <w:shd w:val="clear" w:color="auto" w:fill="auto"/>
            <w:vAlign w:val="center"/>
          </w:tcPr>
          <w:p w14:paraId="4A1CCA4D">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kern w:val="2"/>
                <w:position w:val="0"/>
                <w:sz w:val="21"/>
                <w:szCs w:val="21"/>
                <w:highlight w:val="none"/>
              </w:rPr>
              <w:t>焊</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条</w:t>
            </w:r>
            <w:r>
              <w:rPr>
                <w:rFonts w:ascii="Times New Roman" w:hAnsi="Times New Roman" w:cs="Times New Roman" w:eastAsiaTheme="minorEastAsia"/>
                <w:caps w:val="0"/>
                <w:smallCaps w:val="0"/>
                <w:color w:val="auto"/>
                <w:spacing w:val="0"/>
                <w:w w:val="100"/>
                <w:kern w:val="2"/>
                <w:position w:val="0"/>
                <w:sz w:val="21"/>
                <w:szCs w:val="21"/>
                <w:highlight w:val="none"/>
              </w:rPr>
              <w:t>（t）</w:t>
            </w:r>
          </w:p>
        </w:tc>
        <w:tc>
          <w:tcPr>
            <w:tcW w:w="808" w:type="pct"/>
            <w:shd w:val="clear" w:color="auto" w:fill="auto"/>
            <w:vAlign w:val="center"/>
          </w:tcPr>
          <w:p w14:paraId="369504EB">
            <w:pPr>
              <w:widowControl w:val="0"/>
              <w:adjustRightInd w:val="0"/>
              <w:snapToGrid w:val="0"/>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bidi="ar-SA"/>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0.8</w:t>
            </w:r>
          </w:p>
        </w:tc>
        <w:tc>
          <w:tcPr>
            <w:tcW w:w="1012" w:type="pct"/>
            <w:shd w:val="clear" w:color="auto" w:fill="auto"/>
            <w:vAlign w:val="top"/>
          </w:tcPr>
          <w:p w14:paraId="4EB85669">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外购</w:t>
            </w:r>
          </w:p>
        </w:tc>
      </w:tr>
      <w:tr w14:paraId="2732B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699A8D2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6</w:t>
            </w:r>
          </w:p>
        </w:tc>
        <w:tc>
          <w:tcPr>
            <w:tcW w:w="500" w:type="pct"/>
            <w:vMerge w:val="continue"/>
            <w:vAlign w:val="center"/>
          </w:tcPr>
          <w:p w14:paraId="42E5279A">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929" w:type="pct"/>
            <w:vAlign w:val="center"/>
          </w:tcPr>
          <w:p w14:paraId="33EC20E6">
            <w:pPr>
              <w:widowControl w:val="0"/>
              <w:adjustRightInd w:val="0"/>
              <w:snapToGrid w:val="0"/>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穿越工程</w:t>
            </w:r>
          </w:p>
        </w:tc>
        <w:tc>
          <w:tcPr>
            <w:tcW w:w="1325" w:type="pct"/>
            <w:vAlign w:val="center"/>
          </w:tcPr>
          <w:p w14:paraId="1378145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定向钻泥浆</w:t>
            </w:r>
            <w:r>
              <w:rPr>
                <w:rFonts w:ascii="Times New Roman" w:hAnsi="Times New Roman" w:cs="Times New Roman" w:eastAsiaTheme="minorEastAsia"/>
                <w:caps w:val="0"/>
                <w:smallCaps w:val="0"/>
                <w:color w:val="auto"/>
                <w:spacing w:val="0"/>
                <w:w w:val="100"/>
                <w:kern w:val="2"/>
                <w:position w:val="0"/>
                <w:sz w:val="21"/>
                <w:szCs w:val="21"/>
                <w:highlight w:val="none"/>
              </w:rPr>
              <w:t>（m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808" w:type="pct"/>
            <w:vAlign w:val="center"/>
          </w:tcPr>
          <w:p w14:paraId="1F73C825">
            <w:pPr>
              <w:widowControl w:val="0"/>
              <w:adjustRightInd w:val="0"/>
              <w:snapToGrid w:val="0"/>
              <w:spacing w:line="32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100.8</w:t>
            </w:r>
          </w:p>
        </w:tc>
        <w:tc>
          <w:tcPr>
            <w:tcW w:w="1012" w:type="pct"/>
          </w:tcPr>
          <w:p w14:paraId="66672CCD">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外购</w:t>
            </w:r>
          </w:p>
        </w:tc>
      </w:tr>
    </w:tbl>
    <w:p w14:paraId="1FCC3B11">
      <w:pPr>
        <w:pStyle w:val="4"/>
        <w:keepNext w:val="0"/>
        <w:keepLines w:val="0"/>
        <w:widowControl w:val="0"/>
        <w:rPr>
          <w:rFonts w:ascii="Times New Roman" w:hAnsi="Times New Roman"/>
          <w:b/>
          <w:caps w:val="0"/>
          <w:smallCaps w:val="0"/>
          <w:snapToGrid w:val="0"/>
          <w:color w:val="auto"/>
          <w:spacing w:val="0"/>
          <w:w w:val="100"/>
          <w:position w:val="0"/>
          <w:highlight w:val="none"/>
        </w:rPr>
      </w:pPr>
      <w:bookmarkStart w:id="506" w:name="_Toc219900387"/>
      <w:r>
        <w:rPr>
          <w:rFonts w:ascii="Times New Roman" w:hAnsi="Times New Roman"/>
          <w:b/>
          <w:caps w:val="0"/>
          <w:smallCaps w:val="0"/>
          <w:snapToGrid w:val="0"/>
          <w:color w:val="auto"/>
          <w:spacing w:val="0"/>
          <w:w w:val="100"/>
          <w:position w:val="0"/>
          <w:highlight w:val="none"/>
        </w:rPr>
        <w:t>3.9依托工程分析</w:t>
      </w:r>
      <w:bookmarkEnd w:id="506"/>
    </w:p>
    <w:p w14:paraId="4F8855B3">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bookmarkStart w:id="507" w:name="_Toc83209486"/>
      <w:bookmarkStart w:id="508" w:name="_Toc84929242"/>
      <w:bookmarkStart w:id="509" w:name="_Toc86141945"/>
      <w:bookmarkStart w:id="510" w:name="_Toc110438487"/>
      <w:bookmarkStart w:id="511" w:name="_Toc85640766"/>
      <w:r>
        <w:rPr>
          <w:rFonts w:eastAsiaTheme="minorEastAsia"/>
          <w:b/>
          <w:caps w:val="0"/>
          <w:smallCaps w:val="0"/>
          <w:color w:val="auto"/>
          <w:spacing w:val="0"/>
          <w:w w:val="100"/>
          <w:kern w:val="2"/>
          <w:position w:val="0"/>
          <w:sz w:val="24"/>
          <w:szCs w:val="24"/>
          <w:highlight w:val="none"/>
        </w:rPr>
        <w:t>3.9.1依托工程能力核实及运行现状分析</w:t>
      </w:r>
      <w:bookmarkEnd w:id="507"/>
      <w:bookmarkEnd w:id="508"/>
      <w:bookmarkEnd w:id="509"/>
      <w:bookmarkEnd w:id="510"/>
      <w:bookmarkEnd w:id="511"/>
    </w:p>
    <w:p w14:paraId="518BE43D">
      <w:pPr>
        <w:snapToGrid w:val="0"/>
        <w:spacing w:line="440" w:lineRule="exact"/>
        <w:ind w:firstLine="480" w:firstLineChars="200"/>
        <w:jc w:val="both"/>
        <w:rPr>
          <w:rFonts w:ascii="Times New Roman" w:hAnsi="Times New Roman" w:cs="Times New Roman" w:eastAsiaTheme="minorEastAsia"/>
          <w:color w:val="auto"/>
          <w:kern w:val="2"/>
          <w:highlight w:val="none"/>
        </w:rPr>
      </w:pPr>
      <w:r>
        <w:rPr>
          <w:rFonts w:ascii="Times New Roman" w:hAnsi="Times New Roman" w:cs="Times New Roman" w:eastAsiaTheme="minorEastAsia"/>
          <w:color w:val="auto"/>
          <w:kern w:val="2"/>
          <w:highlight w:val="none"/>
          <w:lang w:val="de-DE"/>
        </w:rPr>
        <w:t>本项目新建管线试压废水及废弃管线清洗废水依托</w:t>
      </w:r>
      <w:r>
        <w:rPr>
          <w:rFonts w:ascii="Times New Roman" w:hAnsi="Times New Roman" w:cs="Times New Roman" w:eastAsiaTheme="minorEastAsia"/>
          <w:color w:val="auto"/>
          <w:kern w:val="2"/>
          <w:highlight w:val="none"/>
        </w:rPr>
        <w:t>卫一联含油污水深度处理站</w:t>
      </w:r>
      <w:r>
        <w:rPr>
          <w:rFonts w:ascii="Times New Roman" w:hAnsi="Times New Roman" w:cs="Times New Roman" w:eastAsiaTheme="minorEastAsia"/>
          <w:color w:val="auto"/>
          <w:kern w:val="2"/>
          <w:highlight w:val="none"/>
          <w:lang w:val="de-DE"/>
        </w:rPr>
        <w:t>处理，施工废料等一般工业固体废物依托</w:t>
      </w:r>
      <w:r>
        <w:rPr>
          <w:rFonts w:ascii="Times New Roman" w:hAnsi="Times New Roman" w:cs="Times New Roman" w:eastAsiaTheme="minorEastAsia"/>
          <w:color w:val="auto"/>
          <w:kern w:val="2"/>
          <w:highlight w:val="none"/>
        </w:rPr>
        <w:t>第八采油厂工业固废填埋场处理，废弃泥浆依托</w:t>
      </w:r>
      <w:r>
        <w:rPr>
          <w:rFonts w:hint="eastAsia" w:ascii="Times New Roman" w:hAnsi="Times New Roman" w:cs="Times New Roman" w:eastAsiaTheme="minorEastAsia"/>
          <w:color w:val="auto"/>
          <w:highlight w:val="none"/>
        </w:rPr>
        <w:t>大庆洁宇环保科技有限公司</w:t>
      </w:r>
      <w:r>
        <w:rPr>
          <w:rFonts w:ascii="Times New Roman" w:hAnsi="Times New Roman" w:cs="Times New Roman" w:eastAsiaTheme="minorEastAsia"/>
          <w:bCs/>
          <w:color w:val="auto"/>
          <w:kern w:val="2"/>
          <w:highlight w:val="none"/>
        </w:rPr>
        <w:t>处理</w:t>
      </w:r>
      <w:r>
        <w:rPr>
          <w:rFonts w:ascii="Times New Roman" w:hAnsi="Times New Roman" w:cs="Times New Roman" w:eastAsiaTheme="minorEastAsia"/>
          <w:color w:val="auto"/>
          <w:highlight w:val="none"/>
        </w:rPr>
        <w:t>。</w:t>
      </w:r>
    </w:p>
    <w:p w14:paraId="7EBFD9B7">
      <w:pPr>
        <w:widowControl w:val="0"/>
        <w:autoSpaceDE w:val="0"/>
        <w:autoSpaceDN w:val="0"/>
        <w:spacing w:line="440" w:lineRule="exact"/>
        <w:ind w:firstLine="480" w:firstLineChars="200"/>
        <w:jc w:val="both"/>
        <w:rPr>
          <w:rFonts w:ascii="Times New Roman" w:hAnsi="Times New Roman" w:cs="Times New Roman" w:eastAsiaTheme="minorEastAsia"/>
          <w:color w:val="auto"/>
          <w:kern w:val="2"/>
          <w:highlight w:val="none"/>
          <w:lang w:val="de-DE"/>
        </w:rPr>
      </w:pPr>
      <w:r>
        <w:rPr>
          <w:rFonts w:ascii="Times New Roman" w:hAnsi="Times New Roman" w:cs="Times New Roman" w:eastAsiaTheme="minorEastAsia"/>
          <w:color w:val="auto"/>
          <w:kern w:val="2"/>
          <w:highlight w:val="none"/>
          <w:lang w:val="de-DE"/>
        </w:rPr>
        <w:t>（1）卫一联含油污水深度处理站</w:t>
      </w:r>
    </w:p>
    <w:p w14:paraId="21102E5A">
      <w:pPr>
        <w:widowControl w:val="0"/>
        <w:autoSpaceDE w:val="0"/>
        <w:autoSpaceDN w:val="0"/>
        <w:spacing w:line="440" w:lineRule="exact"/>
        <w:ind w:firstLine="480" w:firstLineChars="200"/>
        <w:jc w:val="both"/>
        <w:rPr>
          <w:rFonts w:ascii="Times New Roman" w:hAnsi="Times New Roman" w:cs="Times New Roman" w:eastAsiaTheme="minorEastAsia"/>
          <w:color w:val="auto"/>
          <w:kern w:val="2"/>
          <w:highlight w:val="none"/>
          <w:lang w:val="de-DE"/>
        </w:rPr>
      </w:pPr>
      <w:r>
        <w:rPr>
          <w:rFonts w:hint="eastAsia"/>
          <w:color w:val="auto"/>
          <w:kern w:val="2"/>
          <w:highlight w:val="none"/>
          <w:lang w:val="de-DE"/>
        </w:rPr>
        <w:t>①</w:t>
      </w:r>
      <w:r>
        <w:rPr>
          <w:rFonts w:ascii="Times New Roman" w:hAnsi="Times New Roman" w:cs="Times New Roman" w:eastAsiaTheme="minorEastAsia"/>
          <w:color w:val="auto"/>
          <w:kern w:val="2"/>
          <w:highlight w:val="none"/>
          <w:lang w:val="de-DE"/>
        </w:rPr>
        <w:t>依托处理能力分析</w:t>
      </w:r>
    </w:p>
    <w:p w14:paraId="04CF09B1">
      <w:pPr>
        <w:widowControl w:val="0"/>
        <w:autoSpaceDE w:val="0"/>
        <w:autoSpaceDN w:val="0"/>
        <w:spacing w:line="440" w:lineRule="exact"/>
        <w:ind w:firstLine="480"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kern w:val="2"/>
          <w:highlight w:val="none"/>
          <w:lang w:val="de-DE"/>
        </w:rPr>
        <w:t>本项目新建管线试压废水及废弃管线清洗废水依托</w:t>
      </w:r>
      <w:r>
        <w:rPr>
          <w:rFonts w:ascii="Times New Roman" w:hAnsi="Times New Roman" w:cs="Times New Roman" w:eastAsiaTheme="minorEastAsia"/>
          <w:color w:val="auto"/>
          <w:kern w:val="2"/>
          <w:highlight w:val="none"/>
        </w:rPr>
        <w:t>卫一联含油污水深度处理站</w:t>
      </w:r>
      <w:r>
        <w:rPr>
          <w:rFonts w:ascii="Times New Roman" w:hAnsi="Times New Roman" w:cs="Times New Roman" w:eastAsiaTheme="minorEastAsia"/>
          <w:color w:val="auto"/>
          <w:kern w:val="2"/>
          <w:highlight w:val="none"/>
          <w:lang w:val="de-DE"/>
        </w:rPr>
        <w:t>处理，站内主要工艺为“</w:t>
      </w:r>
      <w:r>
        <w:rPr>
          <w:rFonts w:ascii="Times New Roman" w:hAnsi="Times New Roman" w:cs="Times New Roman" w:eastAsiaTheme="minorEastAsia"/>
          <w:color w:val="auto"/>
          <w:kern w:val="2"/>
          <w:highlight w:val="none"/>
        </w:rPr>
        <w:t>两级沉降+两级过滤</w:t>
      </w:r>
      <w:r>
        <w:rPr>
          <w:rFonts w:ascii="Times New Roman" w:hAnsi="Times New Roman" w:cs="Times New Roman" w:eastAsiaTheme="minorEastAsia"/>
          <w:color w:val="auto"/>
          <w:kern w:val="2"/>
          <w:highlight w:val="none"/>
          <w:lang w:val="de-DE"/>
        </w:rPr>
        <w:t>”，设计出水水质指标为“8、3、2”，</w:t>
      </w:r>
      <w:r>
        <w:rPr>
          <w:rFonts w:ascii="Times New Roman" w:hAnsi="Times New Roman" w:cs="Times New Roman"/>
          <w:bCs/>
          <w:color w:val="auto"/>
          <w:kern w:val="21"/>
          <w:highlight w:val="none"/>
          <w:lang w:val="de-DE"/>
        </w:rPr>
        <w:t>设计污水处理量为</w:t>
      </w:r>
      <w:r>
        <w:rPr>
          <w:rFonts w:ascii="Times New Roman" w:hAnsi="Times New Roman" w:cs="Times New Roman"/>
          <w:bCs/>
          <w:color w:val="auto"/>
          <w:kern w:val="21"/>
          <w:highlight w:val="none"/>
        </w:rPr>
        <w:t>6</w:t>
      </w:r>
      <w:r>
        <w:rPr>
          <w:rFonts w:hint="eastAsia" w:ascii="Times New Roman" w:hAnsi="Times New Roman" w:cs="Times New Roman"/>
          <w:bCs/>
          <w:color w:val="auto"/>
          <w:kern w:val="21"/>
          <w:highlight w:val="none"/>
        </w:rPr>
        <w:t>2</w:t>
      </w:r>
      <w:r>
        <w:rPr>
          <w:rFonts w:ascii="Times New Roman" w:hAnsi="Times New Roman" w:cs="Times New Roman"/>
          <w:bCs/>
          <w:color w:val="auto"/>
          <w:kern w:val="21"/>
          <w:highlight w:val="none"/>
        </w:rPr>
        <w:t>00m</w:t>
      </w:r>
      <w:r>
        <w:rPr>
          <w:rFonts w:ascii="Times New Roman" w:hAnsi="Times New Roman" w:cs="Times New Roman"/>
          <w:bCs/>
          <w:color w:val="auto"/>
          <w:kern w:val="21"/>
          <w:highlight w:val="none"/>
          <w:vertAlign w:val="superscript"/>
        </w:rPr>
        <w:t>3</w:t>
      </w:r>
      <w:r>
        <w:rPr>
          <w:rFonts w:ascii="Times New Roman" w:hAnsi="Times New Roman" w:cs="Times New Roman"/>
          <w:bCs/>
          <w:color w:val="auto"/>
          <w:kern w:val="21"/>
          <w:highlight w:val="none"/>
        </w:rPr>
        <w:t>/d。</w:t>
      </w:r>
      <w:r>
        <w:rPr>
          <w:rFonts w:ascii="Times New Roman" w:hAnsi="Times New Roman" w:cs="Times New Roman"/>
          <w:bCs/>
          <w:color w:val="auto"/>
          <w:kern w:val="21"/>
          <w:highlight w:val="none"/>
          <w:lang w:val="de-DE"/>
        </w:rPr>
        <w:t>目前实际污水处理量为</w:t>
      </w:r>
      <w:r>
        <w:rPr>
          <w:rFonts w:hint="eastAsia" w:ascii="Times New Roman" w:hAnsi="Times New Roman" w:cs="Times New Roman"/>
          <w:bCs/>
          <w:color w:val="auto"/>
          <w:kern w:val="21"/>
          <w:highlight w:val="none"/>
        </w:rPr>
        <w:t>5981</w:t>
      </w:r>
      <w:r>
        <w:rPr>
          <w:rFonts w:ascii="Times New Roman" w:hAnsi="Times New Roman" w:cs="Times New Roman"/>
          <w:bCs/>
          <w:color w:val="auto"/>
          <w:kern w:val="21"/>
          <w:highlight w:val="none"/>
          <w:lang w:val="de-DE"/>
        </w:rPr>
        <w:t>m</w:t>
      </w:r>
      <w:r>
        <w:rPr>
          <w:rFonts w:ascii="Times New Roman" w:hAnsi="Times New Roman" w:cs="Times New Roman"/>
          <w:bCs/>
          <w:color w:val="auto"/>
          <w:kern w:val="21"/>
          <w:highlight w:val="none"/>
          <w:vertAlign w:val="superscript"/>
          <w:lang w:val="de-DE"/>
        </w:rPr>
        <w:t>3</w:t>
      </w:r>
      <w:r>
        <w:rPr>
          <w:rFonts w:ascii="Times New Roman" w:hAnsi="Times New Roman" w:cs="Times New Roman"/>
          <w:bCs/>
          <w:color w:val="auto"/>
          <w:kern w:val="21"/>
          <w:highlight w:val="none"/>
          <w:lang w:val="de-DE"/>
        </w:rPr>
        <w:t>/d，本项目</w:t>
      </w:r>
      <w:r>
        <w:rPr>
          <w:rFonts w:hint="eastAsia" w:ascii="Times New Roman" w:hAnsi="Times New Roman" w:cs="Times New Roman"/>
          <w:bCs/>
          <w:color w:val="auto"/>
          <w:kern w:val="21"/>
          <w:highlight w:val="none"/>
          <w:lang w:val="de-DE"/>
        </w:rPr>
        <w:t>施工期</w:t>
      </w:r>
      <w:r>
        <w:rPr>
          <w:rFonts w:ascii="Times New Roman" w:hAnsi="Times New Roman" w:cs="Times New Roman"/>
          <w:bCs/>
          <w:color w:val="auto"/>
          <w:kern w:val="21"/>
          <w:highlight w:val="none"/>
          <w:lang w:val="de-DE"/>
        </w:rPr>
        <w:t>试压废水及</w:t>
      </w:r>
      <w:r>
        <w:rPr>
          <w:rFonts w:hint="eastAsia" w:ascii="Times New Roman" w:hAnsi="Times New Roman" w:cs="Times New Roman"/>
          <w:bCs/>
          <w:color w:val="auto"/>
          <w:kern w:val="21"/>
          <w:highlight w:val="none"/>
        </w:rPr>
        <w:t>清洗废水</w:t>
      </w:r>
      <w:r>
        <w:rPr>
          <w:rFonts w:ascii="Times New Roman" w:hAnsi="Times New Roman" w:cs="Times New Roman"/>
          <w:bCs/>
          <w:color w:val="auto"/>
          <w:kern w:val="21"/>
          <w:highlight w:val="none"/>
        </w:rPr>
        <w:t>产生量</w:t>
      </w:r>
      <w:r>
        <w:rPr>
          <w:rFonts w:ascii="Times New Roman" w:hAnsi="Times New Roman" w:cs="Times New Roman"/>
          <w:bCs/>
          <w:color w:val="auto"/>
          <w:kern w:val="21"/>
          <w:highlight w:val="none"/>
          <w:lang w:val="de-DE"/>
        </w:rPr>
        <w:t>为</w:t>
      </w:r>
      <w:r>
        <w:rPr>
          <w:rFonts w:hint="eastAsia" w:ascii="Times New Roman" w:hAnsi="Times New Roman" w:cs="Times New Roman"/>
          <w:bCs/>
          <w:color w:val="auto"/>
          <w:kern w:val="21"/>
          <w:highlight w:val="none"/>
          <w:lang w:val="en-US" w:eastAsia="zh-CN"/>
        </w:rPr>
        <w:t>372.7</w:t>
      </w:r>
      <w:r>
        <w:rPr>
          <w:rFonts w:ascii="Times New Roman" w:hAnsi="Times New Roman" w:cs="Times New Roman"/>
          <w:bCs/>
          <w:color w:val="auto"/>
          <w:kern w:val="21"/>
          <w:highlight w:val="none"/>
        </w:rPr>
        <w:t>m</w:t>
      </w:r>
      <w:r>
        <w:rPr>
          <w:rFonts w:ascii="Times New Roman" w:hAnsi="Times New Roman" w:cs="Times New Roman"/>
          <w:bCs/>
          <w:color w:val="auto"/>
          <w:kern w:val="21"/>
          <w:highlight w:val="none"/>
          <w:vertAlign w:val="superscript"/>
        </w:rPr>
        <w:t>3</w:t>
      </w:r>
      <w:r>
        <w:rPr>
          <w:rFonts w:hint="eastAsia" w:ascii="Times New Roman" w:hAnsi="Times New Roman" w:cs="Times New Roman"/>
          <w:bCs/>
          <w:color w:val="auto"/>
          <w:kern w:val="21"/>
          <w:highlight w:val="none"/>
        </w:rPr>
        <w:t>（管道清洗及试压约</w:t>
      </w:r>
      <w:r>
        <w:rPr>
          <w:rFonts w:hint="eastAsia" w:ascii="Times New Roman" w:hAnsi="Times New Roman" w:cs="Times New Roman"/>
          <w:bCs/>
          <w:color w:val="auto"/>
          <w:kern w:val="21"/>
          <w:highlight w:val="none"/>
          <w:lang w:val="en-US" w:eastAsia="zh-CN"/>
        </w:rPr>
        <w:t>10</w:t>
      </w:r>
      <w:r>
        <w:rPr>
          <w:rFonts w:hint="eastAsia" w:ascii="Times New Roman" w:hAnsi="Times New Roman" w:cs="Times New Roman"/>
          <w:bCs/>
          <w:color w:val="auto"/>
          <w:kern w:val="21"/>
          <w:highlight w:val="none"/>
        </w:rPr>
        <w:t>d，废水量</w:t>
      </w:r>
      <w:r>
        <w:rPr>
          <w:rFonts w:hint="eastAsia" w:ascii="Times New Roman" w:hAnsi="Times New Roman" w:cs="Times New Roman"/>
          <w:bCs/>
          <w:color w:val="auto"/>
          <w:kern w:val="21"/>
          <w:highlight w:val="none"/>
          <w:lang w:val="en-US" w:eastAsia="zh-CN"/>
        </w:rPr>
        <w:t>37.27</w:t>
      </w:r>
      <w:r>
        <w:rPr>
          <w:rFonts w:hint="eastAsia" w:ascii="Times New Roman" w:hAnsi="Times New Roman" w:cs="Times New Roman"/>
          <w:bCs/>
          <w:color w:val="auto"/>
          <w:kern w:val="21"/>
          <w:highlight w:val="none"/>
        </w:rPr>
        <w:t>m</w:t>
      </w:r>
      <w:r>
        <w:rPr>
          <w:rFonts w:hint="eastAsia" w:ascii="Times New Roman" w:hAnsi="Times New Roman" w:cs="Times New Roman"/>
          <w:bCs/>
          <w:color w:val="auto"/>
          <w:kern w:val="21"/>
          <w:highlight w:val="none"/>
          <w:vertAlign w:val="superscript"/>
        </w:rPr>
        <w:t>3</w:t>
      </w:r>
      <w:r>
        <w:rPr>
          <w:rFonts w:hint="eastAsia" w:ascii="Times New Roman" w:hAnsi="Times New Roman" w:cs="Times New Roman"/>
          <w:bCs/>
          <w:color w:val="auto"/>
          <w:kern w:val="21"/>
          <w:highlight w:val="none"/>
        </w:rPr>
        <w:t>/d）</w:t>
      </w:r>
      <w:r>
        <w:rPr>
          <w:rFonts w:ascii="Times New Roman" w:hAnsi="Times New Roman" w:cs="Times New Roman"/>
          <w:bCs/>
          <w:color w:val="auto"/>
          <w:kern w:val="21"/>
          <w:highlight w:val="none"/>
          <w:lang w:val="de-DE"/>
        </w:rPr>
        <w:t>，新增污水后处理量为</w:t>
      </w:r>
      <w:r>
        <w:rPr>
          <w:rFonts w:hint="eastAsia" w:ascii="Times New Roman" w:hAnsi="Times New Roman" w:cs="Times New Roman"/>
          <w:bCs/>
          <w:color w:val="auto"/>
          <w:kern w:val="21"/>
          <w:highlight w:val="none"/>
        </w:rPr>
        <w:t>60</w:t>
      </w:r>
      <w:r>
        <w:rPr>
          <w:rFonts w:hint="eastAsia" w:ascii="Times New Roman" w:hAnsi="Times New Roman" w:cs="Times New Roman"/>
          <w:bCs/>
          <w:color w:val="auto"/>
          <w:kern w:val="21"/>
          <w:highlight w:val="none"/>
          <w:lang w:val="en-US" w:eastAsia="zh-CN"/>
        </w:rPr>
        <w:t>18</w:t>
      </w:r>
      <w:r>
        <w:rPr>
          <w:rFonts w:ascii="Times New Roman" w:hAnsi="Times New Roman" w:cs="Times New Roman"/>
          <w:bCs/>
          <w:color w:val="auto"/>
          <w:kern w:val="21"/>
          <w:highlight w:val="none"/>
        </w:rPr>
        <w:t>m</w:t>
      </w:r>
      <w:r>
        <w:rPr>
          <w:rFonts w:ascii="Times New Roman" w:hAnsi="Times New Roman" w:cs="Times New Roman"/>
          <w:bCs/>
          <w:color w:val="auto"/>
          <w:kern w:val="21"/>
          <w:highlight w:val="none"/>
          <w:vertAlign w:val="superscript"/>
        </w:rPr>
        <w:t>3</w:t>
      </w:r>
      <w:r>
        <w:rPr>
          <w:rFonts w:ascii="Times New Roman" w:hAnsi="Times New Roman" w:cs="Times New Roman"/>
          <w:bCs/>
          <w:color w:val="auto"/>
          <w:kern w:val="21"/>
          <w:highlight w:val="none"/>
        </w:rPr>
        <w:t>/d</w:t>
      </w:r>
      <w:r>
        <w:rPr>
          <w:rFonts w:ascii="Times New Roman" w:hAnsi="Times New Roman" w:cs="Times New Roman"/>
          <w:bCs/>
          <w:color w:val="auto"/>
          <w:kern w:val="21"/>
          <w:highlight w:val="none"/>
          <w:lang w:val="de-DE"/>
        </w:rPr>
        <w:t>，负荷率为</w:t>
      </w:r>
      <w:r>
        <w:rPr>
          <w:rFonts w:ascii="Times New Roman" w:hAnsi="Times New Roman" w:cs="Times New Roman"/>
          <w:bCs/>
          <w:color w:val="auto"/>
          <w:kern w:val="21"/>
          <w:highlight w:val="none"/>
        </w:rPr>
        <w:t>9</w:t>
      </w:r>
      <w:r>
        <w:rPr>
          <w:rFonts w:hint="eastAsia" w:ascii="Times New Roman" w:hAnsi="Times New Roman" w:cs="Times New Roman"/>
          <w:bCs/>
          <w:color w:val="auto"/>
          <w:kern w:val="21"/>
          <w:highlight w:val="none"/>
        </w:rPr>
        <w:t>7</w:t>
      </w:r>
      <w:r>
        <w:rPr>
          <w:rFonts w:ascii="Times New Roman" w:hAnsi="Times New Roman" w:cs="Times New Roman"/>
          <w:bCs/>
          <w:color w:val="auto"/>
          <w:kern w:val="21"/>
          <w:highlight w:val="none"/>
        </w:rPr>
        <w:t>.</w:t>
      </w:r>
      <w:r>
        <w:rPr>
          <w:rFonts w:hint="eastAsia" w:ascii="Times New Roman" w:hAnsi="Times New Roman" w:cs="Times New Roman"/>
          <w:bCs/>
          <w:color w:val="auto"/>
          <w:kern w:val="21"/>
          <w:highlight w:val="none"/>
          <w:lang w:val="en-US" w:eastAsia="zh-CN"/>
        </w:rPr>
        <w:t>06</w:t>
      </w:r>
      <w:r>
        <w:rPr>
          <w:rFonts w:ascii="Times New Roman" w:hAnsi="Times New Roman" w:cs="Times New Roman"/>
          <w:bCs/>
          <w:color w:val="auto"/>
          <w:kern w:val="21"/>
          <w:highlight w:val="none"/>
          <w:lang w:val="de-DE"/>
        </w:rPr>
        <w:t>%</w:t>
      </w:r>
      <w:r>
        <w:rPr>
          <w:rFonts w:ascii="Times New Roman" w:hAnsi="Times New Roman" w:cs="Times New Roman" w:eastAsiaTheme="minorEastAsia"/>
          <w:color w:val="auto"/>
          <w:kern w:val="2"/>
          <w:highlight w:val="none"/>
          <w:lang w:val="de-DE"/>
        </w:rPr>
        <w:t>，</w:t>
      </w:r>
      <w:r>
        <w:rPr>
          <w:rFonts w:ascii="Times New Roman" w:hAnsi="Times New Roman" w:cs="Times New Roman" w:eastAsiaTheme="minorEastAsia"/>
          <w:bCs/>
          <w:color w:val="auto"/>
          <w:kern w:val="2"/>
          <w:highlight w:val="none"/>
          <w:lang w:val="de-DE"/>
        </w:rPr>
        <w:t>剩余处理能力满足本项目试压废水及清洗废水的处理需求</w:t>
      </w:r>
      <w:r>
        <w:rPr>
          <w:rFonts w:ascii="Times New Roman" w:hAnsi="Times New Roman" w:cs="Times New Roman" w:eastAsiaTheme="minorEastAsia"/>
          <w:color w:val="auto"/>
          <w:kern w:val="2"/>
          <w:highlight w:val="none"/>
          <w:lang w:val="de-DE"/>
        </w:rPr>
        <w:t>。</w:t>
      </w:r>
      <w:r>
        <w:rPr>
          <w:rFonts w:ascii="Times New Roman" w:hAnsi="Times New Roman" w:cs="Times New Roman" w:eastAsiaTheme="minorEastAsia"/>
          <w:color w:val="auto"/>
          <w:highlight w:val="none"/>
        </w:rPr>
        <w:t>卫一联含油污水深度处理站工艺流程见图3.9-1。</w:t>
      </w:r>
    </w:p>
    <w:p w14:paraId="15B37A5C">
      <w:pPr>
        <w:widowControl w:val="0"/>
        <w:autoSpaceDE w:val="0"/>
        <w:autoSpaceDN w:val="0"/>
        <w:jc w:val="center"/>
        <w:rPr>
          <w:rFonts w:ascii="Times New Roman" w:hAnsi="Times New Roman" w:cs="Times New Roman" w:eastAsiaTheme="minorEastAsia"/>
          <w:color w:val="auto"/>
          <w:highlight w:val="none"/>
        </w:rPr>
      </w:pPr>
      <w:r>
        <w:rPr>
          <w:color w:val="auto"/>
          <w:highlight w:val="none"/>
        </w:rPr>
        <w:drawing>
          <wp:inline distT="0" distB="0" distL="0" distR="0">
            <wp:extent cx="5210175" cy="2749550"/>
            <wp:effectExtent l="0" t="0" r="9525" b="1270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9"/>
                    <a:stretch>
                      <a:fillRect/>
                    </a:stretch>
                  </pic:blipFill>
                  <pic:spPr>
                    <a:xfrm>
                      <a:off x="0" y="0"/>
                      <a:ext cx="5215202" cy="2752224"/>
                    </a:xfrm>
                    <a:prstGeom prst="rect">
                      <a:avLst/>
                    </a:prstGeom>
                  </pic:spPr>
                </pic:pic>
              </a:graphicData>
            </a:graphic>
          </wp:inline>
        </w:drawing>
      </w:r>
    </w:p>
    <w:p w14:paraId="2169D199">
      <w:pPr>
        <w:pStyle w:val="102"/>
        <w:spacing w:line="240" w:lineRule="auto"/>
        <w:rPr>
          <w:rFonts w:eastAsiaTheme="minorEastAsia"/>
          <w:b/>
          <w:color w:val="auto"/>
          <w:highlight w:val="none"/>
          <w:lang w:val="zh-CN"/>
        </w:rPr>
      </w:pPr>
      <w:r>
        <w:rPr>
          <w:rFonts w:eastAsiaTheme="minorEastAsia"/>
          <w:b/>
          <w:color w:val="auto"/>
          <w:highlight w:val="none"/>
        </w:rPr>
        <w:t>图3.9-1    卫一联含油污水深度处理站</w:t>
      </w:r>
      <w:r>
        <w:rPr>
          <w:rFonts w:eastAsiaTheme="minorEastAsia"/>
          <w:b/>
          <w:color w:val="auto"/>
          <w:highlight w:val="none"/>
          <w:lang w:val="zh-CN"/>
        </w:rPr>
        <w:t>工艺流程</w:t>
      </w:r>
    </w:p>
    <w:p w14:paraId="739A9A91">
      <w:pPr>
        <w:widowControl w:val="0"/>
        <w:autoSpaceDE w:val="0"/>
        <w:autoSpaceDN w:val="0"/>
        <w:spacing w:line="440" w:lineRule="exact"/>
        <w:ind w:firstLine="480" w:firstLineChars="200"/>
        <w:jc w:val="both"/>
        <w:rPr>
          <w:rFonts w:ascii="Times New Roman" w:hAnsi="Times New Roman" w:cs="Times New Roman" w:eastAsiaTheme="minorEastAsia"/>
          <w:color w:val="auto"/>
          <w:highlight w:val="none"/>
        </w:rPr>
      </w:pPr>
      <w:r>
        <w:rPr>
          <w:rFonts w:hint="eastAsia"/>
          <w:color w:val="auto"/>
          <w:highlight w:val="none"/>
        </w:rPr>
        <w:t>②</w:t>
      </w:r>
      <w:r>
        <w:rPr>
          <w:rFonts w:ascii="Times New Roman" w:hAnsi="Times New Roman" w:cs="Times New Roman" w:eastAsiaTheme="minorEastAsia"/>
          <w:color w:val="auto"/>
          <w:highlight w:val="none"/>
        </w:rPr>
        <w:t>依托可行性分析</w:t>
      </w:r>
    </w:p>
    <w:p w14:paraId="0D28B187">
      <w:pPr>
        <w:widowControl w:val="0"/>
        <w:autoSpaceDE w:val="0"/>
        <w:autoSpaceDN w:val="0"/>
        <w:spacing w:line="440" w:lineRule="exact"/>
        <w:ind w:firstLine="480" w:firstLineChars="200"/>
        <w:jc w:val="both"/>
        <w:rPr>
          <w:rFonts w:ascii="Times New Roman" w:hAnsi="Times New Roman" w:cs="Times New Roman" w:eastAsiaTheme="minorEastAsia"/>
          <w:bCs/>
          <w:color w:val="auto"/>
          <w:highlight w:val="none"/>
        </w:rPr>
      </w:pPr>
      <w:r>
        <w:rPr>
          <w:rFonts w:ascii="Times New Roman" w:hAnsi="Times New Roman" w:cs="Times New Roman" w:eastAsiaTheme="minorEastAsia"/>
          <w:color w:val="auto"/>
          <w:highlight w:val="none"/>
        </w:rPr>
        <w:t>根据现场勘查，目前卫一联含油污水深度处理站运行正常，</w:t>
      </w:r>
      <w:r>
        <w:rPr>
          <w:rFonts w:hint="eastAsia" w:ascii="Times New Roman" w:hAnsi="Times New Roman" w:cs="Times New Roman" w:eastAsiaTheme="minorEastAsia"/>
          <w:color w:val="auto"/>
          <w:highlight w:val="none"/>
        </w:rPr>
        <w:t>根据</w:t>
      </w:r>
      <w:r>
        <w:rPr>
          <w:rFonts w:hint="eastAsia" w:ascii="Times New Roman" w:hAnsi="Times New Roman" w:cs="Times New Roman" w:eastAsiaTheme="minorEastAsia"/>
          <w:color w:val="auto"/>
          <w:highlight w:val="none"/>
          <w:lang w:val="en-US" w:eastAsia="zh-CN"/>
        </w:rPr>
        <w:t>本次</w:t>
      </w:r>
      <w:r>
        <w:rPr>
          <w:rFonts w:ascii="Times New Roman" w:hAnsi="Times New Roman" w:cs="Times New Roman" w:eastAsiaTheme="minorEastAsia"/>
          <w:color w:val="auto"/>
          <w:highlight w:val="none"/>
        </w:rPr>
        <w:t>对</w:t>
      </w:r>
      <w:r>
        <w:rPr>
          <w:rFonts w:hint="eastAsia" w:ascii="Times New Roman" w:hAnsi="Times New Roman" w:cs="Times New Roman" w:eastAsiaTheme="minorEastAsia"/>
          <w:color w:val="auto"/>
          <w:highlight w:val="none"/>
        </w:rPr>
        <w:t>卫一联合站</w:t>
      </w:r>
      <w:r>
        <w:rPr>
          <w:rFonts w:ascii="Times New Roman" w:hAnsi="Times New Roman" w:cs="Times New Roman" w:eastAsiaTheme="minorEastAsia"/>
          <w:color w:val="auto"/>
          <w:highlight w:val="none"/>
        </w:rPr>
        <w:t>的监测数据显示：</w:t>
      </w:r>
      <w:r>
        <w:rPr>
          <w:rFonts w:hint="eastAsia" w:ascii="Times New Roman" w:hAnsi="Times New Roman" w:cs="Times New Roman" w:eastAsiaTheme="minorEastAsia"/>
          <w:bCs/>
          <w:color w:val="auto"/>
          <w:highlight w:val="none"/>
        </w:rPr>
        <w:t>卫一</w:t>
      </w:r>
      <w:r>
        <w:rPr>
          <w:rFonts w:ascii="Times New Roman" w:hAnsi="Times New Roman" w:cs="Times New Roman" w:eastAsiaTheme="minorEastAsia"/>
          <w:bCs/>
          <w:color w:val="auto"/>
          <w:highlight w:val="none"/>
        </w:rPr>
        <w:t>联合站</w:t>
      </w:r>
      <w:r>
        <w:rPr>
          <w:rFonts w:ascii="Times New Roman" w:hAnsi="Times New Roman" w:cs="Times New Roman" w:eastAsiaTheme="minorEastAsia"/>
          <w:color w:val="auto"/>
          <w:highlight w:val="none"/>
        </w:rPr>
        <w:t>厂界非甲烷总烃在0.</w:t>
      </w:r>
      <w:r>
        <w:rPr>
          <w:rFonts w:hint="eastAsia" w:ascii="Times New Roman" w:hAnsi="Times New Roman" w:cs="Times New Roman" w:eastAsiaTheme="minorEastAsia"/>
          <w:color w:val="auto"/>
          <w:highlight w:val="none"/>
        </w:rPr>
        <w:t>41</w:t>
      </w:r>
      <w:r>
        <w:rPr>
          <w:rFonts w:ascii="Times New Roman" w:hAnsi="Times New Roman" w:cs="Times New Roman" w:eastAsiaTheme="minorEastAsia"/>
          <w:color w:val="auto"/>
          <w:highlight w:val="none"/>
        </w:rPr>
        <w:t>~0.</w:t>
      </w:r>
      <w:r>
        <w:rPr>
          <w:rFonts w:hint="eastAsia" w:ascii="Times New Roman" w:hAnsi="Times New Roman" w:cs="Times New Roman" w:eastAsiaTheme="minorEastAsia"/>
          <w:color w:val="auto"/>
          <w:highlight w:val="none"/>
        </w:rPr>
        <w:t>6</w:t>
      </w:r>
      <w:r>
        <w:rPr>
          <w:rFonts w:ascii="Times New Roman" w:hAnsi="Times New Roman" w:cs="Times New Roman" w:eastAsiaTheme="minorEastAsia"/>
          <w:color w:val="auto"/>
          <w:highlight w:val="none"/>
        </w:rPr>
        <w:t>1mg/m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之间，满足《陆上石油天然气开采工业大气污染物排放标准》（GB39728-2020）5.9中规定要求，同时根据现场调查，</w:t>
      </w:r>
      <w:r>
        <w:rPr>
          <w:rFonts w:ascii="Times New Roman" w:hAnsi="Times New Roman" w:cs="Times New Roman" w:eastAsiaTheme="minorEastAsia"/>
          <w:bCs/>
          <w:color w:val="auto"/>
          <w:highlight w:val="none"/>
        </w:rPr>
        <w:t>卫一联含油污水深度处理站</w:t>
      </w:r>
      <w:r>
        <w:rPr>
          <w:rFonts w:ascii="Times New Roman" w:hAnsi="Times New Roman" w:cs="Times New Roman" w:eastAsiaTheme="minorEastAsia"/>
          <w:color w:val="auto"/>
          <w:highlight w:val="none"/>
        </w:rPr>
        <w:t>内罐体均无孔洞和裂隙，采样口等均处于密闭状态，同时罐体周围均设置了围堰，满足《陆上石油天然气开采工业大气污染物排放标准》(GB39728-2020）中固定顶罐要求；</w:t>
      </w:r>
      <w:r>
        <w:rPr>
          <w:rFonts w:ascii="Times New Roman" w:hAnsi="Times New Roman" w:cs="Times New Roman" w:eastAsiaTheme="minorEastAsia"/>
          <w:bCs/>
          <w:color w:val="auto"/>
          <w:highlight w:val="none"/>
        </w:rPr>
        <w:t>卫一联含油污水深度处理站处理后的污水含油量为</w:t>
      </w:r>
      <w:r>
        <w:rPr>
          <w:rFonts w:hint="eastAsia" w:ascii="Times New Roman" w:hAnsi="Times New Roman" w:cs="Times New Roman" w:eastAsiaTheme="minorEastAsia"/>
          <w:bCs/>
          <w:color w:val="auto"/>
          <w:highlight w:val="none"/>
          <w:lang w:val="en-US" w:eastAsia="zh-CN"/>
        </w:rPr>
        <w:t>1.85-2.43</w:t>
      </w:r>
      <w:r>
        <w:rPr>
          <w:rFonts w:ascii="Times New Roman" w:hAnsi="Times New Roman" w:cs="Times New Roman" w:eastAsiaTheme="minorEastAsia"/>
          <w:bCs/>
          <w:color w:val="auto"/>
          <w:highlight w:val="none"/>
        </w:rPr>
        <w:t>mg/L，悬浮固体含量为</w:t>
      </w:r>
      <w:r>
        <w:rPr>
          <w:rFonts w:hint="eastAsia" w:ascii="Times New Roman" w:hAnsi="Times New Roman" w:cs="Times New Roman" w:eastAsiaTheme="minorEastAsia"/>
          <w:bCs/>
          <w:color w:val="auto"/>
          <w:highlight w:val="none"/>
        </w:rPr>
        <w:t>2</w:t>
      </w:r>
      <w:r>
        <w:rPr>
          <w:rFonts w:ascii="Times New Roman" w:hAnsi="Times New Roman" w:cs="Times New Roman" w:eastAsiaTheme="minorEastAsia"/>
          <w:bCs/>
          <w:color w:val="auto"/>
          <w:highlight w:val="none"/>
        </w:rPr>
        <w:t>~3mg/L，满足《大庆油田地面工程建设设计规定》（Q/SYDQ0639-2015）及《碎屑岩油藏注水水质指标技术要求及分析方法》（SY/T5329-2022）限值要求。</w:t>
      </w:r>
    </w:p>
    <w:p w14:paraId="6D2F3D77">
      <w:pPr>
        <w:widowControl w:val="0"/>
        <w:autoSpaceDE w:val="0"/>
        <w:autoSpaceDN w:val="0"/>
        <w:spacing w:line="440" w:lineRule="exact"/>
        <w:ind w:firstLine="480"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bCs/>
          <w:color w:val="auto"/>
          <w:highlight w:val="none"/>
        </w:rPr>
        <w:t>卫一联含油污水深度处理站内各种机泵均加设了减震基础，泵房设有隔声门窗，</w:t>
      </w:r>
      <w:r>
        <w:rPr>
          <w:rFonts w:hint="eastAsia" w:ascii="Times New Roman" w:hAnsi="Times New Roman" w:cs="Times New Roman" w:eastAsiaTheme="minorEastAsia"/>
          <w:bCs/>
          <w:color w:val="auto"/>
          <w:highlight w:val="none"/>
          <w:lang w:val="en-US" w:eastAsia="zh-CN"/>
        </w:rPr>
        <w:t>本剧本次</w:t>
      </w:r>
      <w:r>
        <w:rPr>
          <w:rFonts w:ascii="Times New Roman" w:hAnsi="Times New Roman" w:cs="Times New Roman" w:eastAsiaTheme="minorEastAsia"/>
          <w:bCs/>
          <w:color w:val="auto"/>
          <w:highlight w:val="none"/>
        </w:rPr>
        <w:t>中对</w:t>
      </w:r>
      <w:r>
        <w:rPr>
          <w:rFonts w:hint="eastAsia" w:ascii="Times New Roman" w:hAnsi="Times New Roman" w:cs="Times New Roman" w:eastAsiaTheme="minorEastAsia"/>
          <w:bCs/>
          <w:color w:val="auto"/>
          <w:highlight w:val="none"/>
        </w:rPr>
        <w:t>卫一</w:t>
      </w:r>
      <w:r>
        <w:rPr>
          <w:rFonts w:ascii="Times New Roman" w:hAnsi="Times New Roman" w:cs="Times New Roman" w:eastAsiaTheme="minorEastAsia"/>
          <w:bCs/>
          <w:color w:val="auto"/>
          <w:highlight w:val="none"/>
        </w:rPr>
        <w:t>联合站的监测数据显示：</w:t>
      </w:r>
      <w:r>
        <w:rPr>
          <w:rFonts w:hint="eastAsia" w:ascii="Times New Roman" w:hAnsi="Times New Roman" w:cs="Times New Roman" w:eastAsiaTheme="minorEastAsia"/>
          <w:bCs/>
          <w:color w:val="auto"/>
          <w:highlight w:val="none"/>
        </w:rPr>
        <w:t>卫一</w:t>
      </w:r>
      <w:r>
        <w:rPr>
          <w:rFonts w:ascii="Times New Roman" w:hAnsi="Times New Roman" w:cs="Times New Roman" w:eastAsiaTheme="minorEastAsia"/>
          <w:bCs/>
          <w:color w:val="auto"/>
          <w:highlight w:val="none"/>
        </w:rPr>
        <w:t>联合站厂界噪声昼间在</w:t>
      </w:r>
      <w:r>
        <w:rPr>
          <w:rFonts w:hint="eastAsia" w:ascii="Times New Roman" w:hAnsi="Times New Roman" w:cs="Times New Roman" w:eastAsiaTheme="minorEastAsia"/>
          <w:bCs/>
          <w:color w:val="auto"/>
          <w:highlight w:val="none"/>
          <w:lang w:val="en-US" w:eastAsia="zh-CN"/>
        </w:rPr>
        <w:t>45.7-48.3</w:t>
      </w:r>
      <w:r>
        <w:rPr>
          <w:rFonts w:ascii="Times New Roman" w:hAnsi="Times New Roman" w:cs="Times New Roman" w:eastAsiaTheme="minorEastAsia"/>
          <w:bCs/>
          <w:color w:val="auto"/>
          <w:highlight w:val="none"/>
        </w:rPr>
        <w:t>dB（A）之间，夜间在</w:t>
      </w:r>
      <w:r>
        <w:rPr>
          <w:rFonts w:hint="eastAsia" w:ascii="Times New Roman" w:hAnsi="Times New Roman" w:cs="Times New Roman" w:eastAsiaTheme="minorEastAsia"/>
          <w:bCs/>
          <w:color w:val="auto"/>
          <w:highlight w:val="none"/>
          <w:lang w:val="en-US" w:eastAsia="zh-CN"/>
        </w:rPr>
        <w:t>42.5-45.8</w:t>
      </w:r>
      <w:r>
        <w:rPr>
          <w:rFonts w:ascii="Times New Roman" w:hAnsi="Times New Roman" w:cs="Times New Roman" w:eastAsiaTheme="minorEastAsia"/>
          <w:bCs/>
          <w:color w:val="auto"/>
          <w:highlight w:val="none"/>
        </w:rPr>
        <w:t>dB（A）之间，满足《工业企业厂界环境噪声排放标准》（GB12348-2008）中2类标准。</w:t>
      </w:r>
    </w:p>
    <w:p w14:paraId="4855EBA0">
      <w:pPr>
        <w:widowControl w:val="0"/>
        <w:autoSpaceDE w:val="0"/>
        <w:autoSpaceDN w:val="0"/>
        <w:spacing w:line="440" w:lineRule="exact"/>
        <w:ind w:firstLine="480" w:firstLineChars="200"/>
        <w:jc w:val="both"/>
        <w:rPr>
          <w:rFonts w:ascii="Times New Roman" w:hAnsi="Times New Roman" w:cs="Times New Roman" w:eastAsiaTheme="minorEastAsia"/>
          <w:bCs/>
          <w:color w:val="auto"/>
          <w:highlight w:val="none"/>
        </w:rPr>
      </w:pPr>
      <w:r>
        <w:rPr>
          <w:rFonts w:ascii="Times New Roman" w:hAnsi="Times New Roman" w:cs="Times New Roman" w:eastAsiaTheme="minorEastAsia"/>
          <w:bCs/>
          <w:color w:val="auto"/>
          <w:highlight w:val="none"/>
        </w:rPr>
        <w:t>卫一联含油污水深度处理站内产生的固体废物主要为定期更换滤罐内滤料产生的废滤料、罐体清淤产生的含油污泥、生活垃圾等。根据调查，卫一联含油污水深度处理站含油污泥危险废物类别为</w:t>
      </w:r>
      <w:r>
        <w:rPr>
          <w:rFonts w:ascii="Times New Roman" w:hAnsi="Times New Roman" w:cs="Times New Roman" w:eastAsiaTheme="minorEastAsia"/>
          <w:color w:val="auto"/>
          <w:kern w:val="2"/>
          <w:szCs w:val="20"/>
          <w:highlight w:val="none"/>
        </w:rPr>
        <w:t>HW08废矿物油与含矿物油废物</w:t>
      </w:r>
      <w:r>
        <w:rPr>
          <w:rFonts w:ascii="Times New Roman" w:hAnsi="Times New Roman" w:cs="Times New Roman" w:eastAsiaTheme="minorEastAsia"/>
          <w:bCs/>
          <w:color w:val="auto"/>
          <w:highlight w:val="none"/>
        </w:rPr>
        <w:t>，危废代码为071-001-08（石油开采和联合站贮存产生的油泥和油脚），</w:t>
      </w:r>
      <w:r>
        <w:rPr>
          <w:rFonts w:ascii="Times New Roman" w:hAnsi="Times New Roman" w:cs="Times New Roman"/>
          <w:bCs/>
          <w:color w:val="auto"/>
          <w:kern w:val="2"/>
          <w:highlight w:val="none"/>
        </w:rPr>
        <w:t>委托大庆博昕晶化科技有限公司处理满足相关要求后，用作油田垫井场和通井路</w:t>
      </w:r>
      <w:r>
        <w:rPr>
          <w:rFonts w:ascii="Times New Roman" w:hAnsi="Times New Roman" w:cs="Times New Roman" w:eastAsiaTheme="minorEastAsia"/>
          <w:bCs/>
          <w:color w:val="auto"/>
          <w:highlight w:val="none"/>
        </w:rPr>
        <w:t>。卫一联含油污水深度处理站每2年对站内的滤罐进行滤料清洗更换，单次产生废滤料约12m</w:t>
      </w:r>
      <w:r>
        <w:rPr>
          <w:rFonts w:ascii="Times New Roman" w:hAnsi="Times New Roman" w:cs="Times New Roman" w:eastAsiaTheme="minorEastAsia"/>
          <w:bCs/>
          <w:color w:val="auto"/>
          <w:highlight w:val="none"/>
          <w:vertAlign w:val="superscript"/>
        </w:rPr>
        <w:t>3</w:t>
      </w:r>
      <w:r>
        <w:rPr>
          <w:rFonts w:ascii="Times New Roman" w:hAnsi="Times New Roman" w:cs="Times New Roman" w:eastAsiaTheme="minorEastAsia"/>
          <w:bCs/>
          <w:color w:val="auto"/>
          <w:highlight w:val="none"/>
        </w:rPr>
        <w:t>，废滤料为危险废物，类别为HW49，</w:t>
      </w:r>
      <w:r>
        <w:rPr>
          <w:rFonts w:ascii="Times New Roman" w:hAnsi="Times New Roman" w:cs="Times New Roman"/>
          <w:color w:val="auto"/>
          <w:highlight w:val="none"/>
        </w:rPr>
        <w:t>危险废物代码为900-041-49</w:t>
      </w:r>
      <w:r>
        <w:rPr>
          <w:rFonts w:ascii="Times New Roman" w:hAnsi="Times New Roman" w:cs="Times New Roman" w:eastAsiaTheme="minorEastAsia"/>
          <w:bCs/>
          <w:color w:val="auto"/>
          <w:highlight w:val="none"/>
        </w:rPr>
        <w:t>，委托大庆蓝星环保工程有限公司处置。卫一联含油污水深度处理站生活垃圾产生量约为3.2t/a，集中收集后委托环卫部门清运至</w:t>
      </w:r>
      <w:r>
        <w:rPr>
          <w:rFonts w:hint="eastAsia" w:ascii="Times New Roman" w:hAnsi="Times New Roman" w:cs="Times New Roman" w:eastAsiaTheme="minorEastAsia"/>
          <w:bCs/>
          <w:color w:val="auto"/>
          <w:highlight w:val="none"/>
        </w:rPr>
        <w:t>安达市生活垃圾填埋场</w:t>
      </w:r>
      <w:r>
        <w:rPr>
          <w:rFonts w:ascii="Times New Roman" w:hAnsi="Times New Roman" w:cs="Times New Roman" w:eastAsiaTheme="minorEastAsia"/>
          <w:bCs/>
          <w:color w:val="auto"/>
          <w:highlight w:val="none"/>
        </w:rPr>
        <w:t>处理。</w:t>
      </w:r>
    </w:p>
    <w:p w14:paraId="233D3A75">
      <w:pPr>
        <w:widowControl w:val="0"/>
        <w:autoSpaceDE w:val="0"/>
        <w:autoSpaceDN w:val="0"/>
        <w:spacing w:line="440" w:lineRule="exact"/>
        <w:ind w:firstLine="480" w:firstLineChars="200"/>
        <w:jc w:val="both"/>
        <w:rPr>
          <w:rFonts w:ascii="Times New Roman" w:hAnsi="Times New Roman" w:cs="Times New Roman" w:eastAsiaTheme="minorEastAsia"/>
          <w:color w:val="auto"/>
          <w:highlight w:val="none"/>
        </w:rPr>
      </w:pPr>
      <w:r>
        <w:rPr>
          <w:rFonts w:hint="eastAsia" w:ascii="Times New Roman" w:hAnsi="Times New Roman" w:cs="Times New Roman" w:eastAsiaTheme="minorEastAsia"/>
          <w:bCs/>
          <w:color w:val="auto"/>
          <w:highlight w:val="none"/>
        </w:rPr>
        <w:t>卫一</w:t>
      </w:r>
      <w:r>
        <w:rPr>
          <w:rFonts w:ascii="Times New Roman" w:hAnsi="Times New Roman" w:cs="Times New Roman" w:eastAsiaTheme="minorEastAsia"/>
          <w:bCs/>
          <w:color w:val="auto"/>
          <w:highlight w:val="none"/>
        </w:rPr>
        <w:t>联合站</w:t>
      </w:r>
      <w:r>
        <w:rPr>
          <w:rFonts w:ascii="Times New Roman" w:hAnsi="Times New Roman" w:cs="Times New Roman" w:eastAsiaTheme="minorEastAsia"/>
          <w:color w:val="auto"/>
          <w:highlight w:val="none"/>
        </w:rPr>
        <w:t>占地内环境清洁，站内道路两侧和院墙内均已绿化。在污染治理方面，运行设备采取减振、隔声等有效措施后达标排放，废水处理达标后均回注油层；在环境管理方面，</w:t>
      </w:r>
      <w:r>
        <w:rPr>
          <w:rFonts w:hint="eastAsia" w:ascii="Times New Roman" w:hAnsi="Times New Roman" w:eastAsiaTheme="minorEastAsia"/>
          <w:bCs/>
          <w:caps w:val="0"/>
          <w:smallCaps w:val="0"/>
          <w:color w:val="auto"/>
          <w:spacing w:val="0"/>
          <w:w w:val="100"/>
          <w:position w:val="0"/>
          <w:highlight w:val="none"/>
          <w:lang w:val="en-US" w:eastAsia="zh-CN"/>
        </w:rPr>
        <w:t>第十一采油厂</w:t>
      </w:r>
      <w:r>
        <w:rPr>
          <w:rFonts w:ascii="Times New Roman" w:hAnsi="Times New Roman" w:cs="Times New Roman" w:eastAsiaTheme="minorEastAsia"/>
          <w:color w:val="auto"/>
          <w:highlight w:val="none"/>
        </w:rPr>
        <w:t>设置了环保组织机构，制定了可行的环境保护规章制度，建立了规范的环保档案，制定了可行的环境风险应急预案并定期组织演练。</w:t>
      </w:r>
    </w:p>
    <w:p w14:paraId="7EF87277">
      <w:pPr>
        <w:widowControl w:val="0"/>
        <w:autoSpaceDE w:val="0"/>
        <w:autoSpaceDN w:val="0"/>
        <w:spacing w:line="440" w:lineRule="exact"/>
        <w:ind w:firstLine="480" w:firstLineChars="200"/>
        <w:jc w:val="both"/>
        <w:rPr>
          <w:rFonts w:ascii="Times New Roman" w:hAnsi="Times New Roman" w:cs="Times New Roman"/>
          <w:bCs/>
          <w:color w:val="auto"/>
          <w:szCs w:val="20"/>
          <w:highlight w:val="none"/>
        </w:rPr>
      </w:pPr>
      <w:r>
        <w:rPr>
          <w:rFonts w:ascii="Times New Roman" w:hAnsi="Times New Roman" w:cs="Times New Roman"/>
          <w:bCs/>
          <w:color w:val="auto"/>
          <w:szCs w:val="20"/>
          <w:highlight w:val="none"/>
        </w:rPr>
        <w:t>综上，本项目依托卫一联含油污水深度处理站可行。</w:t>
      </w:r>
    </w:p>
    <w:p w14:paraId="1C4C48E0">
      <w:pPr>
        <w:widowControl w:val="0"/>
        <w:autoSpaceDE w:val="0"/>
        <w:autoSpaceDN w:val="0"/>
        <w:spacing w:line="440" w:lineRule="exact"/>
        <w:ind w:firstLine="480" w:firstLineChars="200"/>
        <w:jc w:val="both"/>
        <w:rPr>
          <w:rFonts w:ascii="Times New Roman" w:hAnsi="Times New Roman" w:cs="Times New Roman" w:eastAsiaTheme="minorEastAsia"/>
          <w:bCs/>
          <w:color w:val="auto"/>
          <w:highlight w:val="none"/>
        </w:rPr>
      </w:pPr>
      <w:r>
        <w:rPr>
          <w:rFonts w:ascii="Times New Roman" w:hAnsi="Times New Roman" w:cs="Times New Roman" w:eastAsiaTheme="minorEastAsia"/>
          <w:bCs/>
          <w:color w:val="auto"/>
          <w:highlight w:val="none"/>
        </w:rPr>
        <w:t>（2）第八采油厂工业固废填埋场</w:t>
      </w:r>
    </w:p>
    <w:p w14:paraId="359486C7">
      <w:pPr>
        <w:widowControl w:val="0"/>
        <w:autoSpaceDE w:val="0"/>
        <w:autoSpaceDN w:val="0"/>
        <w:spacing w:line="440" w:lineRule="exact"/>
        <w:ind w:firstLine="480" w:firstLineChars="200"/>
        <w:jc w:val="both"/>
        <w:rPr>
          <w:rFonts w:ascii="Times New Roman" w:hAnsi="Times New Roman" w:cs="Times New Roman" w:eastAsiaTheme="minorEastAsia"/>
          <w:bCs/>
          <w:color w:val="auto"/>
          <w:highlight w:val="none"/>
        </w:rPr>
      </w:pPr>
      <w:r>
        <w:rPr>
          <w:rFonts w:hint="eastAsia" w:ascii="Times New Roman" w:hAnsi="Times New Roman" w:cs="Times New Roman" w:eastAsiaTheme="minorEastAsia"/>
          <w:bCs/>
          <w:color w:val="auto"/>
          <w:highlight w:val="none"/>
          <w:lang w:bidi="zh-CN"/>
        </w:rPr>
        <w:t>第八采油厂工业固废填埋场已于2011年11月22日取得原大庆市生态环境局批复，文号为：庆环建字〔20</w:t>
      </w:r>
      <w:r>
        <w:rPr>
          <w:rFonts w:ascii="Times New Roman" w:hAnsi="Times New Roman" w:cs="Times New Roman" w:eastAsiaTheme="minorEastAsia"/>
          <w:bCs/>
          <w:color w:val="auto"/>
          <w:highlight w:val="none"/>
          <w:lang w:bidi="zh-CN"/>
        </w:rPr>
        <w:t>11</w:t>
      </w:r>
      <w:r>
        <w:rPr>
          <w:rFonts w:hint="eastAsia" w:ascii="Times New Roman" w:hAnsi="Times New Roman" w:cs="Times New Roman" w:eastAsiaTheme="minorEastAsia"/>
          <w:bCs/>
          <w:color w:val="auto"/>
          <w:highlight w:val="none"/>
          <w:lang w:bidi="zh-CN"/>
        </w:rPr>
        <w:t>〕171号，并于2014年8月8日完成验收，文号为：庆环验字[2014]38号。</w:t>
      </w:r>
      <w:r>
        <w:rPr>
          <w:rFonts w:ascii="Times New Roman" w:hAnsi="Times New Roman" w:cs="Times New Roman" w:eastAsiaTheme="minorEastAsia"/>
          <w:bCs/>
          <w:color w:val="auto"/>
          <w:highlight w:val="none"/>
          <w:lang w:bidi="zh-CN"/>
        </w:rPr>
        <w:t>第八采油厂工业固废填埋场占地1.91hm</w:t>
      </w:r>
      <w:r>
        <w:rPr>
          <w:rFonts w:ascii="Times New Roman" w:hAnsi="Times New Roman" w:cs="Times New Roman" w:eastAsiaTheme="minorEastAsia"/>
          <w:bCs/>
          <w:color w:val="auto"/>
          <w:highlight w:val="none"/>
          <w:vertAlign w:val="superscript"/>
          <w:lang w:bidi="zh-CN"/>
        </w:rPr>
        <w:t>2</w:t>
      </w:r>
      <w:r>
        <w:rPr>
          <w:rFonts w:ascii="Times New Roman" w:hAnsi="Times New Roman" w:cs="Times New Roman" w:eastAsiaTheme="minorEastAsia"/>
          <w:bCs/>
          <w:color w:val="auto"/>
          <w:highlight w:val="none"/>
          <w:lang w:bidi="zh-CN"/>
        </w:rPr>
        <w:t>，填埋场容量为11624m</w:t>
      </w:r>
      <w:r>
        <w:rPr>
          <w:rFonts w:ascii="Times New Roman" w:hAnsi="Times New Roman" w:cs="Times New Roman" w:eastAsiaTheme="minorEastAsia"/>
          <w:bCs/>
          <w:color w:val="auto"/>
          <w:highlight w:val="none"/>
          <w:vertAlign w:val="superscript"/>
          <w:lang w:bidi="zh-CN"/>
        </w:rPr>
        <w:t>3</w:t>
      </w:r>
      <w:r>
        <w:rPr>
          <w:rFonts w:ascii="Times New Roman" w:hAnsi="Times New Roman" w:cs="Times New Roman" w:eastAsiaTheme="minorEastAsia"/>
          <w:bCs/>
          <w:color w:val="auto"/>
          <w:highlight w:val="none"/>
          <w:lang w:bidi="zh-CN"/>
        </w:rPr>
        <w:t>，现填埋量352m</w:t>
      </w:r>
      <w:r>
        <w:rPr>
          <w:rFonts w:ascii="Times New Roman" w:hAnsi="Times New Roman" w:cs="Times New Roman" w:eastAsiaTheme="minorEastAsia"/>
          <w:bCs/>
          <w:color w:val="auto"/>
          <w:highlight w:val="none"/>
          <w:vertAlign w:val="superscript"/>
          <w:lang w:bidi="zh-CN"/>
        </w:rPr>
        <w:t>3</w:t>
      </w:r>
      <w:r>
        <w:rPr>
          <w:rFonts w:ascii="Times New Roman" w:hAnsi="Times New Roman" w:cs="Times New Roman" w:eastAsiaTheme="minorEastAsia"/>
          <w:bCs/>
          <w:color w:val="auto"/>
          <w:highlight w:val="none"/>
          <w:lang w:bidi="zh-CN"/>
        </w:rPr>
        <w:t>，剩余可填埋量11272m</w:t>
      </w:r>
      <w:r>
        <w:rPr>
          <w:rFonts w:ascii="Times New Roman" w:hAnsi="Times New Roman" w:cs="Times New Roman" w:eastAsiaTheme="minorEastAsia"/>
          <w:bCs/>
          <w:color w:val="auto"/>
          <w:highlight w:val="none"/>
          <w:vertAlign w:val="superscript"/>
          <w:lang w:bidi="zh-CN"/>
        </w:rPr>
        <w:t>3</w:t>
      </w:r>
      <w:r>
        <w:rPr>
          <w:rFonts w:ascii="Times New Roman" w:hAnsi="Times New Roman" w:cs="Times New Roman" w:eastAsiaTheme="minorEastAsia"/>
          <w:bCs/>
          <w:color w:val="auto"/>
          <w:highlight w:val="none"/>
          <w:lang w:bidi="zh-CN"/>
        </w:rPr>
        <w:t>，本工程共产生</w:t>
      </w:r>
      <w:r>
        <w:rPr>
          <w:rFonts w:hint="eastAsia" w:ascii="Times New Roman" w:hAnsi="Times New Roman" w:cs="Times New Roman" w:eastAsiaTheme="minorEastAsia"/>
          <w:bCs/>
          <w:color w:val="auto"/>
          <w:highlight w:val="none"/>
          <w:lang w:bidi="zh-CN"/>
        </w:rPr>
        <w:t>施工废料和废防渗布等废物合计</w:t>
      </w:r>
      <w:r>
        <w:rPr>
          <w:rFonts w:ascii="Times New Roman" w:hAnsi="Times New Roman" w:cs="Times New Roman" w:eastAsiaTheme="minorEastAsia"/>
          <w:bCs/>
          <w:color w:val="auto"/>
          <w:highlight w:val="none"/>
        </w:rPr>
        <w:t>约</w:t>
      </w:r>
      <w:r>
        <w:rPr>
          <w:rFonts w:hint="eastAsia" w:ascii="Times New Roman" w:hAnsi="Times New Roman" w:cs="Times New Roman" w:eastAsiaTheme="minorEastAsia"/>
          <w:bCs/>
          <w:color w:val="auto"/>
          <w:highlight w:val="none"/>
          <w:lang w:val="en-US" w:eastAsia="zh-CN"/>
        </w:rPr>
        <w:t>3.35</w:t>
      </w:r>
      <w:r>
        <w:rPr>
          <w:rFonts w:ascii="Times New Roman" w:hAnsi="Times New Roman" w:cs="Times New Roman" w:eastAsiaTheme="minorEastAsia"/>
          <w:bCs/>
          <w:color w:val="auto"/>
          <w:highlight w:val="none"/>
        </w:rPr>
        <w:t>t，约</w:t>
      </w:r>
      <w:r>
        <w:rPr>
          <w:rFonts w:hint="eastAsia" w:ascii="Times New Roman" w:hAnsi="Times New Roman" w:cs="Times New Roman" w:eastAsiaTheme="minorEastAsia"/>
          <w:bCs/>
          <w:color w:val="auto"/>
          <w:highlight w:val="none"/>
          <w:lang w:val="en-US" w:eastAsia="zh-CN"/>
        </w:rPr>
        <w:t>2</w:t>
      </w:r>
      <w:r>
        <w:rPr>
          <w:rFonts w:ascii="Times New Roman" w:hAnsi="Times New Roman" w:cs="Times New Roman" w:eastAsiaTheme="minorEastAsia"/>
          <w:bCs/>
          <w:color w:val="auto"/>
          <w:highlight w:val="none"/>
        </w:rPr>
        <w:t>m</w:t>
      </w:r>
      <w:r>
        <w:rPr>
          <w:rFonts w:ascii="Times New Roman" w:hAnsi="Times New Roman" w:cs="Times New Roman" w:eastAsiaTheme="minorEastAsia"/>
          <w:bCs/>
          <w:color w:val="auto"/>
          <w:highlight w:val="none"/>
          <w:vertAlign w:val="superscript"/>
        </w:rPr>
        <w:t>3</w:t>
      </w:r>
      <w:r>
        <w:rPr>
          <w:rFonts w:ascii="Times New Roman" w:hAnsi="Times New Roman" w:cs="Times New Roman" w:eastAsiaTheme="minorEastAsia"/>
          <w:bCs/>
          <w:color w:val="auto"/>
          <w:highlight w:val="none"/>
        </w:rPr>
        <w:t>，</w:t>
      </w:r>
      <w:r>
        <w:rPr>
          <w:rFonts w:ascii="Times New Roman" w:hAnsi="Times New Roman" w:cs="Times New Roman" w:eastAsiaTheme="minorEastAsia"/>
          <w:bCs/>
          <w:color w:val="auto"/>
          <w:highlight w:val="none"/>
          <w:lang w:bidi="zh-CN"/>
        </w:rPr>
        <w:t>可满足本工程新增固废处理要求</w:t>
      </w:r>
      <w:r>
        <w:rPr>
          <w:rFonts w:hint="eastAsia" w:ascii="Times New Roman" w:hAnsi="Times New Roman" w:cs="Times New Roman" w:eastAsiaTheme="minorEastAsia"/>
          <w:bCs/>
          <w:color w:val="auto"/>
          <w:highlight w:val="none"/>
          <w:lang w:bidi="zh-CN"/>
        </w:rPr>
        <w:t>，依托可行</w:t>
      </w:r>
      <w:r>
        <w:rPr>
          <w:rFonts w:ascii="Times New Roman" w:hAnsi="Times New Roman" w:cs="Times New Roman" w:eastAsiaTheme="minorEastAsia"/>
          <w:bCs/>
          <w:color w:val="auto"/>
          <w:highlight w:val="none"/>
          <w:lang w:bidi="zh-CN"/>
        </w:rPr>
        <w:t>。</w:t>
      </w:r>
    </w:p>
    <w:p w14:paraId="1E034C1F">
      <w:pPr>
        <w:widowControl w:val="0"/>
        <w:autoSpaceDE w:val="0"/>
        <w:autoSpaceDN w:val="0"/>
        <w:spacing w:line="440" w:lineRule="exact"/>
        <w:ind w:firstLine="480" w:firstLineChars="200"/>
        <w:jc w:val="both"/>
        <w:rPr>
          <w:rFonts w:ascii="Times New Roman" w:hAnsi="Times New Roman" w:cs="Times New Roman" w:eastAsiaTheme="minorEastAsia"/>
          <w:bCs/>
          <w:color w:val="auto"/>
          <w:highlight w:val="none"/>
        </w:rPr>
      </w:pPr>
      <w:r>
        <w:rPr>
          <w:rFonts w:ascii="Times New Roman" w:hAnsi="Times New Roman" w:cs="Times New Roman" w:eastAsiaTheme="minorEastAsia"/>
          <w:bCs/>
          <w:color w:val="auto"/>
          <w:highlight w:val="none"/>
        </w:rPr>
        <w:t>（3）大庆</w:t>
      </w:r>
      <w:r>
        <w:rPr>
          <w:rFonts w:hint="eastAsia" w:ascii="Times New Roman" w:hAnsi="Times New Roman" w:cs="Times New Roman" w:eastAsiaTheme="minorEastAsia"/>
          <w:bCs/>
          <w:color w:val="auto"/>
          <w:highlight w:val="none"/>
        </w:rPr>
        <w:t>洁宇环保科技有限公司</w:t>
      </w:r>
    </w:p>
    <w:p w14:paraId="4EF448FE">
      <w:pPr>
        <w:widowControl w:val="0"/>
        <w:spacing w:line="440" w:lineRule="exact"/>
        <w:ind w:firstLine="480"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大庆洁宇环保科技有限公司位于第七采油厂指挥部东北侧1.6km处，坐标E124°40′30"、N45°56'10"。该公司设有1套500m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/d水基泥浆处理设备，</w:t>
      </w:r>
      <w:r>
        <w:rPr>
          <w:rFonts w:hint="eastAsia" w:ascii="Times New Roman" w:hAnsi="Times New Roman" w:cs="Times New Roman" w:eastAsiaTheme="minorEastAsia"/>
          <w:color w:val="auto"/>
          <w:highlight w:val="none"/>
        </w:rPr>
        <w:t>合计</w:t>
      </w:r>
      <w:r>
        <w:rPr>
          <w:rFonts w:ascii="Times New Roman" w:hAnsi="Times New Roman" w:cs="Times New Roman" w:eastAsiaTheme="minorEastAsia"/>
          <w:color w:val="auto"/>
          <w:highlight w:val="none"/>
        </w:rPr>
        <w:t>处理能力150000m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/a，年运行300d，泥浆池最大储存量14500m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，主要采用的工艺为“破乳、脱稳、压滤”处理工艺，泥饼用于铺垫井排路。分离出的污水经罐车运至葡二联含油污水处理站处理，处理达标后回注油层。</w:t>
      </w:r>
    </w:p>
    <w:p w14:paraId="03EFF880">
      <w:pPr>
        <w:widowControl w:val="0"/>
        <w:spacing w:line="440" w:lineRule="exact"/>
        <w:ind w:firstLine="480" w:firstLineChars="200"/>
        <w:jc w:val="both"/>
        <w:rPr>
          <w:rFonts w:ascii="Times New Roman" w:hAnsi="Times New Roman" w:cs="Times New Roman" w:eastAsiaTheme="minorEastAsia"/>
          <w:color w:val="auto"/>
          <w:kern w:val="2"/>
          <w:highlight w:val="none"/>
        </w:rPr>
      </w:pPr>
      <w:r>
        <w:rPr>
          <w:rFonts w:ascii="Times New Roman" w:hAnsi="Times New Roman" w:cs="Times New Roman" w:eastAsiaTheme="minorEastAsia"/>
          <w:color w:val="auto"/>
          <w:highlight w:val="none"/>
        </w:rPr>
        <w:t>根据调查，目前处理负荷为355m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/d，泥浆池已用容量为500m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。该站剩余处理能力145m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/d，泥浆暂存池剩余容积为14000m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，本工程定向钻施工产生的废弃泥浆量</w:t>
      </w:r>
      <w:r>
        <w:rPr>
          <w:rFonts w:hint="eastAsia" w:ascii="Times New Roman" w:hAnsi="Times New Roman" w:cs="Times New Roman" w:eastAsiaTheme="minorEastAsia"/>
          <w:color w:val="auto"/>
          <w:highlight w:val="none"/>
          <w:lang w:val="en-US" w:eastAsia="zh-CN"/>
        </w:rPr>
        <w:t>70.56</w:t>
      </w:r>
      <w:r>
        <w:rPr>
          <w:rFonts w:ascii="Times New Roman" w:hAnsi="Times New Roman" w:cs="Times New Roman" w:eastAsiaTheme="minorEastAsia"/>
          <w:color w:val="auto"/>
          <w:highlight w:val="none"/>
        </w:rPr>
        <w:t>m</w:t>
      </w:r>
      <w:r>
        <w:rPr>
          <w:rFonts w:ascii="Times New Roman" w:hAnsi="Times New Roman" w:cs="Times New Roman" w:eastAsiaTheme="minorEastAsia"/>
          <w:color w:val="auto"/>
          <w:highlight w:val="none"/>
          <w:vertAlign w:val="superscript"/>
        </w:rPr>
        <w:t>3</w:t>
      </w:r>
      <w:r>
        <w:rPr>
          <w:rFonts w:ascii="Times New Roman" w:hAnsi="Times New Roman" w:cs="Times New Roman" w:eastAsiaTheme="minorEastAsia"/>
          <w:color w:val="auto"/>
          <w:highlight w:val="none"/>
        </w:rPr>
        <w:t>，暂存于施工场地设置的钢制泥浆槽中，由</w:t>
      </w:r>
      <w:r>
        <w:rPr>
          <w:rFonts w:hint="eastAsia" w:ascii="Times New Roman" w:hAnsi="Times New Roman" w:cs="Times New Roman" w:eastAsiaTheme="minorEastAsia"/>
          <w:color w:val="auto"/>
          <w:highlight w:val="none"/>
        </w:rPr>
        <w:t>罐车拉运至大庆洁宇环保科技有限公司处理，新增本工程钻井泥浆后，该站负荷率为</w:t>
      </w:r>
      <w:r>
        <w:rPr>
          <w:rFonts w:hint="eastAsia" w:ascii="Times New Roman" w:hAnsi="Times New Roman" w:cs="Times New Roman" w:eastAsiaTheme="minorEastAsia"/>
          <w:color w:val="auto"/>
          <w:highlight w:val="none"/>
          <w:lang w:val="en-US" w:eastAsia="zh-CN"/>
        </w:rPr>
        <w:t>85</w:t>
      </w:r>
      <w:r>
        <w:rPr>
          <w:rFonts w:hint="eastAsia" w:ascii="Times New Roman" w:hAnsi="Times New Roman" w:cs="Times New Roman" w:eastAsiaTheme="minorEastAsia"/>
          <w:color w:val="auto"/>
          <w:highlight w:val="none"/>
        </w:rPr>
        <w:t>%，能够满足本工程依托需求。大庆洁宇环保科技有限公司废弃泥浆处理工</w:t>
      </w:r>
      <w:r>
        <w:rPr>
          <w:rFonts w:ascii="Times New Roman" w:hAnsi="Times New Roman" w:cs="Times New Roman" w:eastAsiaTheme="minorEastAsia"/>
          <w:color w:val="auto"/>
          <w:kern w:val="2"/>
          <w:szCs w:val="20"/>
          <w:highlight w:val="none"/>
          <w:lang w:bidi="zh-CN"/>
        </w:rPr>
        <w:t>艺流程图见图3.9-2</w:t>
      </w:r>
      <w:r>
        <w:rPr>
          <w:rFonts w:ascii="Times New Roman" w:hAnsi="Times New Roman" w:cs="Times New Roman" w:eastAsiaTheme="minorEastAsia"/>
          <w:color w:val="auto"/>
          <w:highlight w:val="none"/>
        </w:rPr>
        <w:t>。</w:t>
      </w:r>
    </w:p>
    <w:p w14:paraId="281D0032">
      <w:pPr>
        <w:widowControl w:val="0"/>
        <w:autoSpaceDE w:val="0"/>
        <w:autoSpaceDN w:val="0"/>
        <w:jc w:val="center"/>
        <w:rPr>
          <w:rFonts w:ascii="Times New Roman" w:hAnsi="Times New Roman" w:cs="Times New Roman" w:eastAsiaTheme="minorEastAsia"/>
          <w:color w:val="auto"/>
          <w:highlight w:val="none"/>
          <w:lang w:val="zh-CN" w:bidi="zh-CN"/>
        </w:rPr>
      </w:pPr>
      <w:r>
        <w:rPr>
          <w:color w:val="auto"/>
          <w:highlight w:val="none"/>
        </w:rPr>
        <w:drawing>
          <wp:inline distT="0" distB="0" distL="0" distR="0">
            <wp:extent cx="2342515" cy="3314065"/>
            <wp:effectExtent l="0" t="0" r="635" b="635"/>
            <wp:docPr id="7470417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41753" name="图片 1"/>
                    <pic:cNvPicPr>
                      <a:picLocks noChangeAspect="1"/>
                    </pic:cNvPicPr>
                  </pic:nvPicPr>
                  <pic:blipFill>
                    <a:blip r:embed="rId30"/>
                    <a:stretch>
                      <a:fillRect/>
                    </a:stretch>
                  </pic:blipFill>
                  <pic:spPr>
                    <a:xfrm>
                      <a:off x="0" y="0"/>
                      <a:ext cx="2342857" cy="3314286"/>
                    </a:xfrm>
                    <a:prstGeom prst="rect">
                      <a:avLst/>
                    </a:prstGeom>
                  </pic:spPr>
                </pic:pic>
              </a:graphicData>
            </a:graphic>
          </wp:inline>
        </w:drawing>
      </w:r>
    </w:p>
    <w:p w14:paraId="7B9D52C1">
      <w:pPr>
        <w:widowControl w:val="0"/>
        <w:spacing w:line="440" w:lineRule="exact"/>
        <w:jc w:val="center"/>
        <w:rPr>
          <w:rFonts w:ascii="Times New Roman" w:hAnsi="Times New Roman" w:cs="Times New Roman" w:eastAsiaTheme="minorEastAsia"/>
          <w:b/>
          <w:snapToGrid w:val="0"/>
          <w:color w:val="auto"/>
          <w:highlight w:val="none"/>
        </w:rPr>
      </w:pPr>
      <w:r>
        <w:rPr>
          <w:rFonts w:ascii="Times New Roman" w:hAnsi="Times New Roman" w:cs="Times New Roman" w:eastAsiaTheme="minorEastAsia"/>
          <w:b/>
          <w:snapToGrid w:val="0"/>
          <w:color w:val="auto"/>
          <w:highlight w:val="none"/>
        </w:rPr>
        <w:t>图3.9-2   废弃</w:t>
      </w:r>
      <w:r>
        <w:rPr>
          <w:rFonts w:hint="eastAsia" w:ascii="Times New Roman" w:hAnsi="Times New Roman" w:cs="Times New Roman" w:eastAsiaTheme="minorEastAsia"/>
          <w:b/>
          <w:snapToGrid w:val="0"/>
          <w:color w:val="auto"/>
          <w:highlight w:val="none"/>
        </w:rPr>
        <w:t>泥浆处理</w:t>
      </w:r>
      <w:r>
        <w:rPr>
          <w:rFonts w:ascii="Times New Roman" w:hAnsi="Times New Roman" w:cs="Times New Roman" w:eastAsiaTheme="minorEastAsia"/>
          <w:b/>
          <w:snapToGrid w:val="0"/>
          <w:color w:val="auto"/>
          <w:highlight w:val="none"/>
        </w:rPr>
        <w:t>工艺流程图</w:t>
      </w:r>
    </w:p>
    <w:p w14:paraId="39498DE7">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bookmarkStart w:id="512" w:name="_Toc84929243"/>
      <w:bookmarkStart w:id="513" w:name="_Toc85640767"/>
      <w:bookmarkStart w:id="514" w:name="_Toc86141946"/>
      <w:bookmarkStart w:id="515" w:name="_Toc83209487"/>
      <w:bookmarkStart w:id="516" w:name="_Toc110438488"/>
      <w:r>
        <w:rPr>
          <w:rFonts w:eastAsiaTheme="minorEastAsia"/>
          <w:b/>
          <w:caps w:val="0"/>
          <w:smallCaps w:val="0"/>
          <w:color w:val="auto"/>
          <w:spacing w:val="0"/>
          <w:w w:val="100"/>
          <w:kern w:val="2"/>
          <w:position w:val="0"/>
          <w:sz w:val="24"/>
          <w:szCs w:val="24"/>
          <w:highlight w:val="none"/>
        </w:rPr>
        <w:t>3.9.2依托工程环境影响评价及竣工验收情况</w:t>
      </w:r>
      <w:bookmarkEnd w:id="512"/>
      <w:bookmarkEnd w:id="513"/>
      <w:bookmarkEnd w:id="514"/>
      <w:bookmarkEnd w:id="515"/>
      <w:bookmarkEnd w:id="516"/>
    </w:p>
    <w:p w14:paraId="3EB0B44B">
      <w:pPr>
        <w:snapToGrid w:val="0"/>
        <w:spacing w:line="500" w:lineRule="exact"/>
        <w:ind w:firstLine="480" w:firstLineChars="200"/>
        <w:rPr>
          <w:rFonts w:ascii="Times New Roman" w:hAnsi="Times New Roman" w:cs="Times New Roman" w:eastAsiaTheme="minorEastAsia"/>
          <w:bCs/>
          <w:caps w:val="0"/>
          <w:smallCaps w:val="0"/>
          <w:color w:val="auto"/>
          <w:spacing w:val="0"/>
          <w:w w:val="100"/>
          <w:kern w:val="2"/>
          <w:position w:val="0"/>
          <w:highlight w:val="none"/>
        </w:rPr>
      </w:pPr>
      <w:r>
        <w:rPr>
          <w:rFonts w:ascii="Times New Roman" w:hAnsi="Times New Roman" w:cs="Times New Roman" w:eastAsiaTheme="minorEastAsia"/>
          <w:bCs/>
          <w:caps w:val="0"/>
          <w:smallCaps w:val="0"/>
          <w:color w:val="auto"/>
          <w:spacing w:val="0"/>
          <w:w w:val="100"/>
          <w:kern w:val="2"/>
          <w:position w:val="0"/>
          <w:highlight w:val="none"/>
        </w:rPr>
        <w:t>本项目依托工程环境影响评价及竣工验收情况见表3.9-1。</w:t>
      </w:r>
    </w:p>
    <w:p w14:paraId="315A7E0A">
      <w:pPr>
        <w:snapToGrid w:val="0"/>
        <w:spacing w:line="500" w:lineRule="exact"/>
        <w:ind w:firstLine="482" w:firstLineChars="200"/>
        <w:rPr>
          <w:rFonts w:ascii="Times New Roman" w:hAnsi="Times New Roman" w:cs="Times New Roman" w:eastAsiaTheme="minorEastAsia"/>
          <w:b/>
          <w:bCs/>
          <w:caps w:val="0"/>
          <w:smallCaps w:val="0"/>
          <w:color w:val="auto"/>
          <w:spacing w:val="0"/>
          <w:w w:val="100"/>
          <w:kern w:val="2"/>
          <w:position w:val="0"/>
          <w:highlight w:val="none"/>
        </w:rPr>
      </w:pPr>
      <w:r>
        <w:rPr>
          <w:rFonts w:ascii="Times New Roman" w:hAnsi="Times New Roman" w:cs="Times New Roman" w:eastAsiaTheme="minorEastAsia"/>
          <w:b/>
          <w:bCs/>
          <w:caps w:val="0"/>
          <w:smallCaps w:val="0"/>
          <w:color w:val="auto"/>
          <w:spacing w:val="0"/>
          <w:w w:val="100"/>
          <w:kern w:val="2"/>
          <w:position w:val="0"/>
          <w:highlight w:val="none"/>
        </w:rPr>
        <w:t>表3.9-1    依托工程环评验收情况一览表</w:t>
      </w:r>
    </w:p>
    <w:tbl>
      <w:tblPr>
        <w:tblStyle w:val="80"/>
        <w:tblW w:w="90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568"/>
        <w:gridCol w:w="1417"/>
        <w:gridCol w:w="2410"/>
        <w:gridCol w:w="1426"/>
        <w:gridCol w:w="1625"/>
        <w:gridCol w:w="1624"/>
      </w:tblGrid>
      <w:tr w14:paraId="4E55F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568" w:type="dxa"/>
            <w:vAlign w:val="center"/>
          </w:tcPr>
          <w:p w14:paraId="75C39A7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序号</w:t>
            </w:r>
          </w:p>
        </w:tc>
        <w:tc>
          <w:tcPr>
            <w:tcW w:w="1417" w:type="dxa"/>
            <w:vAlign w:val="center"/>
          </w:tcPr>
          <w:p w14:paraId="306F5DE4">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依托场站</w:t>
            </w:r>
          </w:p>
        </w:tc>
        <w:tc>
          <w:tcPr>
            <w:tcW w:w="2410" w:type="dxa"/>
            <w:vAlign w:val="center"/>
          </w:tcPr>
          <w:p w14:paraId="7DA87192">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环评项目名称</w:t>
            </w:r>
          </w:p>
        </w:tc>
        <w:tc>
          <w:tcPr>
            <w:tcW w:w="1426" w:type="dxa"/>
            <w:vAlign w:val="center"/>
          </w:tcPr>
          <w:p w14:paraId="72E0FEDB">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环评批复</w:t>
            </w:r>
          </w:p>
        </w:tc>
        <w:tc>
          <w:tcPr>
            <w:tcW w:w="1625" w:type="dxa"/>
            <w:vAlign w:val="center"/>
          </w:tcPr>
          <w:p w14:paraId="329F088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验收情况</w:t>
            </w:r>
          </w:p>
        </w:tc>
        <w:tc>
          <w:tcPr>
            <w:tcW w:w="1624" w:type="dxa"/>
            <w:vAlign w:val="center"/>
          </w:tcPr>
          <w:p w14:paraId="7F267BFE">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排污许可证编号</w:t>
            </w:r>
          </w:p>
        </w:tc>
      </w:tr>
      <w:tr w14:paraId="50E52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568" w:type="dxa"/>
            <w:vAlign w:val="center"/>
          </w:tcPr>
          <w:p w14:paraId="55851EF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w:t>
            </w:r>
          </w:p>
        </w:tc>
        <w:tc>
          <w:tcPr>
            <w:tcW w:w="1417" w:type="dxa"/>
            <w:vAlign w:val="center"/>
          </w:tcPr>
          <w:p w14:paraId="0D8B3D31">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卫一联含油污水深度处理站</w:t>
            </w:r>
          </w:p>
        </w:tc>
        <w:tc>
          <w:tcPr>
            <w:tcW w:w="2410" w:type="dxa"/>
            <w:vAlign w:val="center"/>
          </w:tcPr>
          <w:p w14:paraId="02D9934F">
            <w:pPr>
              <w:adjustRightInd w:val="0"/>
              <w:snapToGrid w:val="0"/>
              <w:spacing w:line="36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《卫星油田2017年产能建设工程环境影响报告书》</w:t>
            </w:r>
          </w:p>
        </w:tc>
        <w:tc>
          <w:tcPr>
            <w:tcW w:w="1426" w:type="dxa"/>
            <w:vAlign w:val="center"/>
          </w:tcPr>
          <w:p w14:paraId="16F95646">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绥环函</w:t>
            </w:r>
            <w:r>
              <w:rPr>
                <w:rFonts w:ascii="Times New Roman" w:hAnsi="Times New Roman" w:cs="Times New Roman" w:eastAsiaTheme="minorEastAsia"/>
                <w:bCs/>
                <w:color w:val="auto"/>
                <w:sz w:val="21"/>
                <w:szCs w:val="21"/>
                <w:highlight w:val="none"/>
              </w:rPr>
              <w:t>〔20</w:t>
            </w:r>
            <w:r>
              <w:rPr>
                <w:rFonts w:hint="eastAsia" w:ascii="Times New Roman" w:hAnsi="Times New Roman" w:cs="Times New Roman" w:eastAsiaTheme="minorEastAsia"/>
                <w:bCs/>
                <w:color w:val="auto"/>
                <w:sz w:val="21"/>
                <w:szCs w:val="21"/>
                <w:highlight w:val="none"/>
              </w:rPr>
              <w:t>17</w:t>
            </w:r>
            <w:r>
              <w:rPr>
                <w:rFonts w:ascii="Times New Roman" w:hAnsi="Times New Roman" w:cs="Times New Roman" w:eastAsiaTheme="minorEastAsia"/>
                <w:bCs/>
                <w:color w:val="auto"/>
                <w:sz w:val="21"/>
                <w:szCs w:val="21"/>
                <w:highlight w:val="none"/>
              </w:rPr>
              <w:t>〕</w:t>
            </w:r>
            <w:r>
              <w:rPr>
                <w:rFonts w:ascii="Times New Roman" w:hAnsi="Times New Roman" w:cs="Times New Roman"/>
                <w:color w:val="auto"/>
                <w:sz w:val="21"/>
                <w:szCs w:val="21"/>
                <w:highlight w:val="none"/>
              </w:rPr>
              <w:t>78号</w:t>
            </w:r>
          </w:p>
        </w:tc>
        <w:tc>
          <w:tcPr>
            <w:tcW w:w="1625" w:type="dxa"/>
            <w:vAlign w:val="center"/>
          </w:tcPr>
          <w:p w14:paraId="60EB467A">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2019年3月完成自主验收</w:t>
            </w:r>
          </w:p>
        </w:tc>
        <w:tc>
          <w:tcPr>
            <w:tcW w:w="1624" w:type="dxa"/>
            <w:vAlign w:val="center"/>
          </w:tcPr>
          <w:p w14:paraId="10330E1B">
            <w:pPr>
              <w:adjustRightInd w:val="0"/>
              <w:snapToGrid w:val="0"/>
              <w:spacing w:line="36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hint="eastAsia" w:ascii="Times New Roman" w:hAnsi="Times New Roman" w:cs="Times New Roman"/>
                <w:bCs/>
                <w:color w:val="auto"/>
                <w:sz w:val="21"/>
                <w:szCs w:val="21"/>
                <w:highlight w:val="none"/>
              </w:rPr>
              <w:t>912312817028111747001X</w:t>
            </w:r>
          </w:p>
        </w:tc>
      </w:tr>
      <w:tr w14:paraId="50D65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568" w:type="dxa"/>
            <w:vAlign w:val="center"/>
          </w:tcPr>
          <w:p w14:paraId="71A81B98">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w:t>
            </w:r>
          </w:p>
        </w:tc>
        <w:tc>
          <w:tcPr>
            <w:tcW w:w="1417" w:type="dxa"/>
            <w:vAlign w:val="center"/>
          </w:tcPr>
          <w:p w14:paraId="0105FBF2">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iCs/>
                <w:color w:val="auto"/>
                <w:kern w:val="2"/>
                <w:sz w:val="21"/>
                <w:szCs w:val="21"/>
                <w:highlight w:val="none"/>
              </w:rPr>
              <w:t>大庆油田有限责任公司</w:t>
            </w:r>
            <w:r>
              <w:rPr>
                <w:rFonts w:ascii="Times New Roman" w:hAnsi="Times New Roman" w:cs="Times New Roman"/>
                <w:iCs/>
                <w:color w:val="auto"/>
                <w:kern w:val="2"/>
                <w:sz w:val="21"/>
                <w:szCs w:val="21"/>
                <w:highlight w:val="none"/>
              </w:rPr>
              <w:t>第八采油厂工业固废填埋场</w:t>
            </w:r>
          </w:p>
        </w:tc>
        <w:tc>
          <w:tcPr>
            <w:tcW w:w="2410" w:type="dxa"/>
            <w:vAlign w:val="center"/>
          </w:tcPr>
          <w:p w14:paraId="27C2BB9F">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《第八采油厂工业固废填埋场工程》</w:t>
            </w:r>
          </w:p>
        </w:tc>
        <w:tc>
          <w:tcPr>
            <w:tcW w:w="1426" w:type="dxa"/>
            <w:vAlign w:val="center"/>
          </w:tcPr>
          <w:p w14:paraId="77B652EE">
            <w:pPr>
              <w:adjustRightInd w:val="0"/>
              <w:snapToGrid w:val="0"/>
              <w:spacing w:line="36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庆环建字</w:t>
            </w:r>
            <w:r>
              <w:rPr>
                <w:rFonts w:ascii="Times New Roman" w:hAnsi="Times New Roman" w:cs="Times New Roman" w:eastAsiaTheme="minorEastAsia"/>
                <w:bCs/>
                <w:color w:val="auto"/>
                <w:sz w:val="21"/>
                <w:szCs w:val="21"/>
                <w:highlight w:val="none"/>
              </w:rPr>
              <w:t>〔20</w:t>
            </w:r>
            <w:r>
              <w:rPr>
                <w:rFonts w:hint="eastAsia" w:ascii="Times New Roman" w:hAnsi="Times New Roman" w:cs="Times New Roman" w:eastAsiaTheme="minorEastAsia"/>
                <w:bCs/>
                <w:color w:val="auto"/>
                <w:sz w:val="21"/>
                <w:szCs w:val="21"/>
                <w:highlight w:val="none"/>
              </w:rPr>
              <w:t>11</w:t>
            </w:r>
            <w:r>
              <w:rPr>
                <w:rFonts w:ascii="Times New Roman" w:hAnsi="Times New Roman" w:cs="Times New Roman" w:eastAsiaTheme="minorEastAsia"/>
                <w:bCs/>
                <w:color w:val="auto"/>
                <w:sz w:val="21"/>
                <w:szCs w:val="21"/>
                <w:highlight w:val="none"/>
              </w:rPr>
              <w:t>〕</w:t>
            </w:r>
            <w:r>
              <w:rPr>
                <w:rFonts w:ascii="Times New Roman" w:hAnsi="Times New Roman" w:cs="Times New Roman"/>
                <w:color w:val="auto"/>
                <w:sz w:val="21"/>
                <w:szCs w:val="21"/>
                <w:highlight w:val="none"/>
              </w:rPr>
              <w:t>171号</w:t>
            </w:r>
          </w:p>
        </w:tc>
        <w:tc>
          <w:tcPr>
            <w:tcW w:w="1625" w:type="dxa"/>
            <w:vAlign w:val="center"/>
          </w:tcPr>
          <w:p w14:paraId="1CB943A0">
            <w:pPr>
              <w:tabs>
                <w:tab w:val="left" w:pos="-315"/>
              </w:tabs>
              <w:spacing w:line="440" w:lineRule="exact"/>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庆环验字</w:t>
            </w:r>
          </w:p>
          <w:p w14:paraId="0742D381">
            <w:pPr>
              <w:adjustRightInd w:val="0"/>
              <w:snapToGrid w:val="0"/>
              <w:spacing w:line="36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[2014]38号</w:t>
            </w:r>
          </w:p>
        </w:tc>
        <w:tc>
          <w:tcPr>
            <w:tcW w:w="1624" w:type="dxa"/>
            <w:vAlign w:val="center"/>
          </w:tcPr>
          <w:p w14:paraId="06BE1C1E">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bCs/>
                <w:color w:val="auto"/>
                <w:kern w:val="2"/>
                <w:sz w:val="21"/>
                <w:szCs w:val="21"/>
                <w:highlight w:val="none"/>
              </w:rPr>
              <w:t>91230607716675409L011X</w:t>
            </w:r>
          </w:p>
        </w:tc>
      </w:tr>
      <w:tr w14:paraId="53235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568" w:type="dxa"/>
            <w:vAlign w:val="center"/>
          </w:tcPr>
          <w:p w14:paraId="17844D3E">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w:t>
            </w:r>
          </w:p>
        </w:tc>
        <w:tc>
          <w:tcPr>
            <w:tcW w:w="1417" w:type="dxa"/>
            <w:vAlign w:val="center"/>
          </w:tcPr>
          <w:p w14:paraId="33D9119E">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olor w:val="auto"/>
                <w:sz w:val="21"/>
                <w:szCs w:val="21"/>
                <w:highlight w:val="none"/>
              </w:rPr>
              <w:t>大庆洁宇环保科技有限公司</w:t>
            </w:r>
          </w:p>
        </w:tc>
        <w:tc>
          <w:tcPr>
            <w:tcW w:w="2410" w:type="dxa"/>
            <w:vAlign w:val="center"/>
          </w:tcPr>
          <w:p w14:paraId="4E652DB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olor w:val="auto"/>
                <w:sz w:val="21"/>
                <w:szCs w:val="21"/>
                <w:highlight w:val="none"/>
              </w:rPr>
              <w:t>黑龙江省大庆洁宇环保科技有限公司15万m³/a钻井废弃泥浆无害化处理项目</w:t>
            </w:r>
            <w:r>
              <w:rPr>
                <w:rFonts w:hint="eastAsia" w:ascii="Times New Roman" w:hAnsi="Times New Roman" w:cs="Times New Roman" w:eastAsiaTheme="minorEastAsia"/>
                <w:color w:val="auto"/>
                <w:sz w:val="21"/>
                <w:szCs w:val="21"/>
                <w:highlight w:val="none"/>
              </w:rPr>
              <w:t>环境影响报告表</w:t>
            </w:r>
          </w:p>
        </w:tc>
        <w:tc>
          <w:tcPr>
            <w:tcW w:w="1426" w:type="dxa"/>
            <w:vAlign w:val="center"/>
          </w:tcPr>
          <w:p w14:paraId="10608431">
            <w:pPr>
              <w:adjustRightInd w:val="0"/>
              <w:snapToGrid w:val="0"/>
              <w:spacing w:line="36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hint="eastAsia" w:ascii="Times New Roman" w:hAnsi="Times New Roman" w:cs="Times New Roman" w:eastAsiaTheme="minorEastAsia"/>
                <w:bCs/>
                <w:color w:val="auto"/>
                <w:sz w:val="21"/>
                <w:szCs w:val="21"/>
                <w:highlight w:val="none"/>
              </w:rPr>
              <w:t>同环建字</w:t>
            </w:r>
            <w:r>
              <w:rPr>
                <w:rFonts w:ascii="Times New Roman" w:hAnsi="Times New Roman" w:cs="Times New Roman" w:eastAsiaTheme="minorEastAsia"/>
                <w:bCs/>
                <w:color w:val="auto"/>
                <w:sz w:val="21"/>
                <w:szCs w:val="21"/>
                <w:highlight w:val="none"/>
              </w:rPr>
              <w:t>〔202</w:t>
            </w:r>
            <w:r>
              <w:rPr>
                <w:rFonts w:hint="eastAsia" w:ascii="Times New Roman" w:hAnsi="Times New Roman" w:cs="Times New Roman" w:eastAsiaTheme="minorEastAsia"/>
                <w:bCs/>
                <w:color w:val="auto"/>
                <w:sz w:val="21"/>
                <w:szCs w:val="21"/>
                <w:highlight w:val="none"/>
              </w:rPr>
              <w:t>0</w:t>
            </w:r>
            <w:r>
              <w:rPr>
                <w:rFonts w:ascii="Times New Roman" w:hAnsi="Times New Roman" w:cs="Times New Roman" w:eastAsiaTheme="minorEastAsia"/>
                <w:bCs/>
                <w:color w:val="auto"/>
                <w:sz w:val="21"/>
                <w:szCs w:val="21"/>
                <w:highlight w:val="none"/>
              </w:rPr>
              <w:t>〕</w:t>
            </w:r>
            <w:r>
              <w:rPr>
                <w:rFonts w:hint="eastAsia" w:ascii="Times New Roman" w:hAnsi="Times New Roman" w:cs="Times New Roman" w:eastAsiaTheme="minorEastAsia"/>
                <w:bCs/>
                <w:color w:val="auto"/>
                <w:sz w:val="21"/>
                <w:szCs w:val="21"/>
                <w:highlight w:val="none"/>
              </w:rPr>
              <w:t>6</w:t>
            </w:r>
            <w:r>
              <w:rPr>
                <w:rFonts w:ascii="Times New Roman" w:hAnsi="Times New Roman" w:cs="Times New Roman" w:eastAsiaTheme="minorEastAsia"/>
                <w:bCs/>
                <w:color w:val="auto"/>
                <w:sz w:val="21"/>
                <w:szCs w:val="21"/>
                <w:highlight w:val="none"/>
              </w:rPr>
              <w:t>号</w:t>
            </w:r>
          </w:p>
        </w:tc>
        <w:tc>
          <w:tcPr>
            <w:tcW w:w="1625" w:type="dxa"/>
            <w:vAlign w:val="center"/>
          </w:tcPr>
          <w:p w14:paraId="452F9CCD">
            <w:pPr>
              <w:adjustRightInd w:val="0"/>
              <w:snapToGrid w:val="0"/>
              <w:spacing w:line="36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bCs/>
                <w:color w:val="auto"/>
                <w:sz w:val="21"/>
                <w:szCs w:val="21"/>
                <w:highlight w:val="none"/>
              </w:rPr>
              <w:t>2020年1</w:t>
            </w:r>
            <w:r>
              <w:rPr>
                <w:rFonts w:hint="eastAsia" w:ascii="Times New Roman" w:hAnsi="Times New Roman" w:cs="Times New Roman" w:eastAsiaTheme="minorEastAsia"/>
                <w:bCs/>
                <w:color w:val="auto"/>
                <w:sz w:val="21"/>
                <w:szCs w:val="21"/>
                <w:highlight w:val="none"/>
              </w:rPr>
              <w:t>1</w:t>
            </w:r>
            <w:r>
              <w:rPr>
                <w:rFonts w:ascii="Times New Roman" w:hAnsi="Times New Roman" w:cs="Times New Roman" w:eastAsiaTheme="minorEastAsia"/>
                <w:bCs/>
                <w:color w:val="auto"/>
                <w:sz w:val="21"/>
                <w:szCs w:val="21"/>
                <w:highlight w:val="none"/>
              </w:rPr>
              <w:t>月通过自主验收</w:t>
            </w:r>
          </w:p>
        </w:tc>
        <w:tc>
          <w:tcPr>
            <w:tcW w:w="1624" w:type="dxa"/>
            <w:vAlign w:val="center"/>
          </w:tcPr>
          <w:p w14:paraId="530258FE">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olor w:val="auto"/>
                <w:sz w:val="21"/>
                <w:szCs w:val="21"/>
                <w:highlight w:val="none"/>
              </w:rPr>
              <w:t>/</w:t>
            </w:r>
          </w:p>
        </w:tc>
      </w:tr>
    </w:tbl>
    <w:p w14:paraId="675FF302">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517" w:name="_Toc219900388"/>
      <w:r>
        <w:rPr>
          <w:rFonts w:ascii="Times New Roman" w:hAnsi="Times New Roman" w:eastAsiaTheme="minorEastAsia"/>
          <w:b/>
          <w:caps w:val="0"/>
          <w:smallCaps w:val="0"/>
          <w:snapToGrid w:val="0"/>
          <w:color w:val="auto"/>
          <w:spacing w:val="0"/>
          <w:w w:val="100"/>
          <w:position w:val="0"/>
          <w:highlight w:val="none"/>
        </w:rPr>
        <w:t>3.10建设项目工程分析</w:t>
      </w:r>
      <w:bookmarkEnd w:id="517"/>
    </w:p>
    <w:p w14:paraId="3D110A55">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518" w:name="_Toc61597243"/>
      <w:bookmarkStart w:id="519" w:name="_Toc77067675"/>
      <w:bookmarkStart w:id="520" w:name="_Toc76976263"/>
      <w:bookmarkStart w:id="521" w:name="_Toc70050201"/>
      <w:bookmarkStart w:id="522" w:name="_Toc67860152"/>
      <w:bookmarkStart w:id="523" w:name="_Toc80588272"/>
      <w:bookmarkStart w:id="524" w:name="_Toc83209494"/>
      <w:bookmarkStart w:id="525" w:name="_Toc80971394"/>
      <w:bookmarkStart w:id="526" w:name="_Toc110438490"/>
      <w:bookmarkStart w:id="527" w:name="_Toc86141948"/>
      <w:bookmarkStart w:id="528" w:name="_Toc85640773"/>
      <w:bookmarkStart w:id="529" w:name="_Toc84929249"/>
      <w:bookmarkStart w:id="530" w:name="_Toc78816477"/>
      <w:bookmarkStart w:id="531" w:name="_Toc19619"/>
      <w:r>
        <w:rPr>
          <w:rFonts w:eastAsiaTheme="minorEastAsia"/>
          <w:b/>
          <w:caps w:val="0"/>
          <w:smallCaps w:val="0"/>
          <w:color w:val="auto"/>
          <w:spacing w:val="0"/>
          <w:w w:val="100"/>
          <w:kern w:val="2"/>
          <w:position w:val="0"/>
          <w:sz w:val="24"/>
          <w:szCs w:val="24"/>
          <w:highlight w:val="none"/>
        </w:rPr>
        <w:t>3.10.1</w:t>
      </w:r>
      <w:bookmarkEnd w:id="518"/>
      <w:r>
        <w:rPr>
          <w:rFonts w:eastAsiaTheme="minorEastAsia"/>
          <w:b/>
          <w:caps w:val="0"/>
          <w:smallCaps w:val="0"/>
          <w:color w:val="auto"/>
          <w:spacing w:val="0"/>
          <w:w w:val="100"/>
          <w:kern w:val="2"/>
          <w:position w:val="0"/>
          <w:sz w:val="24"/>
          <w:szCs w:val="24"/>
          <w:highlight w:val="none"/>
        </w:rPr>
        <w:t>污染影响因素分析</w:t>
      </w:r>
      <w:bookmarkEnd w:id="519"/>
      <w:bookmarkEnd w:id="520"/>
      <w:bookmarkEnd w:id="521"/>
      <w:bookmarkEnd w:id="522"/>
      <w:bookmarkEnd w:id="523"/>
      <w:bookmarkEnd w:id="524"/>
      <w:bookmarkEnd w:id="525"/>
      <w:bookmarkEnd w:id="526"/>
      <w:bookmarkEnd w:id="527"/>
      <w:bookmarkEnd w:id="528"/>
      <w:bookmarkEnd w:id="529"/>
      <w:bookmarkEnd w:id="530"/>
    </w:p>
    <w:p w14:paraId="50A988D8">
      <w:pPr>
        <w:spacing w:line="440" w:lineRule="exact"/>
        <w:outlineLvl w:val="3"/>
        <w:rPr>
          <w:rFonts w:ascii="Times New Roman" w:hAnsi="Times New Roman" w:cs="Times New Roman" w:eastAsiaTheme="minorEastAsia"/>
          <w:b/>
          <w:caps w:val="0"/>
          <w:smallCaps w:val="0"/>
          <w:color w:val="auto"/>
          <w:spacing w:val="0"/>
          <w:w w:val="100"/>
          <w:position w:val="0"/>
          <w:szCs w:val="20"/>
          <w:highlight w:val="none"/>
        </w:rPr>
      </w:pPr>
      <w:r>
        <w:rPr>
          <w:rFonts w:ascii="Times New Roman" w:hAnsi="Times New Roman" w:cs="Times New Roman" w:eastAsiaTheme="minorEastAsia"/>
          <w:b/>
          <w:caps w:val="0"/>
          <w:smallCaps w:val="0"/>
          <w:color w:val="auto"/>
          <w:spacing w:val="0"/>
          <w:w w:val="100"/>
          <w:position w:val="0"/>
          <w:szCs w:val="20"/>
          <w:highlight w:val="none"/>
        </w:rPr>
        <w:t>3.10.1.1施工期</w:t>
      </w:r>
    </w:p>
    <w:p w14:paraId="676FCD89">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本工程施工期主要内容为</w:t>
      </w:r>
      <w:r>
        <w:rPr>
          <w:rFonts w:hint="eastAsia" w:ascii="Times New Roman" w:hAnsi="Times New Roman" w:cs="Times New Roman" w:eastAsiaTheme="minorEastAsia"/>
          <w:caps w:val="0"/>
          <w:smallCaps w:val="0"/>
          <w:color w:val="auto"/>
          <w:spacing w:val="0"/>
          <w:w w:val="100"/>
          <w:kern w:val="2"/>
          <w:position w:val="0"/>
          <w:szCs w:val="20"/>
          <w:highlight w:val="none"/>
        </w:rPr>
        <w:t>废弃</w:t>
      </w:r>
      <w:r>
        <w:rPr>
          <w:rFonts w:ascii="Times New Roman" w:hAnsi="Times New Roman" w:cs="Times New Roman" w:eastAsiaTheme="minorEastAsia"/>
          <w:caps w:val="0"/>
          <w:smallCaps w:val="0"/>
          <w:color w:val="auto"/>
          <w:spacing w:val="0"/>
          <w:w w:val="100"/>
          <w:kern w:val="2"/>
          <w:position w:val="0"/>
          <w:szCs w:val="20"/>
          <w:highlight w:val="none"/>
        </w:rPr>
        <w:t>管道施工、新建</w:t>
      </w:r>
      <w:r>
        <w:rPr>
          <w:rFonts w:hint="eastAsia" w:ascii="Times New Roman" w:hAnsi="Times New Roman" w:cs="Times New Roman" w:eastAsiaTheme="minorEastAsia"/>
          <w:caps w:val="0"/>
          <w:smallCaps w:val="0"/>
          <w:color w:val="auto"/>
          <w:spacing w:val="0"/>
          <w:w w:val="100"/>
          <w:kern w:val="2"/>
          <w:position w:val="0"/>
          <w:szCs w:val="20"/>
          <w:highlight w:val="none"/>
        </w:rPr>
        <w:t>管道</w:t>
      </w:r>
      <w:r>
        <w:rPr>
          <w:rFonts w:ascii="Times New Roman" w:hAnsi="Times New Roman" w:cs="Times New Roman" w:eastAsiaTheme="minorEastAsia"/>
          <w:caps w:val="0"/>
          <w:smallCaps w:val="0"/>
          <w:color w:val="auto"/>
          <w:spacing w:val="0"/>
          <w:w w:val="100"/>
          <w:kern w:val="2"/>
          <w:position w:val="0"/>
          <w:szCs w:val="20"/>
          <w:highlight w:val="none"/>
        </w:rPr>
        <w:t>及管道穿越等地面工程。施工期间拟拟建管道停止运行，施工前3-5天，完成停输方案编制、审批，明确停输时间、范围、操作流程及责任人员；提前通知上下游用户，告知停输时间及影响范围，协调做好生产调整、应急储备等工作，避免因停输影响正常生产生活。同时，检查停输所需设备，确保设备完好、操作可靠。</w:t>
      </w:r>
    </w:p>
    <w:p w14:paraId="4EB774C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（1）</w:t>
      </w:r>
      <w:r>
        <w:rPr>
          <w:rFonts w:hint="eastAsia" w:ascii="Times New Roman" w:hAnsi="Times New Roman" w:cs="Times New Roman" w:eastAsiaTheme="minorEastAsia"/>
          <w:caps w:val="0"/>
          <w:smallCaps w:val="0"/>
          <w:color w:val="auto"/>
          <w:spacing w:val="0"/>
          <w:w w:val="100"/>
          <w:kern w:val="2"/>
          <w:position w:val="0"/>
          <w:szCs w:val="20"/>
          <w:highlight w:val="none"/>
        </w:rPr>
        <w:t>废弃管道施工</w:t>
      </w:r>
    </w:p>
    <w:p w14:paraId="1E0357D8">
      <w:pPr>
        <w:pStyle w:val="31"/>
        <w:spacing w:before="183" w:line="358" w:lineRule="auto"/>
        <w:ind w:left="130" w:right="123" w:firstLine="480"/>
        <w:rPr>
          <w:color w:val="auto"/>
          <w:highlight w:val="none"/>
        </w:rPr>
      </w:pPr>
      <w:r>
        <w:rPr>
          <w:color w:val="auto"/>
          <w:spacing w:val="1"/>
          <w:highlight w:val="none"/>
        </w:rPr>
        <w:t>根据《报废油气长输管道处置技术规范》（</w:t>
      </w:r>
      <w:r>
        <w:rPr>
          <w:rFonts w:ascii="Times New Roman" w:hAnsi="Times New Roman" w:eastAsia="Times New Roman" w:cs="Times New Roman"/>
          <w:color w:val="auto"/>
          <w:highlight w:val="none"/>
        </w:rPr>
        <w:t>SY</w:t>
      </w:r>
      <w:r>
        <w:rPr>
          <w:rFonts w:ascii="Times New Roman" w:hAnsi="Times New Roman" w:eastAsia="Times New Roman" w:cs="Times New Roman"/>
          <w:color w:val="auto"/>
          <w:spacing w:val="1"/>
          <w:highlight w:val="none"/>
        </w:rPr>
        <w:t>/T7413-2018</w:t>
      </w:r>
      <w:r>
        <w:rPr>
          <w:color w:val="auto"/>
          <w:spacing w:val="11"/>
          <w:highlight w:val="none"/>
        </w:rPr>
        <w:t>），</w:t>
      </w:r>
      <w:r>
        <w:rPr>
          <w:color w:val="auto"/>
          <w:spacing w:val="1"/>
          <w:highlight w:val="none"/>
        </w:rPr>
        <w:t>报废管道处置方式</w:t>
      </w:r>
      <w:r>
        <w:rPr>
          <w:color w:val="auto"/>
          <w:highlight w:val="none"/>
        </w:rPr>
        <w:t>包括拆除和就地弃置两种。本项目采取将废弃管道两</w:t>
      </w:r>
      <w:r>
        <w:rPr>
          <w:color w:val="auto"/>
          <w:spacing w:val="-1"/>
          <w:highlight w:val="none"/>
        </w:rPr>
        <w:t>端封堵后埋于地下弃置。</w:t>
      </w:r>
    </w:p>
    <w:p w14:paraId="6A008D02">
      <w:pPr>
        <w:pStyle w:val="31"/>
        <w:spacing w:before="2" w:line="359" w:lineRule="auto"/>
        <w:ind w:left="132" w:right="123" w:firstLine="479"/>
        <w:jc w:val="both"/>
        <w:rPr>
          <w:color w:val="auto"/>
          <w:highlight w:val="none"/>
        </w:rPr>
      </w:pPr>
      <w:r>
        <w:rPr>
          <w:color w:val="auto"/>
          <w:spacing w:val="-2"/>
          <w:highlight w:val="none"/>
        </w:rPr>
        <w:t>停运扫线：原管道停止含水原油的输送作业，进行全管段通球扫线，打开通球阀，投球，在用罐车充装的氮气高压推动下通球在管道内匀速穿过，将管道内含水原油推入后续集输系统，达到管内清除残油的目的。然后，缓慢打开管道阀门进行扫线（控制扫</w:t>
      </w:r>
      <w:r>
        <w:rPr>
          <w:color w:val="auto"/>
          <w:spacing w:val="-3"/>
          <w:highlight w:val="none"/>
        </w:rPr>
        <w:t>线压力</w:t>
      </w:r>
      <w:r>
        <w:rPr>
          <w:rFonts w:ascii="Times New Roman" w:hAnsi="Times New Roman" w:eastAsia="Times New Roman" w:cs="Times New Roman"/>
          <w:color w:val="auto"/>
          <w:spacing w:val="-3"/>
          <w:highlight w:val="none"/>
        </w:rPr>
        <w:t>≤2.5MPa</w:t>
      </w:r>
      <w:r>
        <w:rPr>
          <w:color w:val="auto"/>
          <w:spacing w:val="-6"/>
          <w:highlight w:val="none"/>
        </w:rPr>
        <w:t>），</w:t>
      </w:r>
      <w:r>
        <w:rPr>
          <w:color w:val="auto"/>
          <w:spacing w:val="-3"/>
          <w:highlight w:val="none"/>
        </w:rPr>
        <w:t>当管线末端见气无液体（或有明显气体流动声音</w:t>
      </w:r>
      <w:r>
        <w:rPr>
          <w:color w:val="auto"/>
          <w:spacing w:val="-31"/>
          <w:highlight w:val="none"/>
        </w:rPr>
        <w:t xml:space="preserve"> </w:t>
      </w:r>
      <w:r>
        <w:rPr>
          <w:rFonts w:ascii="Times New Roman" w:hAnsi="Times New Roman" w:eastAsia="Times New Roman" w:cs="Times New Roman"/>
          <w:color w:val="auto"/>
          <w:spacing w:val="-3"/>
          <w:highlight w:val="none"/>
        </w:rPr>
        <w:t xml:space="preserve">10 </w:t>
      </w:r>
      <w:r>
        <w:rPr>
          <w:color w:val="auto"/>
          <w:spacing w:val="-3"/>
          <w:highlight w:val="none"/>
        </w:rPr>
        <w:t>分钟以后）时扫</w:t>
      </w:r>
      <w:r>
        <w:rPr>
          <w:color w:val="auto"/>
          <w:spacing w:val="-1"/>
          <w:highlight w:val="none"/>
        </w:rPr>
        <w:t>线合格结束，同时关闭两端阀门。</w:t>
      </w:r>
    </w:p>
    <w:p w14:paraId="3E0E0547">
      <w:pPr>
        <w:pStyle w:val="31"/>
        <w:spacing w:line="219" w:lineRule="auto"/>
        <w:ind w:left="616"/>
        <w:rPr>
          <w:color w:val="auto"/>
          <w:highlight w:val="none"/>
        </w:rPr>
      </w:pPr>
      <w:r>
        <w:rPr>
          <w:color w:val="auto"/>
          <w:spacing w:val="-1"/>
          <w:highlight w:val="none"/>
        </w:rPr>
        <w:t>管道切断：通球扫线后关闭废弃管道两端的截断阀，将废弃管道的两端切断。</w:t>
      </w:r>
    </w:p>
    <w:p w14:paraId="11E3B6AF">
      <w:pPr>
        <w:pStyle w:val="31"/>
        <w:spacing w:before="182" w:line="359" w:lineRule="auto"/>
        <w:ind w:left="130" w:right="123" w:firstLine="485"/>
        <w:jc w:val="both"/>
        <w:rPr>
          <w:color w:val="auto"/>
          <w:highlight w:val="none"/>
        </w:rPr>
      </w:pPr>
      <w:r>
        <w:rPr>
          <w:color w:val="auto"/>
          <w:spacing w:val="-2"/>
          <w:highlight w:val="none"/>
        </w:rPr>
        <w:t>管道清管：由热水罐车在管道一端注水，管道另一端接入另一台水罐车，起点处水罐车配套基本压力推送，将管道内残余水量推送至终点水罐车，并由罐车拉运至卫一联含油污水深度</w:t>
      </w:r>
      <w:r>
        <w:rPr>
          <w:color w:val="auto"/>
          <w:highlight w:val="none"/>
        </w:rPr>
        <w:t>处理站处理。清洗完成后用氮气对管</w:t>
      </w:r>
      <w:r>
        <w:rPr>
          <w:color w:val="auto"/>
          <w:spacing w:val="-1"/>
          <w:highlight w:val="none"/>
        </w:rPr>
        <w:t>道进行吹扫，清管完成。</w:t>
      </w:r>
    </w:p>
    <w:p w14:paraId="4134787C">
      <w:pPr>
        <w:pStyle w:val="31"/>
        <w:spacing w:before="1" w:line="218" w:lineRule="auto"/>
        <w:ind w:left="609"/>
        <w:rPr>
          <w:color w:val="auto"/>
          <w:highlight w:val="none"/>
        </w:rPr>
      </w:pPr>
      <w:r>
        <w:rPr>
          <w:color w:val="auto"/>
          <w:spacing w:val="-1"/>
          <w:highlight w:val="none"/>
        </w:rPr>
        <w:t>封堵：管道两端采用盲板焊接封堵直埋地下。</w:t>
      </w:r>
    </w:p>
    <w:p w14:paraId="2B58B755">
      <w:pPr>
        <w:pStyle w:val="31"/>
        <w:spacing w:before="184" w:line="219" w:lineRule="auto"/>
        <w:ind w:left="614"/>
        <w:rPr>
          <w:color w:val="auto"/>
          <w:highlight w:val="none"/>
        </w:rPr>
      </w:pPr>
      <w:r>
        <w:rPr>
          <w:color w:val="auto"/>
          <w:spacing w:val="-2"/>
          <w:highlight w:val="none"/>
        </w:rPr>
        <w:t>项目现有管道施工工艺流程及产污详见图</w:t>
      </w:r>
      <w:r>
        <w:rPr>
          <w:color w:val="auto"/>
          <w:spacing w:val="-50"/>
          <w:highlight w:val="none"/>
        </w:rPr>
        <w:t xml:space="preserve"> </w:t>
      </w:r>
      <w:r>
        <w:rPr>
          <w:rFonts w:ascii="Times New Roman" w:hAnsi="Times New Roman" w:eastAsia="Times New Roman" w:cs="Times New Roman"/>
          <w:color w:val="auto"/>
          <w:spacing w:val="-2"/>
          <w:highlight w:val="none"/>
        </w:rPr>
        <w:t>3</w:t>
      </w:r>
      <w:r>
        <w:rPr>
          <w:rFonts w:ascii="Times New Roman" w:hAnsi="Times New Roman" w:eastAsia="Times New Roman" w:cs="Times New Roman"/>
          <w:color w:val="auto"/>
          <w:spacing w:val="-3"/>
          <w:highlight w:val="none"/>
        </w:rPr>
        <w:t>.5-</w:t>
      </w:r>
      <w:r>
        <w:rPr>
          <w:rFonts w:ascii="Times New Roman" w:hAnsi="Times New Roman" w:eastAsia="Times New Roman" w:cs="Times New Roman"/>
          <w:color w:val="auto"/>
          <w:spacing w:val="-32"/>
          <w:highlight w:val="none"/>
        </w:rPr>
        <w:t xml:space="preserve"> </w:t>
      </w:r>
      <w:r>
        <w:rPr>
          <w:rFonts w:ascii="Times New Roman" w:hAnsi="Times New Roman" w:eastAsia="Times New Roman" w:cs="Times New Roman"/>
          <w:color w:val="auto"/>
          <w:spacing w:val="-3"/>
          <w:highlight w:val="none"/>
        </w:rPr>
        <w:t>1</w:t>
      </w:r>
      <w:r>
        <w:rPr>
          <w:color w:val="auto"/>
          <w:spacing w:val="-3"/>
          <w:highlight w:val="none"/>
        </w:rPr>
        <w:t>。</w:t>
      </w:r>
    </w:p>
    <w:p w14:paraId="153D03C5">
      <w:pPr>
        <w:spacing w:line="219" w:lineRule="auto"/>
        <w:rPr>
          <w:color w:val="auto"/>
          <w:highlight w:val="none"/>
        </w:rPr>
        <w:sectPr>
          <w:headerReference r:id="rId8" w:type="default"/>
          <w:footerReference r:id="rId9" w:type="default"/>
          <w:pgSz w:w="11906" w:h="16839"/>
          <w:pgMar w:top="1175" w:right="1294" w:bottom="1251" w:left="1294" w:header="825" w:footer="938" w:gutter="0"/>
          <w:cols w:space="720" w:num="1"/>
        </w:sectPr>
      </w:pPr>
    </w:p>
    <w:p w14:paraId="541DD36A">
      <w:pPr>
        <w:pStyle w:val="102"/>
        <w:spacing w:before="120" w:beforeLines="50" w:line="240" w:lineRule="auto"/>
        <w:rPr>
          <w:caps w:val="0"/>
          <w:smallCaps w:val="0"/>
          <w:color w:val="auto"/>
          <w:spacing w:val="0"/>
          <w:w w:val="100"/>
          <w:position w:val="0"/>
          <w:highlight w:val="none"/>
        </w:rPr>
      </w:pPr>
      <w:r>
        <w:rPr>
          <w:color w:val="auto"/>
          <w:position w:val="-103"/>
          <w:highlight w:val="none"/>
        </w:rPr>
        <w:drawing>
          <wp:inline distT="0" distB="0" distL="0" distR="0">
            <wp:extent cx="3763645" cy="3274695"/>
            <wp:effectExtent l="0" t="0" r="8255" b="1905"/>
            <wp:docPr id="7" name="IM 18"/>
            <wp:cNvGraphicFramePr/>
            <a:graphic xmlns:a="http://schemas.openxmlformats.org/drawingml/2006/main">
              <a:graphicData uri="http://schemas.openxmlformats.org/drawingml/2006/picture">
                <pic:pic xmlns:pic="http://schemas.openxmlformats.org/drawingml/2006/picture">
                  <pic:nvPicPr>
                    <pic:cNvPr id="7" name="IM 18"/>
                    <pic:cNvPicPr/>
                  </pic:nvPicPr>
                  <pic:blipFill>
                    <a:blip r:embed="rId24"/>
                    <a:stretch>
                      <a:fillRect/>
                    </a:stretch>
                  </pic:blipFill>
                  <pic:spPr>
                    <a:xfrm>
                      <a:off x="0" y="0"/>
                      <a:ext cx="3764279" cy="3275075"/>
                    </a:xfrm>
                    <a:prstGeom prst="rect">
                      <a:avLst/>
                    </a:prstGeom>
                  </pic:spPr>
                </pic:pic>
              </a:graphicData>
            </a:graphic>
          </wp:inline>
        </w:drawing>
      </w:r>
    </w:p>
    <w:p w14:paraId="263C9599">
      <w:pPr>
        <w:widowControl w:val="0"/>
        <w:jc w:val="center"/>
        <w:rPr>
          <w:rFonts w:ascii="Times New Roman" w:hAnsi="Times New Roman" w:cs="Times New Roman" w:eastAsiaTheme="minorEastAsia"/>
          <w:b/>
          <w:caps w:val="0"/>
          <w:smallCaps w:val="0"/>
          <w:color w:val="auto"/>
          <w:spacing w:val="0"/>
          <w:w w:val="100"/>
          <w:kern w:val="2"/>
          <w:position w:val="0"/>
          <w:szCs w:val="20"/>
          <w:highlight w:val="none"/>
        </w:rPr>
      </w:pPr>
      <w:r>
        <w:rPr>
          <w:rFonts w:ascii="Times New Roman" w:hAnsi="Times New Roman" w:cs="Times New Roman" w:eastAsiaTheme="minorEastAsia"/>
          <w:b/>
          <w:caps w:val="0"/>
          <w:smallCaps w:val="0"/>
          <w:color w:val="auto"/>
          <w:spacing w:val="0"/>
          <w:w w:val="100"/>
          <w:kern w:val="2"/>
          <w:position w:val="0"/>
          <w:szCs w:val="20"/>
          <w:highlight w:val="none"/>
        </w:rPr>
        <w:t>图3.10-1    废弃输油</w:t>
      </w:r>
      <w:r>
        <w:rPr>
          <w:rFonts w:hint="eastAsia" w:ascii="Times New Roman" w:hAnsi="Times New Roman" w:cs="Times New Roman" w:eastAsiaTheme="minorEastAsia"/>
          <w:b/>
          <w:caps w:val="0"/>
          <w:smallCaps w:val="0"/>
          <w:color w:val="auto"/>
          <w:spacing w:val="0"/>
          <w:w w:val="100"/>
          <w:kern w:val="2"/>
          <w:position w:val="0"/>
          <w:szCs w:val="20"/>
          <w:highlight w:val="none"/>
        </w:rPr>
        <w:t>管道施工</w:t>
      </w:r>
      <w:r>
        <w:rPr>
          <w:rFonts w:ascii="Times New Roman" w:hAnsi="Times New Roman" w:cs="Times New Roman" w:eastAsiaTheme="minorEastAsia"/>
          <w:b/>
          <w:caps w:val="0"/>
          <w:smallCaps w:val="0"/>
          <w:color w:val="auto"/>
          <w:spacing w:val="0"/>
          <w:w w:val="100"/>
          <w:kern w:val="2"/>
          <w:position w:val="0"/>
          <w:szCs w:val="20"/>
          <w:highlight w:val="none"/>
        </w:rPr>
        <w:t>工艺流程及产污节点图</w:t>
      </w:r>
    </w:p>
    <w:p w14:paraId="4EA1DCA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（2）新建</w:t>
      </w:r>
      <w:r>
        <w:rPr>
          <w:rFonts w:ascii="Times New Roman" w:hAnsi="Times New Roman" w:cs="Times New Roman" w:eastAsiaTheme="minorEastAsia"/>
          <w:caps w:val="0"/>
          <w:smallCaps w:val="0"/>
          <w:color w:val="auto"/>
          <w:spacing w:val="0"/>
          <w:w w:val="100"/>
          <w:kern w:val="2"/>
          <w:position w:val="0"/>
          <w:szCs w:val="20"/>
          <w:highlight w:val="none"/>
        </w:rPr>
        <w:t>管线施工</w:t>
      </w:r>
    </w:p>
    <w:p w14:paraId="12C8D4D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管线施工程序为：测量定线，施工作业带清理，清除障碍物，平整工作带，成品防腐钢管运输，布管、组装焊接，补口及防腐检漏，管沟开挖、下沟，穿越施工、分段清水试压，通球扫线，阴极保护，工程验收。</w:t>
      </w:r>
    </w:p>
    <w:p w14:paraId="2A4282F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hint="eastAsia"/>
          <w:caps w:val="0"/>
          <w:smallCaps w:val="0"/>
          <w:color w:val="auto"/>
          <w:spacing w:val="0"/>
          <w:w w:val="100"/>
          <w:kern w:val="2"/>
          <w:position w:val="0"/>
          <w:szCs w:val="20"/>
          <w:highlight w:val="none"/>
        </w:rPr>
        <w:t>①</w:t>
      </w:r>
      <w:r>
        <w:rPr>
          <w:rFonts w:ascii="Times New Roman" w:hAnsi="Times New Roman" w:cs="Times New Roman" w:eastAsiaTheme="minorEastAsia"/>
          <w:caps w:val="0"/>
          <w:smallCaps w:val="0"/>
          <w:color w:val="auto"/>
          <w:spacing w:val="0"/>
          <w:w w:val="100"/>
          <w:kern w:val="2"/>
          <w:position w:val="0"/>
          <w:szCs w:val="20"/>
          <w:highlight w:val="none"/>
        </w:rPr>
        <w:t>施工作业带清理</w:t>
      </w:r>
    </w:p>
    <w:p w14:paraId="34BC2BC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管道施工采用人工开挖和机械开挖相结合的方式施工，施工初期，首先要对施工作业带进行清理和平整，进行布管、开挖管沟及焊接等施工作业。在场地清理过程中，施工带范围内的土壤、植被都将受到扰动和破坏，不过其造成的影响仅局限在施工带宽度的范围内。</w:t>
      </w:r>
    </w:p>
    <w:p w14:paraId="1C02353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hint="eastAsia"/>
          <w:caps w:val="0"/>
          <w:smallCaps w:val="0"/>
          <w:color w:val="auto"/>
          <w:spacing w:val="0"/>
          <w:w w:val="100"/>
          <w:kern w:val="2"/>
          <w:position w:val="0"/>
          <w:szCs w:val="20"/>
          <w:highlight w:val="none"/>
        </w:rPr>
        <w:t>②</w:t>
      </w:r>
      <w:r>
        <w:rPr>
          <w:rFonts w:ascii="Times New Roman" w:hAnsi="Times New Roman" w:cs="Times New Roman" w:eastAsiaTheme="minorEastAsia"/>
          <w:caps w:val="0"/>
          <w:smallCaps w:val="0"/>
          <w:color w:val="auto"/>
          <w:spacing w:val="0"/>
          <w:w w:val="100"/>
          <w:kern w:val="2"/>
          <w:position w:val="0"/>
          <w:szCs w:val="20"/>
          <w:highlight w:val="none"/>
        </w:rPr>
        <w:t>管沟敷设</w:t>
      </w:r>
    </w:p>
    <w:p w14:paraId="3751B07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管道采用沟埋方式敷设。</w:t>
      </w:r>
      <w:r>
        <w:rPr>
          <w:rFonts w:hint="eastAsia" w:ascii="Times New Roman" w:hAnsi="Times New Roman" w:cs="Times New Roman" w:eastAsiaTheme="minorEastAsia"/>
          <w:caps w:val="0"/>
          <w:smallCaps w:val="0"/>
          <w:color w:val="auto"/>
          <w:spacing w:val="0"/>
          <w:w w:val="100"/>
          <w:kern w:val="2"/>
          <w:position w:val="0"/>
          <w:szCs w:val="20"/>
          <w:highlight w:val="none"/>
        </w:rPr>
        <w:t>项目一般地段管道施工采用大开挖方式施工，开挖施工采用人工和机械施工相结合的方式，</w:t>
      </w:r>
      <w:r>
        <w:rPr>
          <w:rFonts w:ascii="Times New Roman" w:hAnsi="Times New Roman" w:cs="Times New Roman" w:eastAsiaTheme="minorEastAsia"/>
          <w:caps w:val="0"/>
          <w:smallCaps w:val="0"/>
          <w:color w:val="auto"/>
          <w:spacing w:val="0"/>
          <w:w w:val="100"/>
          <w:kern w:val="2"/>
          <w:position w:val="0"/>
          <w:szCs w:val="20"/>
          <w:highlight w:val="none"/>
        </w:rPr>
        <w:t>在耕植地开挖时，将表层耕植土和下层土分别堆放。</w:t>
      </w:r>
    </w:p>
    <w:p w14:paraId="3A8CA326">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hint="eastAsia" w:ascii="Times New Roman" w:hAnsi="Times New Roman" w:cs="Times New Roman" w:eastAsiaTheme="minorEastAsia"/>
          <w:caps w:val="0"/>
          <w:smallCaps w:val="0"/>
          <w:color w:val="auto"/>
          <w:spacing w:val="0"/>
          <w:w w:val="100"/>
          <w:kern w:val="2"/>
          <w:position w:val="0"/>
          <w:szCs w:val="20"/>
          <w:highlight w:val="none"/>
        </w:rPr>
        <w:t>③焊接</w:t>
      </w:r>
    </w:p>
    <w:p w14:paraId="19EC043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管沟开挖后，将运到现场的管道进行焊接、补口、补伤，然后下到管沟内。</w:t>
      </w:r>
      <w:r>
        <w:rPr>
          <w:rFonts w:hint="eastAsia" w:ascii="Times New Roman" w:hAnsi="Times New Roman" w:cs="Times New Roman" w:eastAsiaTheme="minorEastAsia"/>
          <w:caps w:val="0"/>
          <w:smallCaps w:val="0"/>
          <w:color w:val="auto"/>
          <w:spacing w:val="0"/>
          <w:w w:val="100"/>
          <w:kern w:val="2"/>
          <w:position w:val="0"/>
          <w:szCs w:val="20"/>
          <w:highlight w:val="none"/>
        </w:rPr>
        <w:t>焊接采用螺旋缝埋弧焊进行焊接。</w:t>
      </w:r>
    </w:p>
    <w:p w14:paraId="2B5C278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caps w:val="0"/>
          <w:smallCaps w:val="0"/>
          <w:color w:val="auto"/>
          <w:spacing w:val="0"/>
          <w:w w:val="100"/>
          <w:kern w:val="2"/>
          <w:position w:val="0"/>
          <w:szCs w:val="20"/>
          <w:highlight w:val="none"/>
        </w:rPr>
        <w:t>④</w:t>
      </w:r>
      <w:r>
        <w:rPr>
          <w:rFonts w:ascii="Times New Roman" w:hAnsi="Times New Roman" w:cs="Times New Roman"/>
          <w:caps w:val="0"/>
          <w:smallCaps w:val="0"/>
          <w:color w:val="auto"/>
          <w:spacing w:val="0"/>
          <w:w w:val="100"/>
          <w:kern w:val="2"/>
          <w:position w:val="0"/>
          <w:szCs w:val="20"/>
          <w:highlight w:val="none"/>
        </w:rPr>
        <w:t>穿越施工</w:t>
      </w:r>
    </w:p>
    <w:p w14:paraId="64C13EC3">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bCs/>
          <w:caps w:val="0"/>
          <w:smallCaps w:val="0"/>
          <w:color w:val="auto"/>
          <w:spacing w:val="0"/>
          <w:w w:val="100"/>
          <w:kern w:val="2"/>
          <w:position w:val="0"/>
          <w:szCs w:val="20"/>
          <w:highlight w:val="none"/>
        </w:rPr>
        <w:t>本项目管线施工涉及穿越</w:t>
      </w:r>
      <w:r>
        <w:rPr>
          <w:rFonts w:hint="eastAsia" w:ascii="Times New Roman" w:hAnsi="Times New Roman" w:cs="Times New Roman"/>
          <w:bCs/>
          <w:caps w:val="0"/>
          <w:smallCaps w:val="0"/>
          <w:color w:val="auto"/>
          <w:spacing w:val="0"/>
          <w:w w:val="100"/>
          <w:kern w:val="2"/>
          <w:position w:val="0"/>
          <w:szCs w:val="20"/>
          <w:highlight w:val="none"/>
        </w:rPr>
        <w:t>进站</w:t>
      </w:r>
      <w:r>
        <w:rPr>
          <w:rFonts w:ascii="Times New Roman" w:hAnsi="Times New Roman" w:cs="Times New Roman"/>
          <w:bCs/>
          <w:caps w:val="0"/>
          <w:smallCaps w:val="0"/>
          <w:color w:val="auto"/>
          <w:spacing w:val="0"/>
          <w:w w:val="100"/>
          <w:kern w:val="2"/>
          <w:position w:val="0"/>
          <w:szCs w:val="20"/>
          <w:highlight w:val="none"/>
        </w:rPr>
        <w:t>路7处，均采用</w:t>
      </w:r>
      <w:r>
        <w:rPr>
          <w:rFonts w:hint="eastAsia" w:ascii="Times New Roman" w:hAnsi="Times New Roman" w:cs="Times New Roman"/>
          <w:bCs/>
          <w:caps w:val="0"/>
          <w:smallCaps w:val="0"/>
          <w:color w:val="auto"/>
          <w:spacing w:val="0"/>
          <w:w w:val="100"/>
          <w:kern w:val="2"/>
          <w:position w:val="0"/>
          <w:szCs w:val="20"/>
          <w:highlight w:val="none"/>
        </w:rPr>
        <w:t>顶管</w:t>
      </w:r>
      <w:r>
        <w:rPr>
          <w:rFonts w:ascii="Times New Roman" w:hAnsi="Times New Roman" w:cs="Times New Roman"/>
          <w:bCs/>
          <w:caps w:val="0"/>
          <w:smallCaps w:val="0"/>
          <w:color w:val="auto"/>
          <w:spacing w:val="0"/>
          <w:w w:val="100"/>
          <w:kern w:val="2"/>
          <w:position w:val="0"/>
          <w:szCs w:val="20"/>
          <w:highlight w:val="none"/>
        </w:rPr>
        <w:t>穿越方式。</w:t>
      </w:r>
      <w:r>
        <w:rPr>
          <w:rFonts w:hint="eastAsia" w:ascii="Times New Roman" w:hAnsi="Times New Roman" w:cs="Times New Roman"/>
          <w:bCs/>
          <w:caps w:val="0"/>
          <w:smallCaps w:val="0"/>
          <w:color w:val="auto"/>
          <w:spacing w:val="0"/>
          <w:w w:val="100"/>
          <w:kern w:val="2"/>
          <w:position w:val="0"/>
          <w:szCs w:val="20"/>
          <w:highlight w:val="none"/>
        </w:rPr>
        <w:t>顶管施工包括测量放线、开挖工作坑、铺设导向轨道、安装顶管机、吊放预制管道、挖土、顶管、再挖土、再顶管、竣工验收等工序。</w:t>
      </w:r>
    </w:p>
    <w:p w14:paraId="3C0704C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hint="eastAsia"/>
          <w:caps w:val="0"/>
          <w:smallCaps w:val="0"/>
          <w:color w:val="auto"/>
          <w:spacing w:val="0"/>
          <w:w w:val="100"/>
          <w:kern w:val="2"/>
          <w:position w:val="0"/>
          <w:szCs w:val="20"/>
          <w:highlight w:val="none"/>
        </w:rPr>
        <w:t>⑤</w:t>
      </w:r>
      <w:r>
        <w:rPr>
          <w:rFonts w:ascii="Times New Roman" w:hAnsi="Times New Roman" w:cs="Times New Roman" w:eastAsiaTheme="minorEastAsia"/>
          <w:caps w:val="0"/>
          <w:smallCaps w:val="0"/>
          <w:color w:val="auto"/>
          <w:spacing w:val="0"/>
          <w:w w:val="100"/>
          <w:kern w:val="2"/>
          <w:position w:val="0"/>
          <w:szCs w:val="20"/>
          <w:highlight w:val="none"/>
        </w:rPr>
        <w:t>防腐及阴极保护</w:t>
      </w:r>
    </w:p>
    <w:p w14:paraId="0D2A17A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hint="eastAsia" w:ascii="Times New Roman" w:hAnsi="Times New Roman" w:cs="Times New Roman" w:eastAsiaTheme="minorEastAsia"/>
          <w:bCs/>
          <w:caps w:val="0"/>
          <w:smallCaps w:val="0"/>
          <w:color w:val="auto"/>
          <w:spacing w:val="0"/>
          <w:w w:val="100"/>
          <w:kern w:val="2"/>
          <w:position w:val="0"/>
          <w:szCs w:val="20"/>
          <w:highlight w:val="none"/>
        </w:rPr>
        <w:t>项目外购无缝钢管的管道防腐层均在工厂预制，本项目现场仅对焊接处进行防腐施工。</w:t>
      </w:r>
      <w:r>
        <w:rPr>
          <w:rFonts w:ascii="Times New Roman" w:hAnsi="Times New Roman" w:cs="Times New Roman" w:eastAsiaTheme="minorEastAsia"/>
          <w:bCs/>
          <w:caps w:val="0"/>
          <w:smallCaps w:val="0"/>
          <w:color w:val="auto"/>
          <w:spacing w:val="0"/>
          <w:w w:val="100"/>
          <w:kern w:val="2"/>
          <w:position w:val="0"/>
          <w:szCs w:val="20"/>
          <w:highlight w:val="none"/>
        </w:rPr>
        <w:t>管道内防腐采用熔结环氧粉末内涂层，外防腐采用加强级常温型挤压聚乙烯防腐层二层结构（2PE）；2PE防腐层之间补口采用配套无溶剂环氧底漆+高密度型辐射交联聚乙烯热收缩带；2PE防腐层与底漆+沥青防腐胶带之间补口采用无溶剂环氧底漆+沥青防腐胶带，特加强级，胶带缠2遍。</w:t>
      </w:r>
      <w:r>
        <w:rPr>
          <w:rFonts w:ascii="Times New Roman" w:hAnsi="Times New Roman" w:cs="Times New Roman" w:eastAsiaTheme="minorEastAsia"/>
          <w:caps w:val="0"/>
          <w:smallCaps w:val="0"/>
          <w:color w:val="auto"/>
          <w:spacing w:val="0"/>
          <w:w w:val="100"/>
          <w:kern w:val="2"/>
          <w:position w:val="0"/>
          <w:szCs w:val="20"/>
          <w:highlight w:val="none"/>
        </w:rPr>
        <w:t>并采用强制电流阴极保护法。</w:t>
      </w:r>
    </w:p>
    <w:p w14:paraId="5583F98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hint="eastAsia"/>
          <w:caps w:val="0"/>
          <w:smallCaps w:val="0"/>
          <w:color w:val="auto"/>
          <w:spacing w:val="0"/>
          <w:w w:val="100"/>
          <w:kern w:val="2"/>
          <w:position w:val="0"/>
          <w:szCs w:val="20"/>
          <w:highlight w:val="none"/>
        </w:rPr>
        <w:t>⑥</w:t>
      </w:r>
      <w:r>
        <w:rPr>
          <w:rFonts w:ascii="Times New Roman" w:hAnsi="Times New Roman" w:cs="Times New Roman" w:eastAsiaTheme="minorEastAsia"/>
          <w:caps w:val="0"/>
          <w:smallCaps w:val="0"/>
          <w:color w:val="auto"/>
          <w:spacing w:val="0"/>
          <w:w w:val="100"/>
          <w:kern w:val="2"/>
          <w:position w:val="0"/>
          <w:szCs w:val="20"/>
          <w:highlight w:val="none"/>
        </w:rPr>
        <w:t>管沟回填</w:t>
      </w:r>
    </w:p>
    <w:p w14:paraId="54C999E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在可耕植地回填时，需先回填下层土，后回填表层耕植土。管道出土端及弯头两侧分层回填夯实；管沟回填后立即恢复地貌。</w:t>
      </w:r>
    </w:p>
    <w:p w14:paraId="463F622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hint="eastAsia"/>
          <w:caps w:val="0"/>
          <w:smallCaps w:val="0"/>
          <w:color w:val="auto"/>
          <w:spacing w:val="0"/>
          <w:w w:val="100"/>
          <w:kern w:val="2"/>
          <w:position w:val="0"/>
          <w:szCs w:val="20"/>
          <w:highlight w:val="none"/>
        </w:rPr>
        <w:t>⑦</w:t>
      </w:r>
      <w:r>
        <w:rPr>
          <w:rFonts w:ascii="Times New Roman" w:hAnsi="Times New Roman" w:cs="Times New Roman" w:eastAsiaTheme="minorEastAsia"/>
          <w:caps w:val="0"/>
          <w:smallCaps w:val="0"/>
          <w:color w:val="auto"/>
          <w:spacing w:val="0"/>
          <w:w w:val="100"/>
          <w:kern w:val="2"/>
          <w:position w:val="0"/>
          <w:szCs w:val="20"/>
          <w:highlight w:val="none"/>
        </w:rPr>
        <w:t>试压</w:t>
      </w:r>
    </w:p>
    <w:p w14:paraId="34BC670F">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0"/>
          <w:highlight w:val="none"/>
        </w:rPr>
      </w:pPr>
      <w:r>
        <w:rPr>
          <w:rFonts w:ascii="Times New Roman" w:hAnsi="Times New Roman" w:cs="Times New Roman" w:eastAsiaTheme="minorEastAsia"/>
          <w:bCs/>
          <w:caps w:val="0"/>
          <w:smallCaps w:val="0"/>
          <w:color w:val="auto"/>
          <w:spacing w:val="0"/>
          <w:w w:val="100"/>
          <w:kern w:val="2"/>
          <w:position w:val="0"/>
          <w:szCs w:val="20"/>
          <w:highlight w:val="none"/>
        </w:rPr>
        <w:t>用清水进行试压，严密性实验合格后，试压废水</w:t>
      </w:r>
      <w:r>
        <w:rPr>
          <w:rFonts w:hint="eastAsia" w:ascii="Times New Roman" w:hAnsi="Times New Roman" w:cs="Times New Roman" w:eastAsiaTheme="minorEastAsia"/>
          <w:bCs/>
          <w:caps w:val="0"/>
          <w:smallCaps w:val="0"/>
          <w:color w:val="auto"/>
          <w:spacing w:val="0"/>
          <w:w w:val="100"/>
          <w:kern w:val="2"/>
          <w:position w:val="0"/>
          <w:szCs w:val="20"/>
          <w:highlight w:val="none"/>
        </w:rPr>
        <w:t>管输至</w:t>
      </w:r>
      <w:r>
        <w:rPr>
          <w:rFonts w:ascii="Times New Roman" w:hAnsi="Times New Roman" w:cs="Times New Roman" w:eastAsiaTheme="minorEastAsia"/>
          <w:bCs/>
          <w:caps w:val="0"/>
          <w:smallCaps w:val="0"/>
          <w:color w:val="auto"/>
          <w:spacing w:val="0"/>
          <w:w w:val="100"/>
          <w:kern w:val="2"/>
          <w:position w:val="0"/>
          <w:szCs w:val="20"/>
          <w:highlight w:val="none"/>
        </w:rPr>
        <w:t>杏十五-1联含油污水处理站处理达标后回注</w:t>
      </w:r>
      <w:r>
        <w:rPr>
          <w:rFonts w:ascii="Times New Roman" w:hAnsi="Times New Roman" w:cs="Times New Roman" w:eastAsiaTheme="minorEastAsia"/>
          <w:caps w:val="0"/>
          <w:smallCaps w:val="0"/>
          <w:color w:val="auto"/>
          <w:spacing w:val="0"/>
          <w:w w:val="100"/>
          <w:kern w:val="2"/>
          <w:position w:val="0"/>
          <w:szCs w:val="20"/>
          <w:highlight w:val="none"/>
        </w:rPr>
        <w:t>。</w:t>
      </w:r>
    </w:p>
    <w:p w14:paraId="305BE344">
      <w:pPr>
        <w:widowControl w:val="0"/>
        <w:spacing w:before="48" w:beforeLines="20"/>
        <w:jc w:val="center"/>
        <w:rPr>
          <w:rFonts w:ascii="Times New Roman" w:hAnsi="Times New Roman" w:cs="Times New Roman" w:eastAsiaTheme="minorEastAsia"/>
          <w:caps w:val="0"/>
          <w:smallCaps w:val="0"/>
          <w:color w:val="auto"/>
          <w:spacing w:val="0"/>
          <w:w w:val="100"/>
          <w:kern w:val="2"/>
          <w:position w:val="0"/>
          <w:szCs w:val="20"/>
          <w:highlight w:val="none"/>
        </w:rPr>
      </w:pPr>
      <w:r>
        <w:rPr>
          <w:caps w:val="0"/>
          <w:smallCaps w:val="0"/>
          <w:color w:val="auto"/>
          <w:spacing w:val="0"/>
          <w:w w:val="100"/>
          <w:position w:val="0"/>
          <w:highlight w:val="none"/>
        </w:rPr>
        <w:drawing>
          <wp:inline distT="0" distB="0" distL="0" distR="0">
            <wp:extent cx="3008630" cy="5257800"/>
            <wp:effectExtent l="0" t="0" r="127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1"/>
                    <a:stretch>
                      <a:fillRect/>
                    </a:stretch>
                  </pic:blipFill>
                  <pic:spPr>
                    <a:xfrm>
                      <a:off x="0" y="0"/>
                      <a:ext cx="3020173" cy="5277006"/>
                    </a:xfrm>
                    <a:prstGeom prst="rect">
                      <a:avLst/>
                    </a:prstGeom>
                  </pic:spPr>
                </pic:pic>
              </a:graphicData>
            </a:graphic>
          </wp:inline>
        </w:drawing>
      </w:r>
    </w:p>
    <w:p w14:paraId="314E01DA">
      <w:pPr>
        <w:widowControl w:val="0"/>
        <w:spacing w:line="440" w:lineRule="exact"/>
        <w:jc w:val="center"/>
        <w:rPr>
          <w:rFonts w:ascii="Times New Roman" w:hAnsi="Times New Roman" w:cs="Times New Roman" w:eastAsiaTheme="minorEastAsia"/>
          <w:b/>
          <w:caps w:val="0"/>
          <w:smallCaps w:val="0"/>
          <w:color w:val="auto"/>
          <w:spacing w:val="0"/>
          <w:w w:val="100"/>
          <w:kern w:val="2"/>
          <w:position w:val="0"/>
          <w:szCs w:val="20"/>
          <w:highlight w:val="none"/>
        </w:rPr>
      </w:pPr>
      <w:r>
        <w:rPr>
          <w:rFonts w:ascii="Times New Roman" w:hAnsi="Times New Roman" w:cs="Times New Roman" w:eastAsiaTheme="minorEastAsia"/>
          <w:b/>
          <w:caps w:val="0"/>
          <w:smallCaps w:val="0"/>
          <w:color w:val="auto"/>
          <w:spacing w:val="0"/>
          <w:w w:val="100"/>
          <w:kern w:val="2"/>
          <w:position w:val="0"/>
          <w:szCs w:val="20"/>
          <w:highlight w:val="none"/>
        </w:rPr>
        <w:t>图 3.10-3    新建管线施工工艺流程及产污节点图</w:t>
      </w:r>
    </w:p>
    <w:p w14:paraId="3D926340">
      <w:pPr>
        <w:spacing w:line="500" w:lineRule="exact"/>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3.10.1.2运行期</w:t>
      </w:r>
    </w:p>
    <w:p w14:paraId="0ACEBA45">
      <w:pPr>
        <w:snapToGrid w:val="0"/>
        <w:spacing w:line="50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本项目运营期管线采用密闭输送方式输送</w:t>
      </w:r>
      <w:r>
        <w:rPr>
          <w:rFonts w:hint="eastAsia" w:ascii="Times New Roman" w:hAnsi="Times New Roman" w:cs="Times New Roman" w:eastAsiaTheme="minorEastAsia"/>
          <w:caps w:val="0"/>
          <w:smallCaps w:val="0"/>
          <w:color w:val="auto"/>
          <w:spacing w:val="0"/>
          <w:w w:val="100"/>
          <w:kern w:val="2"/>
          <w:position w:val="0"/>
          <w:highlight w:val="none"/>
        </w:rPr>
        <w:t>原油</w:t>
      </w:r>
      <w:r>
        <w:rPr>
          <w:rFonts w:ascii="Times New Roman" w:hAnsi="Times New Roman" w:cs="Times New Roman" w:eastAsiaTheme="minorEastAsia"/>
          <w:caps w:val="0"/>
          <w:smallCaps w:val="0"/>
          <w:color w:val="auto"/>
          <w:spacing w:val="0"/>
          <w:w w:val="100"/>
          <w:kern w:val="2"/>
          <w:position w:val="0"/>
          <w:highlight w:val="none"/>
        </w:rPr>
        <w:t>、</w:t>
      </w:r>
      <w:r>
        <w:rPr>
          <w:rFonts w:hint="eastAsia" w:ascii="Times New Roman" w:hAnsi="Times New Roman" w:cs="Times New Roman" w:eastAsiaTheme="minorEastAsia"/>
          <w:caps w:val="0"/>
          <w:smallCaps w:val="0"/>
          <w:color w:val="auto"/>
          <w:spacing w:val="0"/>
          <w:w w:val="100"/>
          <w:kern w:val="2"/>
          <w:position w:val="0"/>
          <w:highlight w:val="none"/>
          <w:lang w:eastAsia="zh-CN"/>
        </w:rPr>
        <w:t>含油污水</w:t>
      </w:r>
      <w:r>
        <w:rPr>
          <w:rFonts w:ascii="Times New Roman" w:hAnsi="Times New Roman" w:cs="Times New Roman" w:eastAsiaTheme="minorEastAsia"/>
          <w:caps w:val="0"/>
          <w:smallCaps w:val="0"/>
          <w:color w:val="auto"/>
          <w:spacing w:val="0"/>
          <w:w w:val="100"/>
          <w:kern w:val="2"/>
          <w:position w:val="0"/>
          <w:highlight w:val="none"/>
        </w:rPr>
        <w:t>。管线在正常运行状况下无废气、废水、噪声和固体废物产生及排放，但运行过程存在潜在</w:t>
      </w:r>
      <w:r>
        <w:rPr>
          <w:rFonts w:hint="eastAsia" w:ascii="Times New Roman" w:hAnsi="Times New Roman" w:cs="Times New Roman" w:eastAsiaTheme="minorEastAsia"/>
          <w:caps w:val="0"/>
          <w:smallCaps w:val="0"/>
          <w:color w:val="auto"/>
          <w:spacing w:val="0"/>
          <w:w w:val="100"/>
          <w:kern w:val="2"/>
          <w:position w:val="0"/>
          <w:highlight w:val="none"/>
        </w:rPr>
        <w:t>原油</w:t>
      </w:r>
      <w:r>
        <w:rPr>
          <w:rFonts w:ascii="Times New Roman" w:hAnsi="Times New Roman" w:cs="Times New Roman" w:eastAsiaTheme="minorEastAsia"/>
          <w:caps w:val="0"/>
          <w:smallCaps w:val="0"/>
          <w:color w:val="auto"/>
          <w:spacing w:val="0"/>
          <w:w w:val="100"/>
          <w:kern w:val="2"/>
          <w:position w:val="0"/>
          <w:highlight w:val="none"/>
        </w:rPr>
        <w:t>及</w:t>
      </w:r>
      <w:r>
        <w:rPr>
          <w:rFonts w:hint="eastAsia" w:ascii="Times New Roman" w:hAnsi="Times New Roman" w:cs="Times New Roman" w:eastAsiaTheme="minorEastAsia"/>
          <w:caps w:val="0"/>
          <w:smallCaps w:val="0"/>
          <w:color w:val="auto"/>
          <w:spacing w:val="0"/>
          <w:w w:val="100"/>
          <w:kern w:val="2"/>
          <w:position w:val="0"/>
          <w:highlight w:val="none"/>
          <w:lang w:eastAsia="zh-CN"/>
        </w:rPr>
        <w:t>含油污水</w:t>
      </w:r>
      <w:r>
        <w:rPr>
          <w:rFonts w:ascii="Times New Roman" w:hAnsi="Times New Roman" w:cs="Times New Roman" w:eastAsiaTheme="minorEastAsia"/>
          <w:caps w:val="0"/>
          <w:smallCaps w:val="0"/>
          <w:color w:val="auto"/>
          <w:spacing w:val="0"/>
          <w:w w:val="100"/>
          <w:kern w:val="2"/>
          <w:position w:val="0"/>
          <w:highlight w:val="none"/>
        </w:rPr>
        <w:t>泄漏的风险，可能对大气、地表水、地下水、土壤环境产生污染影响。</w:t>
      </w:r>
    </w:p>
    <w:p w14:paraId="0DA1CB10">
      <w:pPr>
        <w:widowControl w:val="0"/>
        <w:spacing w:line="440" w:lineRule="exact"/>
        <w:jc w:val="both"/>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3.10.1.3退役期</w:t>
      </w:r>
    </w:p>
    <w:p w14:paraId="4B66859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本项目退役期主要将</w:t>
      </w:r>
      <w:r>
        <w:rPr>
          <w:rFonts w:hint="eastAsia" w:ascii="Times New Roman" w:hAnsi="Times New Roman" w:cs="Times New Roman"/>
          <w:caps w:val="0"/>
          <w:smallCaps w:val="0"/>
          <w:color w:val="auto"/>
          <w:spacing w:val="0"/>
          <w:w w:val="100"/>
          <w:kern w:val="2"/>
          <w:position w:val="0"/>
          <w:highlight w:val="none"/>
        </w:rPr>
        <w:t>输油管道</w:t>
      </w:r>
      <w:r>
        <w:rPr>
          <w:rFonts w:ascii="Times New Roman" w:hAnsi="Times New Roman" w:cs="Times New Roman"/>
          <w:caps w:val="0"/>
          <w:smallCaps w:val="0"/>
          <w:color w:val="auto"/>
          <w:spacing w:val="0"/>
          <w:w w:val="100"/>
          <w:kern w:val="2"/>
          <w:position w:val="0"/>
          <w:highlight w:val="none"/>
        </w:rPr>
        <w:t>及输气管道进行封堵直埋地下。</w:t>
      </w:r>
      <w:r>
        <w:rPr>
          <w:rFonts w:hint="eastAsia" w:ascii="Times New Roman" w:hAnsi="Times New Roman" w:cs="Times New Roman"/>
          <w:caps w:val="0"/>
          <w:smallCaps w:val="0"/>
          <w:color w:val="auto"/>
          <w:spacing w:val="0"/>
          <w:w w:val="100"/>
          <w:kern w:val="2"/>
          <w:position w:val="0"/>
          <w:highlight w:val="none"/>
        </w:rPr>
        <w:t>首先关闭两端截断阀，然后对退役管道采用清水进行全管段清洗，直至管线末端无明显杂质及含油污水，然后利用氮气</w:t>
      </w:r>
      <w:r>
        <w:rPr>
          <w:rFonts w:ascii="Times New Roman" w:hAnsi="Times New Roman" w:cs="Times New Roman"/>
          <w:caps w:val="0"/>
          <w:smallCaps w:val="0"/>
          <w:color w:val="auto"/>
          <w:spacing w:val="0"/>
          <w:w w:val="100"/>
          <w:kern w:val="2"/>
          <w:position w:val="0"/>
          <w:highlight w:val="none"/>
        </w:rPr>
        <w:t>进行</w:t>
      </w:r>
      <w:r>
        <w:rPr>
          <w:rFonts w:hint="eastAsia" w:ascii="Times New Roman" w:hAnsi="Times New Roman" w:cs="Times New Roman"/>
          <w:caps w:val="0"/>
          <w:smallCaps w:val="0"/>
          <w:color w:val="auto"/>
          <w:spacing w:val="0"/>
          <w:w w:val="100"/>
          <w:kern w:val="2"/>
          <w:position w:val="0"/>
          <w:highlight w:val="none"/>
        </w:rPr>
        <w:t>吹扫</w:t>
      </w:r>
      <w:r>
        <w:rPr>
          <w:rFonts w:ascii="Times New Roman" w:hAnsi="Times New Roman" w:cs="Times New Roman"/>
          <w:caps w:val="0"/>
          <w:smallCaps w:val="0"/>
          <w:color w:val="auto"/>
          <w:spacing w:val="0"/>
          <w:w w:val="100"/>
          <w:kern w:val="2"/>
          <w:position w:val="0"/>
          <w:highlight w:val="none"/>
        </w:rPr>
        <w:t>作业，为避免对生态的二次破坏，清管后的管道两端采用混凝土封堵直埋于地下，不再挖出。</w:t>
      </w:r>
    </w:p>
    <w:p w14:paraId="4C6DE0C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退役期工艺流程及主要产污节点见图3.10-4。</w:t>
      </w:r>
    </w:p>
    <w:p w14:paraId="7B97D654">
      <w:pPr>
        <w:widowControl w:val="0"/>
        <w:jc w:val="center"/>
        <w:rPr>
          <w:rFonts w:ascii="Times New Roman" w:hAnsi="Times New Roman" w:cs="Times New Roman"/>
          <w:caps w:val="0"/>
          <w:smallCaps w:val="0"/>
          <w:color w:val="auto"/>
          <w:spacing w:val="0"/>
          <w:w w:val="100"/>
          <w:kern w:val="2"/>
          <w:position w:val="0"/>
          <w:szCs w:val="20"/>
          <w:highlight w:val="none"/>
        </w:rPr>
      </w:pPr>
      <w:r>
        <w:rPr>
          <w:caps w:val="0"/>
          <w:smallCaps w:val="0"/>
          <w:color w:val="auto"/>
          <w:spacing w:val="0"/>
          <w:w w:val="100"/>
          <w:position w:val="0"/>
          <w:highlight w:val="none"/>
        </w:rPr>
        <w:drawing>
          <wp:inline distT="0" distB="0" distL="0" distR="0">
            <wp:extent cx="5759450" cy="1626235"/>
            <wp:effectExtent l="19050" t="19050" r="1270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2"/>
                    <a:stretch>
                      <a:fillRect/>
                    </a:stretch>
                  </pic:blipFill>
                  <pic:spPr>
                    <a:xfrm>
                      <a:off x="0" y="0"/>
                      <a:ext cx="5759450" cy="1626235"/>
                    </a:xfrm>
                    <a:prstGeom prst="rect">
                      <a:avLst/>
                    </a:prstGeom>
                    <a:ln w="6350">
                      <a:solidFill>
                        <a:schemeClr val="tx1"/>
                      </a:solidFill>
                    </a:ln>
                  </pic:spPr>
                </pic:pic>
              </a:graphicData>
            </a:graphic>
          </wp:inline>
        </w:drawing>
      </w:r>
    </w:p>
    <w:p w14:paraId="00651E95">
      <w:pPr>
        <w:widowControl w:val="0"/>
        <w:jc w:val="center"/>
        <w:rPr>
          <w:rFonts w:ascii="Times New Roman" w:hAnsi="Times New Roman" w:cs="Times New Roman"/>
          <w:b/>
          <w:caps w:val="0"/>
          <w:smallCaps w:val="0"/>
          <w:color w:val="auto"/>
          <w:spacing w:val="0"/>
          <w:w w:val="100"/>
          <w:kern w:val="2"/>
          <w:position w:val="0"/>
          <w:szCs w:val="20"/>
          <w:highlight w:val="none"/>
        </w:rPr>
      </w:pPr>
      <w:r>
        <w:rPr>
          <w:rFonts w:ascii="Times New Roman" w:hAnsi="Times New Roman" w:cs="Times New Roman"/>
          <w:b/>
          <w:caps w:val="0"/>
          <w:smallCaps w:val="0"/>
          <w:color w:val="auto"/>
          <w:spacing w:val="0"/>
          <w:w w:val="100"/>
          <w:kern w:val="2"/>
          <w:position w:val="0"/>
          <w:szCs w:val="20"/>
          <w:highlight w:val="none"/>
        </w:rPr>
        <w:t>图3.10-4    退役期工艺流程及主要产污节点图</w:t>
      </w:r>
    </w:p>
    <w:p w14:paraId="09D3E11F">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532" w:name="_Toc80971395"/>
      <w:bookmarkStart w:id="533" w:name="_Toc70050202"/>
      <w:bookmarkStart w:id="534" w:name="_Toc78816478"/>
      <w:bookmarkStart w:id="535" w:name="_Toc67860153"/>
      <w:bookmarkStart w:id="536" w:name="_Toc84929250"/>
      <w:bookmarkStart w:id="537" w:name="_Toc83209495"/>
      <w:bookmarkStart w:id="538" w:name="_Toc76976264"/>
      <w:bookmarkStart w:id="539" w:name="_Toc86141949"/>
      <w:bookmarkStart w:id="540" w:name="_Toc77067676"/>
      <w:bookmarkStart w:id="541" w:name="_Toc85640774"/>
      <w:bookmarkStart w:id="542" w:name="_Toc110438491"/>
      <w:bookmarkStart w:id="543" w:name="_Toc80588273"/>
      <w:r>
        <w:rPr>
          <w:rFonts w:eastAsiaTheme="minorEastAsia"/>
          <w:b/>
          <w:caps w:val="0"/>
          <w:smallCaps w:val="0"/>
          <w:color w:val="auto"/>
          <w:spacing w:val="0"/>
          <w:w w:val="100"/>
          <w:kern w:val="2"/>
          <w:position w:val="0"/>
          <w:sz w:val="24"/>
          <w:szCs w:val="24"/>
          <w:highlight w:val="none"/>
        </w:rPr>
        <w:t>3.10.2生态影响因素分析</w:t>
      </w:r>
      <w:bookmarkEnd w:id="532"/>
      <w:bookmarkEnd w:id="533"/>
      <w:bookmarkEnd w:id="534"/>
      <w:bookmarkEnd w:id="535"/>
      <w:bookmarkEnd w:id="536"/>
      <w:bookmarkEnd w:id="537"/>
      <w:bookmarkEnd w:id="538"/>
      <w:bookmarkEnd w:id="539"/>
      <w:bookmarkEnd w:id="540"/>
      <w:bookmarkEnd w:id="541"/>
      <w:bookmarkEnd w:id="542"/>
      <w:bookmarkEnd w:id="543"/>
    </w:p>
    <w:p w14:paraId="54ABB052">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（1）施工期</w:t>
      </w:r>
    </w:p>
    <w:p w14:paraId="4E1CBB1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项目管线施工过程对环境的影响主要来自管道施工作业带清理、开挖管沟等施工活动中施工机械、车辆、人员践踏等对土壤的扰动和植被的破坏，对沿途的动物形成惊扰，造成的土地裸露加剧水土流失。本项目管道施工作业带宽度约10m，其范围内的土壤和植被都可能受到扰动和破坏，尤其在开挖管沟约2-3m内范围内地表植被破坏严重；开挖管沟造成的土体扰动将使土壤的结构、组成及理化性质等发生变化，进而影响土壤的侵蚀状况、植被恢复等。</w:t>
      </w:r>
    </w:p>
    <w:p w14:paraId="13370377">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项目管线施工对植被最主要的影响是施工期占地范围内对植被破坏。此外，施工过程中土地开挖、车辆运输带起的扬尘自然沉降在周围植物的叶片上，阻塞气孔，影响植物呼吸作用和光合作用，有碍作物生长，还有车辆运行和施工机械的尾气含有 NOx 等气体，可破坏敏感植物的叶组织，造成褪色伤斑。但随着施工期结束，以上这些不利影响也随之消失。</w:t>
      </w:r>
    </w:p>
    <w:p w14:paraId="7BC8466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（2）运营期</w:t>
      </w:r>
    </w:p>
    <w:p w14:paraId="790EE6B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本项目建成后，临时占地得到有效的填充平整、恢复植被，以降低土地沙漠化，减少水土流失。</w:t>
      </w:r>
    </w:p>
    <w:p w14:paraId="4722130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本项目生产运营期对生态环境的影响较小，主要为事故状态下管线发生</w:t>
      </w:r>
      <w:r>
        <w:rPr>
          <w:rFonts w:hint="eastAsia" w:ascii="Times New Roman" w:hAnsi="Times New Roman" w:cs="Times New Roman"/>
          <w:caps w:val="0"/>
          <w:smallCaps w:val="0"/>
          <w:color w:val="auto"/>
          <w:spacing w:val="0"/>
          <w:w w:val="100"/>
          <w:kern w:val="2"/>
          <w:position w:val="0"/>
          <w:szCs w:val="20"/>
          <w:highlight w:val="none"/>
        </w:rPr>
        <w:t>原油</w:t>
      </w:r>
      <w:r>
        <w:rPr>
          <w:rFonts w:ascii="Times New Roman" w:hAnsi="Times New Roman" w:cs="Times New Roman"/>
          <w:caps w:val="0"/>
          <w:smallCaps w:val="0"/>
          <w:color w:val="auto"/>
          <w:spacing w:val="0"/>
          <w:w w:val="100"/>
          <w:kern w:val="2"/>
          <w:position w:val="0"/>
          <w:szCs w:val="20"/>
          <w:highlight w:val="none"/>
        </w:rPr>
        <w:t>、</w:t>
      </w:r>
      <w:r>
        <w:rPr>
          <w:rFonts w:hint="eastAsia" w:ascii="Times New Roman" w:hAnsi="Times New Roman" w:cs="Times New Roman"/>
          <w:caps w:val="0"/>
          <w:smallCaps w:val="0"/>
          <w:color w:val="auto"/>
          <w:spacing w:val="0"/>
          <w:w w:val="100"/>
          <w:kern w:val="2"/>
          <w:position w:val="0"/>
          <w:szCs w:val="20"/>
          <w:highlight w:val="none"/>
          <w:lang w:eastAsia="zh-CN"/>
        </w:rPr>
        <w:t>含油污水</w:t>
      </w:r>
      <w:r>
        <w:rPr>
          <w:rFonts w:ascii="Times New Roman" w:hAnsi="Times New Roman" w:cs="Times New Roman"/>
          <w:caps w:val="0"/>
          <w:smallCaps w:val="0"/>
          <w:color w:val="auto"/>
          <w:spacing w:val="0"/>
          <w:w w:val="100"/>
          <w:kern w:val="2"/>
          <w:position w:val="0"/>
          <w:szCs w:val="20"/>
          <w:highlight w:val="none"/>
        </w:rPr>
        <w:t>泄漏对周边植被、土壤、地表水、地下水等生态要素的影响。</w:t>
      </w:r>
    </w:p>
    <w:p w14:paraId="5A79329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（3）退役期</w:t>
      </w:r>
    </w:p>
    <w:p w14:paraId="15984434">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本项目退役期主要是退役管线封堵直埋地下时将对地表植被产生破坏和干扰，同时也可能引起新的水土流失。</w:t>
      </w:r>
    </w:p>
    <w:p w14:paraId="0D6248E2">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544" w:name="_Toc78816479"/>
      <w:bookmarkStart w:id="545" w:name="_Toc110438492"/>
      <w:bookmarkStart w:id="546" w:name="_Toc80588274"/>
      <w:bookmarkStart w:id="547" w:name="_Toc67860154"/>
      <w:bookmarkStart w:id="548" w:name="_Toc84929251"/>
      <w:bookmarkStart w:id="549" w:name="_Toc85640775"/>
      <w:bookmarkStart w:id="550" w:name="_Toc86141950"/>
      <w:bookmarkStart w:id="551" w:name="_Toc70050203"/>
      <w:bookmarkStart w:id="552" w:name="_Toc83209496"/>
      <w:bookmarkStart w:id="553" w:name="_Toc77067677"/>
      <w:bookmarkStart w:id="554" w:name="_Toc80971396"/>
      <w:bookmarkStart w:id="555" w:name="_Toc76976265"/>
      <w:r>
        <w:rPr>
          <w:rFonts w:eastAsiaTheme="minorEastAsia"/>
          <w:b/>
          <w:caps w:val="0"/>
          <w:smallCaps w:val="0"/>
          <w:color w:val="auto"/>
          <w:spacing w:val="0"/>
          <w:w w:val="100"/>
          <w:kern w:val="2"/>
          <w:position w:val="0"/>
          <w:sz w:val="24"/>
          <w:szCs w:val="24"/>
          <w:highlight w:val="none"/>
        </w:rPr>
        <w:t>3.10.3污染源源强核算</w:t>
      </w:r>
      <w:bookmarkEnd w:id="544"/>
      <w:bookmarkEnd w:id="545"/>
      <w:bookmarkEnd w:id="546"/>
      <w:bookmarkEnd w:id="547"/>
      <w:bookmarkEnd w:id="548"/>
      <w:bookmarkEnd w:id="549"/>
      <w:bookmarkEnd w:id="550"/>
      <w:bookmarkEnd w:id="551"/>
      <w:bookmarkEnd w:id="552"/>
      <w:bookmarkEnd w:id="553"/>
      <w:bookmarkEnd w:id="554"/>
      <w:bookmarkEnd w:id="555"/>
    </w:p>
    <w:p w14:paraId="2C85B7AD">
      <w:pPr>
        <w:spacing w:line="440" w:lineRule="exact"/>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3.10.3.1施工期</w:t>
      </w:r>
      <w:bookmarkStart w:id="556" w:name="OLE_LINK17"/>
      <w:bookmarkStart w:id="557" w:name="OLE_LINK21"/>
      <w:r>
        <w:rPr>
          <w:rFonts w:ascii="Times New Roman" w:hAnsi="Times New Roman" w:cs="Times New Roman" w:eastAsiaTheme="minorEastAsia"/>
          <w:b/>
          <w:caps w:val="0"/>
          <w:smallCaps w:val="0"/>
          <w:color w:val="auto"/>
          <w:spacing w:val="0"/>
          <w:w w:val="100"/>
          <w:position w:val="0"/>
          <w:highlight w:val="none"/>
        </w:rPr>
        <w:t>污染源源强核算</w:t>
      </w:r>
      <w:bookmarkEnd w:id="556"/>
      <w:bookmarkEnd w:id="557"/>
    </w:p>
    <w:p w14:paraId="0BAAFE2F">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（1）废气</w:t>
      </w:r>
    </w:p>
    <w:p w14:paraId="4B323882">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施工期废气主要为地面工程施工时管沟开挖、土方堆填、车辆运输、恢复原有地面等过程中产生的粉尘、二次扬尘，管道焊接过程产生的焊接烟尘，以及施工设备和运输车辆尾气。</w:t>
      </w:r>
    </w:p>
    <w:p w14:paraId="768A5DEF">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①</w:t>
      </w:r>
      <w:r>
        <w:rPr>
          <w:rFonts w:ascii="Times New Roman" w:hAnsi="Times New Roman" w:cs="Times New Roman"/>
          <w:caps w:val="0"/>
          <w:smallCaps w:val="0"/>
          <w:color w:val="auto"/>
          <w:spacing w:val="0"/>
          <w:w w:val="100"/>
          <w:kern w:val="2"/>
          <w:position w:val="0"/>
          <w:highlight w:val="none"/>
        </w:rPr>
        <w:t>施工</w:t>
      </w:r>
      <w:r>
        <w:rPr>
          <w:rFonts w:ascii="Times New Roman" w:hAnsi="Times New Roman" w:cs="Times New Roman" w:eastAsiaTheme="minorEastAsia"/>
          <w:caps w:val="0"/>
          <w:smallCaps w:val="0"/>
          <w:color w:val="auto"/>
          <w:spacing w:val="0"/>
          <w:w w:val="100"/>
          <w:kern w:val="2"/>
          <w:position w:val="0"/>
          <w:highlight w:val="none"/>
        </w:rPr>
        <w:t>扬尘</w:t>
      </w:r>
    </w:p>
    <w:p w14:paraId="6938072D">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本项目施工扬尘主要来自平整土地、开挖土方、材料运输、装卸等过程，其污染范围和程度与施工工艺、施工管理、土方含水率、气象条件、土方工程量等多种因素有关。</w:t>
      </w:r>
    </w:p>
    <w:p w14:paraId="4F6246FD">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所在区域平坦空旷，大气扩散条件好，且施工时间较短，施工扬尘影响较小。管线敷设、各种施工材料的运输给道路沿线带来扬尘污染，运输车辆行驶扬尘与车辆行驶速度、风速、路面积尘量和积尘湿度等因素有关。</w:t>
      </w:r>
    </w:p>
    <w:p w14:paraId="6E152204">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A.</w:t>
      </w:r>
      <w:r>
        <w:rPr>
          <w:rFonts w:ascii="Times New Roman" w:hAnsi="Times New Roman" w:cs="Times New Roman" w:eastAsiaTheme="minorEastAsia"/>
          <w:caps w:val="0"/>
          <w:smallCaps w:val="0"/>
          <w:color w:val="auto"/>
          <w:spacing w:val="0"/>
          <w:w w:val="100"/>
          <w:kern w:val="2"/>
          <w:position w:val="0"/>
          <w:highlight w:val="none"/>
        </w:rPr>
        <w:t>管线施工产生的施工扬尘</w:t>
      </w:r>
    </w:p>
    <w:p w14:paraId="7DFB2A42">
      <w:pPr>
        <w:tabs>
          <w:tab w:val="left" w:pos="5262"/>
        </w:tabs>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根据工程占地统计表，本项目</w:t>
      </w:r>
      <w:r>
        <w:rPr>
          <w:rFonts w:ascii="Times New Roman" w:hAnsi="Times New Roman" w:cs="Times New Roman" w:eastAsiaTheme="minorEastAsia"/>
          <w:caps w:val="0"/>
          <w:smallCaps w:val="0"/>
          <w:color w:val="auto"/>
          <w:spacing w:val="0"/>
          <w:w w:val="100"/>
          <w:kern w:val="2"/>
          <w:position w:val="0"/>
          <w:highlight w:val="none"/>
        </w:rPr>
        <w:t>施工占地面积</w:t>
      </w:r>
      <w:r>
        <w:rPr>
          <w:rFonts w:hint="eastAsia" w:ascii="Times New Roman" w:hAnsi="Times New Roman" w:cs="Times New Roman" w:eastAsiaTheme="minorEastAsia"/>
          <w:bCs/>
          <w:caps w:val="0"/>
          <w:smallCaps w:val="0"/>
          <w:snapToGrid w:val="0"/>
          <w:color w:val="auto"/>
          <w:spacing w:val="0"/>
          <w:w w:val="100"/>
          <w:position w:val="0"/>
          <w:highlight w:val="none"/>
          <w:lang w:val="en-US" w:eastAsia="zh-CN"/>
        </w:rPr>
        <w:t>21.88</w:t>
      </w:r>
      <w:r>
        <w:rPr>
          <w:rFonts w:ascii="Times New Roman" w:hAnsi="Times New Roman" w:cs="Times New Roman" w:eastAsiaTheme="minorEastAsia"/>
          <w:caps w:val="0"/>
          <w:smallCaps w:val="0"/>
          <w:color w:val="auto"/>
          <w:spacing w:val="0"/>
          <w:w w:val="100"/>
          <w:kern w:val="2"/>
          <w:position w:val="0"/>
          <w:highlight w:val="none"/>
        </w:rPr>
        <w:t>hm²</w:t>
      </w:r>
      <w:r>
        <w:rPr>
          <w:rFonts w:ascii="Times New Roman" w:hAnsi="Times New Roman" w:cs="Times New Roman"/>
          <w:bCs/>
          <w:caps w:val="0"/>
          <w:smallCaps w:val="0"/>
          <w:color w:val="auto"/>
          <w:spacing w:val="0"/>
          <w:w w:val="100"/>
          <w:kern w:val="21"/>
          <w:position w:val="0"/>
          <w:highlight w:val="none"/>
        </w:rPr>
        <w:t>，参考</w:t>
      </w:r>
      <w:r>
        <w:rPr>
          <w:rFonts w:ascii="Times New Roman" w:hAnsi="Times New Roman" w:cs="Times New Roman"/>
          <w:caps w:val="0"/>
          <w:smallCaps w:val="0"/>
          <w:color w:val="auto"/>
          <w:spacing w:val="0"/>
          <w:w w:val="100"/>
          <w:position w:val="0"/>
          <w:highlight w:val="none"/>
        </w:rPr>
        <w:t>《扬尘源颗粒物排放清单编制技术指南（试行）》中施工扬尘源排放量的计算方法。</w:t>
      </w:r>
    </w:p>
    <w:p w14:paraId="1B6B87B9">
      <w:pPr>
        <w:tabs>
          <w:tab w:val="left" w:pos="5262"/>
        </w:tabs>
        <w:spacing w:line="440" w:lineRule="exact"/>
        <w:jc w:val="center"/>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W</w:t>
      </w:r>
      <w:r>
        <w:rPr>
          <w:rFonts w:ascii="Times New Roman" w:hAnsi="Times New Roman" w:cs="Times New Roman"/>
          <w:bCs/>
          <w:caps w:val="0"/>
          <w:smallCaps w:val="0"/>
          <w:color w:val="auto"/>
          <w:spacing w:val="0"/>
          <w:w w:val="100"/>
          <w:kern w:val="21"/>
          <w:position w:val="0"/>
          <w:highlight w:val="none"/>
          <w:vertAlign w:val="subscript"/>
        </w:rPr>
        <w:t>Ci</w:t>
      </w:r>
      <w:r>
        <w:rPr>
          <w:rFonts w:ascii="Times New Roman" w:hAnsi="Times New Roman" w:cs="Times New Roman"/>
          <w:bCs/>
          <w:caps w:val="0"/>
          <w:smallCaps w:val="0"/>
          <w:color w:val="auto"/>
          <w:spacing w:val="0"/>
          <w:w w:val="100"/>
          <w:kern w:val="21"/>
          <w:position w:val="0"/>
          <w:highlight w:val="none"/>
        </w:rPr>
        <w:t xml:space="preserve"> = E</w:t>
      </w:r>
      <w:r>
        <w:rPr>
          <w:rFonts w:ascii="Times New Roman" w:hAnsi="Times New Roman" w:cs="Times New Roman"/>
          <w:bCs/>
          <w:caps w:val="0"/>
          <w:smallCaps w:val="0"/>
          <w:color w:val="auto"/>
          <w:spacing w:val="0"/>
          <w:w w:val="100"/>
          <w:kern w:val="21"/>
          <w:position w:val="0"/>
          <w:highlight w:val="none"/>
          <w:vertAlign w:val="subscript"/>
        </w:rPr>
        <w:t>Ci</w:t>
      </w:r>
      <w:r>
        <w:rPr>
          <w:rFonts w:ascii="Times New Roman" w:hAnsi="Times New Roman" w:cs="Times New Roman"/>
          <w:bCs/>
          <w:caps w:val="0"/>
          <w:smallCaps w:val="0"/>
          <w:color w:val="auto"/>
          <w:spacing w:val="0"/>
          <w:w w:val="100"/>
          <w:kern w:val="21"/>
          <w:position w:val="0"/>
          <w:highlight w:val="none"/>
        </w:rPr>
        <w:t xml:space="preserve"> × A</w:t>
      </w:r>
      <w:r>
        <w:rPr>
          <w:rFonts w:ascii="Times New Roman" w:hAnsi="Times New Roman" w:cs="Times New Roman"/>
          <w:bCs/>
          <w:caps w:val="0"/>
          <w:smallCaps w:val="0"/>
          <w:color w:val="auto"/>
          <w:spacing w:val="0"/>
          <w:w w:val="100"/>
          <w:kern w:val="21"/>
          <w:position w:val="0"/>
          <w:highlight w:val="none"/>
          <w:vertAlign w:val="subscript"/>
        </w:rPr>
        <w:t>C</w:t>
      </w:r>
      <w:r>
        <w:rPr>
          <w:rFonts w:ascii="Times New Roman" w:hAnsi="Times New Roman" w:cs="Times New Roman"/>
          <w:bCs/>
          <w:caps w:val="0"/>
          <w:smallCaps w:val="0"/>
          <w:color w:val="auto"/>
          <w:spacing w:val="0"/>
          <w:w w:val="100"/>
          <w:kern w:val="21"/>
          <w:position w:val="0"/>
          <w:highlight w:val="none"/>
        </w:rPr>
        <w:t xml:space="preserve"> × T</w:t>
      </w:r>
    </w:p>
    <w:p w14:paraId="5C40C89C">
      <w:pPr>
        <w:tabs>
          <w:tab w:val="left" w:pos="5262"/>
        </w:tabs>
        <w:spacing w:line="440" w:lineRule="exact"/>
        <w:jc w:val="center"/>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E</w:t>
      </w:r>
      <w:r>
        <w:rPr>
          <w:rFonts w:ascii="Times New Roman" w:hAnsi="Times New Roman" w:cs="Times New Roman"/>
          <w:bCs/>
          <w:caps w:val="0"/>
          <w:smallCaps w:val="0"/>
          <w:color w:val="auto"/>
          <w:spacing w:val="0"/>
          <w:w w:val="100"/>
          <w:kern w:val="21"/>
          <w:position w:val="0"/>
          <w:highlight w:val="none"/>
          <w:vertAlign w:val="subscript"/>
        </w:rPr>
        <w:t xml:space="preserve">Ci </w:t>
      </w:r>
      <w:r>
        <w:rPr>
          <w:rFonts w:ascii="Times New Roman" w:hAnsi="Times New Roman" w:cs="Times New Roman"/>
          <w:bCs/>
          <w:caps w:val="0"/>
          <w:smallCaps w:val="0"/>
          <w:color w:val="auto"/>
          <w:spacing w:val="0"/>
          <w:w w:val="100"/>
          <w:kern w:val="21"/>
          <w:position w:val="0"/>
          <w:highlight w:val="none"/>
        </w:rPr>
        <w:t>= 2.69×10</w:t>
      </w:r>
      <w:r>
        <w:rPr>
          <w:rFonts w:ascii="Times New Roman" w:hAnsi="Times New Roman" w:cs="Times New Roman"/>
          <w:bCs/>
          <w:caps w:val="0"/>
          <w:smallCaps w:val="0"/>
          <w:color w:val="auto"/>
          <w:spacing w:val="0"/>
          <w:w w:val="100"/>
          <w:kern w:val="21"/>
          <w:position w:val="0"/>
          <w:highlight w:val="none"/>
          <w:vertAlign w:val="superscript"/>
        </w:rPr>
        <w:t>-4</w:t>
      </w:r>
      <w:r>
        <w:rPr>
          <w:rFonts w:ascii="Times New Roman" w:hAnsi="Times New Roman" w:cs="Times New Roman"/>
          <w:bCs/>
          <w:caps w:val="0"/>
          <w:smallCaps w:val="0"/>
          <w:color w:val="auto"/>
          <w:spacing w:val="0"/>
          <w:w w:val="100"/>
          <w:kern w:val="21"/>
          <w:position w:val="0"/>
          <w:highlight w:val="none"/>
        </w:rPr>
        <w:t xml:space="preserve"> ×（1- η）</w:t>
      </w:r>
    </w:p>
    <w:p w14:paraId="4269C78D">
      <w:pPr>
        <w:tabs>
          <w:tab w:val="left" w:pos="5262"/>
        </w:tabs>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式中：</w:t>
      </w:r>
    </w:p>
    <w:p w14:paraId="6FB10365">
      <w:pPr>
        <w:tabs>
          <w:tab w:val="left" w:pos="5262"/>
        </w:tabs>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W</w:t>
      </w:r>
      <w:r>
        <w:rPr>
          <w:rFonts w:ascii="Times New Roman" w:hAnsi="Times New Roman" w:cs="Times New Roman"/>
          <w:bCs/>
          <w:caps w:val="0"/>
          <w:smallCaps w:val="0"/>
          <w:color w:val="auto"/>
          <w:spacing w:val="0"/>
          <w:w w:val="100"/>
          <w:kern w:val="21"/>
          <w:position w:val="0"/>
          <w:highlight w:val="none"/>
          <w:vertAlign w:val="subscript"/>
        </w:rPr>
        <w:t>Ci</w:t>
      </w:r>
      <w:r>
        <w:rPr>
          <w:rFonts w:ascii="Times New Roman" w:hAnsi="Times New Roman" w:cs="Times New Roman"/>
          <w:bCs/>
          <w:caps w:val="0"/>
          <w:smallCaps w:val="0"/>
          <w:color w:val="auto"/>
          <w:spacing w:val="0"/>
          <w:w w:val="100"/>
          <w:kern w:val="21"/>
          <w:position w:val="0"/>
          <w:highlight w:val="none"/>
        </w:rPr>
        <w:t>为施工扬尘源中PM</w:t>
      </w:r>
      <w:r>
        <w:rPr>
          <w:rFonts w:ascii="Times New Roman" w:hAnsi="Times New Roman" w:cs="Times New Roman"/>
          <w:bCs/>
          <w:caps w:val="0"/>
          <w:smallCaps w:val="0"/>
          <w:color w:val="auto"/>
          <w:spacing w:val="0"/>
          <w:w w:val="100"/>
          <w:kern w:val="21"/>
          <w:position w:val="0"/>
          <w:highlight w:val="none"/>
          <w:vertAlign w:val="subscript"/>
        </w:rPr>
        <w:t>i</w:t>
      </w:r>
      <w:r>
        <w:rPr>
          <w:rFonts w:ascii="Times New Roman" w:hAnsi="Times New Roman" w:cs="Times New Roman"/>
          <w:bCs/>
          <w:caps w:val="0"/>
          <w:smallCaps w:val="0"/>
          <w:color w:val="auto"/>
          <w:spacing w:val="0"/>
          <w:w w:val="100"/>
          <w:kern w:val="21"/>
          <w:position w:val="0"/>
          <w:highlight w:val="none"/>
        </w:rPr>
        <w:t>总排放量，t。</w:t>
      </w:r>
    </w:p>
    <w:p w14:paraId="0B5ACDB4">
      <w:pPr>
        <w:tabs>
          <w:tab w:val="left" w:pos="5262"/>
        </w:tabs>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E</w:t>
      </w:r>
      <w:r>
        <w:rPr>
          <w:rFonts w:ascii="Times New Roman" w:hAnsi="Times New Roman" w:cs="Times New Roman"/>
          <w:bCs/>
          <w:caps w:val="0"/>
          <w:smallCaps w:val="0"/>
          <w:color w:val="auto"/>
          <w:spacing w:val="0"/>
          <w:w w:val="100"/>
          <w:kern w:val="21"/>
          <w:position w:val="0"/>
          <w:highlight w:val="none"/>
          <w:vertAlign w:val="subscript"/>
        </w:rPr>
        <w:t>Ci</w:t>
      </w:r>
      <w:r>
        <w:rPr>
          <w:rFonts w:ascii="Times New Roman" w:hAnsi="Times New Roman" w:cs="Times New Roman"/>
          <w:bCs/>
          <w:caps w:val="0"/>
          <w:smallCaps w:val="0"/>
          <w:color w:val="auto"/>
          <w:spacing w:val="0"/>
          <w:w w:val="100"/>
          <w:kern w:val="21"/>
          <w:position w:val="0"/>
          <w:highlight w:val="none"/>
        </w:rPr>
        <w:t>为整个施工工地PM</w:t>
      </w:r>
      <w:r>
        <w:rPr>
          <w:rFonts w:ascii="Times New Roman" w:hAnsi="Times New Roman" w:cs="Times New Roman"/>
          <w:bCs/>
          <w:caps w:val="0"/>
          <w:smallCaps w:val="0"/>
          <w:color w:val="auto"/>
          <w:spacing w:val="0"/>
          <w:w w:val="100"/>
          <w:kern w:val="21"/>
          <w:position w:val="0"/>
          <w:highlight w:val="none"/>
          <w:vertAlign w:val="subscript"/>
        </w:rPr>
        <w:t>i</w:t>
      </w:r>
      <w:r>
        <w:rPr>
          <w:rFonts w:ascii="Times New Roman" w:hAnsi="Times New Roman" w:cs="Times New Roman"/>
          <w:bCs/>
          <w:caps w:val="0"/>
          <w:smallCaps w:val="0"/>
          <w:color w:val="auto"/>
          <w:spacing w:val="0"/>
          <w:w w:val="100"/>
          <w:kern w:val="21"/>
          <w:position w:val="0"/>
          <w:highlight w:val="none"/>
        </w:rPr>
        <w:t>的平均排放系数，t/（m</w:t>
      </w:r>
      <w:r>
        <w:rPr>
          <w:rFonts w:ascii="Times New Roman" w:hAnsi="Times New Roman" w:cs="Times New Roman"/>
          <w:bCs/>
          <w:caps w:val="0"/>
          <w:smallCaps w:val="0"/>
          <w:color w:val="auto"/>
          <w:spacing w:val="0"/>
          <w:w w:val="100"/>
          <w:kern w:val="21"/>
          <w:position w:val="0"/>
          <w:highlight w:val="none"/>
          <w:vertAlign w:val="superscript"/>
        </w:rPr>
        <w:t>2</w:t>
      </w:r>
      <w:r>
        <w:rPr>
          <w:rFonts w:ascii="Times New Roman" w:hAnsi="Times New Roman" w:cs="Times New Roman"/>
          <w:bCs/>
          <w:caps w:val="0"/>
          <w:smallCaps w:val="0"/>
          <w:color w:val="auto"/>
          <w:spacing w:val="0"/>
          <w:w w:val="100"/>
          <w:kern w:val="21"/>
          <w:position w:val="0"/>
          <w:highlight w:val="none"/>
        </w:rPr>
        <w:t>•月）。</w:t>
      </w:r>
    </w:p>
    <w:p w14:paraId="2F0C2206">
      <w:pPr>
        <w:tabs>
          <w:tab w:val="left" w:pos="5262"/>
        </w:tabs>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A</w:t>
      </w:r>
      <w:r>
        <w:rPr>
          <w:rFonts w:ascii="Times New Roman" w:hAnsi="Times New Roman" w:cs="Times New Roman"/>
          <w:bCs/>
          <w:caps w:val="0"/>
          <w:smallCaps w:val="0"/>
          <w:color w:val="auto"/>
          <w:spacing w:val="0"/>
          <w:w w:val="100"/>
          <w:kern w:val="21"/>
          <w:position w:val="0"/>
          <w:highlight w:val="none"/>
          <w:vertAlign w:val="subscript"/>
        </w:rPr>
        <w:t>C</w:t>
      </w:r>
      <w:r>
        <w:rPr>
          <w:rFonts w:ascii="Times New Roman" w:hAnsi="Times New Roman" w:cs="Times New Roman"/>
          <w:bCs/>
          <w:caps w:val="0"/>
          <w:smallCaps w:val="0"/>
          <w:color w:val="auto"/>
          <w:spacing w:val="0"/>
          <w:w w:val="100"/>
          <w:kern w:val="21"/>
          <w:position w:val="0"/>
          <w:highlight w:val="none"/>
        </w:rPr>
        <w:t>为施工区域面积，m</w:t>
      </w:r>
      <w:r>
        <w:rPr>
          <w:rFonts w:ascii="Times New Roman" w:hAnsi="Times New Roman" w:cs="Times New Roman"/>
          <w:bCs/>
          <w:caps w:val="0"/>
          <w:smallCaps w:val="0"/>
          <w:color w:val="auto"/>
          <w:spacing w:val="0"/>
          <w:w w:val="100"/>
          <w:kern w:val="21"/>
          <w:position w:val="0"/>
          <w:highlight w:val="none"/>
          <w:vertAlign w:val="superscript"/>
        </w:rPr>
        <w:t>2</w:t>
      </w:r>
      <w:r>
        <w:rPr>
          <w:rFonts w:ascii="Times New Roman" w:hAnsi="Times New Roman" w:cs="Times New Roman"/>
          <w:bCs/>
          <w:caps w:val="0"/>
          <w:smallCaps w:val="0"/>
          <w:color w:val="auto"/>
          <w:spacing w:val="0"/>
          <w:w w:val="100"/>
          <w:kern w:val="21"/>
          <w:position w:val="0"/>
          <w:highlight w:val="none"/>
        </w:rPr>
        <w:t>，本项目占地总计</w:t>
      </w:r>
      <w:r>
        <w:rPr>
          <w:rFonts w:hint="eastAsia" w:ascii="Times New Roman" w:hAnsi="Times New Roman" w:cs="Times New Roman"/>
          <w:bCs/>
          <w:caps w:val="0"/>
          <w:smallCaps w:val="0"/>
          <w:color w:val="auto"/>
          <w:spacing w:val="0"/>
          <w:w w:val="100"/>
          <w:kern w:val="21"/>
          <w:position w:val="0"/>
          <w:highlight w:val="none"/>
          <w:lang w:val="en-US" w:eastAsia="zh-CN"/>
        </w:rPr>
        <w:t>218800</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2</w:t>
      </w:r>
      <w:r>
        <w:rPr>
          <w:rFonts w:ascii="Times New Roman" w:hAnsi="Times New Roman" w:cs="Times New Roman"/>
          <w:bCs/>
          <w:caps w:val="0"/>
          <w:smallCaps w:val="0"/>
          <w:color w:val="auto"/>
          <w:spacing w:val="0"/>
          <w:w w:val="100"/>
          <w:kern w:val="21"/>
          <w:position w:val="0"/>
          <w:highlight w:val="none"/>
        </w:rPr>
        <w:t>。</w:t>
      </w:r>
    </w:p>
    <w:p w14:paraId="017D1E91">
      <w:pPr>
        <w:tabs>
          <w:tab w:val="left" w:pos="5262"/>
        </w:tabs>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T为工地的施工月份数，本项目施工期为</w:t>
      </w:r>
      <w:r>
        <w:rPr>
          <w:rFonts w:hint="eastAsia" w:ascii="Times New Roman" w:hAnsi="Times New Roman" w:cs="Times New Roman"/>
          <w:bCs/>
          <w:caps w:val="0"/>
          <w:smallCaps w:val="0"/>
          <w:color w:val="auto"/>
          <w:spacing w:val="0"/>
          <w:w w:val="100"/>
          <w:kern w:val="21"/>
          <w:position w:val="0"/>
          <w:highlight w:val="none"/>
          <w:lang w:val="en-US" w:eastAsia="zh-CN"/>
        </w:rPr>
        <w:t>2</w:t>
      </w:r>
      <w:r>
        <w:rPr>
          <w:rFonts w:ascii="Times New Roman" w:hAnsi="Times New Roman" w:cs="Times New Roman"/>
          <w:bCs/>
          <w:caps w:val="0"/>
          <w:smallCaps w:val="0"/>
          <w:color w:val="auto"/>
          <w:spacing w:val="0"/>
          <w:w w:val="100"/>
          <w:kern w:val="21"/>
          <w:position w:val="0"/>
          <w:highlight w:val="none"/>
        </w:rPr>
        <w:t>个月。</w:t>
      </w:r>
    </w:p>
    <w:p w14:paraId="425E0912">
      <w:pPr>
        <w:tabs>
          <w:tab w:val="left" w:pos="5262"/>
        </w:tabs>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η为污染控制技术对扬尘的去除效率，%，本项目施工阶段采取洒水抑尘措施，</w:t>
      </w:r>
      <w:r>
        <w:rPr>
          <w:rFonts w:ascii="Times New Roman" w:hAnsi="Times New Roman" w:cs="Times New Roman" w:eastAsiaTheme="minorEastAsia"/>
          <w:bCs/>
          <w:caps w:val="0"/>
          <w:smallCaps w:val="0"/>
          <w:color w:val="auto"/>
          <w:spacing w:val="0"/>
          <w:w w:val="100"/>
          <w:kern w:val="21"/>
          <w:position w:val="0"/>
          <w:highlight w:val="none"/>
        </w:rPr>
        <w:t>参考《扬尘源颗粒物排放清单编制技术指南（试行）》表9中的施工扬尘控制措施的控制效率，其中TSP去除效率取96%。</w:t>
      </w:r>
    </w:p>
    <w:p w14:paraId="6E195056">
      <w:pPr>
        <w:tabs>
          <w:tab w:val="left" w:pos="5262"/>
        </w:tabs>
        <w:spacing w:line="440" w:lineRule="exact"/>
        <w:ind w:firstLine="480" w:firstLineChars="200"/>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本项目在施工阶段采取分段施工，共分7段进行施工，经计算本项目施工期施工场地扬尘产生量约</w:t>
      </w:r>
      <w:r>
        <w:rPr>
          <w:rFonts w:hint="eastAsia" w:ascii="Times New Roman" w:hAnsi="Times New Roman" w:cs="Times New Roman"/>
          <w:bCs/>
          <w:caps w:val="0"/>
          <w:smallCaps w:val="0"/>
          <w:color w:val="auto"/>
          <w:spacing w:val="0"/>
          <w:w w:val="100"/>
          <w:kern w:val="21"/>
          <w:position w:val="0"/>
          <w:highlight w:val="none"/>
          <w:lang w:val="en-US" w:eastAsia="zh-CN"/>
        </w:rPr>
        <w:t>4.7</w:t>
      </w:r>
      <w:r>
        <w:rPr>
          <w:rFonts w:ascii="Times New Roman" w:hAnsi="Times New Roman" w:cs="Times New Roman"/>
          <w:bCs/>
          <w:caps w:val="0"/>
          <w:smallCaps w:val="0"/>
          <w:color w:val="auto"/>
          <w:spacing w:val="0"/>
          <w:w w:val="100"/>
          <w:kern w:val="21"/>
          <w:position w:val="0"/>
          <w:highlight w:val="none"/>
        </w:rPr>
        <w:t>t。</w:t>
      </w:r>
    </w:p>
    <w:p w14:paraId="0B36C821">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B.运输车辆产生的扬尘</w:t>
      </w:r>
    </w:p>
    <w:p w14:paraId="62700ED6">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当车辆通过干燥且路况较差路段时，在行车道两侧扬尘的 TSP 浓度短期内可达8~10mg/m</w:t>
      </w:r>
      <w:r>
        <w:rPr>
          <w:rFonts w:ascii="Times New Roman" w:hAnsi="Times New Roman" w:cs="Times New Roman" w:eastAsiaTheme="minorEastAsia"/>
          <w:caps w:val="0"/>
          <w:smallCaps w:val="0"/>
          <w:color w:val="auto"/>
          <w:spacing w:val="0"/>
          <w:w w:val="100"/>
          <w:position w:val="0"/>
          <w:highlight w:val="none"/>
          <w:vertAlign w:val="superscript"/>
          <w:lang w:val="zh-CN"/>
        </w:rPr>
        <w:t>3</w:t>
      </w:r>
      <w:r>
        <w:rPr>
          <w:rFonts w:ascii="Times New Roman" w:hAnsi="Times New Roman" w:cs="Times New Roman" w:eastAsiaTheme="minorEastAsia"/>
          <w:caps w:val="0"/>
          <w:smallCaps w:val="0"/>
          <w:color w:val="auto"/>
          <w:spacing w:val="0"/>
          <w:w w:val="100"/>
          <w:position w:val="0"/>
          <w:highlight w:val="none"/>
          <w:lang w:val="zh-CN"/>
        </w:rPr>
        <w:t>。类比大庆地区类似地面工程的起尘数据，施工场地起尘浓度约1.15mg/m</w:t>
      </w:r>
      <w:r>
        <w:rPr>
          <w:rFonts w:ascii="Times New Roman" w:hAnsi="Times New Roman" w:cs="Times New Roman" w:eastAsiaTheme="minorEastAsia"/>
          <w:caps w:val="0"/>
          <w:smallCaps w:val="0"/>
          <w:color w:val="auto"/>
          <w:spacing w:val="0"/>
          <w:w w:val="100"/>
          <w:position w:val="0"/>
          <w:highlight w:val="none"/>
          <w:vertAlign w:val="superscript"/>
          <w:lang w:val="zh-CN"/>
        </w:rPr>
        <w:t>3</w:t>
      </w:r>
      <w:r>
        <w:rPr>
          <w:rFonts w:ascii="Times New Roman" w:hAnsi="Times New Roman" w:cs="Times New Roman" w:eastAsiaTheme="minorEastAsia"/>
          <w:caps w:val="0"/>
          <w:smallCaps w:val="0"/>
          <w:color w:val="auto"/>
          <w:spacing w:val="0"/>
          <w:w w:val="100"/>
          <w:position w:val="0"/>
          <w:highlight w:val="none"/>
          <w:lang w:val="zh-CN"/>
        </w:rPr>
        <w:t>。</w:t>
      </w:r>
    </w:p>
    <w:p w14:paraId="36BADC3B">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hint="eastAsia"/>
          <w:caps w:val="0"/>
          <w:smallCaps w:val="0"/>
          <w:color w:val="auto"/>
          <w:spacing w:val="0"/>
          <w:w w:val="100"/>
          <w:position w:val="0"/>
          <w:highlight w:val="none"/>
          <w:lang w:val="zh-CN"/>
        </w:rPr>
        <w:t>②</w:t>
      </w:r>
      <w:r>
        <w:rPr>
          <w:rFonts w:ascii="Times New Roman" w:hAnsi="Times New Roman" w:cs="Times New Roman" w:eastAsiaTheme="minorEastAsia"/>
          <w:caps w:val="0"/>
          <w:smallCaps w:val="0"/>
          <w:color w:val="auto"/>
          <w:spacing w:val="0"/>
          <w:w w:val="100"/>
          <w:position w:val="0"/>
          <w:highlight w:val="none"/>
          <w:lang w:val="zh-CN"/>
        </w:rPr>
        <w:t>施工车辆排放的尾气</w:t>
      </w:r>
    </w:p>
    <w:p w14:paraId="38551374">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在工程施工期间，使用液体燃料的施工机械及运输车辆的发动机排放的尾气在含有NO</w:t>
      </w:r>
      <w:r>
        <w:rPr>
          <w:rFonts w:ascii="Times New Roman" w:hAnsi="Times New Roman" w:cs="Times New Roman" w:eastAsiaTheme="minorEastAsia"/>
          <w:caps w:val="0"/>
          <w:smallCaps w:val="0"/>
          <w:color w:val="auto"/>
          <w:spacing w:val="0"/>
          <w:w w:val="100"/>
          <w:position w:val="0"/>
          <w:highlight w:val="none"/>
          <w:vertAlign w:val="subscript"/>
          <w:lang w:val="zh-CN"/>
        </w:rPr>
        <w:t>2</w:t>
      </w:r>
      <w:r>
        <w:rPr>
          <w:rFonts w:ascii="Times New Roman" w:hAnsi="Times New Roman" w:cs="Times New Roman" w:eastAsiaTheme="minorEastAsia"/>
          <w:caps w:val="0"/>
          <w:smallCaps w:val="0"/>
          <w:color w:val="auto"/>
          <w:spacing w:val="0"/>
          <w:w w:val="100"/>
          <w:position w:val="0"/>
          <w:highlight w:val="none"/>
          <w:lang w:val="zh-CN"/>
        </w:rPr>
        <w:t>、CO、HC等污染物，一般情况下，各种污染物的排放量不大，对周围环境的影响较小。如果采用清洁燃料，</w:t>
      </w:r>
      <w:r>
        <w:rPr>
          <w:rFonts w:ascii="Times New Roman" w:hAnsi="Times New Roman" w:cs="Times New Roman" w:eastAsiaTheme="minorEastAsia"/>
          <w:caps w:val="0"/>
          <w:smallCaps w:val="0"/>
          <w:color w:val="auto"/>
          <w:spacing w:val="0"/>
          <w:w w:val="100"/>
          <w:position w:val="0"/>
          <w:highlight w:val="none"/>
        </w:rPr>
        <w:t>降低污染物排放</w:t>
      </w:r>
      <w:r>
        <w:rPr>
          <w:rFonts w:ascii="Times New Roman" w:hAnsi="Times New Roman" w:cs="Times New Roman" w:eastAsiaTheme="minorEastAsia"/>
          <w:caps w:val="0"/>
          <w:smallCaps w:val="0"/>
          <w:color w:val="auto"/>
          <w:spacing w:val="0"/>
          <w:w w:val="100"/>
          <w:position w:val="0"/>
          <w:highlight w:val="none"/>
          <w:lang w:val="zh-CN"/>
        </w:rPr>
        <w:t>，废气污染的影响基本上是可以接受的。</w:t>
      </w:r>
    </w:p>
    <w:p w14:paraId="62765525">
      <w:pPr>
        <w:widowControl w:val="0"/>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hint="eastAsia"/>
          <w:caps w:val="0"/>
          <w:smallCaps w:val="0"/>
          <w:color w:val="auto"/>
          <w:spacing w:val="0"/>
          <w:w w:val="100"/>
          <w:position w:val="0"/>
          <w:highlight w:val="none"/>
          <w:lang w:val="zh-CN"/>
        </w:rPr>
        <w:t>③</w:t>
      </w:r>
      <w:r>
        <w:rPr>
          <w:rFonts w:ascii="Times New Roman" w:hAnsi="Times New Roman" w:cs="Times New Roman" w:eastAsiaTheme="minorEastAsia"/>
          <w:caps w:val="0"/>
          <w:smallCaps w:val="0"/>
          <w:color w:val="auto"/>
          <w:spacing w:val="0"/>
          <w:w w:val="100"/>
          <w:position w:val="0"/>
          <w:highlight w:val="none"/>
          <w:lang w:val="zh-CN"/>
        </w:rPr>
        <w:t>焊接烟尘</w:t>
      </w:r>
    </w:p>
    <w:p w14:paraId="6656A062">
      <w:pPr>
        <w:widowControl w:val="0"/>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项目在管线接口处进行焊接时，采用二氧化碳气体保护焊技术，使用药芯焊丝焊接，利用二氧化碳气体作为保护气体，焊接过程中，在高温电弧作用下，焊丝端部及其母材被熔化，溶液表面剧烈喷射由药皮焊芯产生的高温高压蒸汽并向四周扩散。当蒸汽进入周围空气中时，被冷却并氧化，部分结成固体微粒，形成由气体和固体微粒组成的焊接烟尘。焊接烟尘中的主要成分是金属氧化物。</w:t>
      </w:r>
    </w:p>
    <w:p w14:paraId="1D382CC7">
      <w:pPr>
        <w:widowControl w:val="0"/>
        <w:snapToGrid w:val="0"/>
        <w:spacing w:line="440" w:lineRule="exact"/>
        <w:ind w:firstLine="480" w:firstLineChars="200"/>
        <w:jc w:val="both"/>
        <w:rPr>
          <w:rFonts w:ascii="Times New Roman" w:hAnsi="Times New Roman" w:cs="Times New Roman" w:eastAsiaTheme="minorEastAsia"/>
          <w:bCs/>
          <w:color w:val="auto"/>
          <w:highlight w:val="none"/>
        </w:rPr>
      </w:pPr>
      <w:r>
        <w:rPr>
          <w:rFonts w:ascii="Times New Roman" w:hAnsi="Times New Roman" w:cs="Times New Roman" w:eastAsiaTheme="minorEastAsia"/>
          <w:color w:val="auto"/>
          <w:highlight w:val="none"/>
          <w:lang w:val="zh-CN"/>
        </w:rPr>
        <w:t>根据《排放源统计调查产排污核算方法和系数手册》（公告2021年第24号）</w:t>
      </w:r>
      <w:r>
        <w:rPr>
          <w:rFonts w:hint="eastAsia" w:ascii="Times New Roman" w:hAnsi="Times New Roman" w:cs="Times New Roman" w:eastAsiaTheme="minorEastAsia"/>
          <w:color w:val="auto"/>
          <w:highlight w:val="none"/>
          <w:lang w:val="zh-CN"/>
        </w:rPr>
        <w:t>机械行业系数手册</w:t>
      </w:r>
      <w:r>
        <w:rPr>
          <w:rFonts w:ascii="Times New Roman" w:hAnsi="Times New Roman" w:cs="Times New Roman" w:eastAsiaTheme="minorEastAsia"/>
          <w:color w:val="auto"/>
          <w:highlight w:val="none"/>
          <w:lang w:val="zh-CN"/>
        </w:rPr>
        <w:t>09焊接中采用实芯焊丝焊接过程</w:t>
      </w:r>
      <w:r>
        <w:rPr>
          <w:rFonts w:hint="eastAsia" w:ascii="Times New Roman" w:hAnsi="Times New Roman" w:cs="Times New Roman" w:eastAsiaTheme="minorEastAsia"/>
          <w:color w:val="auto"/>
          <w:highlight w:val="none"/>
          <w:lang w:val="zh-CN"/>
        </w:rPr>
        <w:t>颗粒物</w:t>
      </w:r>
      <w:r>
        <w:rPr>
          <w:rFonts w:ascii="Times New Roman" w:hAnsi="Times New Roman" w:cs="Times New Roman" w:eastAsiaTheme="minorEastAsia"/>
          <w:color w:val="auto"/>
          <w:highlight w:val="none"/>
          <w:lang w:val="zh-CN"/>
        </w:rPr>
        <w:t>产生系数为 9.19kg/吨-原料</w:t>
      </w:r>
      <w:r>
        <w:rPr>
          <w:rFonts w:hint="eastAsia" w:ascii="Times New Roman" w:hAnsi="Times New Roman" w:cs="Times New Roman" w:eastAsiaTheme="minorEastAsia"/>
          <w:color w:val="auto"/>
          <w:highlight w:val="none"/>
          <w:lang w:val="zh-CN"/>
        </w:rPr>
        <w:t>，焊条</w:t>
      </w:r>
      <w:r>
        <w:rPr>
          <w:rFonts w:ascii="Times New Roman" w:hAnsi="Times New Roman" w:cs="Times New Roman" w:eastAsiaTheme="minorEastAsia"/>
          <w:color w:val="auto"/>
          <w:highlight w:val="none"/>
          <w:lang w:val="zh-CN"/>
        </w:rPr>
        <w:t>焊接过程</w:t>
      </w:r>
      <w:r>
        <w:rPr>
          <w:rFonts w:hint="eastAsia" w:ascii="Times New Roman" w:hAnsi="Times New Roman" w:cs="Times New Roman" w:eastAsiaTheme="minorEastAsia"/>
          <w:color w:val="auto"/>
          <w:highlight w:val="none"/>
          <w:lang w:val="zh-CN"/>
        </w:rPr>
        <w:t>颗粒物</w:t>
      </w:r>
      <w:r>
        <w:rPr>
          <w:rFonts w:ascii="Times New Roman" w:hAnsi="Times New Roman" w:cs="Times New Roman" w:eastAsiaTheme="minorEastAsia"/>
          <w:color w:val="auto"/>
          <w:highlight w:val="none"/>
          <w:lang w:val="zh-CN"/>
        </w:rPr>
        <w:t xml:space="preserve">产生系数为 </w:t>
      </w:r>
      <w:r>
        <w:rPr>
          <w:rFonts w:hint="eastAsia" w:ascii="Times New Roman" w:hAnsi="Times New Roman" w:cs="Times New Roman" w:eastAsiaTheme="minorEastAsia"/>
          <w:color w:val="auto"/>
          <w:highlight w:val="none"/>
          <w:lang w:val="zh-CN"/>
        </w:rPr>
        <w:t>20.2</w:t>
      </w:r>
      <w:r>
        <w:rPr>
          <w:rFonts w:ascii="Times New Roman" w:hAnsi="Times New Roman" w:cs="Times New Roman" w:eastAsiaTheme="minorEastAsia"/>
          <w:color w:val="auto"/>
          <w:highlight w:val="none"/>
          <w:lang w:val="zh-CN"/>
        </w:rPr>
        <w:t>kg/吨-原料</w:t>
      </w:r>
      <w:r>
        <w:rPr>
          <w:rFonts w:hint="eastAsia" w:ascii="Times New Roman" w:hAnsi="Times New Roman" w:cs="Times New Roman" w:eastAsiaTheme="minorEastAsia"/>
          <w:color w:val="auto"/>
          <w:highlight w:val="none"/>
          <w:lang w:val="zh-CN"/>
        </w:rPr>
        <w:t>，</w:t>
      </w:r>
      <w:r>
        <w:rPr>
          <w:rFonts w:ascii="Times New Roman" w:hAnsi="Times New Roman" w:cs="Times New Roman" w:eastAsiaTheme="minorEastAsia"/>
          <w:color w:val="auto"/>
          <w:highlight w:val="none"/>
          <w:lang w:val="zh-CN"/>
        </w:rPr>
        <w:t>本项目焊丝使用总量约为</w:t>
      </w:r>
      <w:r>
        <w:rPr>
          <w:rFonts w:hint="eastAsia" w:ascii="Times New Roman" w:hAnsi="Times New Roman" w:cs="Times New Roman" w:eastAsiaTheme="minorEastAsia"/>
          <w:color w:val="auto"/>
          <w:highlight w:val="none"/>
          <w:lang w:val="zh-CN"/>
        </w:rPr>
        <w:t>0.</w:t>
      </w:r>
      <w:r>
        <w:rPr>
          <w:rFonts w:hint="eastAsia" w:ascii="Times New Roman" w:hAnsi="Times New Roman" w:cs="Times New Roman" w:eastAsiaTheme="minorEastAsia"/>
          <w:color w:val="auto"/>
          <w:highlight w:val="none"/>
          <w:lang w:val="en-US" w:eastAsia="zh-CN"/>
        </w:rPr>
        <w:t>4</w:t>
      </w:r>
      <w:r>
        <w:rPr>
          <w:rFonts w:ascii="Times New Roman" w:hAnsi="Times New Roman" w:cs="Times New Roman" w:eastAsiaTheme="minorEastAsia"/>
          <w:color w:val="auto"/>
          <w:highlight w:val="none"/>
          <w:lang w:val="zh-CN"/>
        </w:rPr>
        <w:t>t，焊</w:t>
      </w:r>
      <w:r>
        <w:rPr>
          <w:rFonts w:hint="eastAsia" w:ascii="Times New Roman" w:hAnsi="Times New Roman" w:cs="Times New Roman" w:eastAsiaTheme="minorEastAsia"/>
          <w:color w:val="auto"/>
          <w:highlight w:val="none"/>
          <w:lang w:val="zh-CN"/>
        </w:rPr>
        <w:t>条</w:t>
      </w:r>
      <w:r>
        <w:rPr>
          <w:rFonts w:ascii="Times New Roman" w:hAnsi="Times New Roman" w:cs="Times New Roman" w:eastAsiaTheme="minorEastAsia"/>
          <w:color w:val="auto"/>
          <w:highlight w:val="none"/>
          <w:lang w:val="zh-CN"/>
        </w:rPr>
        <w:t>使用总量约为</w:t>
      </w:r>
      <w:r>
        <w:rPr>
          <w:rFonts w:hint="eastAsia" w:ascii="Times New Roman" w:hAnsi="Times New Roman" w:cs="Times New Roman" w:eastAsiaTheme="minorEastAsia"/>
          <w:color w:val="auto"/>
          <w:highlight w:val="none"/>
          <w:lang w:val="zh-CN"/>
        </w:rPr>
        <w:t>0.</w:t>
      </w:r>
      <w:r>
        <w:rPr>
          <w:rFonts w:hint="eastAsia" w:ascii="Times New Roman" w:hAnsi="Times New Roman" w:cs="Times New Roman" w:eastAsiaTheme="minorEastAsia"/>
          <w:color w:val="auto"/>
          <w:highlight w:val="none"/>
          <w:lang w:val="en-US" w:eastAsia="zh-CN"/>
        </w:rPr>
        <w:t>8</w:t>
      </w:r>
      <w:r>
        <w:rPr>
          <w:rFonts w:ascii="Times New Roman" w:hAnsi="Times New Roman" w:cs="Times New Roman" w:eastAsiaTheme="minorEastAsia"/>
          <w:color w:val="auto"/>
          <w:highlight w:val="none"/>
          <w:lang w:val="zh-CN"/>
        </w:rPr>
        <w:t>t，本项目管道焊接施工过程中</w:t>
      </w:r>
      <w:r>
        <w:rPr>
          <w:rFonts w:hint="eastAsia" w:ascii="Times New Roman" w:hAnsi="Times New Roman" w:cs="Times New Roman" w:eastAsiaTheme="minorEastAsia"/>
          <w:color w:val="auto"/>
          <w:highlight w:val="none"/>
          <w:lang w:val="zh-CN"/>
        </w:rPr>
        <w:t>颗粒物</w:t>
      </w:r>
      <w:r>
        <w:rPr>
          <w:rFonts w:ascii="Times New Roman" w:hAnsi="Times New Roman" w:cs="Times New Roman" w:eastAsiaTheme="minorEastAsia"/>
          <w:color w:val="auto"/>
          <w:highlight w:val="none"/>
          <w:lang w:val="zh-CN"/>
        </w:rPr>
        <w:t>产生量为0.0</w:t>
      </w:r>
      <w:r>
        <w:rPr>
          <w:rFonts w:hint="eastAsia" w:ascii="Times New Roman" w:hAnsi="Times New Roman" w:cs="Times New Roman" w:eastAsiaTheme="minorEastAsia"/>
          <w:color w:val="auto"/>
          <w:highlight w:val="none"/>
          <w:lang w:val="en-US" w:eastAsia="zh-CN"/>
        </w:rPr>
        <w:t>2</w:t>
      </w:r>
      <w:r>
        <w:rPr>
          <w:rFonts w:ascii="Times New Roman" w:hAnsi="Times New Roman" w:cs="Times New Roman" w:eastAsiaTheme="minorEastAsia"/>
          <w:color w:val="auto"/>
          <w:highlight w:val="none"/>
          <w:lang w:val="zh-CN"/>
        </w:rPr>
        <w:t>t。</w:t>
      </w:r>
    </w:p>
    <w:p w14:paraId="4B4AA639">
      <w:pPr>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（2）废水</w:t>
      </w:r>
    </w:p>
    <w:p w14:paraId="508A528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bookmarkStart w:id="558" w:name="_Toc11047874"/>
      <w:r>
        <w:rPr>
          <w:rFonts w:hint="eastAsia"/>
          <w:caps w:val="0"/>
          <w:smallCaps w:val="0"/>
          <w:color w:val="auto"/>
          <w:spacing w:val="0"/>
          <w:w w:val="100"/>
          <w:kern w:val="2"/>
          <w:position w:val="0"/>
          <w:highlight w:val="none"/>
        </w:rPr>
        <w:t>①新建</w:t>
      </w:r>
      <w:r>
        <w:rPr>
          <w:rFonts w:ascii="Times New Roman" w:hAnsi="Times New Roman" w:cs="Times New Roman"/>
          <w:caps w:val="0"/>
          <w:smallCaps w:val="0"/>
          <w:color w:val="auto"/>
          <w:spacing w:val="0"/>
          <w:w w:val="100"/>
          <w:kern w:val="2"/>
          <w:position w:val="0"/>
          <w:highlight w:val="none"/>
        </w:rPr>
        <w:t>管线</w:t>
      </w:r>
      <w:r>
        <w:rPr>
          <w:rFonts w:ascii="Times New Roman" w:hAnsi="Times New Roman" w:cs="Times New Roman" w:eastAsiaTheme="minorEastAsia"/>
          <w:caps w:val="0"/>
          <w:smallCaps w:val="0"/>
          <w:color w:val="auto"/>
          <w:spacing w:val="0"/>
          <w:w w:val="100"/>
          <w:kern w:val="2"/>
          <w:position w:val="0"/>
          <w:highlight w:val="none"/>
        </w:rPr>
        <w:t>试压废水</w:t>
      </w:r>
    </w:p>
    <w:p w14:paraId="63CB53FA">
      <w:pPr>
        <w:widowControl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本工程新建管线采取清水试压的方式，试压用水量以管道容积 V=πr</w:t>
      </w:r>
      <w:r>
        <w:rPr>
          <w:rFonts w:ascii="Times New Roman" w:hAnsi="Times New Roman" w:cs="Times New Roman"/>
          <w:bCs/>
          <w:caps w:val="0"/>
          <w:smallCaps w:val="0"/>
          <w:color w:val="auto"/>
          <w:spacing w:val="0"/>
          <w:w w:val="100"/>
          <w:position w:val="0"/>
          <w:highlight w:val="none"/>
          <w:vertAlign w:val="superscript"/>
        </w:rPr>
        <w:t>2</w:t>
      </w:r>
      <w:r>
        <w:rPr>
          <w:rFonts w:ascii="Times New Roman" w:hAnsi="Times New Roman" w:cs="Times New Roman"/>
          <w:bCs/>
          <w:caps w:val="0"/>
          <w:smallCaps w:val="0"/>
          <w:color w:val="auto"/>
          <w:spacing w:val="0"/>
          <w:w w:val="100"/>
          <w:position w:val="0"/>
          <w:highlight w:val="none"/>
        </w:rPr>
        <w:t>L计，本项目新建管线</w:t>
      </w:r>
      <w:r>
        <w:rPr>
          <w:rFonts w:ascii="Times New Roman" w:hAnsi="Times New Roman" w:cs="Times New Roman"/>
          <w:bCs/>
          <w:caps w:val="0"/>
          <w:smallCaps w:val="0"/>
          <w:color w:val="auto"/>
          <w:spacing w:val="0"/>
          <w:w w:val="100"/>
          <w:kern w:val="21"/>
          <w:position w:val="0"/>
          <w:highlight w:val="none"/>
        </w:rPr>
        <w:t>Φ114×4.5~</w:t>
      </w:r>
      <w:r>
        <w:rPr>
          <w:rFonts w:hint="eastAsia" w:ascii="Times New Roman" w:hAnsi="Times New Roman" w:cs="Times New Roman"/>
          <w:bCs/>
          <w:caps w:val="0"/>
          <w:smallCaps w:val="0"/>
          <w:color w:val="auto"/>
          <w:spacing w:val="0"/>
          <w:w w:val="100"/>
          <w:kern w:val="21"/>
          <w:position w:val="0"/>
          <w:highlight w:val="none"/>
          <w:lang w:val="en-US" w:eastAsia="zh-CN"/>
        </w:rPr>
        <w:t>8.29</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60</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3.81</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76</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4.02</w:t>
      </w:r>
      <w:r>
        <w:rPr>
          <w:rFonts w:ascii="Times New Roman" w:hAnsi="Times New Roman" w:cs="Times New Roman"/>
          <w:bCs/>
          <w:caps w:val="0"/>
          <w:smallCaps w:val="0"/>
          <w:color w:val="auto"/>
          <w:spacing w:val="0"/>
          <w:w w:val="100"/>
          <w:kern w:val="21"/>
          <w:position w:val="0"/>
          <w:highlight w:val="none"/>
        </w:rPr>
        <w:t>km</w:t>
      </w:r>
      <w:r>
        <w:rPr>
          <w:rFonts w:ascii="Times New Roman" w:hAnsi="Times New Roman" w:cs="Times New Roman"/>
          <w:bCs/>
          <w:caps w:val="0"/>
          <w:smallCaps w:val="0"/>
          <w:color w:val="auto"/>
          <w:spacing w:val="0"/>
          <w:w w:val="100"/>
          <w:position w:val="0"/>
          <w:highlight w:val="none"/>
        </w:rPr>
        <w:t>，则管线试压用水总量为</w:t>
      </w:r>
      <w:r>
        <w:rPr>
          <w:rFonts w:hint="eastAsia" w:ascii="Times New Roman" w:hAnsi="Times New Roman" w:cs="Times New Roman"/>
          <w:bCs/>
          <w:caps w:val="0"/>
          <w:smallCaps w:val="0"/>
          <w:color w:val="auto"/>
          <w:spacing w:val="0"/>
          <w:w w:val="100"/>
          <w:position w:val="0"/>
          <w:highlight w:val="none"/>
          <w:lang w:val="en-US" w:eastAsia="zh-CN"/>
        </w:rPr>
        <w:t>95.6</w:t>
      </w:r>
      <w:r>
        <w:rPr>
          <w:rFonts w:ascii="Times New Roman" w:hAnsi="Times New Roman" w:cs="Times New Roman"/>
          <w:bCs/>
          <w:caps w:val="0"/>
          <w:smallCaps w:val="0"/>
          <w:color w:val="auto"/>
          <w:spacing w:val="0"/>
          <w:w w:val="100"/>
          <w:position w:val="0"/>
          <w:highlight w:val="none"/>
        </w:rPr>
        <w:t>m</w:t>
      </w:r>
      <w:r>
        <w:rPr>
          <w:rFonts w:ascii="Times New Roman" w:hAnsi="Times New Roman" w:cs="Times New Roman"/>
          <w:bCs/>
          <w:caps w:val="0"/>
          <w:smallCaps w:val="0"/>
          <w:color w:val="auto"/>
          <w:spacing w:val="0"/>
          <w:w w:val="100"/>
          <w:position w:val="0"/>
          <w:highlight w:val="none"/>
          <w:vertAlign w:val="superscript"/>
        </w:rPr>
        <w:t>3</w:t>
      </w:r>
      <w:r>
        <w:rPr>
          <w:rFonts w:ascii="Times New Roman" w:hAnsi="Times New Roman" w:cs="Times New Roman"/>
          <w:bCs/>
          <w:caps w:val="0"/>
          <w:smallCaps w:val="0"/>
          <w:color w:val="auto"/>
          <w:spacing w:val="0"/>
          <w:w w:val="100"/>
          <w:position w:val="0"/>
          <w:highlight w:val="none"/>
        </w:rPr>
        <w:t>，试压废水按用水量的95%计算，试压废水产生量为</w:t>
      </w:r>
      <w:r>
        <w:rPr>
          <w:rFonts w:hint="eastAsia" w:ascii="Times New Roman" w:hAnsi="Times New Roman" w:cs="Times New Roman"/>
          <w:bCs/>
          <w:caps w:val="0"/>
          <w:smallCaps w:val="0"/>
          <w:color w:val="auto"/>
          <w:spacing w:val="0"/>
          <w:w w:val="100"/>
          <w:position w:val="0"/>
          <w:highlight w:val="none"/>
          <w:lang w:val="en-US" w:eastAsia="zh-CN"/>
        </w:rPr>
        <w:t>90.8</w:t>
      </w:r>
      <w:r>
        <w:rPr>
          <w:rFonts w:ascii="Times New Roman" w:hAnsi="Times New Roman" w:cs="Times New Roman"/>
          <w:bCs/>
          <w:caps w:val="0"/>
          <w:smallCaps w:val="0"/>
          <w:color w:val="auto"/>
          <w:spacing w:val="0"/>
          <w:w w:val="100"/>
          <w:position w:val="0"/>
          <w:highlight w:val="none"/>
        </w:rPr>
        <w:t>m</w:t>
      </w:r>
      <w:r>
        <w:rPr>
          <w:rFonts w:ascii="Times New Roman" w:hAnsi="Times New Roman" w:cs="Times New Roman"/>
          <w:bCs/>
          <w:caps w:val="0"/>
          <w:smallCaps w:val="0"/>
          <w:color w:val="auto"/>
          <w:spacing w:val="0"/>
          <w:w w:val="100"/>
          <w:position w:val="0"/>
          <w:highlight w:val="none"/>
          <w:vertAlign w:val="superscript"/>
        </w:rPr>
        <w:t>3</w:t>
      </w:r>
      <w:r>
        <w:rPr>
          <w:rFonts w:ascii="Times New Roman" w:hAnsi="Times New Roman" w:cs="Times New Roman"/>
          <w:bCs/>
          <w:caps w:val="0"/>
          <w:smallCaps w:val="0"/>
          <w:color w:val="auto"/>
          <w:spacing w:val="0"/>
          <w:w w:val="100"/>
          <w:position w:val="0"/>
          <w:highlight w:val="none"/>
        </w:rPr>
        <w:t>。管线试压废水</w:t>
      </w:r>
      <w:r>
        <w:rPr>
          <w:rFonts w:ascii="Times New Roman" w:hAnsi="Times New Roman" w:cs="Times New Roman"/>
          <w:bCs/>
          <w:caps w:val="0"/>
          <w:smallCaps w:val="0"/>
          <w:color w:val="auto"/>
          <w:spacing w:val="0"/>
          <w:w w:val="100"/>
          <w:position w:val="0"/>
          <w:highlight w:val="none"/>
        </w:rPr>
        <w:t>由罐车拉运至</w:t>
      </w:r>
      <w:r>
        <w:rPr>
          <w:rFonts w:hint="eastAsia" w:ascii="Times New Roman" w:hAnsi="Times New Roman" w:cs="Times New Roman"/>
          <w:bCs/>
          <w:caps w:val="0"/>
          <w:smallCaps w:val="0"/>
          <w:color w:val="auto"/>
          <w:spacing w:val="0"/>
          <w:w w:val="100"/>
          <w:position w:val="0"/>
          <w:highlight w:val="none"/>
          <w:lang w:eastAsia="zh-CN"/>
        </w:rPr>
        <w:t>卫一联含油污水深度处理站</w:t>
      </w:r>
      <w:r>
        <w:rPr>
          <w:rFonts w:ascii="Times New Roman" w:hAnsi="Times New Roman" w:cs="Times New Roman"/>
          <w:bCs/>
          <w:caps w:val="0"/>
          <w:smallCaps w:val="0"/>
          <w:color w:val="auto"/>
          <w:spacing w:val="0"/>
          <w:w w:val="100"/>
          <w:position w:val="0"/>
          <w:highlight w:val="none"/>
        </w:rPr>
        <w:t>处理满足《大庆油田地面工程建设设计规定》（Q/SYDQ0639-2015）及《碎屑岩油藏注水水质指标技术要求及分析方法》（SY/T5329-2022）限值要求后回注油层，不外排。</w:t>
      </w:r>
    </w:p>
    <w:p w14:paraId="77C89B72">
      <w:pPr>
        <w:widowControl w:val="0"/>
        <w:spacing w:line="440" w:lineRule="exact"/>
        <w:ind w:firstLine="480" w:firstLineChars="200"/>
        <w:jc w:val="both"/>
        <w:rPr>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②</w:t>
      </w:r>
      <w:r>
        <w:rPr>
          <w:rFonts w:hint="eastAsia"/>
          <w:caps w:val="0"/>
          <w:smallCaps w:val="0"/>
          <w:color w:val="auto"/>
          <w:spacing w:val="0"/>
          <w:w w:val="100"/>
          <w:kern w:val="2"/>
          <w:position w:val="0"/>
          <w:highlight w:val="none"/>
          <w:lang w:val="en-US" w:eastAsia="zh-CN"/>
        </w:rPr>
        <w:t>废弃</w:t>
      </w:r>
      <w:r>
        <w:rPr>
          <w:rFonts w:hint="eastAsia"/>
          <w:caps w:val="0"/>
          <w:smallCaps w:val="0"/>
          <w:color w:val="auto"/>
          <w:spacing w:val="0"/>
          <w:w w:val="100"/>
          <w:kern w:val="2"/>
          <w:position w:val="0"/>
          <w:highlight w:val="none"/>
        </w:rPr>
        <w:t>管线清洗废水</w:t>
      </w:r>
    </w:p>
    <w:p w14:paraId="177B813A">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kern w:val="21"/>
          <w:position w:val="0"/>
          <w:highlight w:val="none"/>
        </w:rPr>
        <w:t>本项目对现有</w:t>
      </w:r>
      <w:r>
        <w:rPr>
          <w:rFonts w:hint="eastAsia" w:ascii="Times New Roman" w:hAnsi="Times New Roman" w:cs="Times New Roman"/>
          <w:caps w:val="0"/>
          <w:smallCaps w:val="0"/>
          <w:color w:val="auto"/>
          <w:spacing w:val="0"/>
          <w:w w:val="100"/>
          <w:kern w:val="21"/>
          <w:position w:val="0"/>
          <w:highlight w:val="none"/>
        </w:rPr>
        <w:t>管道</w:t>
      </w:r>
      <w:r>
        <w:rPr>
          <w:rFonts w:ascii="Times New Roman" w:hAnsi="Times New Roman" w:cs="Times New Roman"/>
          <w:caps w:val="0"/>
          <w:smallCaps w:val="0"/>
          <w:color w:val="auto"/>
          <w:spacing w:val="0"/>
          <w:w w:val="100"/>
          <w:kern w:val="21"/>
          <w:position w:val="0"/>
          <w:highlight w:val="none"/>
        </w:rPr>
        <w:t>进行全管段清洗，清洗用水</w:t>
      </w:r>
      <w:r>
        <w:rPr>
          <w:rFonts w:hint="eastAsia" w:ascii="Times New Roman" w:hAnsi="Times New Roman" w:cs="Times New Roman"/>
          <w:bCs/>
          <w:caps w:val="0"/>
          <w:smallCaps w:val="0"/>
          <w:color w:val="auto"/>
          <w:spacing w:val="0"/>
          <w:w w:val="100"/>
          <w:kern w:val="21"/>
          <w:position w:val="0"/>
          <w:highlight w:val="none"/>
        </w:rPr>
        <w:t>量以管道容积</w:t>
      </w:r>
      <w:r>
        <w:rPr>
          <w:rFonts w:ascii="Times New Roman" w:hAnsi="Times New Roman" w:cs="Times New Roman"/>
          <w:bCs/>
          <w:caps w:val="0"/>
          <w:smallCaps w:val="0"/>
          <w:color w:val="auto"/>
          <w:spacing w:val="0"/>
          <w:w w:val="100"/>
          <w:kern w:val="21"/>
          <w:position w:val="0"/>
          <w:highlight w:val="none"/>
        </w:rPr>
        <w:t>V=πr</w:t>
      </w:r>
      <w:r>
        <w:rPr>
          <w:rFonts w:ascii="Times New Roman" w:hAnsi="Times New Roman" w:cs="Times New Roman"/>
          <w:bCs/>
          <w:caps w:val="0"/>
          <w:smallCaps w:val="0"/>
          <w:color w:val="auto"/>
          <w:spacing w:val="0"/>
          <w:w w:val="100"/>
          <w:kern w:val="21"/>
          <w:position w:val="0"/>
          <w:highlight w:val="none"/>
          <w:vertAlign w:val="superscript"/>
        </w:rPr>
        <w:t>2</w:t>
      </w:r>
      <w:r>
        <w:rPr>
          <w:rFonts w:ascii="Times New Roman" w:hAnsi="Times New Roman" w:cs="Times New Roman"/>
          <w:bCs/>
          <w:caps w:val="0"/>
          <w:smallCaps w:val="0"/>
          <w:color w:val="auto"/>
          <w:spacing w:val="0"/>
          <w:w w:val="100"/>
          <w:kern w:val="21"/>
          <w:position w:val="0"/>
          <w:highlight w:val="none"/>
        </w:rPr>
        <w:t>L的3倍计，现有位于两个截断阀之间的</w:t>
      </w:r>
      <w:r>
        <w:rPr>
          <w:rFonts w:hint="eastAsia" w:ascii="Times New Roman" w:hAnsi="Times New Roman" w:cs="Times New Roman"/>
          <w:bCs/>
          <w:caps w:val="0"/>
          <w:smallCaps w:val="0"/>
          <w:color w:val="auto"/>
          <w:spacing w:val="0"/>
          <w:w w:val="100"/>
          <w:kern w:val="21"/>
          <w:position w:val="0"/>
          <w:highlight w:val="none"/>
        </w:rPr>
        <w:t>现有</w:t>
      </w:r>
      <w:r>
        <w:rPr>
          <w:rFonts w:ascii="Times New Roman" w:hAnsi="Times New Roman" w:cs="Times New Roman"/>
          <w:bCs/>
          <w:caps w:val="0"/>
          <w:smallCaps w:val="0"/>
          <w:color w:val="auto"/>
          <w:spacing w:val="0"/>
          <w:w w:val="100"/>
          <w:kern w:val="21"/>
          <w:position w:val="0"/>
          <w:highlight w:val="none"/>
        </w:rPr>
        <w:t>管道规格包括Φ114×4.5~</w:t>
      </w:r>
      <w:r>
        <w:rPr>
          <w:rFonts w:hint="eastAsia" w:ascii="Times New Roman" w:hAnsi="Times New Roman" w:cs="Times New Roman"/>
          <w:bCs/>
          <w:caps w:val="0"/>
          <w:smallCaps w:val="0"/>
          <w:color w:val="auto"/>
          <w:spacing w:val="0"/>
          <w:w w:val="100"/>
          <w:kern w:val="21"/>
          <w:position w:val="0"/>
          <w:highlight w:val="none"/>
          <w:lang w:val="en-US" w:eastAsia="zh-CN"/>
        </w:rPr>
        <w:t>8.29</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60</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3.81</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76</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4.02</w:t>
      </w:r>
      <w:r>
        <w:rPr>
          <w:rFonts w:ascii="Times New Roman" w:hAnsi="Times New Roman" w:cs="Times New Roman"/>
          <w:bCs/>
          <w:caps w:val="0"/>
          <w:smallCaps w:val="0"/>
          <w:color w:val="auto"/>
          <w:spacing w:val="0"/>
          <w:w w:val="100"/>
          <w:kern w:val="21"/>
          <w:position w:val="0"/>
          <w:highlight w:val="none"/>
        </w:rPr>
        <w:t>km，则管道清洗用水量合计</w:t>
      </w:r>
      <w:r>
        <w:rPr>
          <w:rFonts w:hint="eastAsia" w:ascii="Times New Roman" w:hAnsi="Times New Roman" w:cs="Times New Roman"/>
          <w:bCs/>
          <w:caps w:val="0"/>
          <w:smallCaps w:val="0"/>
          <w:color w:val="auto"/>
          <w:spacing w:val="0"/>
          <w:w w:val="100"/>
          <w:kern w:val="21"/>
          <w:position w:val="0"/>
          <w:highlight w:val="none"/>
          <w:lang w:val="en-US" w:eastAsia="zh-CN"/>
        </w:rPr>
        <w:t>286.7</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3</w:t>
      </w:r>
      <w:r>
        <w:rPr>
          <w:rFonts w:hint="eastAsia" w:ascii="Times New Roman" w:hAnsi="Times New Roman" w:cs="Times New Roman"/>
          <w:bCs/>
          <w:caps w:val="0"/>
          <w:smallCaps w:val="0"/>
          <w:color w:val="auto"/>
          <w:spacing w:val="0"/>
          <w:w w:val="100"/>
          <w:kern w:val="21"/>
          <w:position w:val="0"/>
          <w:highlight w:val="none"/>
        </w:rPr>
        <w:t>，</w:t>
      </w:r>
      <w:r>
        <w:rPr>
          <w:rFonts w:ascii="Times New Roman" w:hAnsi="Times New Roman" w:cs="Times New Roman"/>
          <w:bCs/>
          <w:caps w:val="0"/>
          <w:smallCaps w:val="0"/>
          <w:color w:val="auto"/>
          <w:spacing w:val="0"/>
          <w:w w:val="100"/>
          <w:kern w:val="21"/>
          <w:position w:val="0"/>
          <w:highlight w:val="none"/>
        </w:rPr>
        <w:t>清洗废水按用水量的95%计算，</w:t>
      </w:r>
      <w:r>
        <w:rPr>
          <w:rFonts w:hint="eastAsia" w:ascii="Times New Roman" w:hAnsi="Times New Roman" w:cs="Times New Roman"/>
          <w:bCs/>
          <w:caps w:val="0"/>
          <w:smallCaps w:val="0"/>
          <w:color w:val="auto"/>
          <w:spacing w:val="0"/>
          <w:w w:val="100"/>
          <w:kern w:val="21"/>
          <w:position w:val="0"/>
          <w:highlight w:val="none"/>
        </w:rPr>
        <w:t>则项目</w:t>
      </w:r>
      <w:r>
        <w:rPr>
          <w:rFonts w:hint="eastAsia"/>
          <w:caps w:val="0"/>
          <w:smallCaps w:val="0"/>
          <w:color w:val="auto"/>
          <w:spacing w:val="0"/>
          <w:w w:val="100"/>
          <w:kern w:val="2"/>
          <w:position w:val="0"/>
          <w:highlight w:val="none"/>
          <w:lang w:val="en-US" w:eastAsia="zh-CN"/>
        </w:rPr>
        <w:t>废弃</w:t>
      </w:r>
      <w:r>
        <w:rPr>
          <w:rFonts w:hint="eastAsia" w:ascii="Times New Roman" w:hAnsi="Times New Roman" w:cs="Times New Roman"/>
          <w:bCs/>
          <w:caps w:val="0"/>
          <w:smallCaps w:val="0"/>
          <w:color w:val="auto"/>
          <w:spacing w:val="0"/>
          <w:w w:val="100"/>
          <w:kern w:val="21"/>
          <w:position w:val="0"/>
          <w:highlight w:val="none"/>
        </w:rPr>
        <w:t>管线清洗废水产生量为</w:t>
      </w:r>
      <w:r>
        <w:rPr>
          <w:rFonts w:hint="eastAsia" w:ascii="Times New Roman" w:hAnsi="Times New Roman" w:cs="Times New Roman"/>
          <w:bCs/>
          <w:caps w:val="0"/>
          <w:smallCaps w:val="0"/>
          <w:color w:val="auto"/>
          <w:spacing w:val="0"/>
          <w:w w:val="100"/>
          <w:kern w:val="21"/>
          <w:position w:val="0"/>
          <w:highlight w:val="none"/>
          <w:lang w:val="en-US" w:eastAsia="zh-CN"/>
        </w:rPr>
        <w:t>281.9</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3</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caps w:val="0"/>
          <w:smallCaps w:val="0"/>
          <w:color w:val="auto"/>
          <w:spacing w:val="0"/>
          <w:w w:val="100"/>
          <w:kern w:val="21"/>
          <w:position w:val="0"/>
          <w:highlight w:val="none"/>
        </w:rPr>
        <w:t>清洗废水由罐车拉运至</w:t>
      </w:r>
      <w:r>
        <w:rPr>
          <w:rFonts w:hint="eastAsia" w:ascii="Times New Roman" w:hAnsi="Times New Roman" w:cs="Times New Roman"/>
          <w:caps w:val="0"/>
          <w:smallCaps w:val="0"/>
          <w:color w:val="auto"/>
          <w:spacing w:val="0"/>
          <w:w w:val="100"/>
          <w:kern w:val="21"/>
          <w:position w:val="0"/>
          <w:highlight w:val="none"/>
          <w:lang w:eastAsia="zh-CN"/>
        </w:rPr>
        <w:t>卫一联含油污水深度处理站</w:t>
      </w:r>
      <w:r>
        <w:rPr>
          <w:rFonts w:hint="eastAsia" w:ascii="Times New Roman" w:hAnsi="Times New Roman" w:cs="Times New Roman"/>
          <w:caps w:val="0"/>
          <w:smallCaps w:val="0"/>
          <w:color w:val="auto"/>
          <w:spacing w:val="0"/>
          <w:w w:val="100"/>
          <w:kern w:val="21"/>
          <w:position w:val="0"/>
          <w:highlight w:val="none"/>
        </w:rPr>
        <w:t>处理满足《大庆油田地面工程</w:t>
      </w:r>
      <w:r>
        <w:rPr>
          <w:rFonts w:ascii="Times New Roman" w:hAnsi="Times New Roman" w:cs="Times New Roman"/>
          <w:bCs/>
          <w:caps w:val="0"/>
          <w:smallCaps w:val="0"/>
          <w:color w:val="auto"/>
          <w:spacing w:val="0"/>
          <w:w w:val="100"/>
          <w:kern w:val="21"/>
          <w:position w:val="0"/>
          <w:highlight w:val="none"/>
        </w:rPr>
        <w:t>建设设计规定》（Q/SYDQ0639-2015）及《碎屑岩油藏注水水质指标技术要求及分析方法》（SY/T5329-2022）限值要求后回注油层，不外排。</w:t>
      </w:r>
    </w:p>
    <w:p w14:paraId="02DF6D1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③</w:t>
      </w:r>
      <w:r>
        <w:rPr>
          <w:rFonts w:ascii="Times New Roman" w:hAnsi="Times New Roman" w:cs="Times New Roman" w:eastAsiaTheme="minorEastAsia"/>
          <w:caps w:val="0"/>
          <w:smallCaps w:val="0"/>
          <w:color w:val="auto"/>
          <w:spacing w:val="0"/>
          <w:w w:val="100"/>
          <w:kern w:val="2"/>
          <w:position w:val="0"/>
          <w:highlight w:val="none"/>
        </w:rPr>
        <w:t>生活污水</w:t>
      </w:r>
    </w:p>
    <w:p w14:paraId="488E0548">
      <w:pPr>
        <w:snapToGrid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项目生活用水采用桶装水，</w:t>
      </w:r>
      <w:r>
        <w:rPr>
          <w:rFonts w:ascii="Times New Roman" w:hAnsi="Times New Roman" w:cs="Times New Roman" w:eastAsiaTheme="minorEastAsia"/>
          <w:bCs/>
          <w:caps w:val="0"/>
          <w:smallCaps w:val="0"/>
          <w:color w:val="auto"/>
          <w:spacing w:val="0"/>
          <w:w w:val="100"/>
          <w:kern w:val="21"/>
          <w:position w:val="0"/>
          <w:highlight w:val="none"/>
        </w:rPr>
        <w:t>本项目施工约</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6</w:t>
      </w:r>
      <w:r>
        <w:rPr>
          <w:rFonts w:ascii="Times New Roman" w:hAnsi="Times New Roman" w:cs="Times New Roman" w:eastAsiaTheme="minorEastAsia"/>
          <w:bCs/>
          <w:caps w:val="0"/>
          <w:smallCaps w:val="0"/>
          <w:color w:val="auto"/>
          <w:spacing w:val="0"/>
          <w:w w:val="100"/>
          <w:kern w:val="21"/>
          <w:position w:val="0"/>
          <w:highlight w:val="none"/>
        </w:rPr>
        <w:t>0d，施工人数30人</w:t>
      </w:r>
      <w:r>
        <w:rPr>
          <w:rFonts w:ascii="Times New Roman" w:hAnsi="Times New Roman" w:cs="Times New Roman" w:eastAsiaTheme="minorEastAsia"/>
          <w:caps w:val="0"/>
          <w:smallCaps w:val="0"/>
          <w:color w:val="auto"/>
          <w:spacing w:val="0"/>
          <w:w w:val="100"/>
          <w:kern w:val="21"/>
          <w:position w:val="0"/>
          <w:highlight w:val="none"/>
        </w:rPr>
        <w:t>。根据黑龙江省地方标准《用水定额》（DB23/T727-2025），施工期生活用水量每人80L/d，生活用水量共计</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144</w:t>
      </w:r>
      <w:r>
        <w:rPr>
          <w:rFonts w:ascii="Times New Roman" w:hAnsi="Times New Roman" w:cs="Times New Roman" w:eastAsiaTheme="minorEastAsia"/>
          <w:caps w:val="0"/>
          <w:smallCaps w:val="0"/>
          <w:color w:val="auto"/>
          <w:spacing w:val="0"/>
          <w:w w:val="100"/>
          <w:kern w:val="21"/>
          <w:position w:val="0"/>
          <w:highlight w:val="none"/>
        </w:rPr>
        <w:t>m</w:t>
      </w:r>
      <w:r>
        <w:rPr>
          <w:rFonts w:ascii="Times New Roman" w:hAnsi="Times New Roman" w:cs="Times New Roman" w:eastAsiaTheme="minorEastAsia"/>
          <w:caps w:val="0"/>
          <w:smallCaps w:val="0"/>
          <w:color w:val="auto"/>
          <w:spacing w:val="0"/>
          <w:w w:val="100"/>
          <w:kern w:val="21"/>
          <w:position w:val="0"/>
          <w:highlight w:val="none"/>
          <w:vertAlign w:val="superscript"/>
        </w:rPr>
        <w:t>3</w:t>
      </w:r>
      <w:r>
        <w:rPr>
          <w:rFonts w:ascii="Times New Roman" w:hAnsi="Times New Roman" w:cs="Times New Roman" w:eastAsiaTheme="minorEastAsia"/>
          <w:caps w:val="0"/>
          <w:smallCaps w:val="0"/>
          <w:color w:val="auto"/>
          <w:spacing w:val="0"/>
          <w:w w:val="100"/>
          <w:kern w:val="21"/>
          <w:position w:val="0"/>
          <w:highlight w:val="none"/>
        </w:rPr>
        <w:t>。生活污水产生量按生活用水的80%计算，则生活污水产生量为</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115.2</w:t>
      </w:r>
      <w:r>
        <w:rPr>
          <w:rFonts w:ascii="Times New Roman" w:hAnsi="Times New Roman" w:cs="Times New Roman" w:eastAsiaTheme="minorEastAsia"/>
          <w:caps w:val="0"/>
          <w:smallCaps w:val="0"/>
          <w:color w:val="auto"/>
          <w:spacing w:val="0"/>
          <w:w w:val="100"/>
          <w:kern w:val="21"/>
          <w:position w:val="0"/>
          <w:highlight w:val="none"/>
        </w:rPr>
        <w:t>m</w:t>
      </w:r>
      <w:r>
        <w:rPr>
          <w:rFonts w:ascii="Times New Roman" w:hAnsi="Times New Roman" w:cs="Times New Roman" w:eastAsiaTheme="minorEastAsia"/>
          <w:caps w:val="0"/>
          <w:smallCaps w:val="0"/>
          <w:color w:val="auto"/>
          <w:spacing w:val="0"/>
          <w:w w:val="100"/>
          <w:kern w:val="21"/>
          <w:position w:val="0"/>
          <w:highlight w:val="none"/>
          <w:vertAlign w:val="superscript"/>
        </w:rPr>
        <w:t>3</w:t>
      </w:r>
      <w:r>
        <w:rPr>
          <w:rFonts w:ascii="Times New Roman" w:hAnsi="Times New Roman" w:cs="Times New Roman" w:eastAsiaTheme="minorEastAsia"/>
          <w:caps w:val="0"/>
          <w:smallCaps w:val="0"/>
          <w:color w:val="auto"/>
          <w:spacing w:val="0"/>
          <w:w w:val="100"/>
          <w:kern w:val="21"/>
          <w:position w:val="0"/>
          <w:highlight w:val="none"/>
        </w:rPr>
        <w:t>。施工期施工人员产生的生活污水排入附近</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阀组</w:t>
      </w:r>
      <w:r>
        <w:rPr>
          <w:rFonts w:ascii="Times New Roman" w:hAnsi="Times New Roman" w:cs="Times New Roman" w:eastAsiaTheme="minorEastAsia"/>
          <w:caps w:val="0"/>
          <w:smallCaps w:val="0"/>
          <w:color w:val="auto"/>
          <w:spacing w:val="0"/>
          <w:w w:val="100"/>
          <w:kern w:val="21"/>
          <w:position w:val="0"/>
          <w:highlight w:val="none"/>
        </w:rPr>
        <w:t>间或场站内已建防渗旱厕，定期</w:t>
      </w:r>
      <w:r>
        <w:rPr>
          <w:rFonts w:hint="eastAsia" w:ascii="Times New Roman" w:hAnsi="Times New Roman" w:cs="Times New Roman" w:eastAsiaTheme="minorEastAsia"/>
          <w:caps w:val="0"/>
          <w:smallCaps w:val="0"/>
          <w:color w:val="auto"/>
          <w:spacing w:val="0"/>
          <w:w w:val="100"/>
          <w:kern w:val="21"/>
          <w:position w:val="0"/>
          <w:highlight w:val="none"/>
          <w:lang w:eastAsia="zh-CN"/>
        </w:rPr>
        <w:t>由安达市同昌油田工程有限公司拉运至大庆市净源环保科技有限公司进行处理</w:t>
      </w:r>
      <w:r>
        <w:rPr>
          <w:rFonts w:ascii="Times New Roman" w:hAnsi="Times New Roman" w:cs="Times New Roman" w:eastAsiaTheme="minorEastAsia"/>
          <w:caps w:val="0"/>
          <w:smallCaps w:val="0"/>
          <w:color w:val="auto"/>
          <w:spacing w:val="0"/>
          <w:w w:val="100"/>
          <w:kern w:val="21"/>
          <w:position w:val="0"/>
          <w:highlight w:val="none"/>
        </w:rPr>
        <w:t>。</w:t>
      </w:r>
    </w:p>
    <w:p w14:paraId="47A61EC2">
      <w:pPr>
        <w:adjustRightInd w:val="0"/>
        <w:snapToGrid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项目施工期废水产生及排放情况详见表3.10-1。</w:t>
      </w:r>
    </w:p>
    <w:p w14:paraId="3391224A">
      <w:pPr>
        <w:adjustRightInd w:val="0"/>
        <w:snapToGrid w:val="0"/>
        <w:spacing w:line="440" w:lineRule="exact"/>
        <w:ind w:firstLine="482" w:firstLineChars="200"/>
        <w:jc w:val="both"/>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表3.10-1    施工期废水污染物排放量表</w:t>
      </w:r>
    </w:p>
    <w:tbl>
      <w:tblPr>
        <w:tblStyle w:val="80"/>
        <w:tblW w:w="92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2"/>
        <w:gridCol w:w="990"/>
        <w:gridCol w:w="945"/>
        <w:gridCol w:w="969"/>
        <w:gridCol w:w="5981"/>
      </w:tblGrid>
      <w:tr w14:paraId="1FBEF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2" w:type="dxa"/>
            <w:tcMar>
              <w:left w:w="57" w:type="dxa"/>
              <w:right w:w="57" w:type="dxa"/>
            </w:tcMar>
            <w:vAlign w:val="center"/>
          </w:tcPr>
          <w:p w14:paraId="5AD884DD">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序号</w:t>
            </w:r>
          </w:p>
        </w:tc>
        <w:tc>
          <w:tcPr>
            <w:tcW w:w="990" w:type="dxa"/>
            <w:tcMar>
              <w:left w:w="57" w:type="dxa"/>
              <w:right w:w="57" w:type="dxa"/>
            </w:tcMar>
            <w:vAlign w:val="center"/>
          </w:tcPr>
          <w:p w14:paraId="6D527E5C">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污染物名称</w:t>
            </w:r>
          </w:p>
        </w:tc>
        <w:tc>
          <w:tcPr>
            <w:tcW w:w="945" w:type="dxa"/>
            <w:tcMar>
              <w:left w:w="57" w:type="dxa"/>
              <w:right w:w="57" w:type="dxa"/>
            </w:tcMar>
            <w:vAlign w:val="center"/>
          </w:tcPr>
          <w:p w14:paraId="6D499FA9">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产生量</w:t>
            </w:r>
          </w:p>
        </w:tc>
        <w:tc>
          <w:tcPr>
            <w:tcW w:w="969" w:type="dxa"/>
            <w:tcMar>
              <w:left w:w="57" w:type="dxa"/>
              <w:right w:w="57" w:type="dxa"/>
            </w:tcMar>
            <w:vAlign w:val="center"/>
          </w:tcPr>
          <w:p w14:paraId="1443CEBB">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主要污染物</w:t>
            </w:r>
          </w:p>
        </w:tc>
        <w:tc>
          <w:tcPr>
            <w:tcW w:w="5981" w:type="dxa"/>
            <w:vAlign w:val="center"/>
          </w:tcPr>
          <w:p w14:paraId="56D64CCA">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去向及措施</w:t>
            </w:r>
          </w:p>
        </w:tc>
      </w:tr>
      <w:tr w14:paraId="101CA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2" w:type="dxa"/>
            <w:tcMar>
              <w:left w:w="57" w:type="dxa"/>
              <w:right w:w="57" w:type="dxa"/>
            </w:tcMar>
            <w:vAlign w:val="center"/>
          </w:tcPr>
          <w:p w14:paraId="478E40EE">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w:t>
            </w:r>
          </w:p>
        </w:tc>
        <w:tc>
          <w:tcPr>
            <w:tcW w:w="990" w:type="dxa"/>
            <w:tcMar>
              <w:left w:w="57" w:type="dxa"/>
              <w:right w:w="57" w:type="dxa"/>
            </w:tcMar>
            <w:vAlign w:val="center"/>
          </w:tcPr>
          <w:p w14:paraId="46E17BD6">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试压废水</w:t>
            </w:r>
          </w:p>
        </w:tc>
        <w:tc>
          <w:tcPr>
            <w:tcW w:w="945" w:type="dxa"/>
            <w:tcMar>
              <w:left w:w="57" w:type="dxa"/>
              <w:right w:w="57" w:type="dxa"/>
            </w:tcMar>
            <w:vAlign w:val="center"/>
          </w:tcPr>
          <w:p w14:paraId="0C78C9D4">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1"/>
                <w:position w:val="0"/>
                <w:sz w:val="21"/>
                <w:szCs w:val="21"/>
                <w:highlight w:val="none"/>
                <w:lang w:val="en-US" w:eastAsia="zh-CN"/>
              </w:rPr>
              <w:t>95.6</w:t>
            </w:r>
            <w:r>
              <w:rPr>
                <w:rFonts w:ascii="Times New Roman" w:hAnsi="Times New Roman" w:cs="Times New Roman" w:eastAsiaTheme="minorEastAsia"/>
                <w:bCs/>
                <w:caps w:val="0"/>
                <w:smallCaps w:val="0"/>
                <w:color w:val="auto"/>
                <w:spacing w:val="0"/>
                <w:w w:val="100"/>
                <w:kern w:val="21"/>
                <w:position w:val="0"/>
                <w:sz w:val="21"/>
                <w:szCs w:val="21"/>
                <w:highlight w:val="none"/>
              </w:rPr>
              <w:t>m</w:t>
            </w:r>
            <w:r>
              <w:rPr>
                <w:rFonts w:ascii="Times New Roman" w:hAnsi="Times New Roman" w:cs="Times New Roman" w:eastAsiaTheme="minorEastAsia"/>
                <w:bCs/>
                <w:caps w:val="0"/>
                <w:smallCaps w:val="0"/>
                <w:color w:val="auto"/>
                <w:spacing w:val="0"/>
                <w:w w:val="100"/>
                <w:kern w:val="21"/>
                <w:position w:val="0"/>
                <w:sz w:val="21"/>
                <w:szCs w:val="21"/>
                <w:highlight w:val="none"/>
                <w:vertAlign w:val="superscript"/>
              </w:rPr>
              <w:t>3</w:t>
            </w:r>
          </w:p>
        </w:tc>
        <w:tc>
          <w:tcPr>
            <w:tcW w:w="969" w:type="dxa"/>
            <w:tcMar>
              <w:left w:w="57" w:type="dxa"/>
              <w:right w:w="57" w:type="dxa"/>
            </w:tcMar>
            <w:vAlign w:val="center"/>
          </w:tcPr>
          <w:p w14:paraId="780BE1EE">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SS</w:t>
            </w:r>
          </w:p>
        </w:tc>
        <w:tc>
          <w:tcPr>
            <w:tcW w:w="5981" w:type="dxa"/>
            <w:vMerge w:val="restart"/>
            <w:vAlign w:val="center"/>
          </w:tcPr>
          <w:p w14:paraId="179555C5">
            <w:pPr>
              <w:adjustRightInd w:val="0"/>
              <w:snapToGrid w:val="0"/>
              <w:spacing w:line="360" w:lineRule="exact"/>
              <w:jc w:val="both"/>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由罐车拉运至</w:t>
            </w:r>
            <w:r>
              <w:rPr>
                <w:rFonts w:hint="eastAsia" w:ascii="Times New Roman" w:hAnsi="Times New Roman" w:cs="Times New Roman"/>
                <w:caps w:val="0"/>
                <w:smallCaps w:val="0"/>
                <w:color w:val="auto"/>
                <w:spacing w:val="0"/>
                <w:w w:val="100"/>
                <w:kern w:val="2"/>
                <w:position w:val="0"/>
                <w:sz w:val="21"/>
                <w:szCs w:val="21"/>
                <w:highlight w:val="none"/>
                <w:lang w:eastAsia="zh-CN"/>
              </w:rPr>
              <w:t>卫一联含油污水深度处理站</w:t>
            </w:r>
            <w:r>
              <w:rPr>
                <w:rFonts w:hint="eastAsia" w:ascii="Times New Roman" w:hAnsi="Times New Roman" w:cs="Times New Roman"/>
                <w:caps w:val="0"/>
                <w:smallCaps w:val="0"/>
                <w:color w:val="auto"/>
                <w:spacing w:val="0"/>
                <w:w w:val="100"/>
                <w:kern w:val="2"/>
                <w:position w:val="0"/>
                <w:sz w:val="21"/>
                <w:szCs w:val="21"/>
                <w:highlight w:val="none"/>
              </w:rPr>
              <w:t>处理满足《大庆油田地面工程</w:t>
            </w:r>
            <w:r>
              <w:rPr>
                <w:rFonts w:ascii="Times New Roman" w:hAnsi="Times New Roman" w:cs="Times New Roman"/>
                <w:caps w:val="0"/>
                <w:smallCaps w:val="0"/>
                <w:color w:val="auto"/>
                <w:spacing w:val="0"/>
                <w:w w:val="100"/>
                <w:kern w:val="2"/>
                <w:position w:val="0"/>
                <w:sz w:val="21"/>
                <w:szCs w:val="21"/>
                <w:highlight w:val="none"/>
              </w:rPr>
              <w:t>建设设计规定》（Q/SYDQ0639-2015）及《碎屑岩油藏注水水质指标技术要求及分析方法》（SY/T5329-2022）限值要求后回注油层，不外排。</w:t>
            </w:r>
          </w:p>
        </w:tc>
      </w:tr>
      <w:tr w14:paraId="6086D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2" w:type="dxa"/>
            <w:tcMar>
              <w:left w:w="57" w:type="dxa"/>
              <w:right w:w="57" w:type="dxa"/>
            </w:tcMar>
            <w:vAlign w:val="center"/>
          </w:tcPr>
          <w:p w14:paraId="3D86BFAD">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2</w:t>
            </w:r>
          </w:p>
        </w:tc>
        <w:tc>
          <w:tcPr>
            <w:tcW w:w="990" w:type="dxa"/>
            <w:tcMar>
              <w:left w:w="57" w:type="dxa"/>
              <w:right w:w="57" w:type="dxa"/>
            </w:tcMar>
            <w:vAlign w:val="center"/>
          </w:tcPr>
          <w:p w14:paraId="33DD624A">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清洗废水</w:t>
            </w:r>
          </w:p>
        </w:tc>
        <w:tc>
          <w:tcPr>
            <w:tcW w:w="945" w:type="dxa"/>
            <w:tcMar>
              <w:left w:w="57" w:type="dxa"/>
              <w:right w:w="57" w:type="dxa"/>
            </w:tcMar>
            <w:vAlign w:val="center"/>
          </w:tcPr>
          <w:p w14:paraId="3CE4AB39">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bCs/>
                <w:caps w:val="0"/>
                <w:smallCaps w:val="0"/>
                <w:color w:val="auto"/>
                <w:spacing w:val="0"/>
                <w:w w:val="100"/>
                <w:kern w:val="2"/>
                <w:position w:val="0"/>
                <w:sz w:val="21"/>
                <w:szCs w:val="21"/>
                <w:highlight w:val="none"/>
                <w:lang w:val="en-US" w:eastAsia="zh-CN"/>
              </w:rPr>
              <w:t>281.9</w:t>
            </w:r>
            <w:r>
              <w:rPr>
                <w:rFonts w:ascii="Times New Roman" w:hAnsi="Times New Roman" w:cs="Times New Roman"/>
                <w:bCs/>
                <w:caps w:val="0"/>
                <w:smallCaps w:val="0"/>
                <w:color w:val="auto"/>
                <w:spacing w:val="0"/>
                <w:w w:val="100"/>
                <w:kern w:val="2"/>
                <w:position w:val="0"/>
                <w:sz w:val="21"/>
                <w:szCs w:val="21"/>
                <w:highlight w:val="none"/>
              </w:rPr>
              <w:t>m</w:t>
            </w:r>
            <w:r>
              <w:rPr>
                <w:rFonts w:ascii="Times New Roman" w:hAnsi="Times New Roman" w:cs="Times New Roman"/>
                <w:bCs/>
                <w:caps w:val="0"/>
                <w:smallCaps w:val="0"/>
                <w:color w:val="auto"/>
                <w:spacing w:val="0"/>
                <w:w w:val="100"/>
                <w:kern w:val="2"/>
                <w:position w:val="0"/>
                <w:sz w:val="21"/>
                <w:szCs w:val="21"/>
                <w:highlight w:val="none"/>
                <w:vertAlign w:val="superscript"/>
              </w:rPr>
              <w:t>3</w:t>
            </w:r>
          </w:p>
        </w:tc>
        <w:tc>
          <w:tcPr>
            <w:tcW w:w="969" w:type="dxa"/>
            <w:tcMar>
              <w:left w:w="57" w:type="dxa"/>
              <w:right w:w="57" w:type="dxa"/>
            </w:tcMar>
            <w:vAlign w:val="center"/>
          </w:tcPr>
          <w:p w14:paraId="406DA37C">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石油类、</w:t>
            </w:r>
            <w:r>
              <w:rPr>
                <w:rFonts w:hint="eastAsia" w:ascii="Times New Roman" w:hAnsi="Times New Roman" w:cs="Times New Roman"/>
                <w:caps w:val="0"/>
                <w:smallCaps w:val="0"/>
                <w:color w:val="auto"/>
                <w:spacing w:val="0"/>
                <w:w w:val="100"/>
                <w:kern w:val="2"/>
                <w:position w:val="0"/>
                <w:sz w:val="21"/>
                <w:szCs w:val="21"/>
                <w:highlight w:val="none"/>
              </w:rPr>
              <w:t>S</w:t>
            </w:r>
            <w:r>
              <w:rPr>
                <w:rFonts w:ascii="Times New Roman" w:hAnsi="Times New Roman" w:cs="Times New Roman"/>
                <w:caps w:val="0"/>
                <w:smallCaps w:val="0"/>
                <w:color w:val="auto"/>
                <w:spacing w:val="0"/>
                <w:w w:val="100"/>
                <w:kern w:val="2"/>
                <w:position w:val="0"/>
                <w:sz w:val="21"/>
                <w:szCs w:val="21"/>
                <w:highlight w:val="none"/>
              </w:rPr>
              <w:t>S</w:t>
            </w:r>
          </w:p>
        </w:tc>
        <w:tc>
          <w:tcPr>
            <w:tcW w:w="5981" w:type="dxa"/>
            <w:vMerge w:val="continue"/>
            <w:vAlign w:val="center"/>
          </w:tcPr>
          <w:p w14:paraId="770F8C8A">
            <w:pPr>
              <w:adjustRightInd w:val="0"/>
              <w:snapToGrid w:val="0"/>
              <w:spacing w:line="360" w:lineRule="exact"/>
              <w:jc w:val="both"/>
              <w:rPr>
                <w:rFonts w:ascii="Times New Roman" w:hAnsi="Times New Roman" w:cs="Times New Roman"/>
                <w:caps w:val="0"/>
                <w:smallCaps w:val="0"/>
                <w:color w:val="auto"/>
                <w:spacing w:val="0"/>
                <w:w w:val="100"/>
                <w:kern w:val="2"/>
                <w:position w:val="0"/>
                <w:sz w:val="21"/>
                <w:szCs w:val="21"/>
                <w:highlight w:val="none"/>
              </w:rPr>
            </w:pPr>
          </w:p>
        </w:tc>
      </w:tr>
      <w:tr w14:paraId="40EDB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2" w:type="dxa"/>
            <w:tcMar>
              <w:left w:w="57" w:type="dxa"/>
              <w:right w:w="57" w:type="dxa"/>
            </w:tcMar>
            <w:vAlign w:val="center"/>
          </w:tcPr>
          <w:p w14:paraId="7B0613CE">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w:t>
            </w:r>
          </w:p>
        </w:tc>
        <w:tc>
          <w:tcPr>
            <w:tcW w:w="990" w:type="dxa"/>
            <w:tcMar>
              <w:left w:w="57" w:type="dxa"/>
              <w:right w:w="57" w:type="dxa"/>
            </w:tcMar>
            <w:vAlign w:val="center"/>
          </w:tcPr>
          <w:p w14:paraId="69987DE4">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生活污水</w:t>
            </w:r>
          </w:p>
        </w:tc>
        <w:tc>
          <w:tcPr>
            <w:tcW w:w="945" w:type="dxa"/>
            <w:tcMar>
              <w:left w:w="57" w:type="dxa"/>
              <w:right w:w="57" w:type="dxa"/>
            </w:tcMar>
            <w:vAlign w:val="center"/>
          </w:tcPr>
          <w:p w14:paraId="77D4AF63">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115.2</w:t>
            </w:r>
            <w:r>
              <w:rPr>
                <w:rFonts w:ascii="Times New Roman" w:hAnsi="Times New Roman" w:cs="Times New Roman"/>
                <w:caps w:val="0"/>
                <w:smallCaps w:val="0"/>
                <w:color w:val="auto"/>
                <w:spacing w:val="0"/>
                <w:w w:val="100"/>
                <w:kern w:val="2"/>
                <w:position w:val="0"/>
                <w:sz w:val="21"/>
                <w:szCs w:val="21"/>
                <w:highlight w:val="none"/>
              </w:rPr>
              <w:t>m</w:t>
            </w:r>
            <w:r>
              <w:rPr>
                <w:rFonts w:ascii="Times New Roman" w:hAnsi="Times New Roman" w:cs="Times New Roman"/>
                <w:caps w:val="0"/>
                <w:smallCaps w:val="0"/>
                <w:color w:val="auto"/>
                <w:spacing w:val="0"/>
                <w:w w:val="100"/>
                <w:kern w:val="2"/>
                <w:position w:val="0"/>
                <w:sz w:val="21"/>
                <w:szCs w:val="21"/>
                <w:highlight w:val="none"/>
                <w:vertAlign w:val="superscript"/>
              </w:rPr>
              <w:t>3</w:t>
            </w:r>
          </w:p>
        </w:tc>
        <w:tc>
          <w:tcPr>
            <w:tcW w:w="969" w:type="dxa"/>
            <w:tcMar>
              <w:left w:w="57" w:type="dxa"/>
              <w:right w:w="57" w:type="dxa"/>
            </w:tcMar>
            <w:vAlign w:val="center"/>
          </w:tcPr>
          <w:p w14:paraId="702C0A38">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COD、NH</w:t>
            </w:r>
            <w:r>
              <w:rPr>
                <w:rFonts w:ascii="Times New Roman" w:hAnsi="Times New Roman" w:cs="Times New Roman"/>
                <w:caps w:val="0"/>
                <w:smallCaps w:val="0"/>
                <w:color w:val="auto"/>
                <w:spacing w:val="0"/>
                <w:w w:val="100"/>
                <w:kern w:val="2"/>
                <w:position w:val="0"/>
                <w:sz w:val="21"/>
                <w:szCs w:val="21"/>
                <w:highlight w:val="none"/>
                <w:vertAlign w:val="subscript"/>
              </w:rPr>
              <w:t>3</w:t>
            </w:r>
            <w:r>
              <w:rPr>
                <w:rFonts w:ascii="Times New Roman" w:hAnsi="Times New Roman" w:cs="Times New Roman"/>
                <w:caps w:val="0"/>
                <w:smallCaps w:val="0"/>
                <w:color w:val="auto"/>
                <w:spacing w:val="0"/>
                <w:w w:val="100"/>
                <w:kern w:val="2"/>
                <w:position w:val="0"/>
                <w:sz w:val="21"/>
                <w:szCs w:val="21"/>
                <w:highlight w:val="none"/>
              </w:rPr>
              <w:t>-N</w:t>
            </w:r>
          </w:p>
        </w:tc>
        <w:tc>
          <w:tcPr>
            <w:tcW w:w="5981" w:type="dxa"/>
            <w:vAlign w:val="center"/>
          </w:tcPr>
          <w:p w14:paraId="409DE13B">
            <w:pPr>
              <w:adjustRightInd w:val="0"/>
              <w:snapToGrid w:val="0"/>
              <w:spacing w:line="360" w:lineRule="exact"/>
              <w:jc w:val="both"/>
              <w:rPr>
                <w:rFonts w:ascii="Times New Roman" w:hAnsi="Times New Roman" w:cs="Times New Roman"/>
                <w:caps w:val="0"/>
                <w:smallCaps w:val="0"/>
                <w:color w:val="auto"/>
                <w:spacing w:val="0"/>
                <w:w w:val="100"/>
                <w:kern w:val="2"/>
                <w:position w:val="0"/>
                <w:sz w:val="21"/>
                <w:szCs w:val="21"/>
                <w:highlight w:val="none"/>
              </w:rPr>
            </w:pPr>
            <w:bookmarkStart w:id="559" w:name="OLE_LINK165"/>
            <w:bookmarkStart w:id="560" w:name="OLE_LINK166"/>
            <w:r>
              <w:rPr>
                <w:rFonts w:ascii="Times New Roman" w:hAnsi="Times New Roman" w:cs="Times New Roman"/>
                <w:caps w:val="0"/>
                <w:smallCaps w:val="0"/>
                <w:color w:val="auto"/>
                <w:spacing w:val="0"/>
                <w:w w:val="100"/>
                <w:kern w:val="2"/>
                <w:position w:val="0"/>
                <w:sz w:val="21"/>
                <w:szCs w:val="21"/>
                <w:highlight w:val="none"/>
              </w:rPr>
              <w:t>排入附近</w:t>
            </w:r>
            <w:r>
              <w:rPr>
                <w:rFonts w:hint="eastAsia" w:ascii="Times New Roman" w:hAnsi="Times New Roman" w:cs="Times New Roman"/>
                <w:caps w:val="0"/>
                <w:smallCaps w:val="0"/>
                <w:color w:val="auto"/>
                <w:spacing w:val="0"/>
                <w:w w:val="100"/>
                <w:kern w:val="2"/>
                <w:position w:val="0"/>
                <w:sz w:val="21"/>
                <w:szCs w:val="21"/>
                <w:highlight w:val="none"/>
                <w:lang w:val="en-US" w:eastAsia="zh-CN"/>
              </w:rPr>
              <w:t>阀组</w:t>
            </w:r>
            <w:r>
              <w:rPr>
                <w:rFonts w:ascii="Times New Roman" w:hAnsi="Times New Roman" w:cs="Times New Roman"/>
                <w:caps w:val="0"/>
                <w:smallCaps w:val="0"/>
                <w:color w:val="auto"/>
                <w:spacing w:val="0"/>
                <w:w w:val="100"/>
                <w:kern w:val="2"/>
                <w:position w:val="0"/>
                <w:sz w:val="21"/>
                <w:szCs w:val="21"/>
                <w:highlight w:val="none"/>
              </w:rPr>
              <w:t>间或场站内已建防渗旱厕，定期</w:t>
            </w:r>
            <w:r>
              <w:rPr>
                <w:rFonts w:hint="eastAsia" w:ascii="Times New Roman" w:hAnsi="Times New Roman" w:cs="Times New Roman"/>
                <w:caps w:val="0"/>
                <w:smallCaps w:val="0"/>
                <w:color w:val="auto"/>
                <w:spacing w:val="0"/>
                <w:w w:val="100"/>
                <w:kern w:val="2"/>
                <w:position w:val="0"/>
                <w:sz w:val="21"/>
                <w:szCs w:val="21"/>
                <w:highlight w:val="none"/>
                <w:lang w:eastAsia="zh-CN"/>
              </w:rPr>
              <w:t>由安达市同昌油田工程有限公司拉运至大庆市净源环保科技有限公司进行处理</w:t>
            </w:r>
            <w:r>
              <w:rPr>
                <w:rFonts w:ascii="Times New Roman" w:hAnsi="Times New Roman" w:cs="Times New Roman"/>
                <w:caps w:val="0"/>
                <w:smallCaps w:val="0"/>
                <w:color w:val="auto"/>
                <w:spacing w:val="0"/>
                <w:w w:val="100"/>
                <w:kern w:val="2"/>
                <w:position w:val="0"/>
                <w:sz w:val="21"/>
                <w:szCs w:val="21"/>
                <w:highlight w:val="none"/>
              </w:rPr>
              <w:t>。</w:t>
            </w:r>
            <w:bookmarkEnd w:id="559"/>
            <w:bookmarkEnd w:id="560"/>
          </w:p>
        </w:tc>
      </w:tr>
      <w:bookmarkEnd w:id="558"/>
    </w:tbl>
    <w:p w14:paraId="4E9DBF8F">
      <w:pPr>
        <w:widowControl w:val="0"/>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（3）噪声污染源项分析</w:t>
      </w:r>
    </w:p>
    <w:p w14:paraId="363EBD66">
      <w:pPr>
        <w:widowControl w:val="0"/>
        <w:snapToGrid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施工期产生的噪声主要施工机械和车辆运营噪声，参考《环境噪声与振动控制工程技术导则》（HJ 2034-2013）附录A中的噪声源强数据，本项目施工期噪声源统计情况见表3.10-2。</w:t>
      </w:r>
    </w:p>
    <w:p w14:paraId="76032862">
      <w:pPr>
        <w:widowControl w:val="0"/>
        <w:spacing w:line="440" w:lineRule="exact"/>
        <w:ind w:firstLine="482"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b/>
          <w:bCs/>
          <w:caps w:val="0"/>
          <w:smallCaps w:val="0"/>
          <w:color w:val="auto"/>
          <w:spacing w:val="0"/>
          <w:w w:val="100"/>
          <w:position w:val="0"/>
          <w:highlight w:val="none"/>
        </w:rPr>
        <w:t>表3.10-2</w:t>
      </w:r>
      <w:r>
        <w:rPr>
          <w:rFonts w:ascii="Times New Roman" w:hAnsi="Times New Roman" w:cs="Times New Roman" w:eastAsiaTheme="minorEastAsia"/>
          <w:bCs/>
          <w:caps w:val="0"/>
          <w:smallCaps w:val="0"/>
          <w:color w:val="auto"/>
          <w:spacing w:val="0"/>
          <w:w w:val="100"/>
          <w:position w:val="0"/>
          <w:highlight w:val="none"/>
        </w:rPr>
        <w:t xml:space="preserve">    </w:t>
      </w:r>
      <w:r>
        <w:rPr>
          <w:rFonts w:ascii="Times New Roman" w:hAnsi="Times New Roman" w:cs="Times New Roman" w:eastAsiaTheme="minorEastAsia"/>
          <w:b/>
          <w:bCs/>
          <w:caps w:val="0"/>
          <w:smallCaps w:val="0"/>
          <w:color w:val="auto"/>
          <w:spacing w:val="0"/>
          <w:w w:val="100"/>
          <w:position w:val="0"/>
          <w:highlight w:val="none"/>
        </w:rPr>
        <w:t>本</w:t>
      </w:r>
      <w:r>
        <w:rPr>
          <w:rFonts w:ascii="Times New Roman" w:hAnsi="Times New Roman" w:cs="Times New Roman" w:eastAsiaTheme="minorEastAsia"/>
          <w:b/>
          <w:caps w:val="0"/>
          <w:smallCaps w:val="0"/>
          <w:color w:val="auto"/>
          <w:spacing w:val="0"/>
          <w:w w:val="100"/>
          <w:position w:val="0"/>
          <w:highlight w:val="none"/>
        </w:rPr>
        <w:t>项目</w:t>
      </w:r>
      <w:r>
        <w:rPr>
          <w:rFonts w:ascii="Times New Roman" w:hAnsi="Times New Roman" w:cs="Times New Roman" w:eastAsiaTheme="minorEastAsia"/>
          <w:b/>
          <w:bCs/>
          <w:caps w:val="0"/>
          <w:smallCaps w:val="0"/>
          <w:color w:val="auto"/>
          <w:spacing w:val="0"/>
          <w:w w:val="100"/>
          <w:position w:val="0"/>
          <w:highlight w:val="none"/>
        </w:rPr>
        <w:t>施工期噪声源统计表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37"/>
        <w:gridCol w:w="1337"/>
        <w:gridCol w:w="2110"/>
        <w:gridCol w:w="2251"/>
        <w:gridCol w:w="2251"/>
      </w:tblGrid>
      <w:tr w14:paraId="2AB95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3F18E89D">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序号</w:t>
            </w:r>
          </w:p>
        </w:tc>
        <w:tc>
          <w:tcPr>
            <w:tcW w:w="720" w:type="pct"/>
            <w:vAlign w:val="center"/>
          </w:tcPr>
          <w:p w14:paraId="248541D8">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设备名称</w:t>
            </w:r>
          </w:p>
        </w:tc>
        <w:tc>
          <w:tcPr>
            <w:tcW w:w="1136" w:type="pct"/>
            <w:vAlign w:val="center"/>
          </w:tcPr>
          <w:p w14:paraId="3854AF3C">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声源性质</w:t>
            </w:r>
          </w:p>
        </w:tc>
        <w:tc>
          <w:tcPr>
            <w:tcW w:w="1212" w:type="pct"/>
            <w:vAlign w:val="center"/>
          </w:tcPr>
          <w:p w14:paraId="2C64DFE8">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噪声值dB(A)</w:t>
            </w:r>
          </w:p>
        </w:tc>
        <w:tc>
          <w:tcPr>
            <w:tcW w:w="1212" w:type="pct"/>
          </w:tcPr>
          <w:p w14:paraId="405C51A4">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测点距声源距离</w:t>
            </w:r>
          </w:p>
        </w:tc>
      </w:tr>
      <w:tr w14:paraId="31929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12154276">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1</w:t>
            </w:r>
          </w:p>
        </w:tc>
        <w:tc>
          <w:tcPr>
            <w:tcW w:w="720" w:type="pct"/>
            <w:vAlign w:val="center"/>
          </w:tcPr>
          <w:p w14:paraId="53E81E58">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挖掘机</w:t>
            </w:r>
          </w:p>
        </w:tc>
        <w:tc>
          <w:tcPr>
            <w:tcW w:w="1136" w:type="pct"/>
            <w:vAlign w:val="center"/>
          </w:tcPr>
          <w:p w14:paraId="5DF76884">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非连续稳态声源</w:t>
            </w:r>
          </w:p>
        </w:tc>
        <w:tc>
          <w:tcPr>
            <w:tcW w:w="1212" w:type="pct"/>
            <w:vAlign w:val="center"/>
          </w:tcPr>
          <w:p w14:paraId="6CE51693">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82～90</w:t>
            </w:r>
          </w:p>
        </w:tc>
        <w:tc>
          <w:tcPr>
            <w:tcW w:w="1212" w:type="pct"/>
          </w:tcPr>
          <w:p w14:paraId="335F9C21">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5m</w:t>
            </w:r>
          </w:p>
        </w:tc>
      </w:tr>
      <w:tr w14:paraId="11C30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73691CBC">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w:t>
            </w:r>
          </w:p>
        </w:tc>
        <w:tc>
          <w:tcPr>
            <w:tcW w:w="720" w:type="pct"/>
            <w:vAlign w:val="center"/>
          </w:tcPr>
          <w:p w14:paraId="1B647B3D">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推土机</w:t>
            </w:r>
          </w:p>
        </w:tc>
        <w:tc>
          <w:tcPr>
            <w:tcW w:w="1136" w:type="pct"/>
            <w:vAlign w:val="center"/>
          </w:tcPr>
          <w:p w14:paraId="32CC0EF9">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非连续稳态声源</w:t>
            </w:r>
          </w:p>
        </w:tc>
        <w:tc>
          <w:tcPr>
            <w:tcW w:w="1212" w:type="pct"/>
            <w:vAlign w:val="center"/>
          </w:tcPr>
          <w:p w14:paraId="7999C08D">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83～88</w:t>
            </w:r>
          </w:p>
        </w:tc>
        <w:tc>
          <w:tcPr>
            <w:tcW w:w="1212" w:type="pct"/>
          </w:tcPr>
          <w:p w14:paraId="2C894A6D">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5m</w:t>
            </w:r>
          </w:p>
        </w:tc>
      </w:tr>
      <w:tr w14:paraId="6C52C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5C267B98">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3</w:t>
            </w:r>
          </w:p>
        </w:tc>
        <w:tc>
          <w:tcPr>
            <w:tcW w:w="720" w:type="pct"/>
            <w:vAlign w:val="center"/>
          </w:tcPr>
          <w:p w14:paraId="64A10FA5">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顶管机</w:t>
            </w:r>
          </w:p>
        </w:tc>
        <w:tc>
          <w:tcPr>
            <w:tcW w:w="1136" w:type="pct"/>
            <w:vAlign w:val="center"/>
          </w:tcPr>
          <w:p w14:paraId="5F181097">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连续稳态声源</w:t>
            </w:r>
          </w:p>
        </w:tc>
        <w:tc>
          <w:tcPr>
            <w:tcW w:w="1212" w:type="pct"/>
            <w:vAlign w:val="center"/>
          </w:tcPr>
          <w:p w14:paraId="17E5E39F">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95～105</w:t>
            </w:r>
          </w:p>
        </w:tc>
        <w:tc>
          <w:tcPr>
            <w:tcW w:w="1212" w:type="pct"/>
          </w:tcPr>
          <w:p w14:paraId="62AA7DFF">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1m</w:t>
            </w:r>
          </w:p>
        </w:tc>
      </w:tr>
      <w:tr w14:paraId="03F74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4563509E">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w:t>
            </w:r>
          </w:p>
        </w:tc>
        <w:tc>
          <w:tcPr>
            <w:tcW w:w="720" w:type="pct"/>
            <w:vAlign w:val="center"/>
          </w:tcPr>
          <w:p w14:paraId="0F230F56">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吊管机</w:t>
            </w:r>
          </w:p>
        </w:tc>
        <w:tc>
          <w:tcPr>
            <w:tcW w:w="1136" w:type="pct"/>
            <w:vAlign w:val="center"/>
          </w:tcPr>
          <w:p w14:paraId="3BCC3CC9">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非连续稳态声源</w:t>
            </w:r>
          </w:p>
        </w:tc>
        <w:tc>
          <w:tcPr>
            <w:tcW w:w="1212" w:type="pct"/>
            <w:vAlign w:val="center"/>
          </w:tcPr>
          <w:p w14:paraId="2311701A">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85</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color w:val="auto"/>
                <w:spacing w:val="0"/>
                <w:w w:val="100"/>
                <w:position w:val="0"/>
                <w:sz w:val="21"/>
                <w:szCs w:val="21"/>
                <w:highlight w:val="none"/>
              </w:rPr>
              <w:t>93</w:t>
            </w:r>
          </w:p>
        </w:tc>
        <w:tc>
          <w:tcPr>
            <w:tcW w:w="1212" w:type="pct"/>
          </w:tcPr>
          <w:p w14:paraId="1445DB7A">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1m</w:t>
            </w:r>
          </w:p>
        </w:tc>
      </w:tr>
      <w:tr w14:paraId="459BE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29CEE8E6">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5</w:t>
            </w:r>
          </w:p>
        </w:tc>
        <w:tc>
          <w:tcPr>
            <w:tcW w:w="720" w:type="pct"/>
            <w:vAlign w:val="center"/>
          </w:tcPr>
          <w:p w14:paraId="4D7E80AA">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切割机</w:t>
            </w:r>
          </w:p>
        </w:tc>
        <w:tc>
          <w:tcPr>
            <w:tcW w:w="1136" w:type="pct"/>
            <w:vAlign w:val="center"/>
          </w:tcPr>
          <w:p w14:paraId="630306E1">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连续稳态声源</w:t>
            </w:r>
          </w:p>
        </w:tc>
        <w:tc>
          <w:tcPr>
            <w:tcW w:w="1212" w:type="pct"/>
            <w:vAlign w:val="center"/>
          </w:tcPr>
          <w:p w14:paraId="0C543C3F">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85~95</w:t>
            </w:r>
          </w:p>
        </w:tc>
        <w:tc>
          <w:tcPr>
            <w:tcW w:w="1212" w:type="pct"/>
          </w:tcPr>
          <w:p w14:paraId="3877AF19">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1m</w:t>
            </w:r>
          </w:p>
        </w:tc>
      </w:tr>
      <w:tr w14:paraId="740DB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36881197">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6</w:t>
            </w:r>
          </w:p>
        </w:tc>
        <w:tc>
          <w:tcPr>
            <w:tcW w:w="720" w:type="pct"/>
            <w:vAlign w:val="center"/>
          </w:tcPr>
          <w:p w14:paraId="652F856C">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bookmarkStart w:id="561" w:name="OLE_LINK34"/>
            <w:bookmarkStart w:id="562" w:name="OLE_LINK35"/>
            <w:r>
              <w:rPr>
                <w:rFonts w:ascii="Times New Roman" w:hAnsi="Times New Roman" w:cs="Times New Roman" w:eastAsiaTheme="minorEastAsia"/>
                <w:caps w:val="0"/>
                <w:smallCaps w:val="0"/>
                <w:color w:val="auto"/>
                <w:spacing w:val="0"/>
                <w:w w:val="100"/>
                <w:position w:val="0"/>
                <w:sz w:val="21"/>
                <w:szCs w:val="21"/>
                <w:highlight w:val="none"/>
              </w:rPr>
              <w:t>电焊机</w:t>
            </w:r>
            <w:bookmarkEnd w:id="561"/>
            <w:bookmarkEnd w:id="562"/>
          </w:p>
        </w:tc>
        <w:tc>
          <w:tcPr>
            <w:tcW w:w="1136" w:type="pct"/>
            <w:vAlign w:val="center"/>
          </w:tcPr>
          <w:p w14:paraId="49218B9E">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连续稳态声源</w:t>
            </w:r>
          </w:p>
        </w:tc>
        <w:tc>
          <w:tcPr>
            <w:tcW w:w="1212" w:type="pct"/>
            <w:vAlign w:val="center"/>
          </w:tcPr>
          <w:p w14:paraId="289C435F">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60</w:t>
            </w:r>
            <w:r>
              <w:rPr>
                <w:rFonts w:ascii="Times New Roman" w:hAnsi="Times New Roman" w:cs="Times New Roman" w:eastAsiaTheme="minorEastAsia"/>
                <w:caps w:val="0"/>
                <w:smallCaps w:val="0"/>
                <w:snapToGrid w:val="0"/>
                <w:color w:val="auto"/>
                <w:spacing w:val="0"/>
                <w:w w:val="100"/>
                <w:position w:val="0"/>
                <w:sz w:val="21"/>
                <w:szCs w:val="21"/>
                <w:highlight w:val="none"/>
              </w:rPr>
              <w:t>～</w:t>
            </w:r>
            <w:r>
              <w:rPr>
                <w:rFonts w:ascii="Times New Roman" w:hAnsi="Times New Roman" w:cs="Times New Roman" w:eastAsiaTheme="minorEastAsia"/>
                <w:caps w:val="0"/>
                <w:smallCaps w:val="0"/>
                <w:color w:val="auto"/>
                <w:spacing w:val="0"/>
                <w:w w:val="100"/>
                <w:position w:val="0"/>
                <w:sz w:val="21"/>
                <w:szCs w:val="21"/>
                <w:highlight w:val="none"/>
              </w:rPr>
              <w:t>70</w:t>
            </w:r>
          </w:p>
        </w:tc>
        <w:tc>
          <w:tcPr>
            <w:tcW w:w="1212" w:type="pct"/>
          </w:tcPr>
          <w:p w14:paraId="6B242A0E">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1m</w:t>
            </w:r>
          </w:p>
        </w:tc>
      </w:tr>
      <w:tr w14:paraId="7D88F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1F6D6419">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7</w:t>
            </w:r>
          </w:p>
        </w:tc>
        <w:tc>
          <w:tcPr>
            <w:tcW w:w="720" w:type="pct"/>
            <w:vAlign w:val="center"/>
          </w:tcPr>
          <w:p w14:paraId="5ADC2D1A">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运输车辆</w:t>
            </w:r>
          </w:p>
        </w:tc>
        <w:tc>
          <w:tcPr>
            <w:tcW w:w="1136" w:type="pct"/>
            <w:vAlign w:val="center"/>
          </w:tcPr>
          <w:p w14:paraId="45397AF7">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非连续稳态声源</w:t>
            </w:r>
          </w:p>
        </w:tc>
        <w:tc>
          <w:tcPr>
            <w:tcW w:w="1212" w:type="pct"/>
            <w:vAlign w:val="center"/>
          </w:tcPr>
          <w:p w14:paraId="76DEA3F1">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82～90</w:t>
            </w:r>
          </w:p>
        </w:tc>
        <w:tc>
          <w:tcPr>
            <w:tcW w:w="1212" w:type="pct"/>
          </w:tcPr>
          <w:p w14:paraId="052FED12">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5m</w:t>
            </w:r>
          </w:p>
        </w:tc>
      </w:tr>
    </w:tbl>
    <w:p w14:paraId="63BEC6C4">
      <w:pPr>
        <w:widowControl w:val="0"/>
        <w:snapToGrid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（4）固体废物</w:t>
      </w:r>
    </w:p>
    <w:p w14:paraId="7E0D89AD">
      <w:pPr>
        <w:widowControl w:val="0"/>
        <w:spacing w:line="440" w:lineRule="exact"/>
        <w:ind w:firstLine="480" w:firstLineChars="200"/>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本项目施工期固体废物主要为施工废料、定向钻废弃泥浆、</w:t>
      </w:r>
      <w:r>
        <w:rPr>
          <w:rFonts w:hint="eastAsia" w:ascii="Times New Roman" w:hAnsi="Times New Roman" w:cs="Times New Roman" w:eastAsiaTheme="minorEastAsia"/>
          <w:caps w:val="0"/>
          <w:smallCaps w:val="0"/>
          <w:color w:val="auto"/>
          <w:spacing w:val="0"/>
          <w:w w:val="100"/>
          <w:kern w:val="2"/>
          <w:position w:val="0"/>
          <w:highlight w:val="none"/>
        </w:rPr>
        <w:t>废防渗布和</w:t>
      </w:r>
      <w:r>
        <w:rPr>
          <w:rFonts w:ascii="Times New Roman" w:hAnsi="Times New Roman" w:cs="Times New Roman" w:eastAsiaTheme="minorEastAsia"/>
          <w:caps w:val="0"/>
          <w:smallCaps w:val="0"/>
          <w:color w:val="auto"/>
          <w:spacing w:val="0"/>
          <w:w w:val="100"/>
          <w:kern w:val="2"/>
          <w:position w:val="0"/>
          <w:highlight w:val="none"/>
        </w:rPr>
        <w:t>施工人员生活垃圾。</w:t>
      </w:r>
    </w:p>
    <w:p w14:paraId="6D49EA32">
      <w:pPr>
        <w:widowControl w:val="0"/>
        <w:spacing w:line="440" w:lineRule="exact"/>
        <w:ind w:firstLine="480" w:firstLineChars="200"/>
        <w:rPr>
          <w:rFonts w:ascii="Times New Roman" w:hAnsi="Times New Roman" w:cs="Times New Roman" w:eastAsiaTheme="minorEastAsia"/>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①</w:t>
      </w:r>
      <w:r>
        <w:rPr>
          <w:rFonts w:ascii="Times New Roman" w:hAnsi="Times New Roman" w:cs="Times New Roman" w:eastAsiaTheme="minorEastAsia"/>
          <w:caps w:val="0"/>
          <w:smallCaps w:val="0"/>
          <w:color w:val="auto"/>
          <w:spacing w:val="0"/>
          <w:w w:val="100"/>
          <w:kern w:val="2"/>
          <w:position w:val="0"/>
          <w:highlight w:val="none"/>
        </w:rPr>
        <w:t>施工废料</w:t>
      </w:r>
    </w:p>
    <w:p w14:paraId="76C21354">
      <w:pPr>
        <w:widowControl w:val="0"/>
        <w:snapToGrid w:val="0"/>
        <w:spacing w:line="440" w:lineRule="exact"/>
        <w:ind w:firstLine="480" w:firstLineChars="200"/>
        <w:jc w:val="both"/>
        <w:rPr>
          <w:rFonts w:ascii="Times New Roman" w:hAnsi="Times New Roman" w:cs="Times New Roman"/>
          <w:color w:val="auto"/>
          <w:kern w:val="2"/>
          <w:highlight w:val="none"/>
        </w:rPr>
      </w:pPr>
      <w:r>
        <w:rPr>
          <w:rFonts w:ascii="Times New Roman" w:hAnsi="Times New Roman" w:cs="Times New Roman" w:eastAsiaTheme="minorEastAsia"/>
          <w:color w:val="auto"/>
          <w:kern w:val="2"/>
          <w:highlight w:val="none"/>
        </w:rPr>
        <w:t>本项目施工废料主要为焊接施工中产生废焊条和管道防腐施工过程中产生的废防腐材料，属于一般工业固体废物，根据《固体废物分类与代码目录》（生态环境部公告2024年第4号），施工废料的分类代码为900-099-S59。管道施工废料产生量以200kg/km管道计，本项目新建管道</w:t>
      </w:r>
      <w:r>
        <w:rPr>
          <w:rFonts w:hint="eastAsia" w:ascii="Times New Roman" w:hAnsi="Times New Roman" w:cs="Times New Roman" w:eastAsiaTheme="minorEastAsia"/>
          <w:color w:val="auto"/>
          <w:kern w:val="2"/>
          <w:highlight w:val="none"/>
          <w:lang w:val="en-US" w:eastAsia="zh-CN"/>
        </w:rPr>
        <w:t>16.12</w:t>
      </w:r>
      <w:r>
        <w:rPr>
          <w:rFonts w:ascii="Times New Roman" w:hAnsi="Times New Roman" w:cs="Times New Roman" w:eastAsiaTheme="minorEastAsia"/>
          <w:color w:val="auto"/>
          <w:kern w:val="2"/>
          <w:highlight w:val="none"/>
        </w:rPr>
        <w:t>km，因此，施工废料产生量约为</w:t>
      </w:r>
      <w:r>
        <w:rPr>
          <w:rFonts w:hint="eastAsia" w:ascii="Times New Roman" w:hAnsi="Times New Roman" w:cs="Times New Roman" w:eastAsiaTheme="minorEastAsia"/>
          <w:color w:val="auto"/>
          <w:kern w:val="2"/>
          <w:highlight w:val="none"/>
          <w:lang w:val="en-US" w:eastAsia="zh-CN"/>
        </w:rPr>
        <w:t>3.22</w:t>
      </w:r>
      <w:r>
        <w:rPr>
          <w:rFonts w:ascii="Times New Roman" w:hAnsi="Times New Roman" w:cs="Times New Roman" w:eastAsiaTheme="minorEastAsia"/>
          <w:color w:val="auto"/>
          <w:kern w:val="2"/>
          <w:highlight w:val="none"/>
        </w:rPr>
        <w:t>t。施工废料采用收集桶回收，拉运至第八采油厂工业固废填埋场处理。</w:t>
      </w:r>
    </w:p>
    <w:p w14:paraId="0E6C763A">
      <w:pPr>
        <w:snapToGrid w:val="0"/>
        <w:spacing w:line="440" w:lineRule="exact"/>
        <w:ind w:firstLine="480" w:firstLineChars="200"/>
        <w:jc w:val="both"/>
        <w:rPr>
          <w:rFonts w:ascii="Times New Roman" w:hAnsi="Times New Roman" w:cs="Times New Roman"/>
          <w:color w:val="auto"/>
          <w:kern w:val="2"/>
          <w:highlight w:val="none"/>
        </w:rPr>
      </w:pPr>
      <w:r>
        <w:rPr>
          <w:rFonts w:hint="eastAsia"/>
          <w:caps w:val="0"/>
          <w:smallCaps w:val="0"/>
          <w:color w:val="auto"/>
          <w:spacing w:val="0"/>
          <w:w w:val="100"/>
          <w:kern w:val="2"/>
          <w:position w:val="0"/>
          <w:highlight w:val="none"/>
        </w:rPr>
        <w:t>②</w:t>
      </w:r>
      <w:r>
        <w:rPr>
          <w:rFonts w:ascii="Times New Roman" w:hAnsi="Times New Roman" w:cs="Times New Roman"/>
          <w:color w:val="auto"/>
          <w:kern w:val="2"/>
          <w:highlight w:val="none"/>
        </w:rPr>
        <w:t>废弃泥浆</w:t>
      </w:r>
    </w:p>
    <w:p w14:paraId="72005A85">
      <w:pPr>
        <w:widowControl w:val="0"/>
        <w:spacing w:line="440" w:lineRule="exact"/>
        <w:ind w:firstLine="480" w:firstLineChars="200"/>
        <w:jc w:val="both"/>
        <w:rPr>
          <w:rFonts w:ascii="Times New Roman" w:hAnsi="Times New Roman" w:cs="Times New Roman" w:eastAsiaTheme="minorEastAsia"/>
          <w:color w:val="auto"/>
          <w:kern w:val="2"/>
          <w:highlight w:val="none"/>
        </w:rPr>
      </w:pPr>
      <w:r>
        <w:rPr>
          <w:rFonts w:ascii="Times New Roman" w:hAnsi="Times New Roman" w:cs="Times New Roman" w:eastAsiaTheme="minorEastAsia"/>
          <w:color w:val="auto"/>
          <w:kern w:val="2"/>
          <w:highlight w:val="none"/>
        </w:rPr>
        <w:t>本项目施工期管道定向钻施工会产生废弃泥浆，属于一般工业固体废物。对照《固体废物分类与代码目录》（生态环境部2024年第4号），废弃泥浆的分类代码为900-001-S71。根据物料消耗计算，本项目定向钻泥浆用量为</w:t>
      </w:r>
      <w:r>
        <w:rPr>
          <w:rFonts w:hint="eastAsia" w:ascii="Times New Roman" w:hAnsi="Times New Roman" w:cs="Times New Roman" w:eastAsiaTheme="minorEastAsia"/>
          <w:bCs/>
          <w:color w:val="auto"/>
          <w:kern w:val="2"/>
          <w:highlight w:val="none"/>
          <w:lang w:val="en-US" w:eastAsia="zh-CN"/>
        </w:rPr>
        <w:t>100.8</w:t>
      </w:r>
      <w:r>
        <w:rPr>
          <w:rFonts w:ascii="Times New Roman" w:hAnsi="Times New Roman" w:cs="Times New Roman" w:eastAsiaTheme="minorEastAsia"/>
          <w:bCs/>
          <w:color w:val="auto"/>
          <w:kern w:val="2"/>
          <w:highlight w:val="none"/>
        </w:rPr>
        <w:t>m</w:t>
      </w:r>
      <w:r>
        <w:rPr>
          <w:rFonts w:ascii="Times New Roman" w:hAnsi="Times New Roman" w:cs="Times New Roman" w:eastAsiaTheme="minorEastAsia"/>
          <w:bCs/>
          <w:color w:val="auto"/>
          <w:kern w:val="2"/>
          <w:highlight w:val="none"/>
          <w:vertAlign w:val="superscript"/>
        </w:rPr>
        <w:t>3</w:t>
      </w:r>
      <w:r>
        <w:rPr>
          <w:rFonts w:ascii="Times New Roman" w:hAnsi="Times New Roman" w:cs="Times New Roman" w:eastAsiaTheme="minorEastAsia"/>
          <w:bCs/>
          <w:color w:val="auto"/>
          <w:kern w:val="2"/>
          <w:highlight w:val="none"/>
        </w:rPr>
        <w:t>，施工过程中泥浆损耗系数约为0.3，因此剩余的废弃泥浆约为</w:t>
      </w:r>
      <w:r>
        <w:rPr>
          <w:rFonts w:hint="eastAsia" w:ascii="Times New Roman" w:hAnsi="Times New Roman" w:cs="Times New Roman" w:eastAsiaTheme="minorEastAsia"/>
          <w:bCs/>
          <w:color w:val="auto"/>
          <w:kern w:val="2"/>
          <w:highlight w:val="none"/>
          <w:lang w:val="en-US" w:eastAsia="zh-CN"/>
        </w:rPr>
        <w:t>70.56</w:t>
      </w:r>
      <w:r>
        <w:rPr>
          <w:rFonts w:ascii="Times New Roman" w:hAnsi="Times New Roman" w:cs="Times New Roman" w:eastAsiaTheme="minorEastAsia"/>
          <w:bCs/>
          <w:color w:val="auto"/>
          <w:kern w:val="2"/>
          <w:highlight w:val="none"/>
        </w:rPr>
        <w:t>m</w:t>
      </w:r>
      <w:r>
        <w:rPr>
          <w:rFonts w:ascii="Times New Roman" w:hAnsi="Times New Roman" w:cs="Times New Roman" w:eastAsiaTheme="minorEastAsia"/>
          <w:bCs/>
          <w:color w:val="auto"/>
          <w:kern w:val="2"/>
          <w:highlight w:val="none"/>
          <w:vertAlign w:val="superscript"/>
        </w:rPr>
        <w:t>3</w:t>
      </w:r>
      <w:r>
        <w:rPr>
          <w:rFonts w:ascii="Times New Roman" w:hAnsi="Times New Roman" w:cs="Times New Roman" w:eastAsiaTheme="minorEastAsia"/>
          <w:bCs/>
          <w:color w:val="auto"/>
          <w:kern w:val="2"/>
          <w:highlight w:val="none"/>
        </w:rPr>
        <w:t>，废弃泥浆</w:t>
      </w:r>
      <w:r>
        <w:rPr>
          <w:rFonts w:ascii="Times New Roman" w:hAnsi="Times New Roman" w:cs="Times New Roman" w:eastAsiaTheme="minorEastAsia"/>
          <w:color w:val="auto"/>
          <w:kern w:val="2"/>
          <w:szCs w:val="20"/>
          <w:highlight w:val="none"/>
        </w:rPr>
        <w:t>排入施工场地的钢制泥浆槽中，定期拉运至大庆洁宇环保科技有限公司处理。</w:t>
      </w:r>
    </w:p>
    <w:p w14:paraId="2365929B">
      <w:pPr>
        <w:widowControl w:val="0"/>
        <w:spacing w:line="440" w:lineRule="exact"/>
        <w:ind w:firstLine="480" w:firstLineChars="200"/>
        <w:jc w:val="both"/>
        <w:rPr>
          <w:rFonts w:hint="eastAsia"/>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③废防渗布</w:t>
      </w:r>
    </w:p>
    <w:p w14:paraId="221DC96F">
      <w:pPr>
        <w:widowControl w:val="0"/>
        <w:spacing w:line="440" w:lineRule="exact"/>
        <w:ind w:firstLine="480" w:firstLineChars="200"/>
        <w:jc w:val="both"/>
        <w:rPr>
          <w:rFonts w:hint="eastAsia"/>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为防止在定向钻施工过程中废弃泥浆等散落地面从而对土壤产生影响，需要在定向钻施工场地中泥浆罐、钢制泥浆槽底部铺设防渗布，废弃防渗布属于一般固体废物，根据《固体废物分类与代码目录》（生态环境部公告2024年第4号），废防渗布的分类代码为900-003-S17。本项目单处定向钻施工场地铺设防渗布面积约20m</w:t>
      </w:r>
      <w:r>
        <w:rPr>
          <w:rFonts w:hint="eastAsia"/>
          <w:caps w:val="0"/>
          <w:smallCaps w:val="0"/>
          <w:color w:val="auto"/>
          <w:spacing w:val="0"/>
          <w:w w:val="100"/>
          <w:kern w:val="2"/>
          <w:position w:val="0"/>
          <w:highlight w:val="none"/>
          <w:vertAlign w:val="superscript"/>
        </w:rPr>
        <w:t>2</w:t>
      </w:r>
      <w:r>
        <w:rPr>
          <w:rFonts w:hint="eastAsia"/>
          <w:caps w:val="0"/>
          <w:smallCaps w:val="0"/>
          <w:color w:val="auto"/>
          <w:spacing w:val="0"/>
          <w:w w:val="100"/>
          <w:kern w:val="2"/>
          <w:position w:val="0"/>
          <w:highlight w:val="none"/>
        </w:rPr>
        <w:t>，每平米防渗布重约1.9kg，防渗布重复利用，每6</w:t>
      </w:r>
      <w:r>
        <w:rPr>
          <w:rFonts w:hint="eastAsia"/>
          <w:caps w:val="0"/>
          <w:smallCaps w:val="0"/>
          <w:color w:val="auto"/>
          <w:spacing w:val="0"/>
          <w:w w:val="100"/>
          <w:kern w:val="2"/>
          <w:position w:val="0"/>
          <w:highlight w:val="none"/>
          <w:lang w:val="en-US" w:eastAsia="zh-CN"/>
        </w:rPr>
        <w:t>-</w:t>
      </w:r>
      <w:r>
        <w:rPr>
          <w:rFonts w:hint="eastAsia"/>
          <w:caps w:val="0"/>
          <w:smallCaps w:val="0"/>
          <w:color w:val="auto"/>
          <w:spacing w:val="0"/>
          <w:w w:val="100"/>
          <w:kern w:val="2"/>
          <w:position w:val="0"/>
          <w:highlight w:val="none"/>
        </w:rPr>
        <w:t>8次更换一次，本工程取使用7次更换一次，本项目合计有2</w:t>
      </w:r>
      <w:r>
        <w:rPr>
          <w:rFonts w:hint="eastAsia"/>
          <w:caps w:val="0"/>
          <w:smallCaps w:val="0"/>
          <w:color w:val="auto"/>
          <w:spacing w:val="0"/>
          <w:w w:val="100"/>
          <w:kern w:val="2"/>
          <w:position w:val="0"/>
          <w:highlight w:val="none"/>
          <w:lang w:val="en-US" w:eastAsia="zh-CN"/>
        </w:rPr>
        <w:t>4</w:t>
      </w:r>
      <w:r>
        <w:rPr>
          <w:rFonts w:hint="eastAsia"/>
          <w:caps w:val="0"/>
          <w:smallCaps w:val="0"/>
          <w:color w:val="auto"/>
          <w:spacing w:val="0"/>
          <w:w w:val="100"/>
          <w:kern w:val="2"/>
          <w:position w:val="0"/>
          <w:highlight w:val="none"/>
        </w:rPr>
        <w:t>处定向钻施工场地，故本项目施工期共产生废防渗布0.</w:t>
      </w:r>
      <w:r>
        <w:rPr>
          <w:rFonts w:hint="eastAsia"/>
          <w:caps w:val="0"/>
          <w:smallCaps w:val="0"/>
          <w:color w:val="auto"/>
          <w:spacing w:val="0"/>
          <w:w w:val="100"/>
          <w:kern w:val="2"/>
          <w:position w:val="0"/>
          <w:highlight w:val="none"/>
          <w:lang w:val="en-US" w:eastAsia="zh-CN"/>
        </w:rPr>
        <w:t>13</w:t>
      </w:r>
      <w:r>
        <w:rPr>
          <w:rFonts w:hint="eastAsia"/>
          <w:caps w:val="0"/>
          <w:smallCaps w:val="0"/>
          <w:color w:val="auto"/>
          <w:spacing w:val="0"/>
          <w:w w:val="100"/>
          <w:kern w:val="2"/>
          <w:position w:val="0"/>
          <w:highlight w:val="none"/>
        </w:rPr>
        <w:t>t。废防渗布采用收集桶回收，由施工单位安排拉运至第八采油厂工业固废填埋场处理。</w:t>
      </w:r>
    </w:p>
    <w:p w14:paraId="7545C432">
      <w:pPr>
        <w:widowControl w:val="0"/>
        <w:spacing w:line="440" w:lineRule="exact"/>
        <w:ind w:firstLine="480" w:firstLineChars="200"/>
        <w:jc w:val="both"/>
        <w:rPr>
          <w:rFonts w:hint="eastAsia"/>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④生活垃圾</w:t>
      </w:r>
    </w:p>
    <w:p w14:paraId="456C76B4">
      <w:pPr>
        <w:widowControl w:val="0"/>
        <w:spacing w:line="440" w:lineRule="exact"/>
        <w:ind w:firstLine="480" w:firstLineChars="200"/>
        <w:jc w:val="both"/>
        <w:rPr>
          <w:rFonts w:hint="eastAsia"/>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本工程施工期施工人员30人，施工约60d。施工期每人产生生活垃圾0.5kg/d计，施工期生活垃圾产生量为0.9t。根据《固体废物分类与代码目录》（生态环境部公告2024年第4号），生活垃圾的分类代码为900-099-S64。生活垃圾统一收集后拉运至安达市生活垃圾填埋场处理。</w:t>
      </w:r>
    </w:p>
    <w:p w14:paraId="7A5285F7">
      <w:pPr>
        <w:pStyle w:val="149"/>
        <w:widowControl w:val="0"/>
        <w:spacing w:line="440" w:lineRule="exact"/>
        <w:ind w:firstLine="478"/>
        <w:rPr>
          <w:rFonts w:ascii="Times New Roman" w:hAnsi="Times New Roman"/>
          <w:b/>
          <w:caps w:val="0"/>
          <w:smallCaps w:val="0"/>
          <w:color w:val="auto"/>
          <w:spacing w:val="0"/>
          <w:w w:val="100"/>
          <w:kern w:val="2"/>
          <w:position w:val="0"/>
          <w:highlight w:val="none"/>
        </w:rPr>
      </w:pPr>
      <w:r>
        <w:rPr>
          <w:rFonts w:ascii="Times New Roman" w:hAnsi="Times New Roman"/>
          <w:b/>
          <w:caps w:val="0"/>
          <w:smallCaps w:val="0"/>
          <w:color w:val="auto"/>
          <w:spacing w:val="0"/>
          <w:w w:val="100"/>
          <w:kern w:val="2"/>
          <w:position w:val="0"/>
          <w:highlight w:val="none"/>
        </w:rPr>
        <w:t>表3.10-3    本工程施工期固体废物产生量统计表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267"/>
        <w:gridCol w:w="1000"/>
        <w:gridCol w:w="6309"/>
      </w:tblGrid>
      <w:tr w14:paraId="27E4C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2" w:type="pct"/>
            <w:vAlign w:val="center"/>
          </w:tcPr>
          <w:p w14:paraId="54DE7B54">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序号</w:t>
            </w:r>
          </w:p>
        </w:tc>
        <w:tc>
          <w:tcPr>
            <w:tcW w:w="682" w:type="pct"/>
            <w:vAlign w:val="center"/>
          </w:tcPr>
          <w:p w14:paraId="2DA69A82">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污染物名称</w:t>
            </w:r>
          </w:p>
        </w:tc>
        <w:tc>
          <w:tcPr>
            <w:tcW w:w="538" w:type="pct"/>
            <w:vAlign w:val="center"/>
          </w:tcPr>
          <w:p w14:paraId="563C329F">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产生量</w:t>
            </w:r>
          </w:p>
        </w:tc>
        <w:tc>
          <w:tcPr>
            <w:tcW w:w="3397" w:type="pct"/>
            <w:vAlign w:val="center"/>
          </w:tcPr>
          <w:p w14:paraId="06908254">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处置去向</w:t>
            </w:r>
          </w:p>
        </w:tc>
      </w:tr>
      <w:tr w14:paraId="1002D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382" w:type="pct"/>
            <w:vAlign w:val="center"/>
          </w:tcPr>
          <w:p w14:paraId="31214085">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w:t>
            </w:r>
          </w:p>
        </w:tc>
        <w:tc>
          <w:tcPr>
            <w:tcW w:w="682" w:type="pct"/>
            <w:vAlign w:val="center"/>
          </w:tcPr>
          <w:p w14:paraId="16F55068">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施工废料</w:t>
            </w:r>
          </w:p>
        </w:tc>
        <w:tc>
          <w:tcPr>
            <w:tcW w:w="538" w:type="pct"/>
            <w:vAlign w:val="center"/>
          </w:tcPr>
          <w:p w14:paraId="665B4403">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3.22</w:t>
            </w:r>
            <w:r>
              <w:rPr>
                <w:rFonts w:ascii="Times New Roman" w:hAnsi="Times New Roman" w:cs="Times New Roman"/>
                <w:caps w:val="0"/>
                <w:smallCaps w:val="0"/>
                <w:color w:val="auto"/>
                <w:spacing w:val="0"/>
                <w:w w:val="100"/>
                <w:kern w:val="2"/>
                <w:position w:val="0"/>
                <w:sz w:val="21"/>
                <w:szCs w:val="21"/>
                <w:highlight w:val="none"/>
              </w:rPr>
              <w:t>t</w:t>
            </w:r>
          </w:p>
        </w:tc>
        <w:tc>
          <w:tcPr>
            <w:tcW w:w="3397" w:type="pct"/>
            <w:vAlign w:val="center"/>
          </w:tcPr>
          <w:p w14:paraId="71DEA7D8">
            <w:pPr>
              <w:widowControl w:val="0"/>
              <w:adjustRightInd w:val="0"/>
              <w:snapToGrid w:val="0"/>
              <w:spacing w:line="320" w:lineRule="exact"/>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拉运至第八采油厂工业固废填埋场处理</w:t>
            </w:r>
          </w:p>
        </w:tc>
      </w:tr>
      <w:tr w14:paraId="1E82A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382" w:type="pct"/>
            <w:vAlign w:val="center"/>
          </w:tcPr>
          <w:p w14:paraId="7908F32B">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2</w:t>
            </w:r>
          </w:p>
        </w:tc>
        <w:tc>
          <w:tcPr>
            <w:tcW w:w="682" w:type="pct"/>
            <w:vAlign w:val="center"/>
          </w:tcPr>
          <w:p w14:paraId="189602C5">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废弃泥浆</w:t>
            </w:r>
          </w:p>
        </w:tc>
        <w:tc>
          <w:tcPr>
            <w:tcW w:w="538" w:type="pct"/>
            <w:vAlign w:val="center"/>
          </w:tcPr>
          <w:p w14:paraId="75E5CEC3">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bCs/>
                <w:caps w:val="0"/>
                <w:smallCaps w:val="0"/>
                <w:color w:val="auto"/>
                <w:spacing w:val="0"/>
                <w:w w:val="100"/>
                <w:kern w:val="2"/>
                <w:position w:val="0"/>
                <w:sz w:val="21"/>
                <w:szCs w:val="21"/>
                <w:highlight w:val="none"/>
                <w:lang w:val="en-US" w:eastAsia="zh-CN"/>
              </w:rPr>
              <w:t>70.56m</w:t>
            </w:r>
            <w:r>
              <w:rPr>
                <w:rFonts w:hint="eastAsia" w:ascii="Times New Roman" w:hAnsi="Times New Roman" w:cs="Times New Roman"/>
                <w:bCs/>
                <w:caps w:val="0"/>
                <w:smallCaps w:val="0"/>
                <w:color w:val="auto"/>
                <w:spacing w:val="0"/>
                <w:w w:val="100"/>
                <w:kern w:val="2"/>
                <w:position w:val="0"/>
                <w:sz w:val="21"/>
                <w:szCs w:val="21"/>
                <w:highlight w:val="none"/>
                <w:vertAlign w:val="superscript"/>
                <w:lang w:val="en-US" w:eastAsia="zh-CN"/>
              </w:rPr>
              <w:t>3</w:t>
            </w:r>
          </w:p>
        </w:tc>
        <w:tc>
          <w:tcPr>
            <w:tcW w:w="3397" w:type="pct"/>
            <w:vAlign w:val="center"/>
          </w:tcPr>
          <w:p w14:paraId="5BACC325">
            <w:pPr>
              <w:widowControl w:val="0"/>
              <w:adjustRightInd w:val="0"/>
              <w:snapToGrid w:val="0"/>
              <w:spacing w:line="320" w:lineRule="exact"/>
              <w:jc w:val="both"/>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排入施工场地的钢制泥浆槽中，定期拉运至大庆洁宇环保科技有限公司处理</w:t>
            </w:r>
          </w:p>
        </w:tc>
      </w:tr>
      <w:tr w14:paraId="2FF6A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2" w:type="pct"/>
            <w:vAlign w:val="center"/>
          </w:tcPr>
          <w:p w14:paraId="00D2ECC0">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w:t>
            </w:r>
          </w:p>
        </w:tc>
        <w:tc>
          <w:tcPr>
            <w:tcW w:w="682" w:type="pct"/>
            <w:vAlign w:val="center"/>
          </w:tcPr>
          <w:p w14:paraId="6AAD07C5">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废防渗布</w:t>
            </w:r>
          </w:p>
        </w:tc>
        <w:tc>
          <w:tcPr>
            <w:tcW w:w="538" w:type="pct"/>
            <w:vAlign w:val="center"/>
          </w:tcPr>
          <w:p w14:paraId="22C70590">
            <w:pPr>
              <w:widowControl w:val="0"/>
              <w:adjustRightInd w:val="0"/>
              <w:snapToGrid w:val="0"/>
              <w:spacing w:line="320" w:lineRule="exact"/>
              <w:jc w:val="center"/>
              <w:rPr>
                <w:rFonts w:hint="default" w:ascii="Times New Roman" w:hAnsi="Times New Roman" w:eastAsia="宋体" w:cs="Times New Roman"/>
                <w:caps w:val="0"/>
                <w:smallCaps w:val="0"/>
                <w:color w:val="auto"/>
                <w:spacing w:val="0"/>
                <w:w w:val="100"/>
                <w:kern w:val="2"/>
                <w:position w:val="0"/>
                <w:sz w:val="21"/>
                <w:szCs w:val="21"/>
                <w:highlight w:val="none"/>
                <w:lang w:val="en-US" w:eastAsia="zh-CN"/>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0.13t</w:t>
            </w:r>
          </w:p>
        </w:tc>
        <w:tc>
          <w:tcPr>
            <w:tcW w:w="3397" w:type="pct"/>
            <w:vAlign w:val="center"/>
          </w:tcPr>
          <w:p w14:paraId="1C6FE7EA">
            <w:pPr>
              <w:widowControl w:val="0"/>
              <w:adjustRightInd w:val="0"/>
              <w:snapToGrid w:val="0"/>
              <w:spacing w:line="320" w:lineRule="exact"/>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采用收集桶回收，由施工单位安排拉运至第八采油厂工业固废填埋场处理。</w:t>
            </w:r>
          </w:p>
        </w:tc>
      </w:tr>
      <w:tr w14:paraId="0847D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2" w:type="pct"/>
            <w:vAlign w:val="center"/>
          </w:tcPr>
          <w:p w14:paraId="7E237708">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w:t>
            </w:r>
          </w:p>
        </w:tc>
        <w:tc>
          <w:tcPr>
            <w:tcW w:w="682" w:type="pct"/>
            <w:vAlign w:val="center"/>
          </w:tcPr>
          <w:p w14:paraId="519F7306">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生活垃圾</w:t>
            </w:r>
          </w:p>
        </w:tc>
        <w:tc>
          <w:tcPr>
            <w:tcW w:w="538" w:type="pct"/>
            <w:vAlign w:val="center"/>
          </w:tcPr>
          <w:p w14:paraId="2B913B4B">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0.9t</w:t>
            </w:r>
          </w:p>
        </w:tc>
        <w:tc>
          <w:tcPr>
            <w:tcW w:w="3397" w:type="pct"/>
            <w:vAlign w:val="center"/>
          </w:tcPr>
          <w:p w14:paraId="6153D773">
            <w:pPr>
              <w:widowControl w:val="0"/>
              <w:adjustRightInd w:val="0"/>
              <w:snapToGrid w:val="0"/>
              <w:spacing w:line="320" w:lineRule="exact"/>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生活垃圾统一收集后拉运至安达市生活垃圾填埋场处理。</w:t>
            </w:r>
          </w:p>
        </w:tc>
      </w:tr>
    </w:tbl>
    <w:p w14:paraId="1C208575">
      <w:pPr>
        <w:widowControl w:val="0"/>
        <w:spacing w:line="440" w:lineRule="exact"/>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3.10.3.2运行期污染源源强核算</w:t>
      </w:r>
    </w:p>
    <w:p w14:paraId="4BFABFDA">
      <w:pPr>
        <w:widowControl w:val="0"/>
        <w:snapToGrid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本项目运营期管线采用密闭输送方式输送。管线在正常运行状况下无废气、废水、噪声和固体废物产生及排放，但运行过程存在潜在</w:t>
      </w:r>
      <w:r>
        <w:rPr>
          <w:rFonts w:hint="eastAsia" w:ascii="Times New Roman" w:hAnsi="Times New Roman" w:cs="Times New Roman" w:eastAsiaTheme="minorEastAsia"/>
          <w:caps w:val="0"/>
          <w:smallCaps w:val="0"/>
          <w:color w:val="auto"/>
          <w:spacing w:val="0"/>
          <w:w w:val="100"/>
          <w:kern w:val="2"/>
          <w:position w:val="0"/>
          <w:highlight w:val="none"/>
        </w:rPr>
        <w:t>原油</w:t>
      </w:r>
      <w:r>
        <w:rPr>
          <w:rFonts w:ascii="Times New Roman" w:hAnsi="Times New Roman" w:cs="Times New Roman" w:eastAsiaTheme="minorEastAsia"/>
          <w:caps w:val="0"/>
          <w:smallCaps w:val="0"/>
          <w:color w:val="auto"/>
          <w:spacing w:val="0"/>
          <w:w w:val="100"/>
          <w:kern w:val="2"/>
          <w:position w:val="0"/>
          <w:highlight w:val="none"/>
        </w:rPr>
        <w:t>、</w:t>
      </w:r>
      <w:r>
        <w:rPr>
          <w:rFonts w:hint="eastAsia" w:ascii="Times New Roman" w:hAnsi="Times New Roman" w:cs="Times New Roman" w:eastAsiaTheme="minorEastAsia"/>
          <w:caps w:val="0"/>
          <w:smallCaps w:val="0"/>
          <w:color w:val="auto"/>
          <w:spacing w:val="0"/>
          <w:w w:val="100"/>
          <w:kern w:val="2"/>
          <w:position w:val="0"/>
          <w:highlight w:val="none"/>
          <w:lang w:eastAsia="zh-CN"/>
        </w:rPr>
        <w:t>含油污水</w:t>
      </w:r>
      <w:r>
        <w:rPr>
          <w:rFonts w:ascii="Times New Roman" w:hAnsi="Times New Roman" w:cs="Times New Roman" w:eastAsiaTheme="minorEastAsia"/>
          <w:caps w:val="0"/>
          <w:smallCaps w:val="0"/>
          <w:color w:val="auto"/>
          <w:spacing w:val="0"/>
          <w:w w:val="100"/>
          <w:kern w:val="2"/>
          <w:position w:val="0"/>
          <w:highlight w:val="none"/>
        </w:rPr>
        <w:t>泄漏的风险，可能对大气、地表水、地下水、土壤环境产生污染影响。</w:t>
      </w:r>
    </w:p>
    <w:p w14:paraId="14F340D9">
      <w:pPr>
        <w:widowControl w:val="0"/>
        <w:spacing w:line="440" w:lineRule="exact"/>
        <w:jc w:val="both"/>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3.10.3.3退役期污染源源强核算</w:t>
      </w:r>
    </w:p>
    <w:p w14:paraId="594DD15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（1）废气</w:t>
      </w:r>
    </w:p>
    <w:p w14:paraId="739EB98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退役期废气主要为管线封堵直埋作业时产生的施工扬尘，以及施工机械和车辆尾气。主要污染物为TSP、NO</w:t>
      </w:r>
      <w:r>
        <w:rPr>
          <w:rFonts w:ascii="Times New Roman" w:hAnsi="Times New Roman" w:cs="Times New Roman" w:eastAsiaTheme="minorEastAsia"/>
          <w:caps w:val="0"/>
          <w:smallCaps w:val="0"/>
          <w:color w:val="auto"/>
          <w:spacing w:val="0"/>
          <w:w w:val="100"/>
          <w:kern w:val="2"/>
          <w:position w:val="0"/>
          <w:highlight w:val="none"/>
          <w:vertAlign w:val="subscript"/>
        </w:rPr>
        <w:t>2</w:t>
      </w:r>
      <w:r>
        <w:rPr>
          <w:rFonts w:ascii="Times New Roman" w:hAnsi="Times New Roman" w:cs="Times New Roman" w:eastAsiaTheme="minorEastAsia"/>
          <w:caps w:val="0"/>
          <w:smallCaps w:val="0"/>
          <w:color w:val="auto"/>
          <w:spacing w:val="0"/>
          <w:w w:val="100"/>
          <w:kern w:val="2"/>
          <w:position w:val="0"/>
          <w:highlight w:val="none"/>
        </w:rPr>
        <w:t>、CO、HC等，由于施工时间较短，采取洒水抑尘等措施后，项目施工扬尘影响较小。由于工程施工量较小，且施工现场均在野外，有利于空气的扩散，同时施工机械及车辆废气污染源具有间歇性和流动性，因此对局部地区的环境空气影响较小。</w:t>
      </w:r>
    </w:p>
    <w:p w14:paraId="1EF122B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（2）废水</w:t>
      </w:r>
    </w:p>
    <w:p w14:paraId="4B9B81AC">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ascii="Times New Roman" w:hAnsi="Times New Roman" w:cs="Times New Roman"/>
          <w:caps w:val="0"/>
          <w:smallCaps w:val="0"/>
          <w:color w:val="auto"/>
          <w:spacing w:val="0"/>
          <w:w w:val="100"/>
          <w:kern w:val="2"/>
          <w:position w:val="0"/>
          <w:highlight w:val="none"/>
        </w:rPr>
        <w:t>①</w:t>
      </w:r>
      <w:bookmarkStart w:id="563" w:name="OLE_LINK54"/>
      <w:r>
        <w:rPr>
          <w:rFonts w:hint="eastAsia" w:ascii="Times New Roman" w:hAnsi="Times New Roman" w:cs="Times New Roman"/>
          <w:caps w:val="0"/>
          <w:smallCaps w:val="0"/>
          <w:color w:val="auto"/>
          <w:spacing w:val="0"/>
          <w:w w:val="100"/>
          <w:kern w:val="2"/>
          <w:position w:val="0"/>
          <w:highlight w:val="none"/>
        </w:rPr>
        <w:t>退役</w:t>
      </w:r>
      <w:bookmarkEnd w:id="563"/>
      <w:r>
        <w:rPr>
          <w:rFonts w:hint="eastAsia" w:ascii="Times New Roman" w:hAnsi="Times New Roman" w:cs="Times New Roman"/>
          <w:caps w:val="0"/>
          <w:smallCaps w:val="0"/>
          <w:color w:val="auto"/>
          <w:spacing w:val="0"/>
          <w:w w:val="100"/>
          <w:kern w:val="2"/>
          <w:position w:val="0"/>
          <w:highlight w:val="none"/>
        </w:rPr>
        <w:t>管线清洗废水</w:t>
      </w:r>
    </w:p>
    <w:p w14:paraId="4F32AC38">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kern w:val="2"/>
          <w:position w:val="0"/>
          <w:highlight w:val="none"/>
        </w:rPr>
        <w:t>本项目</w:t>
      </w:r>
      <w:r>
        <w:rPr>
          <w:rFonts w:hint="eastAsia" w:ascii="Times New Roman" w:hAnsi="Times New Roman" w:cs="Times New Roman"/>
          <w:caps w:val="0"/>
          <w:smallCaps w:val="0"/>
          <w:color w:val="auto"/>
          <w:spacing w:val="0"/>
          <w:w w:val="100"/>
          <w:kern w:val="2"/>
          <w:position w:val="0"/>
          <w:highlight w:val="none"/>
        </w:rPr>
        <w:t>对退役管道进行全管段清洗</w:t>
      </w:r>
      <w:r>
        <w:rPr>
          <w:rFonts w:ascii="Times New Roman" w:hAnsi="Times New Roman" w:cs="Times New Roman"/>
          <w:caps w:val="0"/>
          <w:smallCaps w:val="0"/>
          <w:color w:val="auto"/>
          <w:spacing w:val="0"/>
          <w:w w:val="100"/>
          <w:kern w:val="2"/>
          <w:position w:val="0"/>
          <w:highlight w:val="none"/>
        </w:rPr>
        <w:t>，清洗用水</w:t>
      </w:r>
      <w:r>
        <w:rPr>
          <w:rFonts w:hint="eastAsia" w:ascii="Times New Roman" w:hAnsi="Times New Roman" w:cs="Times New Roman"/>
          <w:bCs/>
          <w:caps w:val="0"/>
          <w:smallCaps w:val="0"/>
          <w:color w:val="auto"/>
          <w:spacing w:val="0"/>
          <w:w w:val="100"/>
          <w:kern w:val="2"/>
          <w:position w:val="0"/>
          <w:highlight w:val="none"/>
        </w:rPr>
        <w:t>量以管道容积</w:t>
      </w:r>
      <w:r>
        <w:rPr>
          <w:rFonts w:ascii="Times New Roman" w:hAnsi="Times New Roman" w:cs="Times New Roman"/>
          <w:bCs/>
          <w:caps w:val="0"/>
          <w:smallCaps w:val="0"/>
          <w:color w:val="auto"/>
          <w:spacing w:val="0"/>
          <w:w w:val="100"/>
          <w:kern w:val="2"/>
          <w:position w:val="0"/>
          <w:highlight w:val="none"/>
        </w:rPr>
        <w:t>V=πr</w:t>
      </w:r>
      <w:r>
        <w:rPr>
          <w:rFonts w:ascii="Times New Roman" w:hAnsi="Times New Roman" w:cs="Times New Roman"/>
          <w:bCs/>
          <w:caps w:val="0"/>
          <w:smallCaps w:val="0"/>
          <w:color w:val="auto"/>
          <w:spacing w:val="0"/>
          <w:w w:val="100"/>
          <w:kern w:val="2"/>
          <w:position w:val="0"/>
          <w:highlight w:val="none"/>
          <w:vertAlign w:val="superscript"/>
        </w:rPr>
        <w:t>2</w:t>
      </w:r>
      <w:r>
        <w:rPr>
          <w:rFonts w:ascii="Times New Roman" w:hAnsi="Times New Roman" w:cs="Times New Roman"/>
          <w:bCs/>
          <w:caps w:val="0"/>
          <w:smallCaps w:val="0"/>
          <w:color w:val="auto"/>
          <w:spacing w:val="0"/>
          <w:w w:val="100"/>
          <w:kern w:val="2"/>
          <w:position w:val="0"/>
          <w:highlight w:val="none"/>
        </w:rPr>
        <w:t>L的3倍计，</w:t>
      </w:r>
      <w:r>
        <w:rPr>
          <w:rFonts w:ascii="Times New Roman" w:hAnsi="Times New Roman" w:cs="Times New Roman"/>
          <w:bCs/>
          <w:caps w:val="0"/>
          <w:smallCaps w:val="0"/>
          <w:color w:val="auto"/>
          <w:spacing w:val="0"/>
          <w:w w:val="100"/>
          <w:kern w:val="21"/>
          <w:position w:val="0"/>
          <w:highlight w:val="none"/>
        </w:rPr>
        <w:t>现有位于两个截断阀之间的</w:t>
      </w:r>
      <w:r>
        <w:rPr>
          <w:rFonts w:hint="eastAsia" w:ascii="Times New Roman" w:hAnsi="Times New Roman" w:cs="Times New Roman"/>
          <w:bCs/>
          <w:caps w:val="0"/>
          <w:smallCaps w:val="0"/>
          <w:color w:val="auto"/>
          <w:spacing w:val="0"/>
          <w:w w:val="100"/>
          <w:kern w:val="21"/>
          <w:position w:val="0"/>
          <w:highlight w:val="none"/>
        </w:rPr>
        <w:t>现有</w:t>
      </w:r>
      <w:r>
        <w:rPr>
          <w:rFonts w:ascii="Times New Roman" w:hAnsi="Times New Roman" w:cs="Times New Roman"/>
          <w:bCs/>
          <w:caps w:val="0"/>
          <w:smallCaps w:val="0"/>
          <w:color w:val="auto"/>
          <w:spacing w:val="0"/>
          <w:w w:val="100"/>
          <w:kern w:val="21"/>
          <w:position w:val="0"/>
          <w:highlight w:val="none"/>
        </w:rPr>
        <w:t>管道规格包括Φ114×4.5~</w:t>
      </w:r>
      <w:r>
        <w:rPr>
          <w:rFonts w:hint="eastAsia" w:ascii="Times New Roman" w:hAnsi="Times New Roman" w:cs="Times New Roman"/>
          <w:bCs/>
          <w:caps w:val="0"/>
          <w:smallCaps w:val="0"/>
          <w:color w:val="auto"/>
          <w:spacing w:val="0"/>
          <w:w w:val="100"/>
          <w:kern w:val="21"/>
          <w:position w:val="0"/>
          <w:highlight w:val="none"/>
          <w:lang w:val="en-US" w:eastAsia="zh-CN"/>
        </w:rPr>
        <w:t>8.29</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60</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3.81</w:t>
      </w:r>
      <w:r>
        <w:rPr>
          <w:rFonts w:ascii="Times New Roman" w:hAnsi="Times New Roman" w:cs="Times New Roman"/>
          <w:bCs/>
          <w:caps w:val="0"/>
          <w:smallCaps w:val="0"/>
          <w:color w:val="auto"/>
          <w:spacing w:val="0"/>
          <w:w w:val="100"/>
          <w:kern w:val="21"/>
          <w:position w:val="0"/>
          <w:highlight w:val="none"/>
        </w:rPr>
        <w:t>km、Φ</w:t>
      </w:r>
      <w:r>
        <w:rPr>
          <w:rFonts w:hint="eastAsia" w:ascii="Times New Roman" w:hAnsi="Times New Roman" w:cs="Times New Roman"/>
          <w:bCs/>
          <w:caps w:val="0"/>
          <w:smallCaps w:val="0"/>
          <w:color w:val="auto"/>
          <w:spacing w:val="0"/>
          <w:w w:val="100"/>
          <w:kern w:val="21"/>
          <w:position w:val="0"/>
          <w:highlight w:val="none"/>
          <w:lang w:val="en-US" w:eastAsia="zh-CN"/>
        </w:rPr>
        <w:t>76</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4.5</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lang w:val="en-US" w:eastAsia="zh-CN"/>
        </w:rPr>
        <w:t>4.02</w:t>
      </w:r>
      <w:r>
        <w:rPr>
          <w:rFonts w:ascii="Times New Roman" w:hAnsi="Times New Roman" w:cs="Times New Roman"/>
          <w:bCs/>
          <w:caps w:val="0"/>
          <w:smallCaps w:val="0"/>
          <w:color w:val="auto"/>
          <w:spacing w:val="0"/>
          <w:w w:val="100"/>
          <w:kern w:val="21"/>
          <w:position w:val="0"/>
          <w:highlight w:val="none"/>
        </w:rPr>
        <w:t>km，则管道清洗用水量合计</w:t>
      </w:r>
      <w:r>
        <w:rPr>
          <w:rFonts w:hint="eastAsia" w:ascii="Times New Roman" w:hAnsi="Times New Roman" w:cs="Times New Roman"/>
          <w:bCs/>
          <w:caps w:val="0"/>
          <w:smallCaps w:val="0"/>
          <w:color w:val="auto"/>
          <w:spacing w:val="0"/>
          <w:w w:val="100"/>
          <w:kern w:val="21"/>
          <w:position w:val="0"/>
          <w:highlight w:val="none"/>
          <w:lang w:val="en-US" w:eastAsia="zh-CN"/>
        </w:rPr>
        <w:t>286.7</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3</w:t>
      </w:r>
      <w:r>
        <w:rPr>
          <w:rFonts w:hint="eastAsia" w:ascii="Times New Roman" w:hAnsi="Times New Roman" w:cs="Times New Roman"/>
          <w:bCs/>
          <w:caps w:val="0"/>
          <w:smallCaps w:val="0"/>
          <w:color w:val="auto"/>
          <w:spacing w:val="0"/>
          <w:w w:val="100"/>
          <w:kern w:val="21"/>
          <w:position w:val="0"/>
          <w:highlight w:val="none"/>
        </w:rPr>
        <w:t>，</w:t>
      </w:r>
      <w:r>
        <w:rPr>
          <w:rFonts w:ascii="Times New Roman" w:hAnsi="Times New Roman" w:cs="Times New Roman"/>
          <w:bCs/>
          <w:caps w:val="0"/>
          <w:smallCaps w:val="0"/>
          <w:color w:val="auto"/>
          <w:spacing w:val="0"/>
          <w:w w:val="100"/>
          <w:kern w:val="21"/>
          <w:position w:val="0"/>
          <w:highlight w:val="none"/>
        </w:rPr>
        <w:t>清洗废水按用水量的95%计算，</w:t>
      </w:r>
      <w:r>
        <w:rPr>
          <w:rFonts w:hint="eastAsia" w:ascii="Times New Roman" w:hAnsi="Times New Roman" w:cs="Times New Roman"/>
          <w:bCs/>
          <w:caps w:val="0"/>
          <w:smallCaps w:val="0"/>
          <w:color w:val="auto"/>
          <w:spacing w:val="0"/>
          <w:w w:val="100"/>
          <w:kern w:val="21"/>
          <w:position w:val="0"/>
          <w:highlight w:val="none"/>
        </w:rPr>
        <w:t>则项目现有管线清洗废水产生量为</w:t>
      </w:r>
      <w:r>
        <w:rPr>
          <w:rFonts w:hint="eastAsia" w:ascii="Times New Roman" w:hAnsi="Times New Roman" w:cs="Times New Roman"/>
          <w:bCs/>
          <w:caps w:val="0"/>
          <w:smallCaps w:val="0"/>
          <w:color w:val="auto"/>
          <w:spacing w:val="0"/>
          <w:w w:val="100"/>
          <w:kern w:val="21"/>
          <w:position w:val="0"/>
          <w:highlight w:val="none"/>
          <w:lang w:val="en-US" w:eastAsia="zh-CN"/>
        </w:rPr>
        <w:t>281.9</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3</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caps w:val="0"/>
          <w:smallCaps w:val="0"/>
          <w:color w:val="auto"/>
          <w:spacing w:val="0"/>
          <w:w w:val="100"/>
          <w:kern w:val="21"/>
          <w:position w:val="0"/>
          <w:highlight w:val="none"/>
        </w:rPr>
        <w:t>清洗废水由罐车拉运至</w:t>
      </w:r>
      <w:r>
        <w:rPr>
          <w:rFonts w:hint="eastAsia" w:ascii="Times New Roman" w:hAnsi="Times New Roman" w:cs="Times New Roman"/>
          <w:caps w:val="0"/>
          <w:smallCaps w:val="0"/>
          <w:color w:val="auto"/>
          <w:spacing w:val="0"/>
          <w:w w:val="100"/>
          <w:kern w:val="21"/>
          <w:position w:val="0"/>
          <w:highlight w:val="none"/>
          <w:lang w:eastAsia="zh-CN"/>
        </w:rPr>
        <w:t>卫一联含油污水深度处理站</w:t>
      </w:r>
      <w:r>
        <w:rPr>
          <w:rFonts w:hint="eastAsia" w:ascii="Times New Roman" w:hAnsi="Times New Roman" w:cs="Times New Roman"/>
          <w:caps w:val="0"/>
          <w:smallCaps w:val="0"/>
          <w:color w:val="auto"/>
          <w:spacing w:val="0"/>
          <w:w w:val="100"/>
          <w:kern w:val="21"/>
          <w:position w:val="0"/>
          <w:highlight w:val="none"/>
        </w:rPr>
        <w:t>处理满足《大庆油田地面工程</w:t>
      </w:r>
      <w:r>
        <w:rPr>
          <w:rFonts w:ascii="Times New Roman" w:hAnsi="Times New Roman" w:cs="Times New Roman"/>
          <w:bCs/>
          <w:caps w:val="0"/>
          <w:smallCaps w:val="0"/>
          <w:color w:val="auto"/>
          <w:spacing w:val="0"/>
          <w:w w:val="100"/>
          <w:kern w:val="21"/>
          <w:position w:val="0"/>
          <w:highlight w:val="none"/>
        </w:rPr>
        <w:t>建设设计规定》（Q/SYDQ0639-2015）及《碎屑岩油藏注水水质指标技术要求及分析方法》（SY/T5329-2022）限值要求后回注油层，不外排。</w:t>
      </w:r>
    </w:p>
    <w:p w14:paraId="607FB753">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ascii="Times New Roman" w:hAnsi="Times New Roman" w:cs="Times New Roman"/>
          <w:caps w:val="0"/>
          <w:smallCaps w:val="0"/>
          <w:color w:val="auto"/>
          <w:spacing w:val="0"/>
          <w:w w:val="100"/>
          <w:kern w:val="2"/>
          <w:position w:val="0"/>
          <w:highlight w:val="none"/>
        </w:rPr>
        <w:t>②生活污水</w:t>
      </w:r>
    </w:p>
    <w:p w14:paraId="2D64EC9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本项目退役期</w:t>
      </w:r>
      <w:r>
        <w:rPr>
          <w:rFonts w:ascii="Times New Roman" w:hAnsi="Times New Roman" w:cs="Times New Roman" w:eastAsiaTheme="minorEastAsia"/>
          <w:bCs/>
          <w:caps w:val="0"/>
          <w:smallCaps w:val="0"/>
          <w:color w:val="auto"/>
          <w:spacing w:val="0"/>
          <w:w w:val="100"/>
          <w:kern w:val="21"/>
          <w:position w:val="0"/>
          <w:highlight w:val="none"/>
        </w:rPr>
        <w:t>施工约20d</w:t>
      </w:r>
      <w:r>
        <w:rPr>
          <w:rFonts w:ascii="Times New Roman" w:hAnsi="Times New Roman" w:cs="Times New Roman" w:eastAsiaTheme="minorEastAsia"/>
          <w:caps w:val="0"/>
          <w:smallCaps w:val="0"/>
          <w:color w:val="auto"/>
          <w:spacing w:val="0"/>
          <w:w w:val="100"/>
          <w:kern w:val="21"/>
          <w:position w:val="0"/>
          <w:highlight w:val="none"/>
        </w:rPr>
        <w:t>，</w:t>
      </w:r>
      <w:r>
        <w:rPr>
          <w:rFonts w:ascii="Times New Roman" w:hAnsi="Times New Roman" w:cs="Times New Roman" w:eastAsiaTheme="minorEastAsia"/>
          <w:bCs/>
          <w:caps w:val="0"/>
          <w:smallCaps w:val="0"/>
          <w:color w:val="auto"/>
          <w:spacing w:val="0"/>
          <w:w w:val="100"/>
          <w:kern w:val="21"/>
          <w:position w:val="0"/>
          <w:highlight w:val="none"/>
        </w:rPr>
        <w:t>施工人数20人</w:t>
      </w:r>
      <w:r>
        <w:rPr>
          <w:rFonts w:ascii="Times New Roman" w:hAnsi="Times New Roman" w:cs="Times New Roman" w:eastAsiaTheme="minorEastAsia"/>
          <w:caps w:val="0"/>
          <w:smallCaps w:val="0"/>
          <w:color w:val="auto"/>
          <w:spacing w:val="0"/>
          <w:w w:val="100"/>
          <w:kern w:val="21"/>
          <w:position w:val="0"/>
          <w:highlight w:val="none"/>
        </w:rPr>
        <w:t>，根据黑龙江省地方标准《用水定额》（DB23/T727-2025），生活用水量每人80L/d，生活用水量共计32m</w:t>
      </w:r>
      <w:r>
        <w:rPr>
          <w:rFonts w:ascii="Times New Roman" w:hAnsi="Times New Roman" w:cs="Times New Roman" w:eastAsiaTheme="minorEastAsia"/>
          <w:caps w:val="0"/>
          <w:smallCaps w:val="0"/>
          <w:color w:val="auto"/>
          <w:spacing w:val="0"/>
          <w:w w:val="100"/>
          <w:kern w:val="21"/>
          <w:position w:val="0"/>
          <w:highlight w:val="none"/>
          <w:vertAlign w:val="superscript"/>
        </w:rPr>
        <w:t>3</w:t>
      </w:r>
      <w:r>
        <w:rPr>
          <w:rFonts w:ascii="Times New Roman" w:hAnsi="Times New Roman" w:cs="Times New Roman" w:eastAsiaTheme="minorEastAsia"/>
          <w:caps w:val="0"/>
          <w:smallCaps w:val="0"/>
          <w:color w:val="auto"/>
          <w:spacing w:val="0"/>
          <w:w w:val="100"/>
          <w:kern w:val="21"/>
          <w:position w:val="0"/>
          <w:highlight w:val="none"/>
        </w:rPr>
        <w:t>。生活污水产生量按生活用水的80%计算，则生活污水产生量为25.6m</w:t>
      </w:r>
      <w:r>
        <w:rPr>
          <w:rFonts w:ascii="Times New Roman" w:hAnsi="Times New Roman" w:cs="Times New Roman" w:eastAsiaTheme="minorEastAsia"/>
          <w:caps w:val="0"/>
          <w:smallCaps w:val="0"/>
          <w:color w:val="auto"/>
          <w:spacing w:val="0"/>
          <w:w w:val="100"/>
          <w:kern w:val="21"/>
          <w:position w:val="0"/>
          <w:highlight w:val="none"/>
          <w:vertAlign w:val="superscript"/>
        </w:rPr>
        <w:t>3</w:t>
      </w:r>
      <w:r>
        <w:rPr>
          <w:rFonts w:ascii="Times New Roman" w:hAnsi="Times New Roman" w:cs="Times New Roman" w:eastAsiaTheme="minorEastAsia"/>
          <w:caps w:val="0"/>
          <w:smallCaps w:val="0"/>
          <w:color w:val="auto"/>
          <w:spacing w:val="0"/>
          <w:w w:val="100"/>
          <w:kern w:val="21"/>
          <w:position w:val="0"/>
          <w:highlight w:val="none"/>
        </w:rPr>
        <w:t>。退役期生活污水</w:t>
      </w:r>
      <w:r>
        <w:rPr>
          <w:rFonts w:ascii="Times New Roman" w:hAnsi="Times New Roman" w:cs="Times New Roman" w:eastAsiaTheme="minorEastAsia"/>
          <w:bCs/>
          <w:caps w:val="0"/>
          <w:smallCaps w:val="0"/>
          <w:color w:val="auto"/>
          <w:spacing w:val="0"/>
          <w:w w:val="100"/>
          <w:kern w:val="21"/>
          <w:position w:val="0"/>
          <w:highlight w:val="none"/>
        </w:rPr>
        <w:t>排入附近</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阀组</w:t>
      </w:r>
      <w:r>
        <w:rPr>
          <w:rFonts w:ascii="Times New Roman" w:hAnsi="Times New Roman" w:cs="Times New Roman" w:eastAsiaTheme="minorEastAsia"/>
          <w:bCs/>
          <w:caps w:val="0"/>
          <w:smallCaps w:val="0"/>
          <w:color w:val="auto"/>
          <w:spacing w:val="0"/>
          <w:w w:val="100"/>
          <w:kern w:val="21"/>
          <w:position w:val="0"/>
          <w:highlight w:val="none"/>
        </w:rPr>
        <w:t>间或场站内已建防渗旱厕，定期</w:t>
      </w:r>
      <w:r>
        <w:rPr>
          <w:rFonts w:hint="eastAsia" w:ascii="Times New Roman" w:hAnsi="Times New Roman" w:cs="Times New Roman" w:eastAsiaTheme="minorEastAsia"/>
          <w:bCs/>
          <w:caps w:val="0"/>
          <w:smallCaps w:val="0"/>
          <w:color w:val="auto"/>
          <w:spacing w:val="0"/>
          <w:w w:val="100"/>
          <w:kern w:val="21"/>
          <w:position w:val="0"/>
          <w:highlight w:val="none"/>
          <w:lang w:eastAsia="zh-CN"/>
        </w:rPr>
        <w:t>由安达市同昌油田工程有限公司拉运至大庆市净源环保科技有限公司进行处理</w:t>
      </w:r>
      <w:r>
        <w:rPr>
          <w:rFonts w:ascii="Times New Roman" w:hAnsi="Times New Roman" w:cs="Times New Roman" w:eastAsiaTheme="minorEastAsia"/>
          <w:bCs/>
          <w:caps w:val="0"/>
          <w:smallCaps w:val="0"/>
          <w:color w:val="auto"/>
          <w:spacing w:val="0"/>
          <w:w w:val="100"/>
          <w:kern w:val="21"/>
          <w:position w:val="0"/>
          <w:highlight w:val="none"/>
        </w:rPr>
        <w:t>。</w:t>
      </w:r>
    </w:p>
    <w:p w14:paraId="6097BEA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（3）噪声污染源项分析</w:t>
      </w:r>
    </w:p>
    <w:p w14:paraId="61236D8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退役期产生的噪声主要施工机械和车辆运营噪声，参考《环境噪声与振动控制工程技术导则》（HJ 2034-2013）附录A中的噪声源强数据，本项目噪声源具体排放情况见表3.10-4。</w:t>
      </w:r>
    </w:p>
    <w:p w14:paraId="47998E56">
      <w:pPr>
        <w:widowControl w:val="0"/>
        <w:spacing w:line="440" w:lineRule="exact"/>
        <w:ind w:firstLine="482"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b/>
          <w:bCs/>
          <w:caps w:val="0"/>
          <w:smallCaps w:val="0"/>
          <w:color w:val="auto"/>
          <w:spacing w:val="0"/>
          <w:w w:val="100"/>
          <w:position w:val="0"/>
          <w:highlight w:val="none"/>
        </w:rPr>
        <w:t>表3.10-4</w:t>
      </w:r>
      <w:r>
        <w:rPr>
          <w:rFonts w:ascii="Times New Roman" w:hAnsi="Times New Roman" w:cs="Times New Roman" w:eastAsiaTheme="minorEastAsia"/>
          <w:bCs/>
          <w:caps w:val="0"/>
          <w:smallCaps w:val="0"/>
          <w:color w:val="auto"/>
          <w:spacing w:val="0"/>
          <w:w w:val="100"/>
          <w:position w:val="0"/>
          <w:highlight w:val="none"/>
        </w:rPr>
        <w:t xml:space="preserve">    </w:t>
      </w:r>
      <w:r>
        <w:rPr>
          <w:rFonts w:ascii="Times New Roman" w:hAnsi="Times New Roman" w:cs="Times New Roman" w:eastAsiaTheme="minorEastAsia"/>
          <w:b/>
          <w:bCs/>
          <w:caps w:val="0"/>
          <w:smallCaps w:val="0"/>
          <w:color w:val="auto"/>
          <w:spacing w:val="0"/>
          <w:w w:val="100"/>
          <w:position w:val="0"/>
          <w:highlight w:val="none"/>
        </w:rPr>
        <w:t>本项目退役期噪声源统计表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98"/>
        <w:gridCol w:w="1432"/>
        <w:gridCol w:w="2256"/>
        <w:gridCol w:w="2251"/>
        <w:gridCol w:w="2249"/>
      </w:tblGrid>
      <w:tr w14:paraId="0EF6E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1" w:type="pct"/>
          </w:tcPr>
          <w:p w14:paraId="3235C436">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序号</w:t>
            </w:r>
          </w:p>
        </w:tc>
        <w:tc>
          <w:tcPr>
            <w:tcW w:w="771" w:type="pct"/>
            <w:vAlign w:val="center"/>
          </w:tcPr>
          <w:p w14:paraId="5CC9B21A">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设备名称</w:t>
            </w:r>
          </w:p>
        </w:tc>
        <w:tc>
          <w:tcPr>
            <w:tcW w:w="1215" w:type="pct"/>
            <w:vAlign w:val="center"/>
          </w:tcPr>
          <w:p w14:paraId="5577C3A6">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声源性质</w:t>
            </w:r>
          </w:p>
        </w:tc>
        <w:tc>
          <w:tcPr>
            <w:tcW w:w="1212" w:type="pct"/>
            <w:vAlign w:val="center"/>
          </w:tcPr>
          <w:p w14:paraId="6EEE1098">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噪声值dB(A)</w:t>
            </w:r>
          </w:p>
        </w:tc>
        <w:tc>
          <w:tcPr>
            <w:tcW w:w="1211" w:type="pct"/>
          </w:tcPr>
          <w:p w14:paraId="6FD60D9E">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测点距声源距离</w:t>
            </w:r>
          </w:p>
        </w:tc>
      </w:tr>
      <w:tr w14:paraId="6D61D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1" w:type="pct"/>
          </w:tcPr>
          <w:p w14:paraId="3335F593">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1</w:t>
            </w:r>
          </w:p>
        </w:tc>
        <w:tc>
          <w:tcPr>
            <w:tcW w:w="771" w:type="pct"/>
            <w:vAlign w:val="center"/>
          </w:tcPr>
          <w:p w14:paraId="5C003959">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挖掘机</w:t>
            </w:r>
          </w:p>
        </w:tc>
        <w:tc>
          <w:tcPr>
            <w:tcW w:w="1215" w:type="pct"/>
            <w:vAlign w:val="center"/>
          </w:tcPr>
          <w:p w14:paraId="68D372FF">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非连续稳态声源</w:t>
            </w:r>
          </w:p>
        </w:tc>
        <w:tc>
          <w:tcPr>
            <w:tcW w:w="1212" w:type="pct"/>
            <w:vAlign w:val="center"/>
          </w:tcPr>
          <w:p w14:paraId="3BA62CBE">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82～90</w:t>
            </w:r>
          </w:p>
        </w:tc>
        <w:tc>
          <w:tcPr>
            <w:tcW w:w="1211" w:type="pct"/>
          </w:tcPr>
          <w:p w14:paraId="3375F48C">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5m</w:t>
            </w:r>
          </w:p>
        </w:tc>
      </w:tr>
      <w:tr w14:paraId="33931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1" w:type="pct"/>
          </w:tcPr>
          <w:p w14:paraId="5F66EAB2">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2</w:t>
            </w:r>
          </w:p>
        </w:tc>
        <w:tc>
          <w:tcPr>
            <w:tcW w:w="771" w:type="pct"/>
            <w:vAlign w:val="center"/>
          </w:tcPr>
          <w:p w14:paraId="7D0AB50A">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推土机</w:t>
            </w:r>
          </w:p>
        </w:tc>
        <w:tc>
          <w:tcPr>
            <w:tcW w:w="1215" w:type="pct"/>
            <w:vAlign w:val="center"/>
          </w:tcPr>
          <w:p w14:paraId="4A35EFA1">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非连续稳态声源</w:t>
            </w:r>
          </w:p>
        </w:tc>
        <w:tc>
          <w:tcPr>
            <w:tcW w:w="1212" w:type="pct"/>
            <w:vAlign w:val="center"/>
          </w:tcPr>
          <w:p w14:paraId="18AD2EC6">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83～88</w:t>
            </w:r>
          </w:p>
        </w:tc>
        <w:tc>
          <w:tcPr>
            <w:tcW w:w="1211" w:type="pct"/>
          </w:tcPr>
          <w:p w14:paraId="7678DAEC">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5m</w:t>
            </w:r>
          </w:p>
        </w:tc>
      </w:tr>
    </w:tbl>
    <w:p w14:paraId="575D9F22">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（4）固体废物</w:t>
      </w:r>
    </w:p>
    <w:p w14:paraId="4D5A71BC">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退役期固体废物主要为生活垃圾。</w:t>
      </w:r>
      <w:r>
        <w:rPr>
          <w:rFonts w:ascii="Times New Roman" w:hAnsi="Times New Roman" w:cs="Times New Roman"/>
          <w:caps w:val="0"/>
          <w:smallCaps w:val="0"/>
          <w:color w:val="auto"/>
          <w:spacing w:val="0"/>
          <w:w w:val="100"/>
          <w:kern w:val="2"/>
          <w:position w:val="0"/>
          <w:highlight w:val="none"/>
        </w:rPr>
        <w:t>本项目退役期施工人员20人，</w:t>
      </w:r>
      <w:r>
        <w:rPr>
          <w:rFonts w:ascii="Times New Roman" w:hAnsi="Times New Roman" w:cs="Times New Roman"/>
          <w:bCs/>
          <w:caps w:val="0"/>
          <w:smallCaps w:val="0"/>
          <w:color w:val="auto"/>
          <w:spacing w:val="0"/>
          <w:w w:val="100"/>
          <w:kern w:val="2"/>
          <w:position w:val="0"/>
          <w:highlight w:val="none"/>
        </w:rPr>
        <w:t>施工约20d，</w:t>
      </w:r>
      <w:r>
        <w:rPr>
          <w:rFonts w:ascii="Times New Roman" w:hAnsi="Times New Roman" w:cs="Times New Roman"/>
          <w:caps w:val="0"/>
          <w:smallCaps w:val="0"/>
          <w:color w:val="auto"/>
          <w:spacing w:val="0"/>
          <w:w w:val="100"/>
          <w:kern w:val="2"/>
          <w:position w:val="0"/>
          <w:highlight w:val="none"/>
        </w:rPr>
        <w:t>退役期每人产生生活垃圾0.5kg/d计，退役期生活垃圾产生量为0.2t。生活垃圾统一收集后拉运至安达市生活垃圾填埋场处理。</w:t>
      </w:r>
    </w:p>
    <w:p w14:paraId="0B6C6BCD">
      <w:pPr>
        <w:widowControl w:val="0"/>
        <w:spacing w:line="440" w:lineRule="exact"/>
        <w:ind w:firstLine="482"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表3.10-5    本项目退役期固体废物产生量统计表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22"/>
        <w:gridCol w:w="1307"/>
        <w:gridCol w:w="1049"/>
        <w:gridCol w:w="1135"/>
        <w:gridCol w:w="5073"/>
      </w:tblGrid>
      <w:tr w14:paraId="0F1E8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vAlign w:val="center"/>
          </w:tcPr>
          <w:p w14:paraId="684A9BF8">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序号</w:t>
            </w:r>
          </w:p>
        </w:tc>
        <w:tc>
          <w:tcPr>
            <w:tcW w:w="704" w:type="pct"/>
            <w:vAlign w:val="center"/>
          </w:tcPr>
          <w:p w14:paraId="15B815ED">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污染物名称</w:t>
            </w:r>
          </w:p>
        </w:tc>
        <w:tc>
          <w:tcPr>
            <w:tcW w:w="565" w:type="pct"/>
            <w:vAlign w:val="center"/>
          </w:tcPr>
          <w:p w14:paraId="297B436A">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产生量</w:t>
            </w:r>
          </w:p>
        </w:tc>
        <w:tc>
          <w:tcPr>
            <w:tcW w:w="611" w:type="pct"/>
            <w:vAlign w:val="center"/>
          </w:tcPr>
          <w:p w14:paraId="55A06489">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废物类型</w:t>
            </w:r>
          </w:p>
        </w:tc>
        <w:tc>
          <w:tcPr>
            <w:tcW w:w="2731" w:type="pct"/>
            <w:vAlign w:val="center"/>
          </w:tcPr>
          <w:p w14:paraId="17F95FA7">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处置去向</w:t>
            </w:r>
          </w:p>
        </w:tc>
      </w:tr>
      <w:tr w14:paraId="1B2E9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vAlign w:val="center"/>
          </w:tcPr>
          <w:p w14:paraId="289547DD">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w:t>
            </w:r>
          </w:p>
        </w:tc>
        <w:tc>
          <w:tcPr>
            <w:tcW w:w="704" w:type="pct"/>
            <w:vAlign w:val="center"/>
          </w:tcPr>
          <w:p w14:paraId="251BB7E3">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生活垃圾</w:t>
            </w:r>
          </w:p>
        </w:tc>
        <w:tc>
          <w:tcPr>
            <w:tcW w:w="565" w:type="pct"/>
            <w:vAlign w:val="center"/>
          </w:tcPr>
          <w:p w14:paraId="5E9C6048">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0.2t</w:t>
            </w:r>
          </w:p>
        </w:tc>
        <w:tc>
          <w:tcPr>
            <w:tcW w:w="611" w:type="pct"/>
            <w:vAlign w:val="center"/>
          </w:tcPr>
          <w:p w14:paraId="6573E95F">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w:t>
            </w:r>
          </w:p>
        </w:tc>
        <w:tc>
          <w:tcPr>
            <w:tcW w:w="2731" w:type="pct"/>
            <w:vAlign w:val="center"/>
          </w:tcPr>
          <w:p w14:paraId="5B886DF6">
            <w:pPr>
              <w:widowControl w:val="0"/>
              <w:adjustRightInd w:val="0"/>
              <w:snapToGrid w:val="0"/>
              <w:spacing w:line="320" w:lineRule="exact"/>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生活垃圾统一收集后拉运至安达市生活垃圾填埋场处理</w:t>
            </w:r>
          </w:p>
        </w:tc>
      </w:tr>
    </w:tbl>
    <w:p w14:paraId="0CA822AD">
      <w:pPr>
        <w:pStyle w:val="46"/>
        <w:spacing w:after="0" w:line="440" w:lineRule="exact"/>
        <w:ind w:left="0" w:leftChars="0" w:firstLine="480" w:firstLineChars="200"/>
        <w:rPr>
          <w:caps w:val="0"/>
          <w:smallCaps w:val="0"/>
          <w:color w:val="auto"/>
          <w:spacing w:val="0"/>
          <w:w w:val="100"/>
          <w:kern w:val="2"/>
          <w:position w:val="0"/>
          <w:szCs w:val="20"/>
          <w:highlight w:val="none"/>
        </w:rPr>
        <w:sectPr>
          <w:pgSz w:w="11906" w:h="16838"/>
          <w:pgMar w:top="1418" w:right="1418" w:bottom="1418" w:left="1418" w:header="851" w:footer="992" w:gutter="0"/>
          <w:cols w:space="720" w:num="1"/>
          <w:docGrid w:linePitch="312" w:charSpace="0"/>
        </w:sectPr>
      </w:pPr>
      <w:r>
        <w:rPr>
          <w:rFonts w:eastAsiaTheme="minorEastAsia"/>
          <w:caps w:val="0"/>
          <w:smallCaps w:val="0"/>
          <w:color w:val="auto"/>
          <w:spacing w:val="0"/>
          <w:w w:val="100"/>
          <w:kern w:val="2"/>
          <w:position w:val="0"/>
          <w:sz w:val="24"/>
          <w:highlight w:val="none"/>
        </w:rPr>
        <w:t>本项目施工期污染源源强核算结果及相关参数汇总见表3.10-6~表3.10-9，退役期污染源源强核算结果及相关参数汇总见表3.10-10~表3.10-13。</w:t>
      </w:r>
    </w:p>
    <w:p w14:paraId="3D3B0860">
      <w:pPr>
        <w:pStyle w:val="149"/>
        <w:widowControl w:val="0"/>
        <w:spacing w:line="440" w:lineRule="exact"/>
        <w:ind w:firstLine="478"/>
        <w:rPr>
          <w:rFonts w:ascii="Times New Roman" w:hAnsi="Times New Roman" w:eastAsiaTheme="minorEastAsia"/>
          <w:b/>
          <w:bCs/>
          <w:caps w:val="0"/>
          <w:smallCaps w:val="0"/>
          <w:color w:val="auto"/>
          <w:spacing w:val="0"/>
          <w:w w:val="100"/>
          <w:position w:val="0"/>
          <w:highlight w:val="none"/>
        </w:rPr>
      </w:pPr>
      <w:r>
        <w:rPr>
          <w:rFonts w:ascii="Times New Roman" w:hAnsi="Times New Roman" w:eastAsiaTheme="minorEastAsia"/>
          <w:b/>
          <w:bCs/>
          <w:caps w:val="0"/>
          <w:smallCaps w:val="0"/>
          <w:color w:val="auto"/>
          <w:spacing w:val="0"/>
          <w:w w:val="100"/>
          <w:position w:val="0"/>
          <w:highlight w:val="none"/>
        </w:rPr>
        <w:t>表</w:t>
      </w:r>
      <w:r>
        <w:rPr>
          <w:rFonts w:ascii="Times New Roman" w:hAnsi="Times New Roman" w:eastAsiaTheme="minorEastAsia"/>
          <w:b/>
          <w:caps w:val="0"/>
          <w:smallCaps w:val="0"/>
          <w:color w:val="auto"/>
          <w:spacing w:val="0"/>
          <w:w w:val="100"/>
          <w:position w:val="0"/>
          <w:highlight w:val="none"/>
        </w:rPr>
        <w:t>3.10-6</w:t>
      </w:r>
      <w:r>
        <w:rPr>
          <w:rFonts w:ascii="Times New Roman" w:hAnsi="Times New Roman" w:eastAsiaTheme="minorEastAsia"/>
          <w:b/>
          <w:bCs/>
          <w:caps w:val="0"/>
          <w:smallCaps w:val="0"/>
          <w:color w:val="auto"/>
          <w:spacing w:val="0"/>
          <w:w w:val="100"/>
          <w:position w:val="0"/>
          <w:highlight w:val="none"/>
        </w:rPr>
        <w:t xml:space="preserve">    </w:t>
      </w:r>
      <w:r>
        <w:rPr>
          <w:rFonts w:ascii="Times New Roman" w:hAnsi="Times New Roman"/>
          <w:b/>
          <w:caps w:val="0"/>
          <w:smallCaps w:val="0"/>
          <w:color w:val="auto"/>
          <w:spacing w:val="0"/>
          <w:w w:val="100"/>
          <w:kern w:val="2"/>
          <w:position w:val="0"/>
          <w:highlight w:val="none"/>
        </w:rPr>
        <w:t>施工期</w:t>
      </w:r>
      <w:r>
        <w:rPr>
          <w:rFonts w:ascii="Times New Roman" w:hAnsi="Times New Roman" w:eastAsiaTheme="minorEastAsia"/>
          <w:b/>
          <w:bCs/>
          <w:caps w:val="0"/>
          <w:smallCaps w:val="0"/>
          <w:color w:val="auto"/>
          <w:spacing w:val="0"/>
          <w:w w:val="100"/>
          <w:position w:val="0"/>
          <w:highlight w:val="none"/>
        </w:rPr>
        <w:t>废气污染源源强核算结果及相关参数一览表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2"/>
        <w:gridCol w:w="922"/>
        <w:gridCol w:w="1156"/>
        <w:gridCol w:w="1156"/>
        <w:gridCol w:w="717"/>
        <w:gridCol w:w="1008"/>
        <w:gridCol w:w="868"/>
        <w:gridCol w:w="865"/>
        <w:gridCol w:w="1298"/>
        <w:gridCol w:w="717"/>
        <w:gridCol w:w="717"/>
        <w:gridCol w:w="1008"/>
        <w:gridCol w:w="1079"/>
        <w:gridCol w:w="1167"/>
        <w:gridCol w:w="888"/>
      </w:tblGrid>
      <w:tr w14:paraId="1E3DA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restart"/>
            <w:vAlign w:val="center"/>
          </w:tcPr>
          <w:p w14:paraId="2DD49F20">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工序</w:t>
            </w:r>
          </w:p>
        </w:tc>
        <w:tc>
          <w:tcPr>
            <w:tcW w:w="324" w:type="pct"/>
            <w:vMerge w:val="restart"/>
            <w:vAlign w:val="center"/>
          </w:tcPr>
          <w:p w14:paraId="6252AF2A">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装置</w:t>
            </w:r>
          </w:p>
        </w:tc>
        <w:tc>
          <w:tcPr>
            <w:tcW w:w="406" w:type="pct"/>
            <w:vMerge w:val="restart"/>
            <w:vAlign w:val="center"/>
          </w:tcPr>
          <w:p w14:paraId="1B297227">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污染源</w:t>
            </w:r>
          </w:p>
        </w:tc>
        <w:tc>
          <w:tcPr>
            <w:tcW w:w="406" w:type="pct"/>
            <w:vMerge w:val="restart"/>
            <w:vAlign w:val="center"/>
          </w:tcPr>
          <w:p w14:paraId="2CC7DF62">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w:t>
            </w:r>
          </w:p>
        </w:tc>
        <w:tc>
          <w:tcPr>
            <w:tcW w:w="1215" w:type="pct"/>
            <w:gridSpan w:val="4"/>
            <w:vAlign w:val="center"/>
          </w:tcPr>
          <w:p w14:paraId="56E1EB46">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污染物产生</w:t>
            </w:r>
          </w:p>
        </w:tc>
        <w:tc>
          <w:tcPr>
            <w:tcW w:w="708" w:type="pct"/>
            <w:gridSpan w:val="2"/>
            <w:vAlign w:val="center"/>
          </w:tcPr>
          <w:p w14:paraId="004642A0">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治理措施</w:t>
            </w:r>
          </w:p>
        </w:tc>
        <w:tc>
          <w:tcPr>
            <w:tcW w:w="1395" w:type="pct"/>
            <w:gridSpan w:val="4"/>
            <w:vAlign w:val="center"/>
          </w:tcPr>
          <w:p w14:paraId="54114FE8">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污染物排放</w:t>
            </w:r>
          </w:p>
        </w:tc>
        <w:tc>
          <w:tcPr>
            <w:tcW w:w="312" w:type="pct"/>
            <w:vMerge w:val="restart"/>
            <w:vAlign w:val="center"/>
          </w:tcPr>
          <w:p w14:paraId="2FA9AA31">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排放时间</w:t>
            </w:r>
          </w:p>
        </w:tc>
      </w:tr>
      <w:tr w14:paraId="6878F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continue"/>
            <w:vAlign w:val="center"/>
          </w:tcPr>
          <w:p w14:paraId="3A4EC94F">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324" w:type="pct"/>
            <w:vMerge w:val="continue"/>
            <w:vAlign w:val="center"/>
          </w:tcPr>
          <w:p w14:paraId="1E834CD0">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406" w:type="pct"/>
            <w:vMerge w:val="continue"/>
            <w:vAlign w:val="center"/>
          </w:tcPr>
          <w:p w14:paraId="639FBE65">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406" w:type="pct"/>
            <w:vMerge w:val="continue"/>
            <w:vAlign w:val="center"/>
          </w:tcPr>
          <w:p w14:paraId="41DE57BC">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52" w:type="pct"/>
            <w:vAlign w:val="center"/>
          </w:tcPr>
          <w:p w14:paraId="206D9B22">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核算方法</w:t>
            </w:r>
          </w:p>
        </w:tc>
        <w:tc>
          <w:tcPr>
            <w:tcW w:w="354" w:type="pct"/>
            <w:vAlign w:val="center"/>
          </w:tcPr>
          <w:p w14:paraId="753DD153">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废气产生量m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305" w:type="pct"/>
            <w:vAlign w:val="center"/>
          </w:tcPr>
          <w:p w14:paraId="1FDE2699">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产生</w:t>
            </w:r>
          </w:p>
          <w:p w14:paraId="5D22DE61">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浓度mg/m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302" w:type="pct"/>
            <w:vAlign w:val="center"/>
          </w:tcPr>
          <w:p w14:paraId="786E6B98">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产生量t</w:t>
            </w:r>
          </w:p>
        </w:tc>
        <w:tc>
          <w:tcPr>
            <w:tcW w:w="456" w:type="pct"/>
            <w:tcBorders>
              <w:right w:val="single" w:color="auto" w:sz="4" w:space="0"/>
            </w:tcBorders>
            <w:vAlign w:val="center"/>
          </w:tcPr>
          <w:p w14:paraId="00DDC364">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工艺</w:t>
            </w:r>
          </w:p>
        </w:tc>
        <w:tc>
          <w:tcPr>
            <w:tcW w:w="252" w:type="pct"/>
            <w:tcBorders>
              <w:left w:val="single" w:color="auto" w:sz="4" w:space="0"/>
            </w:tcBorders>
            <w:vAlign w:val="center"/>
          </w:tcPr>
          <w:p w14:paraId="1769D9F6">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效率%</w:t>
            </w:r>
          </w:p>
        </w:tc>
        <w:tc>
          <w:tcPr>
            <w:tcW w:w="252" w:type="pct"/>
            <w:vAlign w:val="center"/>
          </w:tcPr>
          <w:p w14:paraId="4A521359">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核算方法</w:t>
            </w:r>
          </w:p>
        </w:tc>
        <w:tc>
          <w:tcPr>
            <w:tcW w:w="354" w:type="pct"/>
            <w:vAlign w:val="center"/>
          </w:tcPr>
          <w:p w14:paraId="58864FC7">
            <w:pPr>
              <w:widowControl w:val="0"/>
              <w:adjustRightInd w:val="0"/>
              <w:spacing w:line="320" w:lineRule="exact"/>
              <w:jc w:val="center"/>
              <w:rPr>
                <w:rFonts w:ascii="Times New Roman" w:hAnsi="Times New Roman" w:cs="Times New Roman"/>
                <w:caps w:val="0"/>
                <w:smallCaps w:val="0"/>
                <w:color w:val="auto"/>
                <w:spacing w:val="0"/>
                <w:w w:val="100"/>
                <w:position w:val="0"/>
                <w:highlight w:val="none"/>
                <w:vertAlign w:val="superscript"/>
              </w:rPr>
            </w:pPr>
            <w:r>
              <w:rPr>
                <w:rFonts w:ascii="Times New Roman" w:hAnsi="Times New Roman" w:cs="Times New Roman" w:eastAsiaTheme="minorEastAsia"/>
                <w:caps w:val="0"/>
                <w:smallCaps w:val="0"/>
                <w:color w:val="auto"/>
                <w:spacing w:val="0"/>
                <w:w w:val="100"/>
                <w:kern w:val="2"/>
                <w:position w:val="0"/>
                <w:sz w:val="21"/>
                <w:szCs w:val="21"/>
                <w:highlight w:val="none"/>
              </w:rPr>
              <w:t>废气排放量m</w:t>
            </w:r>
            <w:r>
              <w:rPr>
                <w:rFonts w:ascii="Times New Roman" w:hAnsi="Times New Roman" w:cs="Times New Roman"/>
                <w:caps w:val="0"/>
                <w:smallCaps w:val="0"/>
                <w:color w:val="auto"/>
                <w:spacing w:val="0"/>
                <w:w w:val="100"/>
                <w:position w:val="0"/>
                <w:highlight w:val="none"/>
                <w:vertAlign w:val="superscript"/>
              </w:rPr>
              <w:t>3</w:t>
            </w:r>
          </w:p>
        </w:tc>
        <w:tc>
          <w:tcPr>
            <w:tcW w:w="379" w:type="pct"/>
            <w:vAlign w:val="center"/>
          </w:tcPr>
          <w:p w14:paraId="1952FA75">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排放浓度mg/m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408" w:type="pct"/>
            <w:vAlign w:val="center"/>
          </w:tcPr>
          <w:p w14:paraId="13EB5C87">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排放量</w:t>
            </w:r>
          </w:p>
          <w:p w14:paraId="7B02F1E2">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t</w:t>
            </w:r>
          </w:p>
        </w:tc>
        <w:tc>
          <w:tcPr>
            <w:tcW w:w="312" w:type="pct"/>
            <w:vMerge w:val="continue"/>
            <w:vAlign w:val="center"/>
          </w:tcPr>
          <w:p w14:paraId="3808A868">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r>
      <w:tr w14:paraId="0D8D7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restart"/>
            <w:vAlign w:val="center"/>
          </w:tcPr>
          <w:p w14:paraId="46C89726">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管线施工</w:t>
            </w:r>
          </w:p>
        </w:tc>
        <w:tc>
          <w:tcPr>
            <w:tcW w:w="324" w:type="pct"/>
            <w:vAlign w:val="center"/>
          </w:tcPr>
          <w:p w14:paraId="32D20C15">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场地</w:t>
            </w:r>
          </w:p>
        </w:tc>
        <w:tc>
          <w:tcPr>
            <w:tcW w:w="406" w:type="pct"/>
            <w:vAlign w:val="center"/>
          </w:tcPr>
          <w:p w14:paraId="51029A31">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施工扬尘</w:t>
            </w:r>
          </w:p>
        </w:tc>
        <w:tc>
          <w:tcPr>
            <w:tcW w:w="406" w:type="pct"/>
            <w:vAlign w:val="center"/>
          </w:tcPr>
          <w:p w14:paraId="7066E753">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颗粒物</w:t>
            </w:r>
          </w:p>
        </w:tc>
        <w:tc>
          <w:tcPr>
            <w:tcW w:w="252" w:type="pct"/>
            <w:vAlign w:val="center"/>
          </w:tcPr>
          <w:p w14:paraId="5362DFB2">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排污系数</w:t>
            </w:r>
          </w:p>
        </w:tc>
        <w:tc>
          <w:tcPr>
            <w:tcW w:w="354" w:type="pct"/>
            <w:vAlign w:val="center"/>
          </w:tcPr>
          <w:p w14:paraId="7BC6DE20">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05" w:type="pct"/>
            <w:vAlign w:val="center"/>
          </w:tcPr>
          <w:p w14:paraId="79A407AF">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02" w:type="pct"/>
            <w:vAlign w:val="center"/>
          </w:tcPr>
          <w:p w14:paraId="07684C30">
            <w:pPr>
              <w:widowControl w:val="0"/>
              <w:adjustRightInd w:val="0"/>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olor w:val="auto"/>
                <w:kern w:val="2"/>
                <w:sz w:val="21"/>
                <w:szCs w:val="21"/>
                <w:highlight w:val="none"/>
                <w:lang w:val="en-US" w:eastAsia="zh-CN"/>
              </w:rPr>
              <w:t>117.5</w:t>
            </w:r>
          </w:p>
        </w:tc>
        <w:tc>
          <w:tcPr>
            <w:tcW w:w="456" w:type="pct"/>
            <w:tcBorders>
              <w:right w:val="single" w:color="auto" w:sz="4" w:space="0"/>
            </w:tcBorders>
            <w:vAlign w:val="center"/>
          </w:tcPr>
          <w:p w14:paraId="4AA32616">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车辆密闭运输、施工材料覆盖、洒水抑尘</w:t>
            </w:r>
          </w:p>
        </w:tc>
        <w:tc>
          <w:tcPr>
            <w:tcW w:w="252" w:type="pct"/>
            <w:tcBorders>
              <w:left w:val="single" w:color="auto" w:sz="4" w:space="0"/>
            </w:tcBorders>
            <w:vAlign w:val="center"/>
          </w:tcPr>
          <w:p w14:paraId="3289808B">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96</w:t>
            </w:r>
          </w:p>
        </w:tc>
        <w:tc>
          <w:tcPr>
            <w:tcW w:w="252" w:type="pct"/>
            <w:vAlign w:val="center"/>
          </w:tcPr>
          <w:p w14:paraId="3290B97F">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54" w:type="pct"/>
            <w:vAlign w:val="center"/>
          </w:tcPr>
          <w:p w14:paraId="3F56BA71">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79" w:type="pct"/>
            <w:vAlign w:val="center"/>
          </w:tcPr>
          <w:p w14:paraId="7D4C7709">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408" w:type="pct"/>
            <w:vAlign w:val="center"/>
          </w:tcPr>
          <w:p w14:paraId="5C6EE7C2">
            <w:pPr>
              <w:widowControl w:val="0"/>
              <w:adjustRightInd w:val="0"/>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olor w:val="auto"/>
                <w:kern w:val="2"/>
                <w:sz w:val="21"/>
                <w:szCs w:val="21"/>
                <w:highlight w:val="none"/>
                <w:lang w:val="en-US" w:eastAsia="zh-CN"/>
              </w:rPr>
              <w:t>4.7</w:t>
            </w:r>
          </w:p>
        </w:tc>
        <w:tc>
          <w:tcPr>
            <w:tcW w:w="312" w:type="pct"/>
            <w:vAlign w:val="center"/>
          </w:tcPr>
          <w:p w14:paraId="5FF7AB4A">
            <w:pPr>
              <w:widowControl w:val="0"/>
              <w:adjustRightInd w:val="0"/>
              <w:spacing w:line="32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施工</w:t>
            </w:r>
          </w:p>
          <w:p w14:paraId="6A02259C">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期</w:t>
            </w:r>
          </w:p>
        </w:tc>
      </w:tr>
      <w:tr w14:paraId="50FB1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continue"/>
            <w:vAlign w:val="center"/>
          </w:tcPr>
          <w:p w14:paraId="4B2A2EEE">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324" w:type="pct"/>
            <w:vAlign w:val="center"/>
          </w:tcPr>
          <w:p w14:paraId="2A460395">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电焊机</w:t>
            </w:r>
          </w:p>
        </w:tc>
        <w:tc>
          <w:tcPr>
            <w:tcW w:w="406" w:type="pct"/>
            <w:vAlign w:val="center"/>
          </w:tcPr>
          <w:p w14:paraId="5395F231">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焊接烟尘</w:t>
            </w:r>
          </w:p>
        </w:tc>
        <w:tc>
          <w:tcPr>
            <w:tcW w:w="406" w:type="pct"/>
            <w:vAlign w:val="center"/>
          </w:tcPr>
          <w:p w14:paraId="0EF92D14">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颗粒物</w:t>
            </w:r>
          </w:p>
        </w:tc>
        <w:tc>
          <w:tcPr>
            <w:tcW w:w="252" w:type="pct"/>
            <w:vAlign w:val="center"/>
          </w:tcPr>
          <w:p w14:paraId="6CAD0ED4">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排污系数</w:t>
            </w:r>
          </w:p>
        </w:tc>
        <w:tc>
          <w:tcPr>
            <w:tcW w:w="354" w:type="pct"/>
            <w:vAlign w:val="center"/>
          </w:tcPr>
          <w:p w14:paraId="002AE655">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05" w:type="pct"/>
            <w:vAlign w:val="center"/>
          </w:tcPr>
          <w:p w14:paraId="5ED6F4B9">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02" w:type="pct"/>
            <w:vAlign w:val="center"/>
          </w:tcPr>
          <w:p w14:paraId="74E2F12B">
            <w:pPr>
              <w:widowControl w:val="0"/>
              <w:adjustRightInd w:val="0"/>
              <w:spacing w:line="32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eastAsia="zh-CN"/>
              </w:rPr>
            </w:pPr>
            <w:r>
              <w:rPr>
                <w:rFonts w:ascii="Times New Roman" w:hAnsi="Times New Roman" w:cs="Times New Roman" w:eastAsiaTheme="minorEastAsia"/>
                <w:bCs/>
                <w:color w:val="auto"/>
                <w:kern w:val="2"/>
                <w:sz w:val="21"/>
                <w:szCs w:val="21"/>
                <w:highlight w:val="none"/>
              </w:rPr>
              <w:t>0.00</w:t>
            </w:r>
            <w:r>
              <w:rPr>
                <w:rFonts w:hint="eastAsia" w:ascii="Times New Roman" w:hAnsi="Times New Roman" w:cs="Times New Roman" w:eastAsiaTheme="minorEastAsia"/>
                <w:bCs/>
                <w:color w:val="auto"/>
                <w:kern w:val="2"/>
                <w:sz w:val="21"/>
                <w:szCs w:val="21"/>
                <w:highlight w:val="none"/>
                <w:lang w:val="en-US" w:eastAsia="zh-CN"/>
              </w:rPr>
              <w:t>2</w:t>
            </w:r>
          </w:p>
        </w:tc>
        <w:tc>
          <w:tcPr>
            <w:tcW w:w="456" w:type="pct"/>
            <w:tcBorders>
              <w:right w:val="single" w:color="auto" w:sz="4" w:space="0"/>
            </w:tcBorders>
            <w:vAlign w:val="center"/>
          </w:tcPr>
          <w:p w14:paraId="1691C6EF">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252" w:type="pct"/>
            <w:tcBorders>
              <w:left w:val="single" w:color="auto" w:sz="4" w:space="0"/>
            </w:tcBorders>
            <w:vAlign w:val="center"/>
          </w:tcPr>
          <w:p w14:paraId="5FBF01FF">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252" w:type="pct"/>
            <w:vAlign w:val="center"/>
          </w:tcPr>
          <w:p w14:paraId="7B155FF3">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排污系数</w:t>
            </w:r>
          </w:p>
        </w:tc>
        <w:tc>
          <w:tcPr>
            <w:tcW w:w="354" w:type="pct"/>
            <w:vAlign w:val="center"/>
          </w:tcPr>
          <w:p w14:paraId="22A26D1D">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79" w:type="pct"/>
            <w:vAlign w:val="center"/>
          </w:tcPr>
          <w:p w14:paraId="7214A6C7">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408" w:type="pct"/>
            <w:vAlign w:val="center"/>
          </w:tcPr>
          <w:p w14:paraId="647E9BF4">
            <w:pPr>
              <w:widowControl w:val="0"/>
              <w:adjustRightIn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olor w:val="auto"/>
                <w:kern w:val="2"/>
                <w:sz w:val="21"/>
                <w:szCs w:val="21"/>
                <w:highlight w:val="none"/>
              </w:rPr>
              <w:t>0.00</w:t>
            </w:r>
            <w:r>
              <w:rPr>
                <w:rFonts w:hint="eastAsia" w:ascii="Times New Roman" w:hAnsi="Times New Roman" w:cs="Times New Roman" w:eastAsiaTheme="minorEastAsia"/>
                <w:bCs/>
                <w:color w:val="auto"/>
                <w:kern w:val="2"/>
                <w:sz w:val="21"/>
                <w:szCs w:val="21"/>
                <w:highlight w:val="none"/>
              </w:rPr>
              <w:t>13</w:t>
            </w:r>
          </w:p>
        </w:tc>
        <w:tc>
          <w:tcPr>
            <w:tcW w:w="312" w:type="pct"/>
            <w:vAlign w:val="center"/>
          </w:tcPr>
          <w:p w14:paraId="0F1317FA">
            <w:pPr>
              <w:widowControl w:val="0"/>
              <w:adjustRightInd w:val="0"/>
              <w:spacing w:line="32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施工</w:t>
            </w:r>
          </w:p>
          <w:p w14:paraId="01E73DF3">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期</w:t>
            </w:r>
          </w:p>
        </w:tc>
      </w:tr>
      <w:tr w14:paraId="15882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continue"/>
            <w:vAlign w:val="center"/>
          </w:tcPr>
          <w:p w14:paraId="4866D84D">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324" w:type="pct"/>
            <w:vAlign w:val="center"/>
          </w:tcPr>
          <w:p w14:paraId="29680472">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施工机械及运输车辆</w:t>
            </w:r>
          </w:p>
        </w:tc>
        <w:tc>
          <w:tcPr>
            <w:tcW w:w="406" w:type="pct"/>
            <w:vAlign w:val="center"/>
          </w:tcPr>
          <w:p w14:paraId="2748F837">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施工机械及运输汽车尾气</w:t>
            </w:r>
          </w:p>
        </w:tc>
        <w:tc>
          <w:tcPr>
            <w:tcW w:w="406" w:type="pct"/>
            <w:vAlign w:val="center"/>
          </w:tcPr>
          <w:p w14:paraId="1B810ECB">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NO</w:t>
            </w:r>
            <w:r>
              <w:rPr>
                <w:rFonts w:ascii="Times New Roman" w:hAnsi="Times New Roman" w:cs="Times New Roman" w:eastAsiaTheme="minorEastAsia"/>
                <w:color w:val="auto"/>
                <w:kern w:val="2"/>
                <w:sz w:val="21"/>
                <w:szCs w:val="21"/>
                <w:highlight w:val="none"/>
                <w:vertAlign w:val="subscript"/>
              </w:rPr>
              <w:t>2</w:t>
            </w:r>
            <w:r>
              <w:rPr>
                <w:rFonts w:ascii="Times New Roman" w:hAnsi="Times New Roman" w:cs="Times New Roman" w:eastAsiaTheme="minorEastAsia"/>
                <w:color w:val="auto"/>
                <w:kern w:val="2"/>
                <w:sz w:val="21"/>
                <w:szCs w:val="21"/>
                <w:highlight w:val="none"/>
              </w:rPr>
              <w:t>、CO、HC等</w:t>
            </w:r>
          </w:p>
        </w:tc>
        <w:tc>
          <w:tcPr>
            <w:tcW w:w="252" w:type="pct"/>
            <w:vAlign w:val="center"/>
          </w:tcPr>
          <w:p w14:paraId="7650AE9D">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54" w:type="pct"/>
            <w:vAlign w:val="center"/>
          </w:tcPr>
          <w:p w14:paraId="61209794">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05" w:type="pct"/>
            <w:vAlign w:val="center"/>
          </w:tcPr>
          <w:p w14:paraId="19DE104A">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02" w:type="pct"/>
            <w:vAlign w:val="center"/>
          </w:tcPr>
          <w:p w14:paraId="06C55B23">
            <w:pPr>
              <w:widowControl w:val="0"/>
              <w:adjustRightIn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olor w:val="auto"/>
                <w:kern w:val="2"/>
                <w:sz w:val="21"/>
                <w:szCs w:val="21"/>
                <w:highlight w:val="none"/>
              </w:rPr>
              <w:t>少量</w:t>
            </w:r>
          </w:p>
        </w:tc>
        <w:tc>
          <w:tcPr>
            <w:tcW w:w="456" w:type="pct"/>
            <w:tcBorders>
              <w:right w:val="single" w:color="auto" w:sz="4" w:space="0"/>
            </w:tcBorders>
            <w:vAlign w:val="center"/>
          </w:tcPr>
          <w:p w14:paraId="45630F71">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252" w:type="pct"/>
            <w:tcBorders>
              <w:left w:val="single" w:color="auto" w:sz="4" w:space="0"/>
            </w:tcBorders>
            <w:vAlign w:val="center"/>
          </w:tcPr>
          <w:p w14:paraId="7CB57137">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252" w:type="pct"/>
            <w:vAlign w:val="center"/>
          </w:tcPr>
          <w:p w14:paraId="62ED5D18">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54" w:type="pct"/>
            <w:vAlign w:val="center"/>
          </w:tcPr>
          <w:p w14:paraId="0D4A9A34">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379" w:type="pct"/>
            <w:vAlign w:val="center"/>
          </w:tcPr>
          <w:p w14:paraId="3665B976">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408" w:type="pct"/>
            <w:vAlign w:val="center"/>
          </w:tcPr>
          <w:p w14:paraId="127E2146">
            <w:pPr>
              <w:widowControl w:val="0"/>
              <w:adjustRightIn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olor w:val="auto"/>
                <w:kern w:val="2"/>
                <w:sz w:val="21"/>
                <w:szCs w:val="21"/>
                <w:highlight w:val="none"/>
              </w:rPr>
              <w:t>少量</w:t>
            </w:r>
          </w:p>
        </w:tc>
        <w:tc>
          <w:tcPr>
            <w:tcW w:w="312" w:type="pct"/>
            <w:vAlign w:val="center"/>
          </w:tcPr>
          <w:p w14:paraId="10BD9121">
            <w:pPr>
              <w:widowControl w:val="0"/>
              <w:adjustRightInd w:val="0"/>
              <w:spacing w:line="32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施工</w:t>
            </w:r>
          </w:p>
          <w:p w14:paraId="025A816D">
            <w:pPr>
              <w:widowControl w:val="0"/>
              <w:adjustRightIn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期</w:t>
            </w:r>
          </w:p>
        </w:tc>
      </w:tr>
    </w:tbl>
    <w:p w14:paraId="24345C93">
      <w:pPr>
        <w:pStyle w:val="149"/>
        <w:widowControl w:val="0"/>
        <w:spacing w:line="440" w:lineRule="exact"/>
        <w:ind w:firstLine="478"/>
        <w:rPr>
          <w:rFonts w:ascii="Times New Roman" w:hAnsi="Times New Roman" w:eastAsiaTheme="minorEastAsia"/>
          <w:b/>
          <w:caps w:val="0"/>
          <w:smallCaps w:val="0"/>
          <w:color w:val="auto"/>
          <w:spacing w:val="0"/>
          <w:w w:val="100"/>
          <w:kern w:val="21"/>
          <w:position w:val="0"/>
          <w:highlight w:val="none"/>
        </w:rPr>
      </w:pPr>
      <w:r>
        <w:rPr>
          <w:rFonts w:ascii="Times New Roman" w:hAnsi="Times New Roman" w:eastAsiaTheme="minorEastAsia"/>
          <w:b/>
          <w:caps w:val="0"/>
          <w:smallCaps w:val="0"/>
          <w:color w:val="auto"/>
          <w:spacing w:val="0"/>
          <w:w w:val="100"/>
          <w:kern w:val="21"/>
          <w:position w:val="0"/>
          <w:highlight w:val="none"/>
        </w:rPr>
        <w:t>表</w:t>
      </w:r>
      <w:r>
        <w:rPr>
          <w:rFonts w:ascii="Times New Roman" w:hAnsi="Times New Roman" w:eastAsiaTheme="minorEastAsia"/>
          <w:b/>
          <w:caps w:val="0"/>
          <w:smallCaps w:val="0"/>
          <w:color w:val="auto"/>
          <w:spacing w:val="0"/>
          <w:w w:val="100"/>
          <w:position w:val="0"/>
          <w:highlight w:val="none"/>
        </w:rPr>
        <w:t>3.10-7</w:t>
      </w:r>
      <w:r>
        <w:rPr>
          <w:rFonts w:ascii="Times New Roman" w:hAnsi="Times New Roman" w:eastAsiaTheme="minorEastAsia"/>
          <w:b/>
          <w:caps w:val="0"/>
          <w:smallCaps w:val="0"/>
          <w:color w:val="auto"/>
          <w:spacing w:val="0"/>
          <w:w w:val="100"/>
          <w:kern w:val="21"/>
          <w:position w:val="0"/>
          <w:highlight w:val="none"/>
        </w:rPr>
        <w:t xml:space="preserve">    施工期废水污染源源强核算结果及相关参数一览表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0"/>
        <w:gridCol w:w="720"/>
        <w:gridCol w:w="720"/>
        <w:gridCol w:w="1009"/>
        <w:gridCol w:w="719"/>
        <w:gridCol w:w="1007"/>
        <w:gridCol w:w="722"/>
        <w:gridCol w:w="719"/>
        <w:gridCol w:w="3169"/>
        <w:gridCol w:w="577"/>
        <w:gridCol w:w="719"/>
        <w:gridCol w:w="719"/>
        <w:gridCol w:w="722"/>
        <w:gridCol w:w="719"/>
        <w:gridCol w:w="1115"/>
      </w:tblGrid>
      <w:tr w14:paraId="25FF4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302" w:type="pct"/>
            <w:vMerge w:val="restart"/>
            <w:vAlign w:val="center"/>
          </w:tcPr>
          <w:p w14:paraId="278A880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工序</w:t>
            </w:r>
          </w:p>
        </w:tc>
        <w:tc>
          <w:tcPr>
            <w:tcW w:w="253" w:type="pct"/>
            <w:vMerge w:val="restart"/>
            <w:vAlign w:val="center"/>
          </w:tcPr>
          <w:p w14:paraId="70407D2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装置</w:t>
            </w:r>
          </w:p>
        </w:tc>
        <w:tc>
          <w:tcPr>
            <w:tcW w:w="253" w:type="pct"/>
            <w:vMerge w:val="restart"/>
            <w:vAlign w:val="center"/>
          </w:tcPr>
          <w:p w14:paraId="488F7E1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污染源</w:t>
            </w:r>
          </w:p>
        </w:tc>
        <w:tc>
          <w:tcPr>
            <w:tcW w:w="355" w:type="pct"/>
            <w:vMerge w:val="restart"/>
            <w:vAlign w:val="center"/>
          </w:tcPr>
          <w:p w14:paraId="4DCE719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污染物</w:t>
            </w:r>
          </w:p>
        </w:tc>
        <w:tc>
          <w:tcPr>
            <w:tcW w:w="1114" w:type="pct"/>
            <w:gridSpan w:val="4"/>
            <w:vAlign w:val="center"/>
          </w:tcPr>
          <w:p w14:paraId="5074A43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污染物产生</w:t>
            </w:r>
          </w:p>
        </w:tc>
        <w:tc>
          <w:tcPr>
            <w:tcW w:w="1317" w:type="pct"/>
            <w:gridSpan w:val="2"/>
            <w:vAlign w:val="center"/>
          </w:tcPr>
          <w:p w14:paraId="605583A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治理措施</w:t>
            </w:r>
          </w:p>
        </w:tc>
        <w:tc>
          <w:tcPr>
            <w:tcW w:w="1013" w:type="pct"/>
            <w:gridSpan w:val="4"/>
            <w:vAlign w:val="center"/>
          </w:tcPr>
          <w:p w14:paraId="5F9F47C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污染物排放</w:t>
            </w:r>
          </w:p>
        </w:tc>
        <w:tc>
          <w:tcPr>
            <w:tcW w:w="392" w:type="pct"/>
            <w:vMerge w:val="restart"/>
            <w:vAlign w:val="center"/>
          </w:tcPr>
          <w:p w14:paraId="138255F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排放时间</w:t>
            </w:r>
          </w:p>
        </w:tc>
      </w:tr>
      <w:tr w14:paraId="46F67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302" w:type="pct"/>
            <w:vMerge w:val="continue"/>
            <w:vAlign w:val="center"/>
          </w:tcPr>
          <w:p w14:paraId="098AE013">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3" w:type="pct"/>
            <w:vMerge w:val="continue"/>
            <w:vAlign w:val="center"/>
          </w:tcPr>
          <w:p w14:paraId="2424F94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3" w:type="pct"/>
            <w:vMerge w:val="continue"/>
            <w:vAlign w:val="center"/>
          </w:tcPr>
          <w:p w14:paraId="46FF04F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355" w:type="pct"/>
            <w:vMerge w:val="continue"/>
            <w:tcBorders>
              <w:bottom w:val="single" w:color="auto" w:sz="4" w:space="0"/>
            </w:tcBorders>
            <w:vAlign w:val="center"/>
          </w:tcPr>
          <w:p w14:paraId="43AEAAD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3" w:type="pct"/>
            <w:tcBorders>
              <w:bottom w:val="single" w:color="auto" w:sz="4" w:space="0"/>
            </w:tcBorders>
            <w:vAlign w:val="center"/>
          </w:tcPr>
          <w:p w14:paraId="500AFAE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核算方法</w:t>
            </w:r>
          </w:p>
        </w:tc>
        <w:tc>
          <w:tcPr>
            <w:tcW w:w="354" w:type="pct"/>
            <w:vAlign w:val="center"/>
          </w:tcPr>
          <w:p w14:paraId="7676545C">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废水产生量m</w:t>
            </w:r>
            <w:r>
              <w:rPr>
                <w:rFonts w:ascii="Times New Roman" w:hAnsi="Times New Roman" w:cs="Times New Roman" w:eastAsiaTheme="minorEastAsia"/>
                <w:caps w:val="0"/>
                <w:smallCaps w:val="0"/>
                <w:color w:val="auto"/>
                <w:spacing w:val="0"/>
                <w:w w:val="100"/>
                <w:position w:val="0"/>
                <w:sz w:val="21"/>
                <w:szCs w:val="21"/>
                <w:highlight w:val="none"/>
                <w:vertAlign w:val="superscript"/>
              </w:rPr>
              <w:t>3</w:t>
            </w:r>
          </w:p>
        </w:tc>
        <w:tc>
          <w:tcPr>
            <w:tcW w:w="254" w:type="pct"/>
            <w:vAlign w:val="center"/>
          </w:tcPr>
          <w:p w14:paraId="34E83F8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产生浓度mg/L</w:t>
            </w:r>
          </w:p>
        </w:tc>
        <w:tc>
          <w:tcPr>
            <w:tcW w:w="253" w:type="pct"/>
            <w:vAlign w:val="center"/>
          </w:tcPr>
          <w:p w14:paraId="4C858F0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产生量t</w:t>
            </w:r>
          </w:p>
        </w:tc>
        <w:tc>
          <w:tcPr>
            <w:tcW w:w="1114" w:type="pct"/>
            <w:vAlign w:val="center"/>
          </w:tcPr>
          <w:p w14:paraId="236275B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工艺</w:t>
            </w:r>
          </w:p>
        </w:tc>
        <w:tc>
          <w:tcPr>
            <w:tcW w:w="203" w:type="pct"/>
            <w:tcBorders>
              <w:bottom w:val="single" w:color="auto" w:sz="4" w:space="0"/>
            </w:tcBorders>
            <w:vAlign w:val="center"/>
          </w:tcPr>
          <w:p w14:paraId="51C7506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效率/%</w:t>
            </w:r>
          </w:p>
        </w:tc>
        <w:tc>
          <w:tcPr>
            <w:tcW w:w="253" w:type="pct"/>
            <w:tcBorders>
              <w:bottom w:val="single" w:color="auto" w:sz="4" w:space="0"/>
            </w:tcBorders>
            <w:vAlign w:val="center"/>
          </w:tcPr>
          <w:p w14:paraId="7C76D52C">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核算方法</w:t>
            </w:r>
          </w:p>
        </w:tc>
        <w:tc>
          <w:tcPr>
            <w:tcW w:w="253" w:type="pct"/>
            <w:tcBorders>
              <w:bottom w:val="single" w:color="auto" w:sz="4" w:space="0"/>
            </w:tcBorders>
            <w:vAlign w:val="center"/>
          </w:tcPr>
          <w:p w14:paraId="60C1CB0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废水排放量m</w:t>
            </w:r>
            <w:r>
              <w:rPr>
                <w:rFonts w:ascii="Times New Roman" w:hAnsi="Times New Roman" w:cs="Times New Roman" w:eastAsiaTheme="minorEastAsia"/>
                <w:caps w:val="0"/>
                <w:smallCaps w:val="0"/>
                <w:color w:val="auto"/>
                <w:spacing w:val="0"/>
                <w:w w:val="100"/>
                <w:position w:val="0"/>
                <w:sz w:val="21"/>
                <w:szCs w:val="21"/>
                <w:highlight w:val="none"/>
                <w:vertAlign w:val="superscript"/>
              </w:rPr>
              <w:t>3</w:t>
            </w:r>
          </w:p>
        </w:tc>
        <w:tc>
          <w:tcPr>
            <w:tcW w:w="254" w:type="pct"/>
            <w:vAlign w:val="center"/>
          </w:tcPr>
          <w:p w14:paraId="547AD2C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排放浓度mg/L</w:t>
            </w:r>
          </w:p>
        </w:tc>
        <w:tc>
          <w:tcPr>
            <w:tcW w:w="253" w:type="pct"/>
            <w:vAlign w:val="center"/>
          </w:tcPr>
          <w:p w14:paraId="71887A0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排放量t</w:t>
            </w:r>
          </w:p>
        </w:tc>
        <w:tc>
          <w:tcPr>
            <w:tcW w:w="392" w:type="pct"/>
            <w:vMerge w:val="continue"/>
            <w:vAlign w:val="center"/>
          </w:tcPr>
          <w:p w14:paraId="3FBFD5C8">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r>
      <w:tr w14:paraId="7D613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60" w:type="dxa"/>
            <w:vAlign w:val="center"/>
          </w:tcPr>
          <w:p w14:paraId="3AD95907">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管线试压</w:t>
            </w:r>
          </w:p>
        </w:tc>
        <w:tc>
          <w:tcPr>
            <w:tcW w:w="720" w:type="dxa"/>
            <w:vAlign w:val="center"/>
          </w:tcPr>
          <w:p w14:paraId="33A86FDF">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试压</w:t>
            </w:r>
          </w:p>
        </w:tc>
        <w:tc>
          <w:tcPr>
            <w:tcW w:w="720" w:type="dxa"/>
            <w:vAlign w:val="center"/>
          </w:tcPr>
          <w:p w14:paraId="1EFC7403">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试压废水</w:t>
            </w:r>
          </w:p>
        </w:tc>
        <w:tc>
          <w:tcPr>
            <w:tcW w:w="1009" w:type="dxa"/>
            <w:vAlign w:val="center"/>
          </w:tcPr>
          <w:p w14:paraId="0AAFD3F3">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SS</w:t>
            </w:r>
          </w:p>
        </w:tc>
        <w:tc>
          <w:tcPr>
            <w:tcW w:w="719" w:type="dxa"/>
            <w:tcBorders>
              <w:bottom w:val="single" w:color="auto" w:sz="4" w:space="0"/>
            </w:tcBorders>
            <w:vAlign w:val="center"/>
          </w:tcPr>
          <w:p w14:paraId="5740229E">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排污系数</w:t>
            </w:r>
          </w:p>
        </w:tc>
        <w:tc>
          <w:tcPr>
            <w:tcW w:w="1007" w:type="dxa"/>
            <w:vAlign w:val="center"/>
          </w:tcPr>
          <w:p w14:paraId="2BCA68BB">
            <w:pPr>
              <w:widowControl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bCs/>
                <w:color w:val="auto"/>
                <w:kern w:val="21"/>
                <w:sz w:val="21"/>
                <w:szCs w:val="21"/>
                <w:highlight w:val="none"/>
                <w:lang w:val="en-US" w:eastAsia="zh-CN"/>
              </w:rPr>
              <w:t>90.8</w:t>
            </w:r>
          </w:p>
        </w:tc>
        <w:tc>
          <w:tcPr>
            <w:tcW w:w="722" w:type="dxa"/>
            <w:vAlign w:val="center"/>
          </w:tcPr>
          <w:p w14:paraId="31CCCC8D">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w:t>
            </w:r>
          </w:p>
        </w:tc>
        <w:tc>
          <w:tcPr>
            <w:tcW w:w="719" w:type="dxa"/>
            <w:vAlign w:val="center"/>
          </w:tcPr>
          <w:p w14:paraId="714A6E8D">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bCs/>
                <w:snapToGrid w:val="0"/>
                <w:color w:val="auto"/>
                <w:sz w:val="21"/>
                <w:szCs w:val="21"/>
                <w:highlight w:val="none"/>
              </w:rPr>
              <w:t>/</w:t>
            </w:r>
          </w:p>
        </w:tc>
        <w:tc>
          <w:tcPr>
            <w:tcW w:w="3169" w:type="dxa"/>
            <w:vAlign w:val="center"/>
          </w:tcPr>
          <w:p w14:paraId="68D57A19">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bCs/>
                <w:snapToGrid w:val="0"/>
                <w:color w:val="auto"/>
                <w:sz w:val="21"/>
                <w:szCs w:val="21"/>
                <w:highlight w:val="none"/>
              </w:rPr>
              <w:t>由罐车拉运至</w:t>
            </w:r>
            <w:r>
              <w:rPr>
                <w:rFonts w:hint="eastAsia" w:ascii="Times New Roman" w:hAnsi="Times New Roman" w:cs="Times New Roman" w:eastAsiaTheme="minorEastAsia"/>
                <w:bCs/>
                <w:snapToGrid w:val="0"/>
                <w:color w:val="auto"/>
                <w:sz w:val="21"/>
                <w:szCs w:val="21"/>
                <w:highlight w:val="none"/>
              </w:rPr>
              <w:t>卫一联含油污水深度处理站</w:t>
            </w:r>
            <w:r>
              <w:rPr>
                <w:rFonts w:ascii="Times New Roman" w:hAnsi="Times New Roman" w:cs="Times New Roman" w:eastAsiaTheme="minorEastAsia"/>
                <w:bCs/>
                <w:snapToGrid w:val="0"/>
                <w:color w:val="auto"/>
                <w:sz w:val="21"/>
                <w:szCs w:val="21"/>
                <w:highlight w:val="none"/>
              </w:rPr>
              <w:t>处理达标后回注油层</w:t>
            </w:r>
          </w:p>
        </w:tc>
        <w:tc>
          <w:tcPr>
            <w:tcW w:w="577" w:type="dxa"/>
            <w:vAlign w:val="center"/>
          </w:tcPr>
          <w:p w14:paraId="4F23159E">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100</w:t>
            </w:r>
          </w:p>
        </w:tc>
        <w:tc>
          <w:tcPr>
            <w:tcW w:w="719" w:type="dxa"/>
            <w:tcBorders>
              <w:bottom w:val="single" w:color="auto" w:sz="4" w:space="0"/>
            </w:tcBorders>
            <w:vAlign w:val="center"/>
          </w:tcPr>
          <w:p w14:paraId="69174C51">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排污系数</w:t>
            </w:r>
          </w:p>
        </w:tc>
        <w:tc>
          <w:tcPr>
            <w:tcW w:w="719" w:type="dxa"/>
            <w:tcBorders>
              <w:bottom w:val="single" w:color="auto" w:sz="4" w:space="0"/>
            </w:tcBorders>
            <w:vAlign w:val="center"/>
          </w:tcPr>
          <w:p w14:paraId="18188730">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0</w:t>
            </w:r>
          </w:p>
        </w:tc>
        <w:tc>
          <w:tcPr>
            <w:tcW w:w="722" w:type="dxa"/>
            <w:vAlign w:val="center"/>
          </w:tcPr>
          <w:p w14:paraId="0E4C4C51">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0</w:t>
            </w:r>
          </w:p>
        </w:tc>
        <w:tc>
          <w:tcPr>
            <w:tcW w:w="719" w:type="dxa"/>
            <w:vAlign w:val="center"/>
          </w:tcPr>
          <w:p w14:paraId="612858F4">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0</w:t>
            </w:r>
          </w:p>
        </w:tc>
        <w:tc>
          <w:tcPr>
            <w:tcW w:w="1115" w:type="dxa"/>
            <w:vAlign w:val="center"/>
          </w:tcPr>
          <w:p w14:paraId="458A4473">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管线试压期间</w:t>
            </w:r>
          </w:p>
        </w:tc>
      </w:tr>
      <w:tr w14:paraId="6F350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60" w:type="dxa"/>
            <w:vAlign w:val="center"/>
          </w:tcPr>
          <w:p w14:paraId="3515ECBA">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snapToGrid w:val="0"/>
                <w:color w:val="auto"/>
                <w:sz w:val="21"/>
                <w:szCs w:val="21"/>
                <w:highlight w:val="none"/>
                <w:lang w:val="en-US" w:eastAsia="zh-CN"/>
              </w:rPr>
              <w:t>废弃</w:t>
            </w:r>
            <w:r>
              <w:rPr>
                <w:rFonts w:ascii="Times New Roman" w:hAnsi="Times New Roman" w:cs="Times New Roman" w:eastAsiaTheme="minorEastAsia"/>
                <w:snapToGrid w:val="0"/>
                <w:color w:val="auto"/>
                <w:sz w:val="21"/>
                <w:szCs w:val="21"/>
                <w:highlight w:val="none"/>
              </w:rPr>
              <w:t>管线清洗</w:t>
            </w:r>
          </w:p>
        </w:tc>
        <w:tc>
          <w:tcPr>
            <w:tcW w:w="720" w:type="dxa"/>
            <w:vAlign w:val="center"/>
          </w:tcPr>
          <w:p w14:paraId="2F5ECC1A">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snapToGrid w:val="0"/>
                <w:color w:val="auto"/>
                <w:sz w:val="21"/>
                <w:szCs w:val="21"/>
                <w:highlight w:val="none"/>
              </w:rPr>
              <w:t>清洗</w:t>
            </w:r>
          </w:p>
        </w:tc>
        <w:tc>
          <w:tcPr>
            <w:tcW w:w="720" w:type="dxa"/>
            <w:vAlign w:val="center"/>
          </w:tcPr>
          <w:p w14:paraId="1BD654BF">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清洗废水</w:t>
            </w:r>
          </w:p>
        </w:tc>
        <w:tc>
          <w:tcPr>
            <w:tcW w:w="1009" w:type="dxa"/>
            <w:vAlign w:val="center"/>
          </w:tcPr>
          <w:p w14:paraId="7A2A9EC2">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bCs/>
                <w:snapToGrid w:val="0"/>
                <w:color w:val="auto"/>
                <w:sz w:val="21"/>
                <w:szCs w:val="21"/>
                <w:highlight w:val="none"/>
              </w:rPr>
              <w:t>石油类、SS</w:t>
            </w:r>
          </w:p>
        </w:tc>
        <w:tc>
          <w:tcPr>
            <w:tcW w:w="719" w:type="dxa"/>
            <w:tcBorders>
              <w:bottom w:val="single" w:color="auto" w:sz="4" w:space="0"/>
            </w:tcBorders>
            <w:vAlign w:val="center"/>
          </w:tcPr>
          <w:p w14:paraId="6E1C7E65">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1007" w:type="dxa"/>
            <w:vAlign w:val="center"/>
          </w:tcPr>
          <w:p w14:paraId="658CE55B">
            <w:pPr>
              <w:widowControl w:val="0"/>
              <w:spacing w:line="320" w:lineRule="exact"/>
              <w:jc w:val="center"/>
              <w:rPr>
                <w:rFonts w:hint="default" w:ascii="Times New Roman" w:hAnsi="Times New Roman" w:cs="Times New Roman" w:eastAsiaTheme="minorEastAsia"/>
                <w:bCs/>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bCs/>
                <w:color w:val="auto"/>
                <w:kern w:val="21"/>
                <w:sz w:val="21"/>
                <w:szCs w:val="21"/>
                <w:highlight w:val="none"/>
                <w:lang w:val="en-US" w:eastAsia="zh-CN"/>
              </w:rPr>
              <w:t>281.9</w:t>
            </w:r>
          </w:p>
        </w:tc>
        <w:tc>
          <w:tcPr>
            <w:tcW w:w="722" w:type="dxa"/>
            <w:vAlign w:val="center"/>
          </w:tcPr>
          <w:p w14:paraId="26678DB2">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w:t>
            </w:r>
          </w:p>
        </w:tc>
        <w:tc>
          <w:tcPr>
            <w:tcW w:w="719" w:type="dxa"/>
            <w:vAlign w:val="center"/>
          </w:tcPr>
          <w:p w14:paraId="065376B7">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bCs/>
                <w:snapToGrid w:val="0"/>
                <w:color w:val="auto"/>
                <w:sz w:val="21"/>
                <w:szCs w:val="21"/>
                <w:highlight w:val="none"/>
              </w:rPr>
              <w:t>/</w:t>
            </w:r>
          </w:p>
        </w:tc>
        <w:tc>
          <w:tcPr>
            <w:tcW w:w="3169" w:type="dxa"/>
            <w:vAlign w:val="center"/>
          </w:tcPr>
          <w:p w14:paraId="3C99BB15">
            <w:pPr>
              <w:widowControl w:val="0"/>
              <w:spacing w:line="320" w:lineRule="exact"/>
              <w:jc w:val="center"/>
              <w:rPr>
                <w:rFonts w:ascii="Times New Roman" w:hAnsi="Times New Roman" w:cs="Times New Roman" w:eastAsiaTheme="minorEastAsia"/>
                <w:bCs/>
                <w:caps w:val="0"/>
                <w:smallCaps w:val="0"/>
                <w:snapToGrid w:val="0"/>
                <w:color w:val="auto"/>
                <w:spacing w:val="0"/>
                <w:w w:val="100"/>
                <w:position w:val="0"/>
                <w:sz w:val="21"/>
                <w:szCs w:val="21"/>
                <w:highlight w:val="none"/>
              </w:rPr>
            </w:pPr>
            <w:r>
              <w:rPr>
                <w:rFonts w:ascii="Times New Roman" w:hAnsi="Times New Roman" w:cs="Times New Roman" w:eastAsiaTheme="minorEastAsia"/>
                <w:bCs/>
                <w:snapToGrid w:val="0"/>
                <w:color w:val="auto"/>
                <w:sz w:val="21"/>
                <w:szCs w:val="21"/>
                <w:highlight w:val="none"/>
              </w:rPr>
              <w:t>由罐车拉运至</w:t>
            </w:r>
            <w:r>
              <w:rPr>
                <w:rFonts w:hint="eastAsia" w:ascii="Times New Roman" w:hAnsi="Times New Roman" w:cs="Times New Roman" w:eastAsiaTheme="minorEastAsia"/>
                <w:bCs/>
                <w:snapToGrid w:val="0"/>
                <w:color w:val="auto"/>
                <w:sz w:val="21"/>
                <w:szCs w:val="21"/>
                <w:highlight w:val="none"/>
              </w:rPr>
              <w:t>卫一联含油污水深度处理站</w:t>
            </w:r>
            <w:r>
              <w:rPr>
                <w:rFonts w:ascii="Times New Roman" w:hAnsi="Times New Roman" w:cs="Times New Roman" w:eastAsiaTheme="minorEastAsia"/>
                <w:bCs/>
                <w:snapToGrid w:val="0"/>
                <w:color w:val="auto"/>
                <w:sz w:val="21"/>
                <w:szCs w:val="21"/>
                <w:highlight w:val="none"/>
              </w:rPr>
              <w:t>处理达标后回注油层</w:t>
            </w:r>
          </w:p>
        </w:tc>
        <w:tc>
          <w:tcPr>
            <w:tcW w:w="577" w:type="dxa"/>
            <w:vAlign w:val="center"/>
          </w:tcPr>
          <w:p w14:paraId="7BC9E466">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100</w:t>
            </w:r>
          </w:p>
        </w:tc>
        <w:tc>
          <w:tcPr>
            <w:tcW w:w="719" w:type="dxa"/>
            <w:tcBorders>
              <w:bottom w:val="single" w:color="auto" w:sz="4" w:space="0"/>
            </w:tcBorders>
            <w:vAlign w:val="center"/>
          </w:tcPr>
          <w:p w14:paraId="22EED00D">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719" w:type="dxa"/>
            <w:tcBorders>
              <w:bottom w:val="single" w:color="auto" w:sz="4" w:space="0"/>
            </w:tcBorders>
            <w:vAlign w:val="center"/>
          </w:tcPr>
          <w:p w14:paraId="5B989B31">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0</w:t>
            </w:r>
          </w:p>
        </w:tc>
        <w:tc>
          <w:tcPr>
            <w:tcW w:w="722" w:type="dxa"/>
            <w:vAlign w:val="center"/>
          </w:tcPr>
          <w:p w14:paraId="35B6E6B7">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0</w:t>
            </w:r>
          </w:p>
        </w:tc>
        <w:tc>
          <w:tcPr>
            <w:tcW w:w="719" w:type="dxa"/>
            <w:vAlign w:val="center"/>
          </w:tcPr>
          <w:p w14:paraId="32F13227">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0</w:t>
            </w:r>
          </w:p>
        </w:tc>
        <w:tc>
          <w:tcPr>
            <w:tcW w:w="1115" w:type="dxa"/>
            <w:vAlign w:val="center"/>
          </w:tcPr>
          <w:p w14:paraId="35A31AE5">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snapToGrid w:val="0"/>
                <w:color w:val="auto"/>
                <w:sz w:val="21"/>
                <w:szCs w:val="21"/>
                <w:highlight w:val="none"/>
              </w:rPr>
              <w:t>废弃管线</w:t>
            </w:r>
            <w:r>
              <w:rPr>
                <w:rFonts w:ascii="Times New Roman" w:hAnsi="Times New Roman" w:cs="Times New Roman" w:eastAsiaTheme="minorEastAsia"/>
                <w:snapToGrid w:val="0"/>
                <w:color w:val="auto"/>
                <w:sz w:val="21"/>
                <w:szCs w:val="21"/>
                <w:highlight w:val="none"/>
              </w:rPr>
              <w:t>清洗期间</w:t>
            </w:r>
          </w:p>
        </w:tc>
      </w:tr>
      <w:tr w14:paraId="14AB2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60" w:type="dxa"/>
            <w:vMerge w:val="restart"/>
            <w:vAlign w:val="center"/>
          </w:tcPr>
          <w:p w14:paraId="31707900">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施工</w:t>
            </w:r>
          </w:p>
        </w:tc>
        <w:tc>
          <w:tcPr>
            <w:tcW w:w="720" w:type="dxa"/>
            <w:vMerge w:val="restart"/>
            <w:vAlign w:val="center"/>
          </w:tcPr>
          <w:p w14:paraId="65FA58AD">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生活</w:t>
            </w:r>
          </w:p>
        </w:tc>
        <w:tc>
          <w:tcPr>
            <w:tcW w:w="720" w:type="dxa"/>
            <w:vMerge w:val="restart"/>
            <w:vAlign w:val="center"/>
          </w:tcPr>
          <w:p w14:paraId="50A845B9">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生活污水</w:t>
            </w:r>
          </w:p>
        </w:tc>
        <w:tc>
          <w:tcPr>
            <w:tcW w:w="1009" w:type="dxa"/>
            <w:vAlign w:val="center"/>
          </w:tcPr>
          <w:p w14:paraId="43917B9B">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COD</w:t>
            </w:r>
          </w:p>
        </w:tc>
        <w:tc>
          <w:tcPr>
            <w:tcW w:w="719" w:type="dxa"/>
            <w:vMerge w:val="restart"/>
            <w:tcBorders>
              <w:top w:val="single" w:color="auto" w:sz="4" w:space="0"/>
            </w:tcBorders>
            <w:vAlign w:val="center"/>
          </w:tcPr>
          <w:p w14:paraId="558DEF15">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1007" w:type="dxa"/>
            <w:vMerge w:val="restart"/>
            <w:vAlign w:val="center"/>
          </w:tcPr>
          <w:p w14:paraId="3FED1F41">
            <w:pPr>
              <w:widowControl w:val="0"/>
              <w:spacing w:line="320" w:lineRule="exact"/>
              <w:jc w:val="center"/>
              <w:rPr>
                <w:rFonts w:hint="default" w:ascii="Times New Roman" w:hAnsi="Times New Roman" w:cs="Times New Roman" w:eastAsiaTheme="minorEastAsia"/>
                <w:caps w:val="0"/>
                <w:smallCaps w:val="0"/>
                <w:snapToGrid w:val="0"/>
                <w:color w:val="auto"/>
                <w:spacing w:val="0"/>
                <w:w w:val="100"/>
                <w:position w:val="0"/>
                <w:sz w:val="21"/>
                <w:szCs w:val="21"/>
                <w:highlight w:val="none"/>
                <w:lang w:val="en-US" w:eastAsia="zh-CN"/>
              </w:rPr>
            </w:pPr>
            <w:r>
              <w:rPr>
                <w:rFonts w:hint="eastAsia" w:ascii="Times New Roman" w:hAnsi="Times New Roman" w:cs="Times New Roman" w:eastAsiaTheme="minorEastAsia"/>
                <w:snapToGrid w:val="0"/>
                <w:color w:val="auto"/>
                <w:sz w:val="21"/>
                <w:szCs w:val="21"/>
                <w:highlight w:val="none"/>
                <w:lang w:val="en-US" w:eastAsia="zh-CN"/>
              </w:rPr>
              <w:t>115.2</w:t>
            </w:r>
          </w:p>
        </w:tc>
        <w:tc>
          <w:tcPr>
            <w:tcW w:w="722" w:type="dxa"/>
            <w:vAlign w:val="center"/>
          </w:tcPr>
          <w:p w14:paraId="4B6D51F4">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300</w:t>
            </w:r>
          </w:p>
        </w:tc>
        <w:tc>
          <w:tcPr>
            <w:tcW w:w="719" w:type="dxa"/>
            <w:vAlign w:val="center"/>
          </w:tcPr>
          <w:p w14:paraId="69DF263E">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0.0</w:t>
            </w:r>
            <w:r>
              <w:rPr>
                <w:rFonts w:hint="eastAsia" w:ascii="Times New Roman" w:hAnsi="Times New Roman" w:cs="Times New Roman" w:eastAsiaTheme="minorEastAsia"/>
                <w:snapToGrid w:val="0"/>
                <w:color w:val="auto"/>
                <w:sz w:val="21"/>
                <w:szCs w:val="21"/>
                <w:highlight w:val="none"/>
              </w:rPr>
              <w:t>35</w:t>
            </w:r>
          </w:p>
        </w:tc>
        <w:tc>
          <w:tcPr>
            <w:tcW w:w="3169" w:type="dxa"/>
            <w:vMerge w:val="restart"/>
            <w:vAlign w:val="center"/>
          </w:tcPr>
          <w:p w14:paraId="791576F1">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排入附近计量间或场站已建防渗旱厕，定期</w:t>
            </w:r>
            <w:r>
              <w:rPr>
                <w:rFonts w:hint="eastAsia" w:ascii="Times New Roman" w:hAnsi="Times New Roman" w:cs="Times New Roman" w:eastAsiaTheme="minorEastAsia"/>
                <w:snapToGrid w:val="0"/>
                <w:color w:val="auto"/>
                <w:sz w:val="21"/>
                <w:szCs w:val="21"/>
                <w:highlight w:val="none"/>
                <w:lang w:eastAsia="zh-CN"/>
              </w:rPr>
              <w:t>由安达市同昌油田工程有限公司拉运至大庆市净源环保科技有限公司进行处理</w:t>
            </w:r>
            <w:r>
              <w:rPr>
                <w:rFonts w:ascii="Times New Roman" w:hAnsi="Times New Roman" w:cs="Times New Roman" w:eastAsiaTheme="minorEastAsia"/>
                <w:snapToGrid w:val="0"/>
                <w:color w:val="auto"/>
                <w:sz w:val="21"/>
                <w:szCs w:val="21"/>
                <w:highlight w:val="none"/>
              </w:rPr>
              <w:t>。</w:t>
            </w:r>
          </w:p>
        </w:tc>
        <w:tc>
          <w:tcPr>
            <w:tcW w:w="577" w:type="dxa"/>
            <w:tcBorders>
              <w:bottom w:val="single" w:color="auto" w:sz="4" w:space="0"/>
            </w:tcBorders>
            <w:vAlign w:val="center"/>
          </w:tcPr>
          <w:p w14:paraId="0D22DC51">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w:t>
            </w:r>
          </w:p>
        </w:tc>
        <w:tc>
          <w:tcPr>
            <w:tcW w:w="719" w:type="dxa"/>
            <w:vMerge w:val="restart"/>
            <w:tcBorders>
              <w:top w:val="single" w:color="auto" w:sz="4" w:space="0"/>
            </w:tcBorders>
            <w:vAlign w:val="center"/>
          </w:tcPr>
          <w:p w14:paraId="2F6BF9E1">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719" w:type="dxa"/>
            <w:vMerge w:val="restart"/>
            <w:tcBorders>
              <w:top w:val="single" w:color="auto" w:sz="4" w:space="0"/>
            </w:tcBorders>
            <w:vAlign w:val="center"/>
          </w:tcPr>
          <w:p w14:paraId="1B72AA77">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snapToGrid w:val="0"/>
                <w:color w:val="auto"/>
                <w:sz w:val="21"/>
                <w:szCs w:val="21"/>
                <w:highlight w:val="none"/>
              </w:rPr>
              <w:t>115.2</w:t>
            </w:r>
          </w:p>
        </w:tc>
        <w:tc>
          <w:tcPr>
            <w:tcW w:w="722" w:type="dxa"/>
            <w:tcBorders>
              <w:bottom w:val="single" w:color="auto" w:sz="4" w:space="0"/>
            </w:tcBorders>
            <w:vAlign w:val="center"/>
          </w:tcPr>
          <w:p w14:paraId="4F1F271D">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300</w:t>
            </w:r>
          </w:p>
        </w:tc>
        <w:tc>
          <w:tcPr>
            <w:tcW w:w="719" w:type="dxa"/>
            <w:tcBorders>
              <w:bottom w:val="single" w:color="auto" w:sz="4" w:space="0"/>
            </w:tcBorders>
            <w:vAlign w:val="center"/>
          </w:tcPr>
          <w:p w14:paraId="21A88765">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0.0</w:t>
            </w:r>
            <w:r>
              <w:rPr>
                <w:rFonts w:hint="eastAsia" w:ascii="Times New Roman" w:hAnsi="Times New Roman" w:cs="Times New Roman" w:eastAsiaTheme="minorEastAsia"/>
                <w:snapToGrid w:val="0"/>
                <w:color w:val="auto"/>
                <w:sz w:val="21"/>
                <w:szCs w:val="21"/>
                <w:highlight w:val="none"/>
              </w:rPr>
              <w:t>35</w:t>
            </w:r>
          </w:p>
        </w:tc>
        <w:tc>
          <w:tcPr>
            <w:tcW w:w="1115" w:type="dxa"/>
            <w:vMerge w:val="restart"/>
            <w:vAlign w:val="center"/>
          </w:tcPr>
          <w:p w14:paraId="515986CC">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施工期</w:t>
            </w:r>
          </w:p>
        </w:tc>
      </w:tr>
      <w:tr w14:paraId="1F804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302" w:type="pct"/>
            <w:vMerge w:val="continue"/>
            <w:vAlign w:val="center"/>
          </w:tcPr>
          <w:p w14:paraId="745E847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3" w:type="pct"/>
            <w:vMerge w:val="continue"/>
            <w:vAlign w:val="center"/>
          </w:tcPr>
          <w:p w14:paraId="34527DD8">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3" w:type="pct"/>
            <w:vMerge w:val="continue"/>
            <w:vAlign w:val="center"/>
          </w:tcPr>
          <w:p w14:paraId="35FFDDE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355" w:type="pct"/>
            <w:vAlign w:val="center"/>
          </w:tcPr>
          <w:p w14:paraId="114E8C7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氨氮</w:t>
            </w:r>
          </w:p>
        </w:tc>
        <w:tc>
          <w:tcPr>
            <w:tcW w:w="253" w:type="pct"/>
            <w:vMerge w:val="continue"/>
            <w:vAlign w:val="center"/>
          </w:tcPr>
          <w:p w14:paraId="3716274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354" w:type="pct"/>
            <w:vMerge w:val="continue"/>
            <w:vAlign w:val="center"/>
          </w:tcPr>
          <w:p w14:paraId="603C484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4" w:type="pct"/>
            <w:vAlign w:val="center"/>
          </w:tcPr>
          <w:p w14:paraId="6FA97933">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w:t>
            </w:r>
          </w:p>
        </w:tc>
        <w:tc>
          <w:tcPr>
            <w:tcW w:w="253" w:type="pct"/>
            <w:vAlign w:val="center"/>
          </w:tcPr>
          <w:p w14:paraId="25B5FD6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0.0017</w:t>
            </w:r>
          </w:p>
        </w:tc>
        <w:tc>
          <w:tcPr>
            <w:tcW w:w="1114" w:type="pct"/>
            <w:vMerge w:val="continue"/>
            <w:vAlign w:val="center"/>
          </w:tcPr>
          <w:p w14:paraId="5A87618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03" w:type="pct"/>
            <w:tcBorders>
              <w:top w:val="single" w:color="auto" w:sz="4" w:space="0"/>
            </w:tcBorders>
            <w:vAlign w:val="center"/>
          </w:tcPr>
          <w:p w14:paraId="0ED120D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c>
          <w:tcPr>
            <w:tcW w:w="253" w:type="pct"/>
            <w:vMerge w:val="continue"/>
            <w:vAlign w:val="center"/>
          </w:tcPr>
          <w:p w14:paraId="118DF04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3" w:type="pct"/>
            <w:vMerge w:val="continue"/>
            <w:tcBorders>
              <w:top w:val="single" w:color="auto" w:sz="4" w:space="0"/>
            </w:tcBorders>
            <w:vAlign w:val="center"/>
          </w:tcPr>
          <w:p w14:paraId="18B1D988">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4" w:type="pct"/>
            <w:tcBorders>
              <w:top w:val="single" w:color="auto" w:sz="4" w:space="0"/>
            </w:tcBorders>
            <w:vAlign w:val="center"/>
          </w:tcPr>
          <w:p w14:paraId="54D2D55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w:t>
            </w:r>
          </w:p>
        </w:tc>
        <w:tc>
          <w:tcPr>
            <w:tcW w:w="253" w:type="pct"/>
            <w:tcBorders>
              <w:top w:val="single" w:color="auto" w:sz="4" w:space="0"/>
            </w:tcBorders>
            <w:vAlign w:val="center"/>
          </w:tcPr>
          <w:p w14:paraId="7D850A0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0.0017</w:t>
            </w:r>
          </w:p>
        </w:tc>
        <w:tc>
          <w:tcPr>
            <w:tcW w:w="392" w:type="pct"/>
            <w:vMerge w:val="continue"/>
            <w:vAlign w:val="center"/>
          </w:tcPr>
          <w:p w14:paraId="754B16B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r>
    </w:tbl>
    <w:p w14:paraId="088A0B15">
      <w:pPr>
        <w:pStyle w:val="149"/>
        <w:widowControl w:val="0"/>
        <w:spacing w:line="440" w:lineRule="exact"/>
        <w:ind w:firstLine="478"/>
        <w:jc w:val="both"/>
        <w:rPr>
          <w:rFonts w:ascii="Times New Roman" w:hAnsi="Times New Roman" w:eastAsiaTheme="minorEastAsia"/>
          <w:b/>
          <w:caps w:val="0"/>
          <w:smallCaps w:val="0"/>
          <w:color w:val="auto"/>
          <w:spacing w:val="0"/>
          <w:w w:val="100"/>
          <w:kern w:val="2"/>
          <w:position w:val="0"/>
          <w:szCs w:val="20"/>
          <w:highlight w:val="none"/>
        </w:rPr>
      </w:pPr>
      <w:r>
        <w:rPr>
          <w:rFonts w:ascii="Times New Roman" w:hAnsi="Times New Roman" w:eastAsiaTheme="minorEastAsia"/>
          <w:b/>
          <w:caps w:val="0"/>
          <w:smallCaps w:val="0"/>
          <w:color w:val="auto"/>
          <w:spacing w:val="0"/>
          <w:w w:val="100"/>
          <w:kern w:val="2"/>
          <w:position w:val="0"/>
          <w:szCs w:val="20"/>
          <w:highlight w:val="none"/>
        </w:rPr>
        <w:t>表</w:t>
      </w:r>
      <w:r>
        <w:rPr>
          <w:rFonts w:ascii="Times New Roman" w:hAnsi="Times New Roman" w:eastAsiaTheme="minorEastAsia"/>
          <w:b/>
          <w:caps w:val="0"/>
          <w:smallCaps w:val="0"/>
          <w:color w:val="auto"/>
          <w:spacing w:val="0"/>
          <w:w w:val="100"/>
          <w:position w:val="0"/>
          <w:highlight w:val="none"/>
        </w:rPr>
        <w:t>3.10-8</w:t>
      </w:r>
      <w:r>
        <w:rPr>
          <w:rFonts w:ascii="Times New Roman" w:hAnsi="Times New Roman" w:eastAsiaTheme="minorEastAsia"/>
          <w:b/>
          <w:caps w:val="0"/>
          <w:smallCaps w:val="0"/>
          <w:color w:val="auto"/>
          <w:spacing w:val="0"/>
          <w:w w:val="100"/>
          <w:kern w:val="2"/>
          <w:position w:val="0"/>
          <w:szCs w:val="20"/>
          <w:highlight w:val="none"/>
        </w:rPr>
        <w:t xml:space="preserve">    施工期</w:t>
      </w:r>
      <w:r>
        <w:rPr>
          <w:rFonts w:ascii="Times New Roman" w:hAnsi="Times New Roman" w:eastAsiaTheme="minorEastAsia"/>
          <w:b/>
          <w:caps w:val="0"/>
          <w:smallCaps w:val="0"/>
          <w:color w:val="auto"/>
          <w:spacing w:val="0"/>
          <w:w w:val="100"/>
          <w:kern w:val="21"/>
          <w:position w:val="0"/>
          <w:highlight w:val="none"/>
        </w:rPr>
        <w:t>噪声污染</w:t>
      </w:r>
      <w:r>
        <w:rPr>
          <w:rFonts w:ascii="Times New Roman" w:hAnsi="Times New Roman" w:eastAsiaTheme="minorEastAsia"/>
          <w:b/>
          <w:caps w:val="0"/>
          <w:smallCaps w:val="0"/>
          <w:color w:val="auto"/>
          <w:spacing w:val="0"/>
          <w:w w:val="100"/>
          <w:kern w:val="2"/>
          <w:position w:val="0"/>
          <w:szCs w:val="20"/>
          <w:highlight w:val="none"/>
        </w:rPr>
        <w:t>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6"/>
        <w:gridCol w:w="1332"/>
        <w:gridCol w:w="1155"/>
        <w:gridCol w:w="1733"/>
        <w:gridCol w:w="1113"/>
        <w:gridCol w:w="1164"/>
        <w:gridCol w:w="1725"/>
        <w:gridCol w:w="1116"/>
        <w:gridCol w:w="1332"/>
        <w:gridCol w:w="1335"/>
        <w:gridCol w:w="1107"/>
      </w:tblGrid>
      <w:tr w14:paraId="61028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restart"/>
            <w:vAlign w:val="center"/>
          </w:tcPr>
          <w:p w14:paraId="5D26281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工序</w:t>
            </w:r>
          </w:p>
        </w:tc>
        <w:tc>
          <w:tcPr>
            <w:tcW w:w="468" w:type="pct"/>
            <w:vMerge w:val="restart"/>
            <w:vAlign w:val="center"/>
          </w:tcPr>
          <w:p w14:paraId="7060CE7C">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装置</w:t>
            </w:r>
          </w:p>
        </w:tc>
        <w:tc>
          <w:tcPr>
            <w:tcW w:w="406" w:type="pct"/>
            <w:vMerge w:val="restart"/>
            <w:vAlign w:val="center"/>
          </w:tcPr>
          <w:p w14:paraId="01FDB335">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噪声源</w:t>
            </w:r>
          </w:p>
        </w:tc>
        <w:tc>
          <w:tcPr>
            <w:tcW w:w="609" w:type="pct"/>
            <w:vMerge w:val="restart"/>
            <w:vAlign w:val="center"/>
          </w:tcPr>
          <w:p w14:paraId="76581ECB">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声源类型（频发、偶发等）</w:t>
            </w:r>
          </w:p>
        </w:tc>
        <w:tc>
          <w:tcPr>
            <w:tcW w:w="800" w:type="pct"/>
            <w:gridSpan w:val="2"/>
            <w:vAlign w:val="center"/>
          </w:tcPr>
          <w:p w14:paraId="3A3D288F">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噪声源强</w:t>
            </w:r>
          </w:p>
        </w:tc>
        <w:tc>
          <w:tcPr>
            <w:tcW w:w="998" w:type="pct"/>
            <w:gridSpan w:val="2"/>
            <w:vAlign w:val="center"/>
          </w:tcPr>
          <w:p w14:paraId="77B0A383">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降噪措施</w:t>
            </w:r>
          </w:p>
        </w:tc>
        <w:tc>
          <w:tcPr>
            <w:tcW w:w="937" w:type="pct"/>
            <w:gridSpan w:val="2"/>
            <w:vAlign w:val="center"/>
          </w:tcPr>
          <w:p w14:paraId="1030EB90">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噪声值排放</w:t>
            </w:r>
          </w:p>
        </w:tc>
        <w:tc>
          <w:tcPr>
            <w:tcW w:w="389" w:type="pct"/>
            <w:vMerge w:val="restart"/>
            <w:vAlign w:val="center"/>
          </w:tcPr>
          <w:p w14:paraId="1497B130">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持续时间</w:t>
            </w:r>
          </w:p>
        </w:tc>
      </w:tr>
      <w:tr w14:paraId="1440C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411A14B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468" w:type="pct"/>
            <w:vMerge w:val="continue"/>
            <w:vAlign w:val="center"/>
          </w:tcPr>
          <w:p w14:paraId="2B79DE6F">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406" w:type="pct"/>
            <w:vMerge w:val="continue"/>
            <w:vAlign w:val="center"/>
          </w:tcPr>
          <w:p w14:paraId="7BAAF3FB">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609" w:type="pct"/>
            <w:vMerge w:val="continue"/>
            <w:vAlign w:val="center"/>
          </w:tcPr>
          <w:p w14:paraId="3B4E00A9">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391" w:type="pct"/>
            <w:vAlign w:val="center"/>
          </w:tcPr>
          <w:p w14:paraId="5C9C22A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核算方法</w:t>
            </w:r>
          </w:p>
        </w:tc>
        <w:tc>
          <w:tcPr>
            <w:tcW w:w="409" w:type="pct"/>
            <w:vAlign w:val="center"/>
          </w:tcPr>
          <w:p w14:paraId="1A185F0A">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噪声值/dB（A）</w:t>
            </w:r>
          </w:p>
        </w:tc>
        <w:tc>
          <w:tcPr>
            <w:tcW w:w="606" w:type="pct"/>
            <w:vAlign w:val="center"/>
          </w:tcPr>
          <w:p w14:paraId="2B6CD6A5">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工艺</w:t>
            </w:r>
          </w:p>
        </w:tc>
        <w:tc>
          <w:tcPr>
            <w:tcW w:w="392" w:type="pct"/>
            <w:tcBorders>
              <w:left w:val="single" w:color="auto" w:sz="4" w:space="0"/>
            </w:tcBorders>
            <w:vAlign w:val="center"/>
          </w:tcPr>
          <w:p w14:paraId="35D5B72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降噪效果/dB（A）</w:t>
            </w:r>
          </w:p>
        </w:tc>
        <w:tc>
          <w:tcPr>
            <w:tcW w:w="468" w:type="pct"/>
            <w:vAlign w:val="center"/>
          </w:tcPr>
          <w:p w14:paraId="52AC6DE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核算方法</w:t>
            </w:r>
          </w:p>
        </w:tc>
        <w:tc>
          <w:tcPr>
            <w:tcW w:w="469" w:type="pct"/>
            <w:vAlign w:val="center"/>
          </w:tcPr>
          <w:p w14:paraId="419B83EF">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噪声值/dB（A）</w:t>
            </w:r>
          </w:p>
        </w:tc>
        <w:tc>
          <w:tcPr>
            <w:tcW w:w="389" w:type="pct"/>
            <w:vMerge w:val="continue"/>
            <w:vAlign w:val="center"/>
          </w:tcPr>
          <w:p w14:paraId="0690102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r>
      <w:tr w14:paraId="61F3A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restart"/>
            <w:vAlign w:val="center"/>
          </w:tcPr>
          <w:p w14:paraId="5006A999">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管线施工</w:t>
            </w:r>
          </w:p>
        </w:tc>
        <w:tc>
          <w:tcPr>
            <w:tcW w:w="468" w:type="pct"/>
            <w:vMerge w:val="restart"/>
            <w:vAlign w:val="center"/>
          </w:tcPr>
          <w:p w14:paraId="42F70376">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施工机械</w:t>
            </w:r>
          </w:p>
        </w:tc>
        <w:tc>
          <w:tcPr>
            <w:tcW w:w="406" w:type="pct"/>
            <w:vAlign w:val="center"/>
          </w:tcPr>
          <w:p w14:paraId="2FC85ABA">
            <w:pPr>
              <w:widowControl w:val="0"/>
              <w:jc w:val="center"/>
              <w:rPr>
                <w:rFonts w:ascii="Times New Roman" w:hAnsi="Times New Roman" w:cs="Times New Roman" w:eastAsiaTheme="minorEastAsia"/>
                <w:snapToGrid w:val="0"/>
                <w:color w:val="auto"/>
                <w:sz w:val="20"/>
                <w:szCs w:val="20"/>
                <w:highlight w:val="none"/>
              </w:rPr>
            </w:pPr>
            <w:r>
              <w:rPr>
                <w:rFonts w:hint="eastAsia" w:ascii="Times New Roman" w:hAnsi="Times New Roman" w:cs="Times New Roman"/>
                <w:color w:val="auto"/>
                <w:sz w:val="20"/>
                <w:szCs w:val="20"/>
                <w:highlight w:val="none"/>
              </w:rPr>
              <w:t>电焊机</w:t>
            </w:r>
          </w:p>
        </w:tc>
        <w:tc>
          <w:tcPr>
            <w:tcW w:w="609" w:type="pct"/>
            <w:vAlign w:val="center"/>
          </w:tcPr>
          <w:p w14:paraId="0F63A822">
            <w:pPr>
              <w:widowControl w:val="0"/>
              <w:jc w:val="center"/>
              <w:rPr>
                <w:rFonts w:ascii="Times New Roman" w:hAnsi="Times New Roman" w:cs="Times New Roman" w:eastAsiaTheme="minorEastAsia"/>
                <w:snapToGrid w:val="0"/>
                <w:color w:val="auto"/>
                <w:sz w:val="20"/>
                <w:szCs w:val="20"/>
                <w:highlight w:val="none"/>
              </w:rPr>
            </w:pPr>
            <w:r>
              <w:rPr>
                <w:rFonts w:ascii="Times New Roman" w:hAnsi="Times New Roman" w:cs="Times New Roman" w:eastAsiaTheme="minorEastAsia"/>
                <w:snapToGrid w:val="0"/>
                <w:color w:val="auto"/>
                <w:sz w:val="20"/>
                <w:szCs w:val="20"/>
                <w:highlight w:val="none"/>
              </w:rPr>
              <w:t>非连续稳态声源</w:t>
            </w:r>
          </w:p>
        </w:tc>
        <w:tc>
          <w:tcPr>
            <w:tcW w:w="391" w:type="pct"/>
            <w:vMerge w:val="restart"/>
            <w:vAlign w:val="center"/>
          </w:tcPr>
          <w:p w14:paraId="50BAEEAD">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类比法</w:t>
            </w:r>
          </w:p>
        </w:tc>
        <w:tc>
          <w:tcPr>
            <w:tcW w:w="409" w:type="pct"/>
            <w:vAlign w:val="center"/>
          </w:tcPr>
          <w:p w14:paraId="39675807">
            <w:pPr>
              <w:widowControl w:val="0"/>
              <w:jc w:val="center"/>
              <w:rPr>
                <w:rFonts w:ascii="Times New Roman" w:hAnsi="Times New Roman" w:cs="Times New Roman" w:eastAsiaTheme="minorEastAsia"/>
                <w:snapToGrid w:val="0"/>
                <w:color w:val="auto"/>
                <w:sz w:val="20"/>
                <w:szCs w:val="20"/>
                <w:highlight w:val="none"/>
              </w:rPr>
            </w:pPr>
            <w:r>
              <w:rPr>
                <w:rFonts w:ascii="Times New Roman" w:hAnsi="Times New Roman" w:cs="Times New Roman"/>
                <w:color w:val="auto"/>
                <w:sz w:val="20"/>
                <w:szCs w:val="20"/>
                <w:highlight w:val="none"/>
              </w:rPr>
              <w:t>60～70</w:t>
            </w:r>
            <w:r>
              <w:rPr>
                <w:rFonts w:hint="eastAsia" w:ascii="Times New Roman" w:hAnsi="Times New Roman" w:cs="Times New Roman"/>
                <w:color w:val="auto"/>
                <w:sz w:val="20"/>
                <w:szCs w:val="20"/>
                <w:highlight w:val="none"/>
              </w:rPr>
              <w:t>/5</w:t>
            </w:r>
          </w:p>
        </w:tc>
        <w:tc>
          <w:tcPr>
            <w:tcW w:w="606" w:type="pct"/>
          </w:tcPr>
          <w:p w14:paraId="4C5EBB33">
            <w:pPr>
              <w:widowControl w:val="0"/>
              <w:adjustRightInd w:val="0"/>
              <w:jc w:val="center"/>
              <w:rPr>
                <w:rFonts w:ascii="Times New Roman" w:hAnsi="Times New Roman" w:cs="Times New Roman" w:eastAsiaTheme="minorEastAsia"/>
                <w:color w:val="auto"/>
                <w:kern w:val="2"/>
                <w:sz w:val="20"/>
                <w:szCs w:val="20"/>
                <w:highlight w:val="none"/>
              </w:rPr>
            </w:pPr>
            <w:r>
              <w:rPr>
                <w:rFonts w:hint="eastAsia" w:ascii="Times New Roman" w:hAnsi="Times New Roman" w:cs="Times New Roman"/>
                <w:color w:val="auto"/>
                <w:sz w:val="20"/>
                <w:szCs w:val="20"/>
                <w:highlight w:val="none"/>
              </w:rPr>
              <w:t>采用低噪声设备，定期保养</w:t>
            </w:r>
          </w:p>
        </w:tc>
        <w:tc>
          <w:tcPr>
            <w:tcW w:w="392" w:type="pct"/>
            <w:vAlign w:val="center"/>
          </w:tcPr>
          <w:p w14:paraId="6AE4092F">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w:t>
            </w:r>
          </w:p>
        </w:tc>
        <w:tc>
          <w:tcPr>
            <w:tcW w:w="468" w:type="pct"/>
            <w:vAlign w:val="center"/>
          </w:tcPr>
          <w:p w14:paraId="2ADF81D8">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类比法</w:t>
            </w:r>
          </w:p>
        </w:tc>
        <w:tc>
          <w:tcPr>
            <w:tcW w:w="469" w:type="pct"/>
            <w:vAlign w:val="center"/>
          </w:tcPr>
          <w:p w14:paraId="7871A149">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color w:val="auto"/>
                <w:sz w:val="20"/>
                <w:szCs w:val="20"/>
                <w:highlight w:val="none"/>
              </w:rPr>
              <w:t>60～70</w:t>
            </w:r>
            <w:r>
              <w:rPr>
                <w:rFonts w:hint="eastAsia" w:ascii="Times New Roman" w:hAnsi="Times New Roman" w:cs="Times New Roman"/>
                <w:color w:val="auto"/>
                <w:sz w:val="20"/>
                <w:szCs w:val="20"/>
                <w:highlight w:val="none"/>
              </w:rPr>
              <w:t>/5</w:t>
            </w:r>
          </w:p>
        </w:tc>
        <w:tc>
          <w:tcPr>
            <w:tcW w:w="389" w:type="pct"/>
            <w:vMerge w:val="restart"/>
            <w:vAlign w:val="center"/>
          </w:tcPr>
          <w:p w14:paraId="1293244A">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施工期</w:t>
            </w:r>
          </w:p>
        </w:tc>
      </w:tr>
      <w:tr w14:paraId="49228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6A57BAF0">
            <w:pPr>
              <w:widowControl w:val="0"/>
              <w:adjustRightInd w:val="0"/>
              <w:jc w:val="center"/>
              <w:rPr>
                <w:rFonts w:ascii="Times New Roman" w:hAnsi="Times New Roman" w:cs="Times New Roman" w:eastAsiaTheme="minorEastAsia"/>
                <w:color w:val="auto"/>
                <w:kern w:val="2"/>
                <w:sz w:val="20"/>
                <w:szCs w:val="20"/>
                <w:highlight w:val="none"/>
              </w:rPr>
            </w:pPr>
          </w:p>
        </w:tc>
        <w:tc>
          <w:tcPr>
            <w:tcW w:w="468" w:type="pct"/>
            <w:vMerge w:val="continue"/>
            <w:vAlign w:val="center"/>
          </w:tcPr>
          <w:p w14:paraId="5D745274">
            <w:pPr>
              <w:widowControl w:val="0"/>
              <w:jc w:val="center"/>
              <w:rPr>
                <w:rFonts w:ascii="Times New Roman" w:hAnsi="Times New Roman" w:cs="Times New Roman" w:eastAsiaTheme="minorEastAsia"/>
                <w:color w:val="auto"/>
                <w:kern w:val="2"/>
                <w:sz w:val="20"/>
                <w:szCs w:val="20"/>
                <w:highlight w:val="none"/>
              </w:rPr>
            </w:pPr>
          </w:p>
        </w:tc>
        <w:tc>
          <w:tcPr>
            <w:tcW w:w="406" w:type="pct"/>
            <w:vAlign w:val="center"/>
          </w:tcPr>
          <w:p w14:paraId="08C2B8E2">
            <w:pPr>
              <w:widowControl w:val="0"/>
              <w:jc w:val="center"/>
              <w:rPr>
                <w:rFonts w:ascii="Times New Roman" w:hAnsi="Times New Roman" w:cs="Times New Roman" w:eastAsiaTheme="minorEastAsia"/>
                <w:color w:val="auto"/>
                <w:sz w:val="20"/>
                <w:szCs w:val="20"/>
                <w:highlight w:val="none"/>
              </w:rPr>
            </w:pPr>
            <w:r>
              <w:rPr>
                <w:rFonts w:hint="eastAsia" w:ascii="Times New Roman" w:hAnsi="Times New Roman" w:cs="Times New Roman"/>
                <w:color w:val="auto"/>
                <w:sz w:val="20"/>
                <w:szCs w:val="20"/>
                <w:highlight w:val="none"/>
              </w:rPr>
              <w:t>吊装机</w:t>
            </w:r>
          </w:p>
        </w:tc>
        <w:tc>
          <w:tcPr>
            <w:tcW w:w="609" w:type="pct"/>
            <w:vAlign w:val="center"/>
          </w:tcPr>
          <w:p w14:paraId="2507A61F">
            <w:pPr>
              <w:widowControl w:val="0"/>
              <w:jc w:val="center"/>
              <w:rPr>
                <w:rFonts w:ascii="Times New Roman" w:hAnsi="Times New Roman" w:cs="Times New Roman" w:eastAsiaTheme="minorEastAsia"/>
                <w:snapToGrid w:val="0"/>
                <w:color w:val="auto"/>
                <w:sz w:val="20"/>
                <w:szCs w:val="20"/>
                <w:highlight w:val="none"/>
              </w:rPr>
            </w:pPr>
            <w:r>
              <w:rPr>
                <w:rFonts w:ascii="Times New Roman" w:hAnsi="Times New Roman" w:cs="Times New Roman" w:eastAsiaTheme="minorEastAsia"/>
                <w:snapToGrid w:val="0"/>
                <w:color w:val="auto"/>
                <w:sz w:val="20"/>
                <w:szCs w:val="20"/>
                <w:highlight w:val="none"/>
              </w:rPr>
              <w:t>非连续稳态声源</w:t>
            </w:r>
          </w:p>
        </w:tc>
        <w:tc>
          <w:tcPr>
            <w:tcW w:w="391" w:type="pct"/>
            <w:vMerge w:val="continue"/>
            <w:vAlign w:val="center"/>
          </w:tcPr>
          <w:p w14:paraId="73301593">
            <w:pPr>
              <w:widowControl w:val="0"/>
              <w:adjustRightInd w:val="0"/>
              <w:jc w:val="center"/>
              <w:rPr>
                <w:rFonts w:ascii="Times New Roman" w:hAnsi="Times New Roman" w:cs="Times New Roman" w:eastAsiaTheme="minorEastAsia"/>
                <w:color w:val="auto"/>
                <w:kern w:val="2"/>
                <w:sz w:val="20"/>
                <w:szCs w:val="20"/>
                <w:highlight w:val="none"/>
              </w:rPr>
            </w:pPr>
          </w:p>
        </w:tc>
        <w:tc>
          <w:tcPr>
            <w:tcW w:w="409" w:type="pct"/>
            <w:vAlign w:val="center"/>
          </w:tcPr>
          <w:p w14:paraId="0B51CB9A">
            <w:pPr>
              <w:widowControl w:val="0"/>
              <w:jc w:val="center"/>
              <w:rPr>
                <w:rFonts w:ascii="Times New Roman" w:hAnsi="Times New Roman" w:cs="Times New Roman" w:eastAsiaTheme="minorEastAsia"/>
                <w:color w:val="auto"/>
                <w:sz w:val="20"/>
                <w:szCs w:val="20"/>
                <w:highlight w:val="none"/>
              </w:rPr>
            </w:pPr>
            <w:r>
              <w:rPr>
                <w:rFonts w:ascii="Times New Roman" w:hAnsi="Times New Roman" w:cs="Times New Roman"/>
                <w:color w:val="auto"/>
                <w:sz w:val="20"/>
                <w:szCs w:val="20"/>
                <w:highlight w:val="none"/>
              </w:rPr>
              <w:t>82～90/5</w:t>
            </w:r>
          </w:p>
        </w:tc>
        <w:tc>
          <w:tcPr>
            <w:tcW w:w="606" w:type="pct"/>
          </w:tcPr>
          <w:p w14:paraId="0EF4CBFA">
            <w:pPr>
              <w:widowControl w:val="0"/>
              <w:adjustRightInd w:val="0"/>
              <w:jc w:val="center"/>
              <w:rPr>
                <w:rFonts w:ascii="Times New Roman" w:hAnsi="Times New Roman" w:cs="Times New Roman" w:eastAsiaTheme="minorEastAsia"/>
                <w:color w:val="auto"/>
                <w:kern w:val="2"/>
                <w:sz w:val="20"/>
                <w:szCs w:val="20"/>
                <w:highlight w:val="none"/>
              </w:rPr>
            </w:pPr>
            <w:r>
              <w:rPr>
                <w:rFonts w:hint="eastAsia" w:ascii="Times New Roman" w:hAnsi="Times New Roman" w:cs="Times New Roman"/>
                <w:color w:val="auto"/>
                <w:sz w:val="20"/>
                <w:szCs w:val="20"/>
                <w:highlight w:val="none"/>
              </w:rPr>
              <w:t>采用低噪声设备，定期保养</w:t>
            </w:r>
          </w:p>
        </w:tc>
        <w:tc>
          <w:tcPr>
            <w:tcW w:w="392" w:type="pct"/>
            <w:vAlign w:val="center"/>
          </w:tcPr>
          <w:p w14:paraId="7D679B20">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w:t>
            </w:r>
          </w:p>
        </w:tc>
        <w:tc>
          <w:tcPr>
            <w:tcW w:w="468" w:type="pct"/>
            <w:vAlign w:val="center"/>
          </w:tcPr>
          <w:p w14:paraId="1E6BA5C7">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类比法</w:t>
            </w:r>
          </w:p>
        </w:tc>
        <w:tc>
          <w:tcPr>
            <w:tcW w:w="469" w:type="pct"/>
            <w:vAlign w:val="center"/>
          </w:tcPr>
          <w:p w14:paraId="12A32E95">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color w:val="auto"/>
                <w:sz w:val="20"/>
                <w:szCs w:val="20"/>
                <w:highlight w:val="none"/>
              </w:rPr>
              <w:t>82～90/5</w:t>
            </w:r>
          </w:p>
        </w:tc>
        <w:tc>
          <w:tcPr>
            <w:tcW w:w="389" w:type="pct"/>
            <w:vMerge w:val="continue"/>
            <w:vAlign w:val="center"/>
          </w:tcPr>
          <w:p w14:paraId="0307E307">
            <w:pPr>
              <w:widowControl w:val="0"/>
              <w:adjustRightInd w:val="0"/>
              <w:ind w:firstLine="482"/>
              <w:jc w:val="center"/>
              <w:rPr>
                <w:rFonts w:ascii="Times New Roman" w:hAnsi="Times New Roman" w:cs="Times New Roman" w:eastAsiaTheme="minorEastAsia"/>
                <w:color w:val="auto"/>
                <w:kern w:val="2"/>
                <w:sz w:val="20"/>
                <w:szCs w:val="20"/>
                <w:highlight w:val="none"/>
              </w:rPr>
            </w:pPr>
          </w:p>
        </w:tc>
      </w:tr>
      <w:tr w14:paraId="6AC0A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232CFDA5">
            <w:pPr>
              <w:widowControl w:val="0"/>
              <w:adjustRightInd w:val="0"/>
              <w:jc w:val="center"/>
              <w:rPr>
                <w:rFonts w:ascii="Times New Roman" w:hAnsi="Times New Roman" w:cs="Times New Roman" w:eastAsiaTheme="minorEastAsia"/>
                <w:color w:val="auto"/>
                <w:kern w:val="2"/>
                <w:sz w:val="20"/>
                <w:szCs w:val="20"/>
                <w:highlight w:val="none"/>
              </w:rPr>
            </w:pPr>
          </w:p>
        </w:tc>
        <w:tc>
          <w:tcPr>
            <w:tcW w:w="468" w:type="pct"/>
            <w:vMerge w:val="continue"/>
            <w:vAlign w:val="center"/>
          </w:tcPr>
          <w:p w14:paraId="2DB05E2F">
            <w:pPr>
              <w:widowControl w:val="0"/>
              <w:jc w:val="center"/>
              <w:rPr>
                <w:rFonts w:ascii="Times New Roman" w:hAnsi="Times New Roman" w:cs="Times New Roman" w:eastAsiaTheme="minorEastAsia"/>
                <w:color w:val="auto"/>
                <w:kern w:val="2"/>
                <w:sz w:val="20"/>
                <w:szCs w:val="20"/>
                <w:highlight w:val="none"/>
              </w:rPr>
            </w:pPr>
          </w:p>
        </w:tc>
        <w:tc>
          <w:tcPr>
            <w:tcW w:w="406" w:type="pct"/>
            <w:vAlign w:val="center"/>
          </w:tcPr>
          <w:p w14:paraId="04D21608">
            <w:pPr>
              <w:widowControl w:val="0"/>
              <w:jc w:val="center"/>
              <w:rPr>
                <w:rFonts w:ascii="Times New Roman" w:hAnsi="Times New Roman" w:cs="Times New Roman" w:eastAsiaTheme="minorEastAsia"/>
                <w:snapToGrid w:val="0"/>
                <w:color w:val="auto"/>
                <w:sz w:val="20"/>
                <w:szCs w:val="20"/>
                <w:highlight w:val="none"/>
              </w:rPr>
            </w:pPr>
            <w:r>
              <w:rPr>
                <w:rFonts w:hint="eastAsia" w:ascii="Times New Roman" w:hAnsi="Times New Roman" w:cs="Times New Roman"/>
                <w:color w:val="auto"/>
                <w:sz w:val="20"/>
                <w:szCs w:val="20"/>
                <w:highlight w:val="none"/>
              </w:rPr>
              <w:t>挖掘机</w:t>
            </w:r>
          </w:p>
        </w:tc>
        <w:tc>
          <w:tcPr>
            <w:tcW w:w="609" w:type="pct"/>
            <w:vAlign w:val="center"/>
          </w:tcPr>
          <w:p w14:paraId="650B0EFE">
            <w:pPr>
              <w:widowControl w:val="0"/>
              <w:jc w:val="center"/>
              <w:rPr>
                <w:rFonts w:ascii="Times New Roman" w:hAnsi="Times New Roman" w:cs="Times New Roman" w:eastAsiaTheme="minorEastAsia"/>
                <w:snapToGrid w:val="0"/>
                <w:color w:val="auto"/>
                <w:sz w:val="20"/>
                <w:szCs w:val="20"/>
                <w:highlight w:val="none"/>
              </w:rPr>
            </w:pPr>
            <w:r>
              <w:rPr>
                <w:rFonts w:ascii="Times New Roman" w:hAnsi="Times New Roman" w:cs="Times New Roman" w:eastAsiaTheme="minorEastAsia"/>
                <w:snapToGrid w:val="0"/>
                <w:color w:val="auto"/>
                <w:sz w:val="20"/>
                <w:szCs w:val="20"/>
                <w:highlight w:val="none"/>
              </w:rPr>
              <w:t>连续稳态声源</w:t>
            </w:r>
          </w:p>
        </w:tc>
        <w:tc>
          <w:tcPr>
            <w:tcW w:w="391" w:type="pct"/>
            <w:vMerge w:val="continue"/>
            <w:vAlign w:val="center"/>
          </w:tcPr>
          <w:p w14:paraId="3E3265A5">
            <w:pPr>
              <w:widowControl w:val="0"/>
              <w:adjustRightInd w:val="0"/>
              <w:jc w:val="center"/>
              <w:rPr>
                <w:rFonts w:ascii="Times New Roman" w:hAnsi="Times New Roman" w:cs="Times New Roman" w:eastAsiaTheme="minorEastAsia"/>
                <w:color w:val="auto"/>
                <w:kern w:val="2"/>
                <w:sz w:val="20"/>
                <w:szCs w:val="20"/>
                <w:highlight w:val="none"/>
              </w:rPr>
            </w:pPr>
          </w:p>
        </w:tc>
        <w:tc>
          <w:tcPr>
            <w:tcW w:w="409" w:type="pct"/>
            <w:vAlign w:val="center"/>
          </w:tcPr>
          <w:p w14:paraId="5BCCDA49">
            <w:pPr>
              <w:widowControl w:val="0"/>
              <w:jc w:val="center"/>
              <w:rPr>
                <w:rFonts w:ascii="Times New Roman" w:hAnsi="Times New Roman" w:cs="Times New Roman" w:eastAsiaTheme="minorEastAsia"/>
                <w:snapToGrid w:val="0"/>
                <w:color w:val="auto"/>
                <w:sz w:val="20"/>
                <w:szCs w:val="20"/>
                <w:highlight w:val="none"/>
              </w:rPr>
            </w:pPr>
            <w:r>
              <w:rPr>
                <w:rFonts w:ascii="Times New Roman" w:hAnsi="Times New Roman" w:cs="Times New Roman"/>
                <w:color w:val="auto"/>
                <w:sz w:val="20"/>
                <w:szCs w:val="20"/>
                <w:highlight w:val="none"/>
              </w:rPr>
              <w:t>82～90/5</w:t>
            </w:r>
          </w:p>
        </w:tc>
        <w:tc>
          <w:tcPr>
            <w:tcW w:w="606" w:type="pct"/>
          </w:tcPr>
          <w:p w14:paraId="29322496">
            <w:pPr>
              <w:widowControl w:val="0"/>
              <w:adjustRightInd w:val="0"/>
              <w:jc w:val="center"/>
              <w:rPr>
                <w:rFonts w:ascii="Times New Roman" w:hAnsi="Times New Roman" w:cs="Times New Roman" w:eastAsiaTheme="minorEastAsia"/>
                <w:color w:val="auto"/>
                <w:kern w:val="2"/>
                <w:sz w:val="20"/>
                <w:szCs w:val="20"/>
                <w:highlight w:val="none"/>
              </w:rPr>
            </w:pPr>
            <w:r>
              <w:rPr>
                <w:rFonts w:hint="eastAsia" w:ascii="Times New Roman" w:hAnsi="Times New Roman" w:cs="Times New Roman"/>
                <w:color w:val="auto"/>
                <w:sz w:val="20"/>
                <w:szCs w:val="20"/>
                <w:highlight w:val="none"/>
              </w:rPr>
              <w:t>采用低噪声设备，定期保养</w:t>
            </w:r>
          </w:p>
        </w:tc>
        <w:tc>
          <w:tcPr>
            <w:tcW w:w="392" w:type="pct"/>
            <w:vAlign w:val="center"/>
          </w:tcPr>
          <w:p w14:paraId="0CD01E59">
            <w:pPr>
              <w:widowControl w:val="0"/>
              <w:adjustRightInd w:val="0"/>
              <w:jc w:val="center"/>
              <w:rPr>
                <w:rFonts w:ascii="Times New Roman" w:hAnsi="Times New Roman" w:cs="Times New Roman" w:eastAsiaTheme="minorEastAsia"/>
                <w:color w:val="auto"/>
                <w:kern w:val="2"/>
                <w:sz w:val="20"/>
                <w:szCs w:val="20"/>
                <w:highlight w:val="none"/>
              </w:rPr>
            </w:pPr>
            <w:r>
              <w:rPr>
                <w:rFonts w:hint="eastAsia" w:ascii="Times New Roman" w:hAnsi="Times New Roman" w:cs="Times New Roman" w:eastAsiaTheme="minorEastAsia"/>
                <w:color w:val="auto"/>
                <w:kern w:val="2"/>
                <w:sz w:val="20"/>
                <w:szCs w:val="20"/>
                <w:highlight w:val="none"/>
              </w:rPr>
              <w:t>/</w:t>
            </w:r>
          </w:p>
        </w:tc>
        <w:tc>
          <w:tcPr>
            <w:tcW w:w="468" w:type="pct"/>
            <w:vAlign w:val="center"/>
          </w:tcPr>
          <w:p w14:paraId="13C591AD">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类比法</w:t>
            </w:r>
          </w:p>
        </w:tc>
        <w:tc>
          <w:tcPr>
            <w:tcW w:w="469" w:type="pct"/>
            <w:vAlign w:val="center"/>
          </w:tcPr>
          <w:p w14:paraId="60D972B1">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color w:val="auto"/>
                <w:sz w:val="20"/>
                <w:szCs w:val="20"/>
                <w:highlight w:val="none"/>
              </w:rPr>
              <w:t>82～90/5</w:t>
            </w:r>
          </w:p>
        </w:tc>
        <w:tc>
          <w:tcPr>
            <w:tcW w:w="389" w:type="pct"/>
            <w:vMerge w:val="continue"/>
            <w:vAlign w:val="center"/>
          </w:tcPr>
          <w:p w14:paraId="481C22D3">
            <w:pPr>
              <w:widowControl w:val="0"/>
              <w:adjustRightInd w:val="0"/>
              <w:jc w:val="center"/>
              <w:rPr>
                <w:rFonts w:ascii="Times New Roman" w:hAnsi="Times New Roman" w:cs="Times New Roman" w:eastAsiaTheme="minorEastAsia"/>
                <w:color w:val="auto"/>
                <w:kern w:val="2"/>
                <w:sz w:val="20"/>
                <w:szCs w:val="20"/>
                <w:highlight w:val="none"/>
              </w:rPr>
            </w:pPr>
          </w:p>
        </w:tc>
      </w:tr>
      <w:tr w14:paraId="3DE42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2C54C15E">
            <w:pPr>
              <w:widowControl w:val="0"/>
              <w:adjustRightInd w:val="0"/>
              <w:jc w:val="center"/>
              <w:rPr>
                <w:rFonts w:ascii="Times New Roman" w:hAnsi="Times New Roman" w:cs="Times New Roman" w:eastAsiaTheme="minorEastAsia"/>
                <w:color w:val="auto"/>
                <w:kern w:val="2"/>
                <w:sz w:val="20"/>
                <w:szCs w:val="20"/>
                <w:highlight w:val="none"/>
              </w:rPr>
            </w:pPr>
          </w:p>
        </w:tc>
        <w:tc>
          <w:tcPr>
            <w:tcW w:w="468" w:type="pct"/>
            <w:vMerge w:val="continue"/>
            <w:vAlign w:val="center"/>
          </w:tcPr>
          <w:p w14:paraId="65D7D688">
            <w:pPr>
              <w:widowControl w:val="0"/>
              <w:jc w:val="center"/>
              <w:rPr>
                <w:rFonts w:ascii="Times New Roman" w:hAnsi="Times New Roman" w:cs="Times New Roman" w:eastAsiaTheme="minorEastAsia"/>
                <w:snapToGrid w:val="0"/>
                <w:color w:val="auto"/>
                <w:sz w:val="20"/>
                <w:szCs w:val="20"/>
                <w:highlight w:val="none"/>
              </w:rPr>
            </w:pPr>
          </w:p>
        </w:tc>
        <w:tc>
          <w:tcPr>
            <w:tcW w:w="406" w:type="pct"/>
            <w:vAlign w:val="center"/>
          </w:tcPr>
          <w:p w14:paraId="606822FD">
            <w:pPr>
              <w:widowControl w:val="0"/>
              <w:jc w:val="center"/>
              <w:rPr>
                <w:rFonts w:ascii="Times New Roman" w:hAnsi="Times New Roman" w:cs="Times New Roman" w:eastAsiaTheme="minorEastAsia"/>
                <w:snapToGrid w:val="0"/>
                <w:color w:val="auto"/>
                <w:sz w:val="20"/>
                <w:szCs w:val="20"/>
                <w:highlight w:val="none"/>
              </w:rPr>
            </w:pPr>
            <w:r>
              <w:rPr>
                <w:rFonts w:hint="eastAsia" w:ascii="Times New Roman" w:hAnsi="Times New Roman" w:cs="Times New Roman"/>
                <w:color w:val="auto"/>
                <w:sz w:val="20"/>
                <w:szCs w:val="20"/>
                <w:highlight w:val="none"/>
              </w:rPr>
              <w:t>定向钻钻机</w:t>
            </w:r>
          </w:p>
        </w:tc>
        <w:tc>
          <w:tcPr>
            <w:tcW w:w="609" w:type="pct"/>
            <w:vAlign w:val="center"/>
          </w:tcPr>
          <w:p w14:paraId="3D0BF751">
            <w:pPr>
              <w:widowControl w:val="0"/>
              <w:jc w:val="center"/>
              <w:rPr>
                <w:rFonts w:ascii="Times New Roman" w:hAnsi="Times New Roman" w:cs="Times New Roman" w:eastAsiaTheme="minorEastAsia"/>
                <w:snapToGrid w:val="0"/>
                <w:color w:val="auto"/>
                <w:sz w:val="20"/>
                <w:szCs w:val="20"/>
                <w:highlight w:val="none"/>
              </w:rPr>
            </w:pPr>
            <w:r>
              <w:rPr>
                <w:rFonts w:ascii="Times New Roman" w:hAnsi="Times New Roman" w:cs="Times New Roman" w:eastAsiaTheme="minorEastAsia"/>
                <w:snapToGrid w:val="0"/>
                <w:color w:val="auto"/>
                <w:sz w:val="20"/>
                <w:szCs w:val="20"/>
                <w:highlight w:val="none"/>
              </w:rPr>
              <w:t>非连续稳态声源</w:t>
            </w:r>
          </w:p>
        </w:tc>
        <w:tc>
          <w:tcPr>
            <w:tcW w:w="391" w:type="pct"/>
            <w:vMerge w:val="continue"/>
            <w:vAlign w:val="center"/>
          </w:tcPr>
          <w:p w14:paraId="6E91FAED">
            <w:pPr>
              <w:widowControl w:val="0"/>
              <w:adjustRightInd w:val="0"/>
              <w:jc w:val="center"/>
              <w:rPr>
                <w:rFonts w:ascii="Times New Roman" w:hAnsi="Times New Roman" w:cs="Times New Roman" w:eastAsiaTheme="minorEastAsia"/>
                <w:color w:val="auto"/>
                <w:kern w:val="2"/>
                <w:sz w:val="20"/>
                <w:szCs w:val="20"/>
                <w:highlight w:val="none"/>
              </w:rPr>
            </w:pPr>
          </w:p>
        </w:tc>
        <w:tc>
          <w:tcPr>
            <w:tcW w:w="409" w:type="pct"/>
            <w:vAlign w:val="center"/>
          </w:tcPr>
          <w:p w14:paraId="0455D18D">
            <w:pPr>
              <w:widowControl w:val="0"/>
              <w:jc w:val="center"/>
              <w:rPr>
                <w:rFonts w:ascii="Times New Roman" w:hAnsi="Times New Roman" w:cs="Times New Roman" w:eastAsiaTheme="minorEastAsia"/>
                <w:snapToGrid w:val="0"/>
                <w:color w:val="auto"/>
                <w:sz w:val="20"/>
                <w:szCs w:val="20"/>
                <w:highlight w:val="none"/>
              </w:rPr>
            </w:pPr>
            <w:r>
              <w:rPr>
                <w:rFonts w:hint="eastAsia" w:ascii="Times New Roman" w:hAnsi="Times New Roman" w:cs="Times New Roman"/>
                <w:color w:val="auto"/>
                <w:sz w:val="20"/>
                <w:szCs w:val="20"/>
                <w:highlight w:val="none"/>
              </w:rPr>
              <w:t>83</w:t>
            </w:r>
            <w:r>
              <w:rPr>
                <w:rFonts w:ascii="Times New Roman" w:hAnsi="Times New Roman" w:cs="Times New Roman"/>
                <w:color w:val="auto"/>
                <w:sz w:val="20"/>
                <w:szCs w:val="20"/>
                <w:highlight w:val="none"/>
              </w:rPr>
              <w:t>～</w:t>
            </w:r>
            <w:r>
              <w:rPr>
                <w:rFonts w:hint="eastAsia" w:ascii="Times New Roman" w:hAnsi="Times New Roman" w:cs="Times New Roman"/>
                <w:color w:val="auto"/>
                <w:sz w:val="20"/>
                <w:szCs w:val="20"/>
                <w:highlight w:val="none"/>
              </w:rPr>
              <w:t>88</w:t>
            </w:r>
            <w:r>
              <w:rPr>
                <w:rFonts w:ascii="Times New Roman" w:hAnsi="Times New Roman" w:cs="Times New Roman"/>
                <w:color w:val="auto"/>
                <w:sz w:val="20"/>
                <w:szCs w:val="20"/>
                <w:highlight w:val="none"/>
              </w:rPr>
              <w:t>/5</w:t>
            </w:r>
          </w:p>
        </w:tc>
        <w:tc>
          <w:tcPr>
            <w:tcW w:w="606" w:type="pct"/>
          </w:tcPr>
          <w:p w14:paraId="53854739">
            <w:pPr>
              <w:widowControl w:val="0"/>
              <w:adjustRightInd w:val="0"/>
              <w:jc w:val="center"/>
              <w:rPr>
                <w:rFonts w:ascii="Times New Roman" w:hAnsi="Times New Roman" w:cs="Times New Roman" w:eastAsiaTheme="minorEastAsia"/>
                <w:color w:val="auto"/>
                <w:kern w:val="2"/>
                <w:sz w:val="20"/>
                <w:szCs w:val="20"/>
                <w:highlight w:val="none"/>
              </w:rPr>
            </w:pPr>
            <w:r>
              <w:rPr>
                <w:rFonts w:hint="eastAsia" w:ascii="Times New Roman" w:hAnsi="Times New Roman" w:cs="Times New Roman"/>
                <w:color w:val="auto"/>
                <w:sz w:val="20"/>
                <w:szCs w:val="20"/>
                <w:highlight w:val="none"/>
              </w:rPr>
              <w:t>采用低噪声设备，定期保养</w:t>
            </w:r>
          </w:p>
        </w:tc>
        <w:tc>
          <w:tcPr>
            <w:tcW w:w="392" w:type="pct"/>
            <w:vAlign w:val="center"/>
          </w:tcPr>
          <w:p w14:paraId="383F80EA">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w:t>
            </w:r>
          </w:p>
        </w:tc>
        <w:tc>
          <w:tcPr>
            <w:tcW w:w="468" w:type="pct"/>
            <w:vAlign w:val="center"/>
          </w:tcPr>
          <w:p w14:paraId="29596983">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类比法</w:t>
            </w:r>
          </w:p>
        </w:tc>
        <w:tc>
          <w:tcPr>
            <w:tcW w:w="469" w:type="pct"/>
            <w:vAlign w:val="center"/>
          </w:tcPr>
          <w:p w14:paraId="7428B920">
            <w:pPr>
              <w:widowControl w:val="0"/>
              <w:adjustRightInd w:val="0"/>
              <w:jc w:val="center"/>
              <w:rPr>
                <w:rFonts w:ascii="Times New Roman" w:hAnsi="Times New Roman" w:cs="Times New Roman" w:eastAsiaTheme="minorEastAsia"/>
                <w:color w:val="auto"/>
                <w:kern w:val="2"/>
                <w:sz w:val="20"/>
                <w:szCs w:val="20"/>
                <w:highlight w:val="none"/>
              </w:rPr>
            </w:pPr>
            <w:r>
              <w:rPr>
                <w:rFonts w:hint="eastAsia" w:ascii="Times New Roman" w:hAnsi="Times New Roman" w:cs="Times New Roman"/>
                <w:color w:val="auto"/>
                <w:sz w:val="20"/>
                <w:szCs w:val="20"/>
                <w:highlight w:val="none"/>
              </w:rPr>
              <w:t>83</w:t>
            </w:r>
            <w:r>
              <w:rPr>
                <w:rFonts w:ascii="Times New Roman" w:hAnsi="Times New Roman" w:cs="Times New Roman"/>
                <w:color w:val="auto"/>
                <w:sz w:val="20"/>
                <w:szCs w:val="20"/>
                <w:highlight w:val="none"/>
              </w:rPr>
              <w:t>～</w:t>
            </w:r>
            <w:r>
              <w:rPr>
                <w:rFonts w:hint="eastAsia" w:ascii="Times New Roman" w:hAnsi="Times New Roman" w:cs="Times New Roman"/>
                <w:color w:val="auto"/>
                <w:sz w:val="20"/>
                <w:szCs w:val="20"/>
                <w:highlight w:val="none"/>
              </w:rPr>
              <w:t>88</w:t>
            </w:r>
            <w:r>
              <w:rPr>
                <w:rFonts w:ascii="Times New Roman" w:hAnsi="Times New Roman" w:cs="Times New Roman"/>
                <w:color w:val="auto"/>
                <w:sz w:val="20"/>
                <w:szCs w:val="20"/>
                <w:highlight w:val="none"/>
              </w:rPr>
              <w:t>/5</w:t>
            </w:r>
          </w:p>
        </w:tc>
        <w:tc>
          <w:tcPr>
            <w:tcW w:w="389" w:type="pct"/>
            <w:vMerge w:val="continue"/>
            <w:vAlign w:val="center"/>
          </w:tcPr>
          <w:p w14:paraId="0AAA608C">
            <w:pPr>
              <w:widowControl w:val="0"/>
              <w:adjustRightInd w:val="0"/>
              <w:jc w:val="center"/>
              <w:rPr>
                <w:rFonts w:ascii="Times New Roman" w:hAnsi="Times New Roman" w:cs="Times New Roman" w:eastAsiaTheme="minorEastAsia"/>
                <w:color w:val="auto"/>
                <w:kern w:val="2"/>
                <w:sz w:val="20"/>
                <w:szCs w:val="20"/>
                <w:highlight w:val="none"/>
              </w:rPr>
            </w:pPr>
          </w:p>
        </w:tc>
      </w:tr>
      <w:tr w14:paraId="56658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38A6EAB4">
            <w:pPr>
              <w:widowControl w:val="0"/>
              <w:adjustRightInd w:val="0"/>
              <w:jc w:val="center"/>
              <w:rPr>
                <w:rFonts w:ascii="Times New Roman" w:hAnsi="Times New Roman" w:cs="Times New Roman" w:eastAsiaTheme="minorEastAsia"/>
                <w:color w:val="auto"/>
                <w:kern w:val="2"/>
                <w:sz w:val="20"/>
                <w:szCs w:val="20"/>
                <w:highlight w:val="none"/>
              </w:rPr>
            </w:pPr>
          </w:p>
        </w:tc>
        <w:tc>
          <w:tcPr>
            <w:tcW w:w="468" w:type="pct"/>
            <w:vMerge w:val="continue"/>
            <w:vAlign w:val="center"/>
          </w:tcPr>
          <w:p w14:paraId="4F355720">
            <w:pPr>
              <w:widowControl w:val="0"/>
              <w:jc w:val="center"/>
              <w:rPr>
                <w:rFonts w:ascii="Times New Roman" w:hAnsi="Times New Roman" w:cs="Times New Roman" w:eastAsiaTheme="minorEastAsia"/>
                <w:snapToGrid w:val="0"/>
                <w:color w:val="auto"/>
                <w:sz w:val="20"/>
                <w:szCs w:val="20"/>
                <w:highlight w:val="none"/>
              </w:rPr>
            </w:pPr>
          </w:p>
        </w:tc>
        <w:tc>
          <w:tcPr>
            <w:tcW w:w="406" w:type="pct"/>
            <w:vAlign w:val="center"/>
          </w:tcPr>
          <w:p w14:paraId="6E5B81CC">
            <w:pPr>
              <w:widowControl w:val="0"/>
              <w:jc w:val="center"/>
              <w:rPr>
                <w:rFonts w:ascii="Times New Roman" w:hAnsi="Times New Roman" w:cs="Times New Roman" w:eastAsiaTheme="minorEastAsia"/>
                <w:color w:val="auto"/>
                <w:sz w:val="20"/>
                <w:szCs w:val="20"/>
                <w:highlight w:val="none"/>
              </w:rPr>
            </w:pPr>
            <w:r>
              <w:rPr>
                <w:rFonts w:hint="eastAsia" w:ascii="Times New Roman" w:hAnsi="Times New Roman" w:cs="Times New Roman"/>
                <w:color w:val="auto"/>
                <w:sz w:val="20"/>
                <w:szCs w:val="20"/>
                <w:highlight w:val="none"/>
              </w:rPr>
              <w:t>推土机</w:t>
            </w:r>
          </w:p>
        </w:tc>
        <w:tc>
          <w:tcPr>
            <w:tcW w:w="609" w:type="pct"/>
            <w:vAlign w:val="center"/>
          </w:tcPr>
          <w:p w14:paraId="0D0BB1C0">
            <w:pPr>
              <w:widowControl w:val="0"/>
              <w:jc w:val="center"/>
              <w:rPr>
                <w:rFonts w:ascii="Times New Roman" w:hAnsi="Times New Roman" w:cs="Times New Roman" w:eastAsiaTheme="minorEastAsia"/>
                <w:snapToGrid w:val="0"/>
                <w:color w:val="auto"/>
                <w:sz w:val="20"/>
                <w:szCs w:val="20"/>
                <w:highlight w:val="none"/>
              </w:rPr>
            </w:pPr>
            <w:r>
              <w:rPr>
                <w:rFonts w:ascii="Times New Roman" w:hAnsi="Times New Roman" w:cs="Times New Roman" w:eastAsiaTheme="minorEastAsia"/>
                <w:snapToGrid w:val="0"/>
                <w:color w:val="auto"/>
                <w:sz w:val="20"/>
                <w:szCs w:val="20"/>
                <w:highlight w:val="none"/>
              </w:rPr>
              <w:t>连续稳态声源</w:t>
            </w:r>
          </w:p>
        </w:tc>
        <w:tc>
          <w:tcPr>
            <w:tcW w:w="391" w:type="pct"/>
            <w:vMerge w:val="continue"/>
            <w:vAlign w:val="center"/>
          </w:tcPr>
          <w:p w14:paraId="1E25E011">
            <w:pPr>
              <w:widowControl w:val="0"/>
              <w:adjustRightInd w:val="0"/>
              <w:jc w:val="center"/>
              <w:rPr>
                <w:rFonts w:ascii="Times New Roman" w:hAnsi="Times New Roman" w:cs="Times New Roman" w:eastAsiaTheme="minorEastAsia"/>
                <w:color w:val="auto"/>
                <w:kern w:val="2"/>
                <w:sz w:val="20"/>
                <w:szCs w:val="20"/>
                <w:highlight w:val="none"/>
              </w:rPr>
            </w:pPr>
          </w:p>
        </w:tc>
        <w:tc>
          <w:tcPr>
            <w:tcW w:w="409" w:type="pct"/>
            <w:vAlign w:val="center"/>
          </w:tcPr>
          <w:p w14:paraId="162E5E75">
            <w:pPr>
              <w:widowControl w:val="0"/>
              <w:jc w:val="center"/>
              <w:rPr>
                <w:rFonts w:ascii="Times New Roman" w:hAnsi="Times New Roman" w:cs="Times New Roman" w:eastAsiaTheme="minorEastAsia"/>
                <w:color w:val="auto"/>
                <w:sz w:val="20"/>
                <w:szCs w:val="20"/>
                <w:highlight w:val="none"/>
              </w:rPr>
            </w:pPr>
            <w:r>
              <w:rPr>
                <w:rFonts w:ascii="Times New Roman" w:hAnsi="Times New Roman" w:cs="Times New Roman"/>
                <w:color w:val="auto"/>
                <w:sz w:val="20"/>
                <w:szCs w:val="20"/>
                <w:highlight w:val="none"/>
              </w:rPr>
              <w:t>83～88/5</w:t>
            </w:r>
          </w:p>
        </w:tc>
        <w:tc>
          <w:tcPr>
            <w:tcW w:w="606" w:type="pct"/>
          </w:tcPr>
          <w:p w14:paraId="6C353FE5">
            <w:pPr>
              <w:widowControl w:val="0"/>
              <w:adjustRightInd w:val="0"/>
              <w:jc w:val="center"/>
              <w:rPr>
                <w:rFonts w:ascii="Times New Roman" w:hAnsi="Times New Roman" w:cs="Times New Roman" w:eastAsiaTheme="minorEastAsia"/>
                <w:color w:val="auto"/>
                <w:kern w:val="2"/>
                <w:sz w:val="20"/>
                <w:szCs w:val="20"/>
                <w:highlight w:val="none"/>
              </w:rPr>
            </w:pPr>
            <w:r>
              <w:rPr>
                <w:rFonts w:hint="eastAsia" w:ascii="Times New Roman" w:hAnsi="Times New Roman" w:cs="Times New Roman"/>
                <w:color w:val="auto"/>
                <w:sz w:val="20"/>
                <w:szCs w:val="20"/>
                <w:highlight w:val="none"/>
              </w:rPr>
              <w:t>采用低噪声设备，定期保养</w:t>
            </w:r>
          </w:p>
        </w:tc>
        <w:tc>
          <w:tcPr>
            <w:tcW w:w="392" w:type="pct"/>
            <w:vAlign w:val="center"/>
          </w:tcPr>
          <w:p w14:paraId="4DAA973A">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w:t>
            </w:r>
          </w:p>
        </w:tc>
        <w:tc>
          <w:tcPr>
            <w:tcW w:w="468" w:type="pct"/>
            <w:vAlign w:val="center"/>
          </w:tcPr>
          <w:p w14:paraId="0F318E42">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类比法</w:t>
            </w:r>
          </w:p>
        </w:tc>
        <w:tc>
          <w:tcPr>
            <w:tcW w:w="469" w:type="pct"/>
            <w:vAlign w:val="center"/>
          </w:tcPr>
          <w:p w14:paraId="1DB36B1D">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color w:val="auto"/>
                <w:sz w:val="20"/>
                <w:szCs w:val="20"/>
                <w:highlight w:val="none"/>
              </w:rPr>
              <w:t>83～88/5</w:t>
            </w:r>
          </w:p>
        </w:tc>
        <w:tc>
          <w:tcPr>
            <w:tcW w:w="389" w:type="pct"/>
            <w:vMerge w:val="continue"/>
            <w:vAlign w:val="center"/>
          </w:tcPr>
          <w:p w14:paraId="2D9AC553">
            <w:pPr>
              <w:widowControl w:val="0"/>
              <w:adjustRightInd w:val="0"/>
              <w:jc w:val="center"/>
              <w:rPr>
                <w:rFonts w:ascii="Times New Roman" w:hAnsi="Times New Roman" w:cs="Times New Roman" w:eastAsiaTheme="minorEastAsia"/>
                <w:color w:val="auto"/>
                <w:kern w:val="2"/>
                <w:sz w:val="20"/>
                <w:szCs w:val="20"/>
                <w:highlight w:val="none"/>
              </w:rPr>
            </w:pPr>
          </w:p>
        </w:tc>
      </w:tr>
      <w:tr w14:paraId="4119F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27C63C78">
            <w:pPr>
              <w:widowControl w:val="0"/>
              <w:adjustRightInd w:val="0"/>
              <w:jc w:val="center"/>
              <w:rPr>
                <w:rFonts w:ascii="Times New Roman" w:hAnsi="Times New Roman" w:cs="Times New Roman" w:eastAsiaTheme="minorEastAsia"/>
                <w:color w:val="auto"/>
                <w:kern w:val="2"/>
                <w:sz w:val="20"/>
                <w:szCs w:val="20"/>
                <w:highlight w:val="none"/>
              </w:rPr>
            </w:pPr>
          </w:p>
        </w:tc>
        <w:tc>
          <w:tcPr>
            <w:tcW w:w="468" w:type="pct"/>
            <w:vMerge w:val="continue"/>
            <w:vAlign w:val="center"/>
          </w:tcPr>
          <w:p w14:paraId="19682345">
            <w:pPr>
              <w:widowControl w:val="0"/>
              <w:jc w:val="center"/>
              <w:rPr>
                <w:rFonts w:ascii="Times New Roman" w:hAnsi="Times New Roman" w:cs="Times New Roman" w:eastAsiaTheme="minorEastAsia"/>
                <w:snapToGrid w:val="0"/>
                <w:color w:val="auto"/>
                <w:sz w:val="20"/>
                <w:szCs w:val="20"/>
                <w:highlight w:val="none"/>
              </w:rPr>
            </w:pPr>
          </w:p>
        </w:tc>
        <w:tc>
          <w:tcPr>
            <w:tcW w:w="406" w:type="pct"/>
            <w:vAlign w:val="center"/>
          </w:tcPr>
          <w:p w14:paraId="1E1C4E19">
            <w:pPr>
              <w:widowControl w:val="0"/>
              <w:jc w:val="center"/>
              <w:rPr>
                <w:rFonts w:ascii="Times New Roman" w:hAnsi="Times New Roman" w:cs="Times New Roman" w:eastAsiaTheme="minorEastAsia"/>
                <w:color w:val="auto"/>
                <w:sz w:val="20"/>
                <w:szCs w:val="20"/>
                <w:highlight w:val="none"/>
              </w:rPr>
            </w:pPr>
            <w:r>
              <w:rPr>
                <w:rFonts w:hint="eastAsia" w:ascii="Times New Roman" w:hAnsi="Times New Roman" w:cs="Times New Roman"/>
                <w:color w:val="auto"/>
                <w:sz w:val="20"/>
                <w:szCs w:val="20"/>
                <w:highlight w:val="none"/>
              </w:rPr>
              <w:t>运输车辆</w:t>
            </w:r>
          </w:p>
        </w:tc>
        <w:tc>
          <w:tcPr>
            <w:tcW w:w="609" w:type="pct"/>
            <w:vAlign w:val="center"/>
          </w:tcPr>
          <w:p w14:paraId="6228E5D2">
            <w:pPr>
              <w:widowControl w:val="0"/>
              <w:jc w:val="center"/>
              <w:rPr>
                <w:rFonts w:ascii="Times New Roman" w:hAnsi="Times New Roman" w:cs="Times New Roman" w:eastAsiaTheme="minorEastAsia"/>
                <w:snapToGrid w:val="0"/>
                <w:color w:val="auto"/>
                <w:sz w:val="20"/>
                <w:szCs w:val="20"/>
                <w:highlight w:val="none"/>
              </w:rPr>
            </w:pPr>
            <w:r>
              <w:rPr>
                <w:rFonts w:ascii="Times New Roman" w:hAnsi="Times New Roman" w:cs="Times New Roman" w:eastAsiaTheme="minorEastAsia"/>
                <w:snapToGrid w:val="0"/>
                <w:color w:val="auto"/>
                <w:sz w:val="20"/>
                <w:szCs w:val="20"/>
                <w:highlight w:val="none"/>
              </w:rPr>
              <w:t>非连续稳态声源</w:t>
            </w:r>
          </w:p>
        </w:tc>
        <w:tc>
          <w:tcPr>
            <w:tcW w:w="391" w:type="pct"/>
            <w:vMerge w:val="continue"/>
            <w:vAlign w:val="center"/>
          </w:tcPr>
          <w:p w14:paraId="6880DB03">
            <w:pPr>
              <w:widowControl w:val="0"/>
              <w:adjustRightInd w:val="0"/>
              <w:jc w:val="center"/>
              <w:rPr>
                <w:rFonts w:ascii="Times New Roman" w:hAnsi="Times New Roman" w:cs="Times New Roman" w:eastAsiaTheme="minorEastAsia"/>
                <w:color w:val="auto"/>
                <w:kern w:val="2"/>
                <w:sz w:val="20"/>
                <w:szCs w:val="20"/>
                <w:highlight w:val="none"/>
              </w:rPr>
            </w:pPr>
          </w:p>
        </w:tc>
        <w:tc>
          <w:tcPr>
            <w:tcW w:w="409" w:type="pct"/>
            <w:vAlign w:val="center"/>
          </w:tcPr>
          <w:p w14:paraId="3694755E">
            <w:pPr>
              <w:widowControl w:val="0"/>
              <w:jc w:val="center"/>
              <w:rPr>
                <w:rFonts w:ascii="Times New Roman" w:hAnsi="Times New Roman" w:cs="Times New Roman" w:eastAsiaTheme="minorEastAsia"/>
                <w:color w:val="auto"/>
                <w:sz w:val="20"/>
                <w:szCs w:val="20"/>
                <w:highlight w:val="none"/>
              </w:rPr>
            </w:pPr>
            <w:r>
              <w:rPr>
                <w:rFonts w:ascii="Times New Roman" w:hAnsi="Times New Roman" w:cs="Times New Roman"/>
                <w:color w:val="auto"/>
                <w:sz w:val="20"/>
                <w:szCs w:val="20"/>
                <w:highlight w:val="none"/>
              </w:rPr>
              <w:t>82～90/5</w:t>
            </w:r>
          </w:p>
        </w:tc>
        <w:tc>
          <w:tcPr>
            <w:tcW w:w="606" w:type="pct"/>
          </w:tcPr>
          <w:p w14:paraId="180ED986">
            <w:pPr>
              <w:widowControl w:val="0"/>
              <w:adjustRightInd w:val="0"/>
              <w:jc w:val="center"/>
              <w:rPr>
                <w:rFonts w:ascii="Times New Roman" w:hAnsi="Times New Roman" w:cs="Times New Roman" w:eastAsiaTheme="minorEastAsia"/>
                <w:color w:val="auto"/>
                <w:kern w:val="2"/>
                <w:sz w:val="20"/>
                <w:szCs w:val="20"/>
                <w:highlight w:val="none"/>
              </w:rPr>
            </w:pPr>
            <w:r>
              <w:rPr>
                <w:rFonts w:hint="eastAsia" w:ascii="Times New Roman" w:hAnsi="Times New Roman" w:cs="Times New Roman"/>
                <w:color w:val="auto"/>
                <w:sz w:val="20"/>
                <w:szCs w:val="20"/>
                <w:highlight w:val="none"/>
              </w:rPr>
              <w:t>采用低噪声设备，定期保养</w:t>
            </w:r>
          </w:p>
        </w:tc>
        <w:tc>
          <w:tcPr>
            <w:tcW w:w="392" w:type="pct"/>
            <w:vAlign w:val="center"/>
          </w:tcPr>
          <w:p w14:paraId="16DC1589">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w:t>
            </w:r>
          </w:p>
        </w:tc>
        <w:tc>
          <w:tcPr>
            <w:tcW w:w="468" w:type="pct"/>
            <w:vAlign w:val="center"/>
          </w:tcPr>
          <w:p w14:paraId="64D429FF">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eastAsiaTheme="minorEastAsia"/>
                <w:color w:val="auto"/>
                <w:kern w:val="2"/>
                <w:sz w:val="20"/>
                <w:szCs w:val="20"/>
                <w:highlight w:val="none"/>
              </w:rPr>
              <w:t>类比法</w:t>
            </w:r>
          </w:p>
        </w:tc>
        <w:tc>
          <w:tcPr>
            <w:tcW w:w="469" w:type="pct"/>
            <w:vAlign w:val="center"/>
          </w:tcPr>
          <w:p w14:paraId="194CE41D">
            <w:pPr>
              <w:widowControl w:val="0"/>
              <w:adjustRightInd w:val="0"/>
              <w:jc w:val="center"/>
              <w:rPr>
                <w:rFonts w:ascii="Times New Roman" w:hAnsi="Times New Roman" w:cs="Times New Roman" w:eastAsiaTheme="minorEastAsia"/>
                <w:color w:val="auto"/>
                <w:kern w:val="2"/>
                <w:sz w:val="20"/>
                <w:szCs w:val="20"/>
                <w:highlight w:val="none"/>
              </w:rPr>
            </w:pPr>
            <w:r>
              <w:rPr>
                <w:rFonts w:ascii="Times New Roman" w:hAnsi="Times New Roman" w:cs="Times New Roman"/>
                <w:color w:val="auto"/>
                <w:sz w:val="20"/>
                <w:szCs w:val="20"/>
                <w:highlight w:val="none"/>
              </w:rPr>
              <w:t>82～90/5</w:t>
            </w:r>
          </w:p>
        </w:tc>
        <w:tc>
          <w:tcPr>
            <w:tcW w:w="389" w:type="pct"/>
            <w:vMerge w:val="continue"/>
            <w:vAlign w:val="center"/>
          </w:tcPr>
          <w:p w14:paraId="09AFF617">
            <w:pPr>
              <w:widowControl w:val="0"/>
              <w:adjustRightInd w:val="0"/>
              <w:jc w:val="center"/>
              <w:rPr>
                <w:rFonts w:ascii="Times New Roman" w:hAnsi="Times New Roman" w:cs="Times New Roman" w:eastAsiaTheme="minorEastAsia"/>
                <w:color w:val="auto"/>
                <w:kern w:val="2"/>
                <w:sz w:val="20"/>
                <w:szCs w:val="20"/>
                <w:highlight w:val="none"/>
              </w:rPr>
            </w:pPr>
          </w:p>
        </w:tc>
      </w:tr>
    </w:tbl>
    <w:p w14:paraId="5A16FB9C">
      <w:pPr>
        <w:pStyle w:val="149"/>
        <w:widowControl w:val="0"/>
        <w:spacing w:line="440" w:lineRule="exact"/>
        <w:ind w:firstLine="478"/>
        <w:jc w:val="both"/>
        <w:rPr>
          <w:rFonts w:ascii="Times New Roman" w:hAnsi="Times New Roman" w:eastAsiaTheme="minorEastAsia"/>
          <w:b/>
          <w:caps w:val="0"/>
          <w:smallCaps w:val="0"/>
          <w:color w:val="auto"/>
          <w:spacing w:val="0"/>
          <w:w w:val="100"/>
          <w:kern w:val="2"/>
          <w:position w:val="0"/>
          <w:highlight w:val="none"/>
        </w:rPr>
      </w:pPr>
      <w:r>
        <w:rPr>
          <w:rFonts w:ascii="Times New Roman" w:hAnsi="Times New Roman" w:eastAsiaTheme="minorEastAsia"/>
          <w:b/>
          <w:caps w:val="0"/>
          <w:smallCaps w:val="0"/>
          <w:color w:val="auto"/>
          <w:spacing w:val="0"/>
          <w:w w:val="100"/>
          <w:kern w:val="2"/>
          <w:position w:val="0"/>
          <w:highlight w:val="none"/>
        </w:rPr>
        <w:t>表</w:t>
      </w:r>
      <w:r>
        <w:rPr>
          <w:rFonts w:ascii="Times New Roman" w:hAnsi="Times New Roman" w:eastAsiaTheme="minorEastAsia"/>
          <w:b/>
          <w:caps w:val="0"/>
          <w:smallCaps w:val="0"/>
          <w:color w:val="auto"/>
          <w:spacing w:val="0"/>
          <w:w w:val="100"/>
          <w:position w:val="0"/>
          <w:highlight w:val="none"/>
        </w:rPr>
        <w:t>3.10-9</w:t>
      </w:r>
      <w:r>
        <w:rPr>
          <w:rFonts w:ascii="Times New Roman" w:hAnsi="Times New Roman" w:eastAsiaTheme="minorEastAsia"/>
          <w:b/>
          <w:caps w:val="0"/>
          <w:smallCaps w:val="0"/>
          <w:color w:val="auto"/>
          <w:spacing w:val="0"/>
          <w:w w:val="100"/>
          <w:kern w:val="2"/>
          <w:position w:val="0"/>
          <w:highlight w:val="none"/>
        </w:rPr>
        <w:t xml:space="preserve">    </w:t>
      </w:r>
      <w:r>
        <w:rPr>
          <w:rFonts w:ascii="Times New Roman" w:hAnsi="Times New Roman" w:eastAsiaTheme="minorEastAsia"/>
          <w:b/>
          <w:caps w:val="0"/>
          <w:smallCaps w:val="0"/>
          <w:color w:val="auto"/>
          <w:spacing w:val="0"/>
          <w:w w:val="100"/>
          <w:kern w:val="21"/>
          <w:position w:val="0"/>
          <w:highlight w:val="none"/>
        </w:rPr>
        <w:t>施工期</w:t>
      </w:r>
      <w:r>
        <w:rPr>
          <w:rFonts w:ascii="Times New Roman" w:hAnsi="Times New Roman" w:eastAsiaTheme="minorEastAsia"/>
          <w:b/>
          <w:caps w:val="0"/>
          <w:smallCaps w:val="0"/>
          <w:color w:val="auto"/>
          <w:spacing w:val="0"/>
          <w:w w:val="100"/>
          <w:kern w:val="2"/>
          <w:position w:val="0"/>
          <w:highlight w:val="none"/>
        </w:rPr>
        <w:t>固体废物污染源强核算结果表</w:t>
      </w:r>
    </w:p>
    <w:tbl>
      <w:tblPr>
        <w:tblStyle w:val="80"/>
        <w:tblW w:w="14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1245"/>
        <w:gridCol w:w="1134"/>
        <w:gridCol w:w="992"/>
        <w:gridCol w:w="3118"/>
        <w:gridCol w:w="1134"/>
        <w:gridCol w:w="5502"/>
      </w:tblGrid>
      <w:tr w14:paraId="7200D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79C4307C">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工序</w:t>
            </w:r>
          </w:p>
        </w:tc>
        <w:tc>
          <w:tcPr>
            <w:tcW w:w="1245" w:type="dxa"/>
            <w:vMerge w:val="restart"/>
            <w:vAlign w:val="center"/>
          </w:tcPr>
          <w:p w14:paraId="7E4E01A5">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固体废物名称</w:t>
            </w:r>
          </w:p>
        </w:tc>
        <w:tc>
          <w:tcPr>
            <w:tcW w:w="2126" w:type="dxa"/>
            <w:gridSpan w:val="2"/>
            <w:vAlign w:val="center"/>
          </w:tcPr>
          <w:p w14:paraId="34346B03">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产生情况</w:t>
            </w:r>
          </w:p>
        </w:tc>
        <w:tc>
          <w:tcPr>
            <w:tcW w:w="4252" w:type="dxa"/>
            <w:gridSpan w:val="2"/>
            <w:vAlign w:val="center"/>
          </w:tcPr>
          <w:p w14:paraId="070BA9CB">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处置措施</w:t>
            </w:r>
          </w:p>
        </w:tc>
        <w:tc>
          <w:tcPr>
            <w:tcW w:w="5502" w:type="dxa"/>
            <w:vMerge w:val="restart"/>
            <w:vAlign w:val="center"/>
          </w:tcPr>
          <w:p w14:paraId="14979694">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最终排放去向</w:t>
            </w:r>
          </w:p>
        </w:tc>
      </w:tr>
      <w:tr w14:paraId="55FAB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7E6EADF4">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245" w:type="dxa"/>
            <w:vMerge w:val="continue"/>
            <w:vAlign w:val="center"/>
          </w:tcPr>
          <w:p w14:paraId="4C82BB6F">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134" w:type="dxa"/>
            <w:vAlign w:val="center"/>
          </w:tcPr>
          <w:p w14:paraId="0C693781">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核算方法</w:t>
            </w:r>
          </w:p>
        </w:tc>
        <w:tc>
          <w:tcPr>
            <w:tcW w:w="992" w:type="dxa"/>
            <w:vAlign w:val="center"/>
          </w:tcPr>
          <w:p w14:paraId="5F993E03">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产生量</w:t>
            </w:r>
          </w:p>
        </w:tc>
        <w:tc>
          <w:tcPr>
            <w:tcW w:w="3118" w:type="dxa"/>
            <w:vAlign w:val="center"/>
          </w:tcPr>
          <w:p w14:paraId="3FB55715">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工艺</w:t>
            </w:r>
          </w:p>
        </w:tc>
        <w:tc>
          <w:tcPr>
            <w:tcW w:w="1134" w:type="dxa"/>
            <w:vAlign w:val="center"/>
          </w:tcPr>
          <w:p w14:paraId="05C17341">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处置量</w:t>
            </w:r>
          </w:p>
        </w:tc>
        <w:tc>
          <w:tcPr>
            <w:tcW w:w="5502" w:type="dxa"/>
            <w:vMerge w:val="continue"/>
            <w:vAlign w:val="center"/>
          </w:tcPr>
          <w:p w14:paraId="7D537C20">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2DF54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562D8463">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caps w:val="0"/>
                <w:smallCaps w:val="0"/>
                <w:snapToGrid w:val="0"/>
                <w:color w:val="auto"/>
                <w:spacing w:val="0"/>
                <w:w w:val="100"/>
                <w:position w:val="0"/>
                <w:sz w:val="21"/>
                <w:szCs w:val="21"/>
                <w:highlight w:val="none"/>
              </w:rPr>
              <w:t>管线</w:t>
            </w:r>
            <w:r>
              <w:rPr>
                <w:rFonts w:ascii="Times New Roman" w:hAnsi="Times New Roman" w:cs="Times New Roman" w:eastAsiaTheme="minorEastAsia"/>
                <w:caps w:val="0"/>
                <w:smallCaps w:val="0"/>
                <w:snapToGrid w:val="0"/>
                <w:color w:val="auto"/>
                <w:spacing w:val="0"/>
                <w:w w:val="100"/>
                <w:position w:val="0"/>
                <w:sz w:val="21"/>
                <w:szCs w:val="21"/>
                <w:highlight w:val="none"/>
              </w:rPr>
              <w:t>施工</w:t>
            </w:r>
          </w:p>
        </w:tc>
        <w:tc>
          <w:tcPr>
            <w:tcW w:w="1245" w:type="dxa"/>
            <w:vAlign w:val="center"/>
          </w:tcPr>
          <w:p w14:paraId="09548C9C">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废弃泥浆</w:t>
            </w:r>
          </w:p>
        </w:tc>
        <w:tc>
          <w:tcPr>
            <w:tcW w:w="1134" w:type="dxa"/>
            <w:vAlign w:val="center"/>
          </w:tcPr>
          <w:p w14:paraId="067071B2">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992" w:type="dxa"/>
            <w:vAlign w:val="center"/>
          </w:tcPr>
          <w:p w14:paraId="7E751784">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bCs/>
                <w:color w:val="auto"/>
                <w:sz w:val="21"/>
                <w:szCs w:val="21"/>
                <w:highlight w:val="none"/>
                <w:lang w:val="en-US" w:eastAsia="zh-CN"/>
              </w:rPr>
              <w:t>70.56</w:t>
            </w:r>
            <w:r>
              <w:rPr>
                <w:rFonts w:ascii="Times New Roman" w:hAnsi="Times New Roman" w:cs="Times New Roman" w:eastAsiaTheme="minorEastAsia"/>
                <w:bCs/>
                <w:color w:val="auto"/>
                <w:sz w:val="21"/>
                <w:szCs w:val="21"/>
                <w:highlight w:val="none"/>
              </w:rPr>
              <w:t>m</w:t>
            </w:r>
            <w:r>
              <w:rPr>
                <w:rFonts w:ascii="Times New Roman" w:hAnsi="Times New Roman" w:cs="Times New Roman" w:eastAsiaTheme="minorEastAsia"/>
                <w:bCs/>
                <w:color w:val="auto"/>
                <w:sz w:val="21"/>
                <w:szCs w:val="21"/>
                <w:highlight w:val="none"/>
                <w:vertAlign w:val="superscript"/>
              </w:rPr>
              <w:t>3</w:t>
            </w:r>
          </w:p>
        </w:tc>
        <w:tc>
          <w:tcPr>
            <w:tcW w:w="3118" w:type="dxa"/>
            <w:vAlign w:val="center"/>
          </w:tcPr>
          <w:p w14:paraId="14CB3E80">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无害化处理</w:t>
            </w:r>
          </w:p>
        </w:tc>
        <w:tc>
          <w:tcPr>
            <w:tcW w:w="1134" w:type="dxa"/>
            <w:vAlign w:val="center"/>
          </w:tcPr>
          <w:p w14:paraId="13EC1F02">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bCs/>
                <w:color w:val="auto"/>
                <w:sz w:val="21"/>
                <w:szCs w:val="21"/>
                <w:highlight w:val="none"/>
                <w:lang w:val="en-US" w:eastAsia="zh-CN"/>
              </w:rPr>
              <w:t>70.56</w:t>
            </w:r>
            <w:r>
              <w:rPr>
                <w:rFonts w:ascii="Times New Roman" w:hAnsi="Times New Roman" w:cs="Times New Roman" w:eastAsiaTheme="minorEastAsia"/>
                <w:bCs/>
                <w:color w:val="auto"/>
                <w:sz w:val="21"/>
                <w:szCs w:val="21"/>
                <w:highlight w:val="none"/>
              </w:rPr>
              <w:t>m</w:t>
            </w:r>
            <w:r>
              <w:rPr>
                <w:rFonts w:ascii="Times New Roman" w:hAnsi="Times New Roman" w:cs="Times New Roman" w:eastAsiaTheme="minorEastAsia"/>
                <w:bCs/>
                <w:color w:val="auto"/>
                <w:sz w:val="21"/>
                <w:szCs w:val="21"/>
                <w:highlight w:val="none"/>
                <w:vertAlign w:val="superscript"/>
              </w:rPr>
              <w:t>3</w:t>
            </w:r>
          </w:p>
        </w:tc>
        <w:tc>
          <w:tcPr>
            <w:tcW w:w="5502" w:type="dxa"/>
            <w:vAlign w:val="center"/>
          </w:tcPr>
          <w:p w14:paraId="292036E8">
            <w:pPr>
              <w:widowControl w:val="0"/>
              <w:spacing w:line="320" w:lineRule="exact"/>
              <w:jc w:val="both"/>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排入施工场地的钢制泥浆槽中，定期拉运至大庆洁宇环保科技有限公司处理</w:t>
            </w:r>
          </w:p>
        </w:tc>
      </w:tr>
      <w:tr w14:paraId="62900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5FC5241A">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245" w:type="dxa"/>
            <w:vAlign w:val="center"/>
          </w:tcPr>
          <w:p w14:paraId="71D0F4E2">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生活垃圾</w:t>
            </w:r>
          </w:p>
        </w:tc>
        <w:tc>
          <w:tcPr>
            <w:tcW w:w="1134" w:type="dxa"/>
            <w:vAlign w:val="center"/>
          </w:tcPr>
          <w:p w14:paraId="518C9C20">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992" w:type="dxa"/>
            <w:vAlign w:val="center"/>
          </w:tcPr>
          <w:p w14:paraId="15363C02">
            <w:pPr>
              <w:widowControl w:val="0"/>
              <w:spacing w:line="32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color w:val="auto"/>
                <w:sz w:val="21"/>
                <w:szCs w:val="21"/>
                <w:highlight w:val="none"/>
              </w:rPr>
              <w:t>0.9t</w:t>
            </w:r>
          </w:p>
        </w:tc>
        <w:tc>
          <w:tcPr>
            <w:tcW w:w="3118" w:type="dxa"/>
            <w:vAlign w:val="center"/>
          </w:tcPr>
          <w:p w14:paraId="498145FE">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无害化处理</w:t>
            </w:r>
          </w:p>
        </w:tc>
        <w:tc>
          <w:tcPr>
            <w:tcW w:w="1134" w:type="dxa"/>
            <w:vAlign w:val="center"/>
          </w:tcPr>
          <w:p w14:paraId="481A3976">
            <w:pPr>
              <w:widowControl w:val="0"/>
              <w:spacing w:line="32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color w:val="auto"/>
                <w:sz w:val="21"/>
                <w:szCs w:val="21"/>
                <w:highlight w:val="none"/>
              </w:rPr>
              <w:t>0.9t</w:t>
            </w:r>
          </w:p>
        </w:tc>
        <w:tc>
          <w:tcPr>
            <w:tcW w:w="5502" w:type="dxa"/>
            <w:vAlign w:val="center"/>
          </w:tcPr>
          <w:p w14:paraId="4285C9FF">
            <w:pPr>
              <w:widowControl w:val="0"/>
              <w:spacing w:line="320" w:lineRule="exact"/>
              <w:jc w:val="both"/>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统一收集后拉运至安达市生活垃圾填埋场处理</w:t>
            </w:r>
          </w:p>
        </w:tc>
      </w:tr>
      <w:tr w14:paraId="5B98F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0192CE92">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245" w:type="dxa"/>
            <w:vAlign w:val="center"/>
          </w:tcPr>
          <w:p w14:paraId="0DCCDFC5">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施工废料</w:t>
            </w:r>
          </w:p>
        </w:tc>
        <w:tc>
          <w:tcPr>
            <w:tcW w:w="1134" w:type="dxa"/>
            <w:vAlign w:val="center"/>
          </w:tcPr>
          <w:p w14:paraId="0E90E2C7">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992" w:type="dxa"/>
            <w:vAlign w:val="center"/>
          </w:tcPr>
          <w:p w14:paraId="5932AACD">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lang w:val="zh-CN"/>
              </w:rPr>
            </w:pPr>
            <w:r>
              <w:rPr>
                <w:rFonts w:hint="eastAsia" w:ascii="Times New Roman" w:hAnsi="Times New Roman" w:cs="Times New Roman" w:eastAsiaTheme="minorEastAsia"/>
                <w:color w:val="auto"/>
                <w:sz w:val="21"/>
                <w:szCs w:val="21"/>
                <w:highlight w:val="none"/>
                <w:lang w:val="en-US" w:eastAsia="zh-CN"/>
              </w:rPr>
              <w:t>3.22</w:t>
            </w:r>
            <w:r>
              <w:rPr>
                <w:rFonts w:ascii="Times New Roman" w:hAnsi="Times New Roman" w:cs="Times New Roman" w:eastAsiaTheme="minorEastAsia"/>
                <w:color w:val="auto"/>
                <w:sz w:val="21"/>
                <w:szCs w:val="21"/>
                <w:highlight w:val="none"/>
              </w:rPr>
              <w:t>t</w:t>
            </w:r>
          </w:p>
        </w:tc>
        <w:tc>
          <w:tcPr>
            <w:tcW w:w="3118" w:type="dxa"/>
            <w:vAlign w:val="center"/>
          </w:tcPr>
          <w:p w14:paraId="280CC60B">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填埋处理</w:t>
            </w:r>
          </w:p>
        </w:tc>
        <w:tc>
          <w:tcPr>
            <w:tcW w:w="1134" w:type="dxa"/>
            <w:vAlign w:val="center"/>
          </w:tcPr>
          <w:p w14:paraId="3FCB738E">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lang w:val="zh-CN"/>
              </w:rPr>
            </w:pPr>
            <w:r>
              <w:rPr>
                <w:rFonts w:hint="eastAsia" w:ascii="Times New Roman" w:hAnsi="Times New Roman" w:cs="Times New Roman" w:eastAsiaTheme="minorEastAsia"/>
                <w:color w:val="auto"/>
                <w:sz w:val="21"/>
                <w:szCs w:val="21"/>
                <w:highlight w:val="none"/>
                <w:lang w:val="en-US" w:eastAsia="zh-CN"/>
              </w:rPr>
              <w:t>3.22</w:t>
            </w:r>
            <w:r>
              <w:rPr>
                <w:rFonts w:ascii="Times New Roman" w:hAnsi="Times New Roman" w:cs="Times New Roman" w:eastAsiaTheme="minorEastAsia"/>
                <w:color w:val="auto"/>
                <w:sz w:val="21"/>
                <w:szCs w:val="21"/>
                <w:highlight w:val="none"/>
              </w:rPr>
              <w:t>t</w:t>
            </w:r>
          </w:p>
        </w:tc>
        <w:tc>
          <w:tcPr>
            <w:tcW w:w="5502" w:type="dxa"/>
            <w:vAlign w:val="center"/>
          </w:tcPr>
          <w:p w14:paraId="08225A5B">
            <w:pPr>
              <w:widowControl w:val="0"/>
              <w:spacing w:line="320" w:lineRule="exact"/>
              <w:jc w:val="both"/>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olor w:val="auto"/>
                <w:kern w:val="2"/>
                <w:sz w:val="21"/>
                <w:highlight w:val="none"/>
              </w:rPr>
              <w:t>由施工单位</w:t>
            </w:r>
            <w:r>
              <w:rPr>
                <w:rFonts w:ascii="Times New Roman" w:hAnsi="Times New Roman" w:cs="Times New Roman" w:eastAsiaTheme="minorEastAsia"/>
                <w:bCs/>
                <w:color w:val="auto"/>
                <w:kern w:val="2"/>
                <w:sz w:val="21"/>
                <w:highlight w:val="none"/>
              </w:rPr>
              <w:t>拉运至第八采油厂工业固废填埋场处理</w:t>
            </w:r>
          </w:p>
        </w:tc>
      </w:tr>
      <w:tr w14:paraId="05E20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018C31C8">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245" w:type="dxa"/>
            <w:vAlign w:val="center"/>
          </w:tcPr>
          <w:p w14:paraId="07BCAB0E">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hint="eastAsia" w:ascii="Times New Roman" w:hAnsi="Times New Roman" w:cs="Times New Roman" w:eastAsiaTheme="minorEastAsia"/>
                <w:snapToGrid w:val="0"/>
                <w:color w:val="auto"/>
                <w:sz w:val="21"/>
                <w:szCs w:val="21"/>
                <w:highlight w:val="none"/>
              </w:rPr>
              <w:t>废防渗布</w:t>
            </w:r>
          </w:p>
        </w:tc>
        <w:tc>
          <w:tcPr>
            <w:tcW w:w="1134" w:type="dxa"/>
            <w:vAlign w:val="center"/>
          </w:tcPr>
          <w:p w14:paraId="2544FA17">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992" w:type="dxa"/>
            <w:vAlign w:val="center"/>
          </w:tcPr>
          <w:p w14:paraId="646C5B89">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lang w:val="zh-CN"/>
              </w:rPr>
            </w:pPr>
            <w:r>
              <w:rPr>
                <w:rFonts w:hint="eastAsia" w:ascii="Times New Roman" w:hAnsi="Times New Roman" w:cs="Times New Roman" w:eastAsiaTheme="minorEastAsia"/>
                <w:color w:val="auto"/>
                <w:sz w:val="21"/>
                <w:szCs w:val="21"/>
                <w:highlight w:val="none"/>
              </w:rPr>
              <w:t>0.</w:t>
            </w:r>
            <w:r>
              <w:rPr>
                <w:rFonts w:hint="eastAsia" w:ascii="Times New Roman" w:hAnsi="Times New Roman" w:cs="Times New Roman" w:eastAsiaTheme="minorEastAsia"/>
                <w:color w:val="auto"/>
                <w:sz w:val="21"/>
                <w:szCs w:val="21"/>
                <w:highlight w:val="none"/>
                <w:lang w:val="en-US" w:eastAsia="zh-CN"/>
              </w:rPr>
              <w:t>13</w:t>
            </w:r>
            <w:r>
              <w:rPr>
                <w:rFonts w:hint="eastAsia" w:ascii="Times New Roman" w:hAnsi="Times New Roman" w:cs="Times New Roman" w:eastAsiaTheme="minorEastAsia"/>
                <w:color w:val="auto"/>
                <w:sz w:val="21"/>
                <w:szCs w:val="21"/>
                <w:highlight w:val="none"/>
              </w:rPr>
              <w:t>t</w:t>
            </w:r>
          </w:p>
        </w:tc>
        <w:tc>
          <w:tcPr>
            <w:tcW w:w="3118" w:type="dxa"/>
            <w:vAlign w:val="center"/>
          </w:tcPr>
          <w:p w14:paraId="5E977BB0">
            <w:pPr>
              <w:widowControl w:val="0"/>
              <w:spacing w:line="32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snapToGrid w:val="0"/>
                <w:color w:val="auto"/>
                <w:sz w:val="21"/>
                <w:szCs w:val="21"/>
                <w:highlight w:val="none"/>
              </w:rPr>
              <w:t>填埋处理</w:t>
            </w:r>
          </w:p>
        </w:tc>
        <w:tc>
          <w:tcPr>
            <w:tcW w:w="1134" w:type="dxa"/>
            <w:vAlign w:val="center"/>
          </w:tcPr>
          <w:p w14:paraId="34809FF4">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lang w:val="zh-CN"/>
              </w:rPr>
            </w:pPr>
            <w:r>
              <w:rPr>
                <w:rFonts w:hint="eastAsia" w:ascii="Times New Roman" w:hAnsi="Times New Roman" w:cs="Times New Roman" w:eastAsiaTheme="minorEastAsia"/>
                <w:color w:val="auto"/>
                <w:sz w:val="21"/>
                <w:szCs w:val="21"/>
                <w:highlight w:val="none"/>
              </w:rPr>
              <w:t>0.</w:t>
            </w:r>
            <w:r>
              <w:rPr>
                <w:rFonts w:hint="eastAsia" w:ascii="Times New Roman" w:hAnsi="Times New Roman" w:cs="Times New Roman" w:eastAsiaTheme="minorEastAsia"/>
                <w:color w:val="auto"/>
                <w:sz w:val="21"/>
                <w:szCs w:val="21"/>
                <w:highlight w:val="none"/>
                <w:lang w:val="en-US" w:eastAsia="zh-CN"/>
              </w:rPr>
              <w:t>13</w:t>
            </w:r>
            <w:r>
              <w:rPr>
                <w:rFonts w:hint="eastAsia" w:ascii="Times New Roman" w:hAnsi="Times New Roman" w:cs="Times New Roman" w:eastAsiaTheme="minorEastAsia"/>
                <w:color w:val="auto"/>
                <w:sz w:val="21"/>
                <w:szCs w:val="21"/>
                <w:highlight w:val="none"/>
              </w:rPr>
              <w:t>t</w:t>
            </w:r>
          </w:p>
        </w:tc>
        <w:tc>
          <w:tcPr>
            <w:tcW w:w="5502" w:type="dxa"/>
            <w:vAlign w:val="center"/>
          </w:tcPr>
          <w:p w14:paraId="2845D713">
            <w:pPr>
              <w:widowControl w:val="0"/>
              <w:spacing w:line="320" w:lineRule="exact"/>
              <w:jc w:val="both"/>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olor w:val="auto"/>
                <w:kern w:val="2"/>
                <w:sz w:val="21"/>
                <w:highlight w:val="none"/>
              </w:rPr>
              <w:t>由施工单位</w:t>
            </w:r>
            <w:r>
              <w:rPr>
                <w:rFonts w:ascii="Times New Roman" w:hAnsi="Times New Roman" w:cs="Times New Roman" w:eastAsiaTheme="minorEastAsia"/>
                <w:bCs/>
                <w:color w:val="auto"/>
                <w:kern w:val="2"/>
                <w:sz w:val="21"/>
                <w:highlight w:val="none"/>
              </w:rPr>
              <w:t>拉运至第八采油厂工业固废填埋场处理</w:t>
            </w:r>
          </w:p>
        </w:tc>
      </w:tr>
    </w:tbl>
    <w:p w14:paraId="63271A76">
      <w:pPr>
        <w:pStyle w:val="149"/>
        <w:widowControl w:val="0"/>
        <w:spacing w:line="440" w:lineRule="exact"/>
        <w:ind w:firstLine="478"/>
        <w:jc w:val="both"/>
        <w:rPr>
          <w:rFonts w:ascii="Times New Roman" w:hAnsi="Times New Roman" w:eastAsiaTheme="minorEastAsia"/>
          <w:b/>
          <w:bCs/>
          <w:caps w:val="0"/>
          <w:smallCaps w:val="0"/>
          <w:color w:val="auto"/>
          <w:spacing w:val="0"/>
          <w:w w:val="100"/>
          <w:position w:val="0"/>
          <w:highlight w:val="none"/>
        </w:rPr>
      </w:pPr>
      <w:r>
        <w:rPr>
          <w:rFonts w:ascii="Times New Roman" w:hAnsi="Times New Roman" w:eastAsiaTheme="minorEastAsia"/>
          <w:b/>
          <w:bCs/>
          <w:caps w:val="0"/>
          <w:smallCaps w:val="0"/>
          <w:color w:val="auto"/>
          <w:spacing w:val="0"/>
          <w:w w:val="100"/>
          <w:position w:val="0"/>
          <w:highlight w:val="none"/>
        </w:rPr>
        <w:t>表</w:t>
      </w:r>
      <w:r>
        <w:rPr>
          <w:rFonts w:ascii="Times New Roman" w:hAnsi="Times New Roman" w:eastAsiaTheme="minorEastAsia"/>
          <w:b/>
          <w:caps w:val="0"/>
          <w:smallCaps w:val="0"/>
          <w:color w:val="auto"/>
          <w:spacing w:val="0"/>
          <w:w w:val="100"/>
          <w:position w:val="0"/>
          <w:highlight w:val="none"/>
        </w:rPr>
        <w:t>3.10-10</w:t>
      </w:r>
      <w:r>
        <w:rPr>
          <w:rFonts w:ascii="Times New Roman" w:hAnsi="Times New Roman" w:eastAsiaTheme="minorEastAsia"/>
          <w:b/>
          <w:bCs/>
          <w:caps w:val="0"/>
          <w:smallCaps w:val="0"/>
          <w:color w:val="auto"/>
          <w:spacing w:val="0"/>
          <w:w w:val="100"/>
          <w:position w:val="0"/>
          <w:highlight w:val="none"/>
        </w:rPr>
        <w:t xml:space="preserve">    退役期废气污染源源强核算结果及相关参数一览表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4"/>
        <w:gridCol w:w="927"/>
        <w:gridCol w:w="1152"/>
        <w:gridCol w:w="1007"/>
        <w:gridCol w:w="864"/>
        <w:gridCol w:w="1009"/>
        <w:gridCol w:w="1152"/>
        <w:gridCol w:w="864"/>
        <w:gridCol w:w="1009"/>
        <w:gridCol w:w="864"/>
        <w:gridCol w:w="862"/>
        <w:gridCol w:w="864"/>
        <w:gridCol w:w="1069"/>
        <w:gridCol w:w="1030"/>
        <w:gridCol w:w="891"/>
      </w:tblGrid>
      <w:tr w14:paraId="52CFC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restart"/>
            <w:vAlign w:val="center"/>
          </w:tcPr>
          <w:p w14:paraId="58248411">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工序</w:t>
            </w:r>
          </w:p>
        </w:tc>
        <w:tc>
          <w:tcPr>
            <w:tcW w:w="326" w:type="pct"/>
            <w:vMerge w:val="restart"/>
            <w:vAlign w:val="center"/>
          </w:tcPr>
          <w:p w14:paraId="7437FD7F">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装置</w:t>
            </w:r>
          </w:p>
        </w:tc>
        <w:tc>
          <w:tcPr>
            <w:tcW w:w="405" w:type="pct"/>
            <w:vMerge w:val="restart"/>
            <w:vAlign w:val="center"/>
          </w:tcPr>
          <w:p w14:paraId="01F4F1F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污染源</w:t>
            </w:r>
          </w:p>
        </w:tc>
        <w:tc>
          <w:tcPr>
            <w:tcW w:w="354" w:type="pct"/>
            <w:vMerge w:val="restart"/>
            <w:vAlign w:val="center"/>
          </w:tcPr>
          <w:p w14:paraId="782B4458">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w:t>
            </w:r>
          </w:p>
        </w:tc>
        <w:tc>
          <w:tcPr>
            <w:tcW w:w="1368" w:type="pct"/>
            <w:gridSpan w:val="4"/>
            <w:vAlign w:val="center"/>
          </w:tcPr>
          <w:p w14:paraId="4B804999">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污染物产生</w:t>
            </w:r>
          </w:p>
        </w:tc>
        <w:tc>
          <w:tcPr>
            <w:tcW w:w="659" w:type="pct"/>
            <w:gridSpan w:val="2"/>
            <w:vAlign w:val="center"/>
          </w:tcPr>
          <w:p w14:paraId="144E81A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治理措施</w:t>
            </w:r>
          </w:p>
        </w:tc>
        <w:tc>
          <w:tcPr>
            <w:tcW w:w="1345" w:type="pct"/>
            <w:gridSpan w:val="4"/>
            <w:vAlign w:val="center"/>
          </w:tcPr>
          <w:p w14:paraId="5A45E99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污染物排放</w:t>
            </w:r>
          </w:p>
        </w:tc>
        <w:tc>
          <w:tcPr>
            <w:tcW w:w="313" w:type="pct"/>
            <w:vMerge w:val="restart"/>
            <w:vAlign w:val="center"/>
          </w:tcPr>
          <w:p w14:paraId="3BED628E">
            <w:pPr>
              <w:keepNext/>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排放时间</w:t>
            </w:r>
          </w:p>
        </w:tc>
      </w:tr>
      <w:tr w14:paraId="6ACA1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continue"/>
            <w:vAlign w:val="center"/>
          </w:tcPr>
          <w:p w14:paraId="6DEDE4BE">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326" w:type="pct"/>
            <w:vMerge w:val="continue"/>
            <w:vAlign w:val="center"/>
          </w:tcPr>
          <w:p w14:paraId="3C016CA8">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405" w:type="pct"/>
            <w:vMerge w:val="continue"/>
            <w:vAlign w:val="center"/>
          </w:tcPr>
          <w:p w14:paraId="5DDC3449">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354" w:type="pct"/>
            <w:vMerge w:val="continue"/>
            <w:vAlign w:val="center"/>
          </w:tcPr>
          <w:p w14:paraId="263C2221">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304" w:type="pct"/>
            <w:vAlign w:val="center"/>
          </w:tcPr>
          <w:p w14:paraId="0E137FD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核算方法</w:t>
            </w:r>
          </w:p>
        </w:tc>
        <w:tc>
          <w:tcPr>
            <w:tcW w:w="355" w:type="pct"/>
            <w:vAlign w:val="center"/>
          </w:tcPr>
          <w:p w14:paraId="0AE88916">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废气产生量m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405" w:type="pct"/>
            <w:vAlign w:val="center"/>
          </w:tcPr>
          <w:p w14:paraId="4BC1FC5A">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产生浓度mg/m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304" w:type="pct"/>
            <w:vAlign w:val="center"/>
          </w:tcPr>
          <w:p w14:paraId="740C4E5F">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产生量t</w:t>
            </w:r>
          </w:p>
        </w:tc>
        <w:tc>
          <w:tcPr>
            <w:tcW w:w="355" w:type="pct"/>
            <w:tcBorders>
              <w:right w:val="single" w:color="auto" w:sz="4" w:space="0"/>
            </w:tcBorders>
            <w:vAlign w:val="center"/>
          </w:tcPr>
          <w:p w14:paraId="438EC9C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工艺</w:t>
            </w:r>
          </w:p>
        </w:tc>
        <w:tc>
          <w:tcPr>
            <w:tcW w:w="304" w:type="pct"/>
            <w:tcBorders>
              <w:left w:val="single" w:color="auto" w:sz="4" w:space="0"/>
            </w:tcBorders>
            <w:vAlign w:val="center"/>
          </w:tcPr>
          <w:p w14:paraId="61191A3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效率%</w:t>
            </w:r>
          </w:p>
        </w:tc>
        <w:tc>
          <w:tcPr>
            <w:tcW w:w="303" w:type="pct"/>
            <w:vAlign w:val="center"/>
          </w:tcPr>
          <w:p w14:paraId="1500B735">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核算方法</w:t>
            </w:r>
          </w:p>
        </w:tc>
        <w:tc>
          <w:tcPr>
            <w:tcW w:w="304" w:type="pct"/>
            <w:vAlign w:val="center"/>
          </w:tcPr>
          <w:p w14:paraId="20995AB0">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废气排放量</w:t>
            </w:r>
          </w:p>
        </w:tc>
        <w:tc>
          <w:tcPr>
            <w:tcW w:w="376" w:type="pct"/>
            <w:vAlign w:val="center"/>
          </w:tcPr>
          <w:p w14:paraId="60287F39">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排放浓度mg/m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362" w:type="pct"/>
            <w:vAlign w:val="center"/>
          </w:tcPr>
          <w:p w14:paraId="58CF4525">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排放量</w:t>
            </w:r>
          </w:p>
          <w:p w14:paraId="0C1DDEF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t</w:t>
            </w:r>
          </w:p>
        </w:tc>
        <w:tc>
          <w:tcPr>
            <w:tcW w:w="313" w:type="pct"/>
            <w:vMerge w:val="continue"/>
            <w:vAlign w:val="center"/>
          </w:tcPr>
          <w:p w14:paraId="0B2E17E8">
            <w:pPr>
              <w:keepNext/>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r>
      <w:tr w14:paraId="38DD7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dxa"/>
            <w:vMerge w:val="restart"/>
            <w:vAlign w:val="center"/>
          </w:tcPr>
          <w:p w14:paraId="5A0526F5">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退役阶段施工</w:t>
            </w:r>
          </w:p>
        </w:tc>
        <w:tc>
          <w:tcPr>
            <w:tcW w:w="927" w:type="dxa"/>
            <w:vAlign w:val="center"/>
          </w:tcPr>
          <w:p w14:paraId="23ADD4C8">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施工场地</w:t>
            </w:r>
          </w:p>
        </w:tc>
        <w:tc>
          <w:tcPr>
            <w:tcW w:w="1152" w:type="dxa"/>
            <w:vAlign w:val="center"/>
          </w:tcPr>
          <w:p w14:paraId="75040156">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施工扬尘</w:t>
            </w:r>
          </w:p>
        </w:tc>
        <w:tc>
          <w:tcPr>
            <w:tcW w:w="1007" w:type="dxa"/>
            <w:vAlign w:val="center"/>
          </w:tcPr>
          <w:p w14:paraId="3D767D39">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颗粒物</w:t>
            </w:r>
          </w:p>
        </w:tc>
        <w:tc>
          <w:tcPr>
            <w:tcW w:w="864" w:type="dxa"/>
            <w:tcBorders>
              <w:right w:val="single" w:color="auto" w:sz="4" w:space="0"/>
            </w:tcBorders>
            <w:vAlign w:val="center"/>
          </w:tcPr>
          <w:p w14:paraId="7BA440D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1009" w:type="dxa"/>
            <w:tcBorders>
              <w:left w:val="single" w:color="auto" w:sz="4" w:space="0"/>
              <w:right w:val="single" w:color="auto" w:sz="4" w:space="0"/>
            </w:tcBorders>
            <w:vAlign w:val="center"/>
          </w:tcPr>
          <w:p w14:paraId="145CB6E8">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1152" w:type="dxa"/>
            <w:tcBorders>
              <w:left w:val="single" w:color="auto" w:sz="4" w:space="0"/>
              <w:right w:val="single" w:color="auto" w:sz="4" w:space="0"/>
            </w:tcBorders>
            <w:vAlign w:val="center"/>
          </w:tcPr>
          <w:p w14:paraId="25B69DA5">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864" w:type="dxa"/>
            <w:tcBorders>
              <w:left w:val="single" w:color="auto" w:sz="4" w:space="0"/>
            </w:tcBorders>
            <w:vAlign w:val="center"/>
          </w:tcPr>
          <w:p w14:paraId="5F38F5FA">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少量</w:t>
            </w:r>
          </w:p>
        </w:tc>
        <w:tc>
          <w:tcPr>
            <w:tcW w:w="1009" w:type="dxa"/>
            <w:tcBorders>
              <w:right w:val="single" w:color="auto" w:sz="4" w:space="0"/>
            </w:tcBorders>
            <w:vAlign w:val="center"/>
          </w:tcPr>
          <w:p w14:paraId="1B87D6B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洒水抑尘</w:t>
            </w:r>
          </w:p>
        </w:tc>
        <w:tc>
          <w:tcPr>
            <w:tcW w:w="864" w:type="dxa"/>
            <w:tcBorders>
              <w:left w:val="single" w:color="auto" w:sz="4" w:space="0"/>
            </w:tcBorders>
            <w:vAlign w:val="center"/>
          </w:tcPr>
          <w:p w14:paraId="512E671B">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862" w:type="dxa"/>
            <w:vAlign w:val="center"/>
          </w:tcPr>
          <w:p w14:paraId="0AF98D8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864" w:type="dxa"/>
            <w:vAlign w:val="center"/>
          </w:tcPr>
          <w:p w14:paraId="01165F09">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1069" w:type="dxa"/>
            <w:vAlign w:val="center"/>
          </w:tcPr>
          <w:p w14:paraId="493AA2EF">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1030" w:type="dxa"/>
            <w:vAlign w:val="center"/>
          </w:tcPr>
          <w:p w14:paraId="11E3A0AE">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少量</w:t>
            </w:r>
          </w:p>
        </w:tc>
        <w:tc>
          <w:tcPr>
            <w:tcW w:w="891" w:type="dxa"/>
            <w:vAlign w:val="center"/>
          </w:tcPr>
          <w:p w14:paraId="7EDF0A94">
            <w:pPr>
              <w:keepNext/>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退役施工期</w:t>
            </w:r>
          </w:p>
        </w:tc>
      </w:tr>
      <w:tr w14:paraId="02350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dxa"/>
            <w:vMerge w:val="continue"/>
            <w:vAlign w:val="center"/>
          </w:tcPr>
          <w:p w14:paraId="51EBCA1E">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927" w:type="dxa"/>
            <w:vAlign w:val="center"/>
          </w:tcPr>
          <w:p w14:paraId="18AF638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施工机械及运输车辆</w:t>
            </w:r>
          </w:p>
        </w:tc>
        <w:tc>
          <w:tcPr>
            <w:tcW w:w="1152" w:type="dxa"/>
            <w:vAlign w:val="center"/>
          </w:tcPr>
          <w:p w14:paraId="3EE36EA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施工机械及运输汽车尾气</w:t>
            </w:r>
          </w:p>
        </w:tc>
        <w:tc>
          <w:tcPr>
            <w:tcW w:w="1007" w:type="dxa"/>
            <w:vAlign w:val="center"/>
          </w:tcPr>
          <w:p w14:paraId="7A85D0A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NO</w:t>
            </w:r>
            <w:r>
              <w:rPr>
                <w:rFonts w:ascii="Times New Roman" w:hAnsi="Times New Roman" w:cs="Times New Roman" w:eastAsiaTheme="minorEastAsia"/>
                <w:color w:val="auto"/>
                <w:kern w:val="2"/>
                <w:sz w:val="21"/>
                <w:szCs w:val="21"/>
                <w:highlight w:val="none"/>
                <w:vertAlign w:val="subscript"/>
              </w:rPr>
              <w:t>2</w:t>
            </w:r>
            <w:r>
              <w:rPr>
                <w:rFonts w:ascii="Times New Roman" w:hAnsi="Times New Roman" w:cs="Times New Roman" w:eastAsiaTheme="minorEastAsia"/>
                <w:color w:val="auto"/>
                <w:kern w:val="2"/>
                <w:sz w:val="21"/>
                <w:szCs w:val="21"/>
                <w:highlight w:val="none"/>
              </w:rPr>
              <w:t>、CO、HC等</w:t>
            </w:r>
          </w:p>
        </w:tc>
        <w:tc>
          <w:tcPr>
            <w:tcW w:w="864" w:type="dxa"/>
            <w:tcBorders>
              <w:right w:val="single" w:color="auto" w:sz="4" w:space="0"/>
            </w:tcBorders>
            <w:vAlign w:val="center"/>
          </w:tcPr>
          <w:p w14:paraId="22DC3C02">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1009" w:type="dxa"/>
            <w:tcBorders>
              <w:left w:val="single" w:color="auto" w:sz="4" w:space="0"/>
              <w:right w:val="single" w:color="auto" w:sz="4" w:space="0"/>
            </w:tcBorders>
            <w:vAlign w:val="center"/>
          </w:tcPr>
          <w:p w14:paraId="77257A25">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1152" w:type="dxa"/>
            <w:tcBorders>
              <w:left w:val="single" w:color="auto" w:sz="4" w:space="0"/>
              <w:right w:val="single" w:color="auto" w:sz="4" w:space="0"/>
            </w:tcBorders>
            <w:vAlign w:val="center"/>
          </w:tcPr>
          <w:p w14:paraId="6DEE88F6">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864" w:type="dxa"/>
            <w:tcBorders>
              <w:left w:val="single" w:color="auto" w:sz="4" w:space="0"/>
            </w:tcBorders>
            <w:vAlign w:val="center"/>
          </w:tcPr>
          <w:p w14:paraId="18C1BECF">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少量</w:t>
            </w:r>
          </w:p>
        </w:tc>
        <w:tc>
          <w:tcPr>
            <w:tcW w:w="1009" w:type="dxa"/>
            <w:tcBorders>
              <w:right w:val="single" w:color="auto" w:sz="4" w:space="0"/>
            </w:tcBorders>
            <w:vAlign w:val="center"/>
          </w:tcPr>
          <w:p w14:paraId="4FCC26B9">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864" w:type="dxa"/>
            <w:tcBorders>
              <w:left w:val="single" w:color="auto" w:sz="4" w:space="0"/>
            </w:tcBorders>
            <w:vAlign w:val="center"/>
          </w:tcPr>
          <w:p w14:paraId="7E95426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862" w:type="dxa"/>
            <w:vAlign w:val="center"/>
          </w:tcPr>
          <w:p w14:paraId="1E3C7CE5">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864" w:type="dxa"/>
            <w:vAlign w:val="center"/>
          </w:tcPr>
          <w:p w14:paraId="33A2CBE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1069" w:type="dxa"/>
            <w:vAlign w:val="center"/>
          </w:tcPr>
          <w:p w14:paraId="68B47A96">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w:t>
            </w:r>
          </w:p>
        </w:tc>
        <w:tc>
          <w:tcPr>
            <w:tcW w:w="1030" w:type="dxa"/>
            <w:vAlign w:val="center"/>
          </w:tcPr>
          <w:p w14:paraId="3A3E10E6">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olor w:val="auto"/>
                <w:kern w:val="2"/>
                <w:sz w:val="21"/>
                <w:szCs w:val="21"/>
                <w:highlight w:val="none"/>
              </w:rPr>
              <w:t>少量</w:t>
            </w:r>
          </w:p>
        </w:tc>
        <w:tc>
          <w:tcPr>
            <w:tcW w:w="891" w:type="dxa"/>
            <w:vAlign w:val="center"/>
          </w:tcPr>
          <w:p w14:paraId="0A1925B1">
            <w:pPr>
              <w:keepNext/>
              <w:widowControl w:val="0"/>
              <w:adjustRightIn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olor w:val="auto"/>
                <w:kern w:val="2"/>
                <w:sz w:val="21"/>
                <w:szCs w:val="21"/>
                <w:highlight w:val="none"/>
              </w:rPr>
              <w:t>退役施工期</w:t>
            </w:r>
          </w:p>
        </w:tc>
      </w:tr>
    </w:tbl>
    <w:p w14:paraId="1826A922">
      <w:pPr>
        <w:pStyle w:val="149"/>
        <w:widowControl w:val="0"/>
        <w:spacing w:line="440" w:lineRule="exact"/>
        <w:ind w:firstLine="478"/>
        <w:jc w:val="both"/>
        <w:rPr>
          <w:rFonts w:ascii="Times New Roman" w:hAnsi="Times New Roman" w:eastAsiaTheme="minorEastAsia"/>
          <w:b/>
          <w:caps w:val="0"/>
          <w:smallCaps w:val="0"/>
          <w:color w:val="auto"/>
          <w:spacing w:val="0"/>
          <w:w w:val="100"/>
          <w:kern w:val="21"/>
          <w:position w:val="0"/>
          <w:highlight w:val="none"/>
        </w:rPr>
      </w:pPr>
      <w:r>
        <w:rPr>
          <w:rFonts w:ascii="Times New Roman" w:hAnsi="Times New Roman" w:eastAsiaTheme="minorEastAsia"/>
          <w:b/>
          <w:caps w:val="0"/>
          <w:smallCaps w:val="0"/>
          <w:color w:val="auto"/>
          <w:spacing w:val="0"/>
          <w:w w:val="100"/>
          <w:kern w:val="21"/>
          <w:position w:val="0"/>
          <w:highlight w:val="none"/>
        </w:rPr>
        <w:t>表</w:t>
      </w:r>
      <w:r>
        <w:rPr>
          <w:rFonts w:ascii="Times New Roman" w:hAnsi="Times New Roman" w:eastAsiaTheme="minorEastAsia"/>
          <w:b/>
          <w:caps w:val="0"/>
          <w:smallCaps w:val="0"/>
          <w:color w:val="auto"/>
          <w:spacing w:val="0"/>
          <w:w w:val="100"/>
          <w:position w:val="0"/>
          <w:highlight w:val="none"/>
        </w:rPr>
        <w:t>3.10-11</w:t>
      </w:r>
      <w:r>
        <w:rPr>
          <w:rFonts w:ascii="Times New Roman" w:hAnsi="Times New Roman" w:eastAsiaTheme="minorEastAsia"/>
          <w:b/>
          <w:caps w:val="0"/>
          <w:smallCaps w:val="0"/>
          <w:color w:val="auto"/>
          <w:spacing w:val="0"/>
          <w:w w:val="100"/>
          <w:kern w:val="21"/>
          <w:position w:val="0"/>
          <w:highlight w:val="none"/>
        </w:rPr>
        <w:t xml:space="preserve">   </w:t>
      </w:r>
      <w:r>
        <w:rPr>
          <w:rFonts w:ascii="Times New Roman" w:hAnsi="Times New Roman" w:eastAsiaTheme="minorEastAsia"/>
          <w:b/>
          <w:bCs/>
          <w:caps w:val="0"/>
          <w:smallCaps w:val="0"/>
          <w:color w:val="auto"/>
          <w:spacing w:val="0"/>
          <w:w w:val="100"/>
          <w:kern w:val="21"/>
          <w:position w:val="0"/>
          <w:highlight w:val="none"/>
        </w:rPr>
        <w:t>退役</w:t>
      </w:r>
      <w:r>
        <w:rPr>
          <w:rFonts w:ascii="Times New Roman" w:hAnsi="Times New Roman" w:eastAsiaTheme="minorEastAsia"/>
          <w:b/>
          <w:caps w:val="0"/>
          <w:smallCaps w:val="0"/>
          <w:color w:val="auto"/>
          <w:spacing w:val="0"/>
          <w:w w:val="100"/>
          <w:kern w:val="21"/>
          <w:position w:val="0"/>
          <w:highlight w:val="none"/>
        </w:rPr>
        <w:t>期</w:t>
      </w:r>
      <w:r>
        <w:rPr>
          <w:rFonts w:ascii="Times New Roman" w:hAnsi="Times New Roman" w:eastAsiaTheme="minorEastAsia"/>
          <w:b/>
          <w:bCs/>
          <w:caps w:val="0"/>
          <w:smallCaps w:val="0"/>
          <w:color w:val="auto"/>
          <w:spacing w:val="0"/>
          <w:w w:val="100"/>
          <w:position w:val="0"/>
          <w:highlight w:val="none"/>
        </w:rPr>
        <w:t>废水</w:t>
      </w:r>
      <w:r>
        <w:rPr>
          <w:rFonts w:ascii="Times New Roman" w:hAnsi="Times New Roman" w:eastAsiaTheme="minorEastAsia"/>
          <w:b/>
          <w:caps w:val="0"/>
          <w:smallCaps w:val="0"/>
          <w:color w:val="auto"/>
          <w:spacing w:val="0"/>
          <w:w w:val="100"/>
          <w:kern w:val="21"/>
          <w:position w:val="0"/>
          <w:highlight w:val="none"/>
        </w:rPr>
        <w:t>污染源源强核算结果及相关参数一览表</w:t>
      </w: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7"/>
        <w:gridCol w:w="719"/>
        <w:gridCol w:w="719"/>
        <w:gridCol w:w="719"/>
        <w:gridCol w:w="719"/>
        <w:gridCol w:w="1007"/>
        <w:gridCol w:w="1007"/>
        <w:gridCol w:w="722"/>
        <w:gridCol w:w="2885"/>
        <w:gridCol w:w="719"/>
        <w:gridCol w:w="865"/>
        <w:gridCol w:w="1007"/>
        <w:gridCol w:w="1009"/>
        <w:gridCol w:w="719"/>
        <w:gridCol w:w="683"/>
      </w:tblGrid>
      <w:tr w14:paraId="0F51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52" w:type="pct"/>
            <w:vMerge w:val="restart"/>
            <w:vAlign w:val="center"/>
          </w:tcPr>
          <w:p w14:paraId="4A9F6D07">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工序</w:t>
            </w:r>
          </w:p>
        </w:tc>
        <w:tc>
          <w:tcPr>
            <w:tcW w:w="252" w:type="pct"/>
            <w:vMerge w:val="restart"/>
            <w:vAlign w:val="center"/>
          </w:tcPr>
          <w:p w14:paraId="6687057F">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装置</w:t>
            </w:r>
          </w:p>
        </w:tc>
        <w:tc>
          <w:tcPr>
            <w:tcW w:w="252" w:type="pct"/>
            <w:vMerge w:val="restart"/>
            <w:vAlign w:val="center"/>
          </w:tcPr>
          <w:p w14:paraId="2B6F3363">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污染源</w:t>
            </w:r>
          </w:p>
        </w:tc>
        <w:tc>
          <w:tcPr>
            <w:tcW w:w="252" w:type="pct"/>
            <w:vMerge w:val="restart"/>
            <w:vAlign w:val="center"/>
          </w:tcPr>
          <w:p w14:paraId="165DBFC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污染物</w:t>
            </w:r>
          </w:p>
        </w:tc>
        <w:tc>
          <w:tcPr>
            <w:tcW w:w="1215" w:type="pct"/>
            <w:gridSpan w:val="4"/>
            <w:vAlign w:val="center"/>
          </w:tcPr>
          <w:p w14:paraId="04109ED1">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污染物产生</w:t>
            </w:r>
          </w:p>
        </w:tc>
        <w:tc>
          <w:tcPr>
            <w:tcW w:w="1267" w:type="pct"/>
            <w:gridSpan w:val="2"/>
            <w:vAlign w:val="center"/>
          </w:tcPr>
          <w:p w14:paraId="22186346">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治理措施</w:t>
            </w:r>
          </w:p>
        </w:tc>
        <w:tc>
          <w:tcPr>
            <w:tcW w:w="1266" w:type="pct"/>
            <w:gridSpan w:val="4"/>
            <w:vAlign w:val="center"/>
          </w:tcPr>
          <w:p w14:paraId="57632DC7">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污染物排放</w:t>
            </w:r>
          </w:p>
        </w:tc>
        <w:tc>
          <w:tcPr>
            <w:tcW w:w="240" w:type="pct"/>
            <w:vMerge w:val="restart"/>
            <w:vAlign w:val="center"/>
          </w:tcPr>
          <w:p w14:paraId="24AFF388">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排放时间</w:t>
            </w:r>
          </w:p>
        </w:tc>
      </w:tr>
      <w:tr w14:paraId="0FBBC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52" w:type="pct"/>
            <w:vMerge w:val="continue"/>
            <w:vAlign w:val="center"/>
          </w:tcPr>
          <w:p w14:paraId="0797F615">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2" w:type="pct"/>
            <w:vMerge w:val="continue"/>
            <w:vAlign w:val="center"/>
          </w:tcPr>
          <w:p w14:paraId="26B9A59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2" w:type="pct"/>
            <w:vMerge w:val="continue"/>
            <w:vAlign w:val="center"/>
          </w:tcPr>
          <w:p w14:paraId="1B33F601">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2" w:type="pct"/>
            <w:vMerge w:val="continue"/>
            <w:vAlign w:val="center"/>
          </w:tcPr>
          <w:p w14:paraId="63B99FFE">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2" w:type="pct"/>
            <w:vAlign w:val="center"/>
          </w:tcPr>
          <w:p w14:paraId="0DEBC6DC">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核算方法</w:t>
            </w:r>
          </w:p>
        </w:tc>
        <w:tc>
          <w:tcPr>
            <w:tcW w:w="354" w:type="pct"/>
            <w:vAlign w:val="center"/>
          </w:tcPr>
          <w:p w14:paraId="540CCC3B">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废水产生量m</w:t>
            </w:r>
            <w:r>
              <w:rPr>
                <w:rFonts w:ascii="Times New Roman" w:hAnsi="Times New Roman" w:cs="Times New Roman" w:eastAsiaTheme="minorEastAsia"/>
                <w:caps w:val="0"/>
                <w:smallCaps w:val="0"/>
                <w:color w:val="auto"/>
                <w:spacing w:val="0"/>
                <w:w w:val="100"/>
                <w:position w:val="0"/>
                <w:sz w:val="21"/>
                <w:szCs w:val="21"/>
                <w:highlight w:val="none"/>
                <w:vertAlign w:val="superscript"/>
              </w:rPr>
              <w:t>3</w:t>
            </w:r>
          </w:p>
        </w:tc>
        <w:tc>
          <w:tcPr>
            <w:tcW w:w="354" w:type="pct"/>
            <w:vAlign w:val="center"/>
          </w:tcPr>
          <w:p w14:paraId="567E45B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产生浓度mg/L</w:t>
            </w:r>
          </w:p>
        </w:tc>
        <w:tc>
          <w:tcPr>
            <w:tcW w:w="253" w:type="pct"/>
            <w:vAlign w:val="center"/>
          </w:tcPr>
          <w:p w14:paraId="40B1E25D">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产生量t</w:t>
            </w:r>
          </w:p>
        </w:tc>
        <w:tc>
          <w:tcPr>
            <w:tcW w:w="1014" w:type="pct"/>
            <w:vAlign w:val="center"/>
          </w:tcPr>
          <w:p w14:paraId="279D60AC">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工艺</w:t>
            </w:r>
          </w:p>
        </w:tc>
        <w:tc>
          <w:tcPr>
            <w:tcW w:w="252" w:type="pct"/>
            <w:vAlign w:val="center"/>
          </w:tcPr>
          <w:p w14:paraId="7CBC649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效率/%</w:t>
            </w:r>
          </w:p>
        </w:tc>
        <w:tc>
          <w:tcPr>
            <w:tcW w:w="304" w:type="pct"/>
            <w:vAlign w:val="center"/>
          </w:tcPr>
          <w:p w14:paraId="4E60535F">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核算方法</w:t>
            </w:r>
          </w:p>
        </w:tc>
        <w:tc>
          <w:tcPr>
            <w:tcW w:w="354" w:type="pct"/>
            <w:vAlign w:val="center"/>
          </w:tcPr>
          <w:p w14:paraId="07D1629B">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废水排放量m</w:t>
            </w:r>
            <w:r>
              <w:rPr>
                <w:rFonts w:ascii="Times New Roman" w:hAnsi="Times New Roman" w:cs="Times New Roman" w:eastAsiaTheme="minorEastAsia"/>
                <w:caps w:val="0"/>
                <w:smallCaps w:val="0"/>
                <w:color w:val="auto"/>
                <w:spacing w:val="0"/>
                <w:w w:val="100"/>
                <w:position w:val="0"/>
                <w:sz w:val="21"/>
                <w:szCs w:val="21"/>
                <w:highlight w:val="none"/>
                <w:vertAlign w:val="superscript"/>
              </w:rPr>
              <w:t>3</w:t>
            </w:r>
          </w:p>
        </w:tc>
        <w:tc>
          <w:tcPr>
            <w:tcW w:w="354" w:type="pct"/>
            <w:vAlign w:val="center"/>
          </w:tcPr>
          <w:p w14:paraId="21442952">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排放浓度mg/L</w:t>
            </w:r>
          </w:p>
        </w:tc>
        <w:tc>
          <w:tcPr>
            <w:tcW w:w="252" w:type="pct"/>
            <w:vAlign w:val="center"/>
          </w:tcPr>
          <w:p w14:paraId="2923E892">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排放量t</w:t>
            </w:r>
          </w:p>
        </w:tc>
        <w:tc>
          <w:tcPr>
            <w:tcW w:w="240" w:type="pct"/>
            <w:vMerge w:val="continue"/>
            <w:vAlign w:val="center"/>
          </w:tcPr>
          <w:p w14:paraId="6D1ED641">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r>
      <w:tr w14:paraId="7603E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252" w:type="pct"/>
            <w:vAlign w:val="center"/>
          </w:tcPr>
          <w:p w14:paraId="40646FB5">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退役管线清洗</w:t>
            </w:r>
          </w:p>
        </w:tc>
        <w:tc>
          <w:tcPr>
            <w:tcW w:w="252" w:type="pct"/>
            <w:vAlign w:val="center"/>
          </w:tcPr>
          <w:p w14:paraId="573C0BBD">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清洗</w:t>
            </w:r>
          </w:p>
        </w:tc>
        <w:tc>
          <w:tcPr>
            <w:tcW w:w="252" w:type="pct"/>
            <w:vAlign w:val="center"/>
          </w:tcPr>
          <w:p w14:paraId="60F106DB">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清洗废水</w:t>
            </w:r>
          </w:p>
        </w:tc>
        <w:tc>
          <w:tcPr>
            <w:tcW w:w="252" w:type="pct"/>
            <w:vAlign w:val="center"/>
          </w:tcPr>
          <w:p w14:paraId="2C1BB3A0">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bCs/>
                <w:snapToGrid w:val="0"/>
                <w:color w:val="auto"/>
                <w:sz w:val="21"/>
                <w:szCs w:val="21"/>
                <w:highlight w:val="none"/>
              </w:rPr>
              <w:t>石油类、SS</w:t>
            </w:r>
          </w:p>
        </w:tc>
        <w:tc>
          <w:tcPr>
            <w:tcW w:w="252" w:type="pct"/>
            <w:vAlign w:val="center"/>
          </w:tcPr>
          <w:p w14:paraId="7B79C911">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354" w:type="pct"/>
            <w:vAlign w:val="center"/>
          </w:tcPr>
          <w:p w14:paraId="54E8F795">
            <w:pPr>
              <w:widowControl w:val="0"/>
              <w:spacing w:line="360" w:lineRule="exact"/>
              <w:jc w:val="center"/>
              <w:rPr>
                <w:rFonts w:hint="default" w:ascii="Times New Roman" w:hAnsi="Times New Roman" w:cs="Times New Roman" w:eastAsiaTheme="minorEastAsia"/>
                <w:bCs/>
                <w:color w:val="auto"/>
                <w:kern w:val="21"/>
                <w:sz w:val="21"/>
                <w:szCs w:val="21"/>
                <w:highlight w:val="none"/>
                <w:lang w:val="en-US" w:eastAsia="zh-CN"/>
              </w:rPr>
            </w:pPr>
            <w:r>
              <w:rPr>
                <w:rFonts w:hint="eastAsia" w:ascii="Times New Roman" w:hAnsi="Times New Roman" w:cs="Times New Roman" w:eastAsiaTheme="minorEastAsia"/>
                <w:bCs/>
                <w:color w:val="auto"/>
                <w:kern w:val="21"/>
                <w:sz w:val="21"/>
                <w:szCs w:val="21"/>
                <w:highlight w:val="none"/>
                <w:lang w:val="en-US" w:eastAsia="zh-CN"/>
              </w:rPr>
              <w:t>281.9</w:t>
            </w:r>
          </w:p>
        </w:tc>
        <w:tc>
          <w:tcPr>
            <w:tcW w:w="354" w:type="pct"/>
            <w:vAlign w:val="center"/>
          </w:tcPr>
          <w:p w14:paraId="06C9E1B2">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w:t>
            </w:r>
          </w:p>
        </w:tc>
        <w:tc>
          <w:tcPr>
            <w:tcW w:w="253" w:type="pct"/>
            <w:vAlign w:val="center"/>
          </w:tcPr>
          <w:p w14:paraId="6FBF590F">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bCs/>
                <w:snapToGrid w:val="0"/>
                <w:color w:val="auto"/>
                <w:sz w:val="21"/>
                <w:szCs w:val="21"/>
                <w:highlight w:val="none"/>
              </w:rPr>
              <w:t>/</w:t>
            </w:r>
          </w:p>
        </w:tc>
        <w:tc>
          <w:tcPr>
            <w:tcW w:w="1014" w:type="pct"/>
            <w:vAlign w:val="center"/>
          </w:tcPr>
          <w:p w14:paraId="02BE065F">
            <w:pPr>
              <w:widowControl w:val="0"/>
              <w:spacing w:line="360" w:lineRule="exact"/>
              <w:jc w:val="center"/>
              <w:rPr>
                <w:rFonts w:ascii="Times New Roman" w:hAnsi="Times New Roman" w:cs="Times New Roman" w:eastAsiaTheme="minorEastAsia"/>
                <w:bCs/>
                <w:snapToGrid w:val="0"/>
                <w:color w:val="auto"/>
                <w:sz w:val="21"/>
                <w:szCs w:val="21"/>
                <w:highlight w:val="none"/>
              </w:rPr>
            </w:pPr>
            <w:r>
              <w:rPr>
                <w:rFonts w:ascii="Times New Roman" w:hAnsi="Times New Roman" w:cs="Times New Roman" w:eastAsiaTheme="minorEastAsia"/>
                <w:bCs/>
                <w:snapToGrid w:val="0"/>
                <w:color w:val="auto"/>
                <w:sz w:val="21"/>
                <w:szCs w:val="21"/>
                <w:highlight w:val="none"/>
              </w:rPr>
              <w:t>由罐车拉运至</w:t>
            </w:r>
            <w:r>
              <w:rPr>
                <w:rFonts w:hint="eastAsia" w:ascii="Times New Roman" w:hAnsi="Times New Roman" w:cs="Times New Roman" w:eastAsiaTheme="minorEastAsia"/>
                <w:bCs/>
                <w:snapToGrid w:val="0"/>
                <w:color w:val="auto"/>
                <w:sz w:val="21"/>
                <w:szCs w:val="21"/>
                <w:highlight w:val="none"/>
              </w:rPr>
              <w:t>卫一联含油污水深度处理站</w:t>
            </w:r>
            <w:r>
              <w:rPr>
                <w:rFonts w:ascii="Times New Roman" w:hAnsi="Times New Roman" w:cs="Times New Roman" w:eastAsiaTheme="minorEastAsia"/>
                <w:bCs/>
                <w:snapToGrid w:val="0"/>
                <w:color w:val="auto"/>
                <w:sz w:val="21"/>
                <w:szCs w:val="21"/>
                <w:highlight w:val="none"/>
              </w:rPr>
              <w:t>处理达标后回注油层</w:t>
            </w:r>
          </w:p>
        </w:tc>
        <w:tc>
          <w:tcPr>
            <w:tcW w:w="252" w:type="pct"/>
            <w:tcBorders>
              <w:bottom w:val="single" w:color="auto" w:sz="4" w:space="0"/>
            </w:tcBorders>
            <w:vAlign w:val="center"/>
          </w:tcPr>
          <w:p w14:paraId="60FEC8D3">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100</w:t>
            </w:r>
          </w:p>
        </w:tc>
        <w:tc>
          <w:tcPr>
            <w:tcW w:w="304" w:type="pct"/>
            <w:vAlign w:val="center"/>
          </w:tcPr>
          <w:p w14:paraId="375EE796">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354" w:type="pct"/>
            <w:vAlign w:val="center"/>
          </w:tcPr>
          <w:p w14:paraId="0C309AAC">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0</w:t>
            </w:r>
          </w:p>
        </w:tc>
        <w:tc>
          <w:tcPr>
            <w:tcW w:w="354" w:type="pct"/>
            <w:tcBorders>
              <w:bottom w:val="single" w:color="auto" w:sz="4" w:space="0"/>
            </w:tcBorders>
            <w:vAlign w:val="center"/>
          </w:tcPr>
          <w:p w14:paraId="4178023B">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0</w:t>
            </w:r>
          </w:p>
        </w:tc>
        <w:tc>
          <w:tcPr>
            <w:tcW w:w="252" w:type="pct"/>
            <w:tcBorders>
              <w:bottom w:val="single" w:color="auto" w:sz="4" w:space="0"/>
            </w:tcBorders>
            <w:vAlign w:val="center"/>
          </w:tcPr>
          <w:p w14:paraId="3EFD02BB">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0</w:t>
            </w:r>
          </w:p>
        </w:tc>
        <w:tc>
          <w:tcPr>
            <w:tcW w:w="240" w:type="pct"/>
            <w:vAlign w:val="center"/>
          </w:tcPr>
          <w:p w14:paraId="64F0BE19">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hint="eastAsia" w:ascii="Times New Roman" w:hAnsi="Times New Roman" w:cs="Times New Roman" w:eastAsiaTheme="minorEastAsia"/>
                <w:snapToGrid w:val="0"/>
                <w:color w:val="auto"/>
                <w:sz w:val="21"/>
                <w:szCs w:val="21"/>
                <w:highlight w:val="none"/>
              </w:rPr>
              <w:t>退役</w:t>
            </w:r>
            <w:r>
              <w:rPr>
                <w:rFonts w:ascii="Times New Roman" w:hAnsi="Times New Roman" w:cs="Times New Roman" w:eastAsiaTheme="minorEastAsia"/>
                <w:snapToGrid w:val="0"/>
                <w:color w:val="auto"/>
                <w:sz w:val="21"/>
                <w:szCs w:val="21"/>
                <w:highlight w:val="none"/>
              </w:rPr>
              <w:t>管线清洗期间</w:t>
            </w:r>
          </w:p>
        </w:tc>
      </w:tr>
      <w:tr w14:paraId="6FA76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252" w:type="pct"/>
            <w:vMerge w:val="restart"/>
            <w:vAlign w:val="center"/>
          </w:tcPr>
          <w:p w14:paraId="073F9402">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施工</w:t>
            </w:r>
          </w:p>
        </w:tc>
        <w:tc>
          <w:tcPr>
            <w:tcW w:w="252" w:type="pct"/>
            <w:vMerge w:val="restart"/>
            <w:vAlign w:val="center"/>
          </w:tcPr>
          <w:p w14:paraId="74ECC8AE">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生活</w:t>
            </w:r>
          </w:p>
        </w:tc>
        <w:tc>
          <w:tcPr>
            <w:tcW w:w="252" w:type="pct"/>
            <w:vMerge w:val="restart"/>
            <w:vAlign w:val="center"/>
          </w:tcPr>
          <w:p w14:paraId="51ECF918">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生活污水</w:t>
            </w:r>
          </w:p>
        </w:tc>
        <w:tc>
          <w:tcPr>
            <w:tcW w:w="252" w:type="pct"/>
            <w:vAlign w:val="center"/>
          </w:tcPr>
          <w:p w14:paraId="29AEED7A">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COD</w:t>
            </w:r>
          </w:p>
        </w:tc>
        <w:tc>
          <w:tcPr>
            <w:tcW w:w="252" w:type="pct"/>
            <w:vMerge w:val="restart"/>
            <w:vAlign w:val="center"/>
          </w:tcPr>
          <w:p w14:paraId="2C617BBB">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354" w:type="pct"/>
            <w:vMerge w:val="restart"/>
            <w:vAlign w:val="center"/>
          </w:tcPr>
          <w:p w14:paraId="484FB879">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25.6</w:t>
            </w:r>
          </w:p>
        </w:tc>
        <w:tc>
          <w:tcPr>
            <w:tcW w:w="354" w:type="pct"/>
            <w:vAlign w:val="center"/>
          </w:tcPr>
          <w:p w14:paraId="67D44BC1">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300</w:t>
            </w:r>
          </w:p>
        </w:tc>
        <w:tc>
          <w:tcPr>
            <w:tcW w:w="253" w:type="pct"/>
            <w:vAlign w:val="center"/>
          </w:tcPr>
          <w:p w14:paraId="3CEE7B7C">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0.0077</w:t>
            </w:r>
          </w:p>
        </w:tc>
        <w:tc>
          <w:tcPr>
            <w:tcW w:w="1014" w:type="pct"/>
            <w:vMerge w:val="restart"/>
            <w:vAlign w:val="center"/>
          </w:tcPr>
          <w:p w14:paraId="2C443024">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bCs/>
                <w:snapToGrid w:val="0"/>
                <w:color w:val="auto"/>
                <w:sz w:val="21"/>
                <w:szCs w:val="21"/>
                <w:highlight w:val="none"/>
              </w:rPr>
              <w:t>排入附近计量间或场站已建防渗旱厕，定期由</w:t>
            </w:r>
            <w:r>
              <w:rPr>
                <w:rFonts w:hint="eastAsia" w:ascii="Times New Roman" w:hAnsi="Times New Roman" w:cs="Times New Roman" w:eastAsiaTheme="minorEastAsia"/>
                <w:bCs/>
                <w:snapToGrid w:val="0"/>
                <w:color w:val="auto"/>
                <w:sz w:val="21"/>
                <w:szCs w:val="21"/>
                <w:highlight w:val="none"/>
                <w:lang w:eastAsia="zh-CN"/>
              </w:rPr>
              <w:t>安达市同昌油田工程有限公司拉运至大庆市净源环保科技有限公司进行处理</w:t>
            </w:r>
            <w:r>
              <w:rPr>
                <w:rFonts w:ascii="Times New Roman" w:hAnsi="Times New Roman" w:cs="Times New Roman" w:eastAsiaTheme="minorEastAsia"/>
                <w:bCs/>
                <w:snapToGrid w:val="0"/>
                <w:color w:val="auto"/>
                <w:sz w:val="21"/>
                <w:szCs w:val="21"/>
                <w:highlight w:val="none"/>
              </w:rPr>
              <w:t>。</w:t>
            </w:r>
          </w:p>
        </w:tc>
        <w:tc>
          <w:tcPr>
            <w:tcW w:w="252" w:type="pct"/>
            <w:tcBorders>
              <w:bottom w:val="single" w:color="auto" w:sz="4" w:space="0"/>
            </w:tcBorders>
            <w:vAlign w:val="center"/>
          </w:tcPr>
          <w:p w14:paraId="6D230A9D">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w:t>
            </w:r>
          </w:p>
        </w:tc>
        <w:tc>
          <w:tcPr>
            <w:tcW w:w="304" w:type="pct"/>
            <w:vMerge w:val="restart"/>
            <w:vAlign w:val="center"/>
          </w:tcPr>
          <w:p w14:paraId="0656769C">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类比法</w:t>
            </w:r>
          </w:p>
        </w:tc>
        <w:tc>
          <w:tcPr>
            <w:tcW w:w="354" w:type="pct"/>
            <w:vMerge w:val="restart"/>
            <w:vAlign w:val="center"/>
          </w:tcPr>
          <w:p w14:paraId="53B59717">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25.6</w:t>
            </w:r>
          </w:p>
        </w:tc>
        <w:tc>
          <w:tcPr>
            <w:tcW w:w="354" w:type="pct"/>
            <w:tcBorders>
              <w:bottom w:val="single" w:color="auto" w:sz="4" w:space="0"/>
            </w:tcBorders>
            <w:vAlign w:val="center"/>
          </w:tcPr>
          <w:p w14:paraId="7FF86D0D">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300</w:t>
            </w:r>
          </w:p>
        </w:tc>
        <w:tc>
          <w:tcPr>
            <w:tcW w:w="252" w:type="pct"/>
            <w:tcBorders>
              <w:bottom w:val="single" w:color="auto" w:sz="4" w:space="0"/>
            </w:tcBorders>
            <w:vAlign w:val="center"/>
          </w:tcPr>
          <w:p w14:paraId="6867DFAA">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0.0077</w:t>
            </w:r>
          </w:p>
        </w:tc>
        <w:tc>
          <w:tcPr>
            <w:tcW w:w="240" w:type="pct"/>
            <w:vMerge w:val="restart"/>
            <w:vAlign w:val="center"/>
          </w:tcPr>
          <w:p w14:paraId="56BEAF72">
            <w:pPr>
              <w:widowControl w:val="0"/>
              <w:spacing w:line="360" w:lineRule="exact"/>
              <w:jc w:val="center"/>
              <w:rPr>
                <w:rFonts w:ascii="Times New Roman" w:hAnsi="Times New Roman" w:cs="Times New Roman" w:eastAsiaTheme="minorEastAsia"/>
                <w:snapToGrid w:val="0"/>
                <w:color w:val="auto"/>
                <w:sz w:val="21"/>
                <w:szCs w:val="21"/>
                <w:highlight w:val="none"/>
              </w:rPr>
            </w:pPr>
            <w:r>
              <w:rPr>
                <w:rFonts w:ascii="Times New Roman" w:hAnsi="Times New Roman" w:cs="Times New Roman" w:eastAsiaTheme="minorEastAsia"/>
                <w:snapToGrid w:val="0"/>
                <w:color w:val="auto"/>
                <w:sz w:val="21"/>
                <w:szCs w:val="21"/>
                <w:highlight w:val="none"/>
              </w:rPr>
              <w:t>退役施工期</w:t>
            </w:r>
          </w:p>
        </w:tc>
      </w:tr>
      <w:tr w14:paraId="324C6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52" w:type="pct"/>
            <w:vMerge w:val="continue"/>
            <w:vAlign w:val="center"/>
          </w:tcPr>
          <w:p w14:paraId="22FDAE6F">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p>
        </w:tc>
        <w:tc>
          <w:tcPr>
            <w:tcW w:w="252" w:type="pct"/>
            <w:vMerge w:val="continue"/>
            <w:vAlign w:val="center"/>
          </w:tcPr>
          <w:p w14:paraId="71F66206">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p>
        </w:tc>
        <w:tc>
          <w:tcPr>
            <w:tcW w:w="252" w:type="pct"/>
            <w:vMerge w:val="continue"/>
            <w:vAlign w:val="center"/>
          </w:tcPr>
          <w:p w14:paraId="017D7E25">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p>
        </w:tc>
        <w:tc>
          <w:tcPr>
            <w:tcW w:w="252" w:type="pct"/>
            <w:vAlign w:val="center"/>
          </w:tcPr>
          <w:p w14:paraId="58E1DD77">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氨氮</w:t>
            </w:r>
          </w:p>
        </w:tc>
        <w:tc>
          <w:tcPr>
            <w:tcW w:w="252" w:type="pct"/>
            <w:vMerge w:val="continue"/>
            <w:vAlign w:val="center"/>
          </w:tcPr>
          <w:p w14:paraId="1FCF8B61">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p>
        </w:tc>
        <w:tc>
          <w:tcPr>
            <w:tcW w:w="354" w:type="pct"/>
            <w:vMerge w:val="continue"/>
            <w:vAlign w:val="center"/>
          </w:tcPr>
          <w:p w14:paraId="721093E0">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p>
        </w:tc>
        <w:tc>
          <w:tcPr>
            <w:tcW w:w="354" w:type="pct"/>
            <w:vAlign w:val="center"/>
          </w:tcPr>
          <w:p w14:paraId="1A032710">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30</w:t>
            </w:r>
          </w:p>
        </w:tc>
        <w:tc>
          <w:tcPr>
            <w:tcW w:w="253" w:type="pct"/>
            <w:vAlign w:val="center"/>
          </w:tcPr>
          <w:p w14:paraId="5703FCA6">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0.00077</w:t>
            </w:r>
          </w:p>
        </w:tc>
        <w:tc>
          <w:tcPr>
            <w:tcW w:w="1014" w:type="pct"/>
            <w:vMerge w:val="continue"/>
            <w:vAlign w:val="center"/>
          </w:tcPr>
          <w:p w14:paraId="55283FB9">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p>
        </w:tc>
        <w:tc>
          <w:tcPr>
            <w:tcW w:w="252" w:type="pct"/>
            <w:tcBorders>
              <w:top w:val="single" w:color="auto" w:sz="4" w:space="0"/>
            </w:tcBorders>
            <w:vAlign w:val="center"/>
          </w:tcPr>
          <w:p w14:paraId="6C95D65B">
            <w:pPr>
              <w:widowControl w:val="0"/>
              <w:spacing w:line="36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w:t>
            </w:r>
          </w:p>
        </w:tc>
        <w:tc>
          <w:tcPr>
            <w:tcW w:w="304" w:type="pct"/>
            <w:vMerge w:val="continue"/>
            <w:vAlign w:val="center"/>
          </w:tcPr>
          <w:p w14:paraId="66474041">
            <w:pPr>
              <w:widowControl w:val="0"/>
              <w:spacing w:line="360" w:lineRule="exact"/>
              <w:jc w:val="center"/>
              <w:rPr>
                <w:rFonts w:ascii="Times New Roman" w:hAnsi="Times New Roman" w:cs="Times New Roman" w:eastAsiaTheme="minorEastAsia"/>
                <w:color w:val="auto"/>
                <w:sz w:val="21"/>
                <w:szCs w:val="21"/>
                <w:highlight w:val="none"/>
              </w:rPr>
            </w:pPr>
          </w:p>
        </w:tc>
        <w:tc>
          <w:tcPr>
            <w:tcW w:w="354" w:type="pct"/>
            <w:vMerge w:val="continue"/>
            <w:vAlign w:val="center"/>
          </w:tcPr>
          <w:p w14:paraId="715AEF2B">
            <w:pPr>
              <w:widowControl w:val="0"/>
              <w:spacing w:line="360" w:lineRule="exact"/>
              <w:jc w:val="center"/>
              <w:rPr>
                <w:rFonts w:ascii="Times New Roman" w:hAnsi="Times New Roman" w:cs="Times New Roman" w:eastAsiaTheme="minorEastAsia"/>
                <w:color w:val="auto"/>
                <w:sz w:val="21"/>
                <w:szCs w:val="21"/>
                <w:highlight w:val="none"/>
              </w:rPr>
            </w:pPr>
          </w:p>
        </w:tc>
        <w:tc>
          <w:tcPr>
            <w:tcW w:w="354" w:type="pct"/>
            <w:tcBorders>
              <w:top w:val="single" w:color="auto" w:sz="4" w:space="0"/>
            </w:tcBorders>
            <w:vAlign w:val="center"/>
          </w:tcPr>
          <w:p w14:paraId="5674D62A">
            <w:pPr>
              <w:widowControl w:val="0"/>
              <w:spacing w:line="36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30</w:t>
            </w:r>
          </w:p>
        </w:tc>
        <w:tc>
          <w:tcPr>
            <w:tcW w:w="252" w:type="pct"/>
            <w:tcBorders>
              <w:top w:val="single" w:color="auto" w:sz="4" w:space="0"/>
            </w:tcBorders>
            <w:vAlign w:val="center"/>
          </w:tcPr>
          <w:p w14:paraId="49F54543">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0.00077</w:t>
            </w:r>
          </w:p>
        </w:tc>
        <w:tc>
          <w:tcPr>
            <w:tcW w:w="240" w:type="pct"/>
            <w:vMerge w:val="continue"/>
            <w:vAlign w:val="center"/>
          </w:tcPr>
          <w:p w14:paraId="749C1002">
            <w:pPr>
              <w:widowControl w:val="0"/>
              <w:adjustRightInd w:val="0"/>
              <w:snapToGrid w:val="0"/>
              <w:spacing w:line="360" w:lineRule="exact"/>
              <w:jc w:val="center"/>
              <w:rPr>
                <w:rFonts w:ascii="Times New Roman" w:hAnsi="Times New Roman" w:cs="Times New Roman" w:eastAsiaTheme="minorEastAsia"/>
                <w:color w:val="auto"/>
                <w:sz w:val="21"/>
                <w:szCs w:val="21"/>
                <w:highlight w:val="none"/>
              </w:rPr>
            </w:pPr>
          </w:p>
        </w:tc>
      </w:tr>
      <w:tr w14:paraId="7CA28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52" w:type="pct"/>
            <w:vMerge w:val="continue"/>
            <w:vAlign w:val="center"/>
          </w:tcPr>
          <w:p w14:paraId="34981185">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2" w:type="pct"/>
            <w:vMerge w:val="continue"/>
            <w:vAlign w:val="center"/>
          </w:tcPr>
          <w:p w14:paraId="5E1CFC72">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2" w:type="pct"/>
            <w:vMerge w:val="continue"/>
            <w:vAlign w:val="center"/>
          </w:tcPr>
          <w:p w14:paraId="719CC670">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2" w:type="pct"/>
            <w:vAlign w:val="center"/>
          </w:tcPr>
          <w:p w14:paraId="1B232026">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氨氮</w:t>
            </w:r>
          </w:p>
        </w:tc>
        <w:tc>
          <w:tcPr>
            <w:tcW w:w="252" w:type="pct"/>
            <w:vMerge w:val="continue"/>
            <w:vAlign w:val="center"/>
          </w:tcPr>
          <w:p w14:paraId="57ECD0DD">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354" w:type="pct"/>
            <w:vMerge w:val="continue"/>
            <w:vAlign w:val="center"/>
          </w:tcPr>
          <w:p w14:paraId="279CB80D">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354" w:type="pct"/>
            <w:vAlign w:val="center"/>
          </w:tcPr>
          <w:p w14:paraId="0397E7BD">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w:t>
            </w:r>
          </w:p>
        </w:tc>
        <w:tc>
          <w:tcPr>
            <w:tcW w:w="253" w:type="pct"/>
            <w:vAlign w:val="center"/>
          </w:tcPr>
          <w:p w14:paraId="3D6BE1FC">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0.00077</w:t>
            </w:r>
          </w:p>
        </w:tc>
        <w:tc>
          <w:tcPr>
            <w:tcW w:w="1014" w:type="pct"/>
            <w:vMerge w:val="continue"/>
            <w:vAlign w:val="center"/>
          </w:tcPr>
          <w:p w14:paraId="4D0C0D58">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252" w:type="pct"/>
            <w:tcBorders>
              <w:top w:val="single" w:color="auto" w:sz="4" w:space="0"/>
            </w:tcBorders>
            <w:vAlign w:val="center"/>
          </w:tcPr>
          <w:p w14:paraId="7C4EFCC5">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c>
          <w:tcPr>
            <w:tcW w:w="304" w:type="pct"/>
            <w:vMerge w:val="continue"/>
            <w:vAlign w:val="center"/>
          </w:tcPr>
          <w:p w14:paraId="1A792EA0">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354" w:type="pct"/>
            <w:vMerge w:val="continue"/>
            <w:vAlign w:val="center"/>
          </w:tcPr>
          <w:p w14:paraId="78CFE237">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354" w:type="pct"/>
            <w:tcBorders>
              <w:top w:val="single" w:color="auto" w:sz="4" w:space="0"/>
            </w:tcBorders>
            <w:vAlign w:val="center"/>
          </w:tcPr>
          <w:p w14:paraId="757461CE">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w:t>
            </w:r>
          </w:p>
        </w:tc>
        <w:tc>
          <w:tcPr>
            <w:tcW w:w="252" w:type="pct"/>
            <w:tcBorders>
              <w:top w:val="single" w:color="auto" w:sz="4" w:space="0"/>
            </w:tcBorders>
            <w:vAlign w:val="center"/>
          </w:tcPr>
          <w:p w14:paraId="1643FC81">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0.00077</w:t>
            </w:r>
          </w:p>
        </w:tc>
        <w:tc>
          <w:tcPr>
            <w:tcW w:w="240" w:type="pct"/>
            <w:vMerge w:val="continue"/>
            <w:vAlign w:val="center"/>
          </w:tcPr>
          <w:p w14:paraId="59B10DF6">
            <w:pPr>
              <w:widowControl w:val="0"/>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r>
    </w:tbl>
    <w:p w14:paraId="791FF97F">
      <w:pPr>
        <w:pStyle w:val="149"/>
        <w:widowControl w:val="0"/>
        <w:spacing w:line="440" w:lineRule="exact"/>
        <w:ind w:firstLine="478"/>
        <w:jc w:val="both"/>
        <w:rPr>
          <w:rFonts w:ascii="Times New Roman" w:hAnsi="Times New Roman" w:eastAsiaTheme="minorEastAsia"/>
          <w:b/>
          <w:caps w:val="0"/>
          <w:smallCaps w:val="0"/>
          <w:color w:val="auto"/>
          <w:spacing w:val="0"/>
          <w:w w:val="100"/>
          <w:kern w:val="2"/>
          <w:position w:val="0"/>
          <w:szCs w:val="20"/>
          <w:highlight w:val="none"/>
        </w:rPr>
      </w:pPr>
      <w:r>
        <w:rPr>
          <w:rFonts w:ascii="Times New Roman" w:hAnsi="Times New Roman" w:eastAsiaTheme="minorEastAsia"/>
          <w:b/>
          <w:caps w:val="0"/>
          <w:smallCaps w:val="0"/>
          <w:color w:val="auto"/>
          <w:spacing w:val="0"/>
          <w:w w:val="100"/>
          <w:kern w:val="2"/>
          <w:position w:val="0"/>
          <w:szCs w:val="20"/>
          <w:highlight w:val="none"/>
        </w:rPr>
        <w:t>表</w:t>
      </w:r>
      <w:r>
        <w:rPr>
          <w:rFonts w:ascii="Times New Roman" w:hAnsi="Times New Roman" w:eastAsiaTheme="minorEastAsia"/>
          <w:b/>
          <w:caps w:val="0"/>
          <w:smallCaps w:val="0"/>
          <w:color w:val="auto"/>
          <w:spacing w:val="0"/>
          <w:w w:val="100"/>
          <w:position w:val="0"/>
          <w:highlight w:val="none"/>
        </w:rPr>
        <w:t>3.10-12</w:t>
      </w:r>
      <w:r>
        <w:rPr>
          <w:rFonts w:ascii="Times New Roman" w:hAnsi="Times New Roman" w:eastAsiaTheme="minorEastAsia"/>
          <w:b/>
          <w:caps w:val="0"/>
          <w:smallCaps w:val="0"/>
          <w:color w:val="auto"/>
          <w:spacing w:val="0"/>
          <w:w w:val="100"/>
          <w:kern w:val="2"/>
          <w:position w:val="0"/>
          <w:szCs w:val="20"/>
          <w:highlight w:val="none"/>
        </w:rPr>
        <w:t xml:space="preserve">   </w:t>
      </w:r>
      <w:r>
        <w:rPr>
          <w:rFonts w:ascii="Times New Roman" w:hAnsi="Times New Roman" w:eastAsiaTheme="minorEastAsia"/>
          <w:b/>
          <w:bCs/>
          <w:caps w:val="0"/>
          <w:smallCaps w:val="0"/>
          <w:color w:val="auto"/>
          <w:spacing w:val="0"/>
          <w:w w:val="100"/>
          <w:kern w:val="2"/>
          <w:position w:val="0"/>
          <w:szCs w:val="20"/>
          <w:highlight w:val="none"/>
        </w:rPr>
        <w:t>退役</w:t>
      </w:r>
      <w:r>
        <w:rPr>
          <w:rFonts w:ascii="Times New Roman" w:hAnsi="Times New Roman" w:eastAsiaTheme="minorEastAsia"/>
          <w:b/>
          <w:caps w:val="0"/>
          <w:smallCaps w:val="0"/>
          <w:color w:val="auto"/>
          <w:spacing w:val="0"/>
          <w:w w:val="100"/>
          <w:kern w:val="2"/>
          <w:position w:val="0"/>
          <w:szCs w:val="20"/>
          <w:highlight w:val="none"/>
        </w:rPr>
        <w:t>期</w:t>
      </w:r>
      <w:r>
        <w:rPr>
          <w:rFonts w:ascii="Times New Roman" w:hAnsi="Times New Roman" w:eastAsiaTheme="minorEastAsia"/>
          <w:b/>
          <w:bCs/>
          <w:caps w:val="0"/>
          <w:smallCaps w:val="0"/>
          <w:color w:val="auto"/>
          <w:spacing w:val="0"/>
          <w:w w:val="100"/>
          <w:position w:val="0"/>
          <w:highlight w:val="none"/>
        </w:rPr>
        <w:t>噪声污染</w:t>
      </w:r>
      <w:r>
        <w:rPr>
          <w:rFonts w:ascii="Times New Roman" w:hAnsi="Times New Roman" w:eastAsiaTheme="minorEastAsia"/>
          <w:b/>
          <w:caps w:val="0"/>
          <w:smallCaps w:val="0"/>
          <w:color w:val="auto"/>
          <w:spacing w:val="0"/>
          <w:w w:val="100"/>
          <w:kern w:val="2"/>
          <w:position w:val="0"/>
          <w:szCs w:val="20"/>
          <w:highlight w:val="none"/>
        </w:rPr>
        <w:t>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11"/>
        <w:gridCol w:w="1043"/>
        <w:gridCol w:w="1152"/>
        <w:gridCol w:w="1729"/>
        <w:gridCol w:w="1439"/>
        <w:gridCol w:w="1729"/>
        <w:gridCol w:w="1129"/>
        <w:gridCol w:w="1112"/>
        <w:gridCol w:w="1075"/>
        <w:gridCol w:w="1729"/>
        <w:gridCol w:w="970"/>
      </w:tblGrid>
      <w:tr w14:paraId="777FA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restart"/>
            <w:vAlign w:val="center"/>
          </w:tcPr>
          <w:p w14:paraId="122DF6A6">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工序</w:t>
            </w:r>
          </w:p>
        </w:tc>
        <w:tc>
          <w:tcPr>
            <w:tcW w:w="367" w:type="pct"/>
            <w:vMerge w:val="restart"/>
            <w:vAlign w:val="center"/>
          </w:tcPr>
          <w:p w14:paraId="794DF5F0">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装置</w:t>
            </w:r>
          </w:p>
        </w:tc>
        <w:tc>
          <w:tcPr>
            <w:tcW w:w="405" w:type="pct"/>
            <w:vMerge w:val="restart"/>
            <w:vAlign w:val="center"/>
          </w:tcPr>
          <w:p w14:paraId="006A44E6">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噪声源</w:t>
            </w:r>
          </w:p>
        </w:tc>
        <w:tc>
          <w:tcPr>
            <w:tcW w:w="608" w:type="pct"/>
            <w:vMerge w:val="restart"/>
            <w:vAlign w:val="center"/>
          </w:tcPr>
          <w:p w14:paraId="6B8A647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声源类型（频发、偶发等）</w:t>
            </w:r>
          </w:p>
        </w:tc>
        <w:tc>
          <w:tcPr>
            <w:tcW w:w="1114" w:type="pct"/>
            <w:gridSpan w:val="2"/>
            <w:vAlign w:val="center"/>
          </w:tcPr>
          <w:p w14:paraId="51B5E89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噪声源强</w:t>
            </w:r>
          </w:p>
        </w:tc>
        <w:tc>
          <w:tcPr>
            <w:tcW w:w="788" w:type="pct"/>
            <w:gridSpan w:val="2"/>
            <w:vAlign w:val="center"/>
          </w:tcPr>
          <w:p w14:paraId="7D75ACE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降噪措施</w:t>
            </w:r>
          </w:p>
        </w:tc>
        <w:tc>
          <w:tcPr>
            <w:tcW w:w="986" w:type="pct"/>
            <w:gridSpan w:val="2"/>
            <w:vAlign w:val="center"/>
          </w:tcPr>
          <w:p w14:paraId="747BC82F">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噪声值排放</w:t>
            </w:r>
          </w:p>
        </w:tc>
        <w:tc>
          <w:tcPr>
            <w:tcW w:w="341" w:type="pct"/>
            <w:vMerge w:val="restart"/>
            <w:vAlign w:val="center"/>
          </w:tcPr>
          <w:p w14:paraId="0F99973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持续时间</w:t>
            </w:r>
          </w:p>
        </w:tc>
      </w:tr>
      <w:tr w14:paraId="35F44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428C30F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367" w:type="pct"/>
            <w:vMerge w:val="continue"/>
            <w:vAlign w:val="center"/>
          </w:tcPr>
          <w:p w14:paraId="2783169E">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405" w:type="pct"/>
            <w:vMerge w:val="continue"/>
            <w:vAlign w:val="center"/>
          </w:tcPr>
          <w:p w14:paraId="254CF06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608" w:type="pct"/>
            <w:vMerge w:val="continue"/>
            <w:vAlign w:val="center"/>
          </w:tcPr>
          <w:p w14:paraId="15A9645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506" w:type="pct"/>
            <w:vAlign w:val="center"/>
          </w:tcPr>
          <w:p w14:paraId="3CB9BD2D">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核算方法</w:t>
            </w:r>
          </w:p>
        </w:tc>
        <w:tc>
          <w:tcPr>
            <w:tcW w:w="608" w:type="pct"/>
            <w:vAlign w:val="center"/>
          </w:tcPr>
          <w:p w14:paraId="1003A84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噪声值/dB（A）</w:t>
            </w:r>
          </w:p>
        </w:tc>
        <w:tc>
          <w:tcPr>
            <w:tcW w:w="397" w:type="pct"/>
            <w:vAlign w:val="center"/>
          </w:tcPr>
          <w:p w14:paraId="2F2EEEA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工艺</w:t>
            </w:r>
          </w:p>
        </w:tc>
        <w:tc>
          <w:tcPr>
            <w:tcW w:w="391" w:type="pct"/>
            <w:vAlign w:val="center"/>
          </w:tcPr>
          <w:p w14:paraId="2B11D8A3">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降噪效果</w:t>
            </w:r>
          </w:p>
        </w:tc>
        <w:tc>
          <w:tcPr>
            <w:tcW w:w="378" w:type="pct"/>
            <w:vAlign w:val="center"/>
          </w:tcPr>
          <w:p w14:paraId="5A2A615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核算方法</w:t>
            </w:r>
          </w:p>
        </w:tc>
        <w:tc>
          <w:tcPr>
            <w:tcW w:w="608" w:type="pct"/>
            <w:vAlign w:val="center"/>
          </w:tcPr>
          <w:p w14:paraId="42F07F7B">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噪声值/dB（A）</w:t>
            </w:r>
          </w:p>
        </w:tc>
        <w:tc>
          <w:tcPr>
            <w:tcW w:w="341" w:type="pct"/>
            <w:vMerge w:val="continue"/>
            <w:vAlign w:val="center"/>
          </w:tcPr>
          <w:p w14:paraId="2BBE7E4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r>
      <w:tr w14:paraId="3BF59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restart"/>
            <w:vAlign w:val="center"/>
          </w:tcPr>
          <w:p w14:paraId="6D41696F">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退役管线施工</w:t>
            </w:r>
          </w:p>
        </w:tc>
        <w:tc>
          <w:tcPr>
            <w:tcW w:w="367" w:type="pct"/>
            <w:vMerge w:val="restart"/>
            <w:vAlign w:val="center"/>
          </w:tcPr>
          <w:p w14:paraId="1017CEEA">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施工机械</w:t>
            </w:r>
          </w:p>
        </w:tc>
        <w:tc>
          <w:tcPr>
            <w:tcW w:w="405" w:type="pct"/>
            <w:vAlign w:val="center"/>
          </w:tcPr>
          <w:p w14:paraId="36215BBF">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挖掘机</w:t>
            </w:r>
          </w:p>
        </w:tc>
        <w:tc>
          <w:tcPr>
            <w:tcW w:w="608" w:type="pct"/>
            <w:vAlign w:val="center"/>
          </w:tcPr>
          <w:p w14:paraId="12C2477C">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非连续稳态声源</w:t>
            </w:r>
          </w:p>
        </w:tc>
        <w:tc>
          <w:tcPr>
            <w:tcW w:w="506" w:type="pct"/>
            <w:vMerge w:val="restart"/>
            <w:vAlign w:val="center"/>
          </w:tcPr>
          <w:p w14:paraId="40D082B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类比法</w:t>
            </w:r>
          </w:p>
        </w:tc>
        <w:tc>
          <w:tcPr>
            <w:tcW w:w="608" w:type="pct"/>
            <w:vAlign w:val="center"/>
          </w:tcPr>
          <w:p w14:paraId="6BF8C960">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82～90</w:t>
            </w:r>
          </w:p>
        </w:tc>
        <w:tc>
          <w:tcPr>
            <w:tcW w:w="397" w:type="pct"/>
            <w:vMerge w:val="restart"/>
            <w:vAlign w:val="center"/>
          </w:tcPr>
          <w:p w14:paraId="790B105B">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 xml:space="preserve">定期维护和保养 </w:t>
            </w:r>
          </w:p>
        </w:tc>
        <w:tc>
          <w:tcPr>
            <w:tcW w:w="391" w:type="pct"/>
            <w:vAlign w:val="center"/>
          </w:tcPr>
          <w:p w14:paraId="0FF55A77">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w:t>
            </w:r>
          </w:p>
        </w:tc>
        <w:tc>
          <w:tcPr>
            <w:tcW w:w="378" w:type="pct"/>
            <w:vAlign w:val="center"/>
          </w:tcPr>
          <w:p w14:paraId="27834926">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类比法</w:t>
            </w:r>
          </w:p>
        </w:tc>
        <w:tc>
          <w:tcPr>
            <w:tcW w:w="608" w:type="pct"/>
            <w:vAlign w:val="center"/>
          </w:tcPr>
          <w:p w14:paraId="78B1D2CA">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82～90</w:t>
            </w:r>
          </w:p>
        </w:tc>
        <w:tc>
          <w:tcPr>
            <w:tcW w:w="341" w:type="pct"/>
            <w:vMerge w:val="restart"/>
            <w:vAlign w:val="center"/>
          </w:tcPr>
          <w:p w14:paraId="58E641D5">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退役施工期</w:t>
            </w:r>
          </w:p>
        </w:tc>
      </w:tr>
      <w:tr w14:paraId="32941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1F3A90EA">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367" w:type="pct"/>
            <w:vMerge w:val="continue"/>
            <w:vAlign w:val="center"/>
          </w:tcPr>
          <w:p w14:paraId="5314B6C6">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405" w:type="pct"/>
            <w:vAlign w:val="center"/>
          </w:tcPr>
          <w:p w14:paraId="353E78C9">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推土机</w:t>
            </w:r>
          </w:p>
        </w:tc>
        <w:tc>
          <w:tcPr>
            <w:tcW w:w="608" w:type="pct"/>
            <w:vAlign w:val="center"/>
          </w:tcPr>
          <w:p w14:paraId="605E78AA">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非连续稳态声源</w:t>
            </w:r>
          </w:p>
        </w:tc>
        <w:tc>
          <w:tcPr>
            <w:tcW w:w="506" w:type="pct"/>
            <w:vMerge w:val="continue"/>
            <w:vAlign w:val="center"/>
          </w:tcPr>
          <w:p w14:paraId="3B015D12">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608" w:type="pct"/>
            <w:vAlign w:val="center"/>
          </w:tcPr>
          <w:p w14:paraId="6BC2CA46">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83～88</w:t>
            </w:r>
          </w:p>
        </w:tc>
        <w:tc>
          <w:tcPr>
            <w:tcW w:w="397" w:type="pct"/>
            <w:vMerge w:val="continue"/>
            <w:vAlign w:val="center"/>
          </w:tcPr>
          <w:p w14:paraId="234E09E0">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c>
          <w:tcPr>
            <w:tcW w:w="391" w:type="pct"/>
            <w:vAlign w:val="center"/>
          </w:tcPr>
          <w:p w14:paraId="55E184A0">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w:t>
            </w:r>
          </w:p>
        </w:tc>
        <w:tc>
          <w:tcPr>
            <w:tcW w:w="378" w:type="pct"/>
            <w:vAlign w:val="center"/>
          </w:tcPr>
          <w:p w14:paraId="7079B254">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r>
              <w:rPr>
                <w:rFonts w:ascii="Times New Roman" w:hAnsi="Times New Roman" w:cs="Times New Roman" w:eastAsiaTheme="minorEastAsia"/>
                <w:caps w:val="0"/>
                <w:smallCaps w:val="0"/>
                <w:color w:val="auto"/>
                <w:spacing w:val="0"/>
                <w:w w:val="100"/>
                <w:kern w:val="2"/>
                <w:position w:val="0"/>
                <w:sz w:val="20"/>
                <w:szCs w:val="15"/>
                <w:highlight w:val="none"/>
              </w:rPr>
              <w:t>类比法</w:t>
            </w:r>
          </w:p>
        </w:tc>
        <w:tc>
          <w:tcPr>
            <w:tcW w:w="608" w:type="pct"/>
            <w:vAlign w:val="center"/>
          </w:tcPr>
          <w:p w14:paraId="264AF26F">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83～88</w:t>
            </w:r>
          </w:p>
        </w:tc>
        <w:tc>
          <w:tcPr>
            <w:tcW w:w="341" w:type="pct"/>
            <w:vMerge w:val="continue"/>
            <w:vAlign w:val="center"/>
          </w:tcPr>
          <w:p w14:paraId="2C1EE8AB">
            <w:pPr>
              <w:widowControl w:val="0"/>
              <w:adjustRightInd w:val="0"/>
              <w:spacing w:line="360" w:lineRule="exact"/>
              <w:jc w:val="center"/>
              <w:rPr>
                <w:rFonts w:ascii="Times New Roman" w:hAnsi="Times New Roman" w:cs="Times New Roman" w:eastAsiaTheme="minorEastAsia"/>
                <w:caps w:val="0"/>
                <w:smallCaps w:val="0"/>
                <w:color w:val="auto"/>
                <w:spacing w:val="0"/>
                <w:w w:val="100"/>
                <w:kern w:val="2"/>
                <w:position w:val="0"/>
                <w:sz w:val="20"/>
                <w:szCs w:val="15"/>
                <w:highlight w:val="none"/>
              </w:rPr>
            </w:pPr>
          </w:p>
        </w:tc>
      </w:tr>
    </w:tbl>
    <w:p w14:paraId="36EC416A">
      <w:pPr>
        <w:pStyle w:val="149"/>
        <w:widowControl w:val="0"/>
        <w:spacing w:line="440" w:lineRule="exact"/>
        <w:ind w:firstLine="478"/>
        <w:jc w:val="both"/>
        <w:rPr>
          <w:rFonts w:ascii="Times New Roman" w:hAnsi="Times New Roman" w:eastAsiaTheme="minorEastAsia"/>
          <w:b/>
          <w:caps w:val="0"/>
          <w:smallCaps w:val="0"/>
          <w:color w:val="auto"/>
          <w:spacing w:val="0"/>
          <w:w w:val="100"/>
          <w:kern w:val="2"/>
          <w:position w:val="0"/>
          <w:highlight w:val="none"/>
        </w:rPr>
      </w:pPr>
      <w:r>
        <w:rPr>
          <w:rFonts w:ascii="Times New Roman" w:hAnsi="Times New Roman" w:eastAsiaTheme="minorEastAsia"/>
          <w:b/>
          <w:caps w:val="0"/>
          <w:smallCaps w:val="0"/>
          <w:color w:val="auto"/>
          <w:spacing w:val="0"/>
          <w:w w:val="100"/>
          <w:kern w:val="2"/>
          <w:position w:val="0"/>
          <w:highlight w:val="none"/>
        </w:rPr>
        <w:t>表</w:t>
      </w:r>
      <w:r>
        <w:rPr>
          <w:rFonts w:ascii="Times New Roman" w:hAnsi="Times New Roman" w:eastAsiaTheme="minorEastAsia"/>
          <w:b/>
          <w:caps w:val="0"/>
          <w:smallCaps w:val="0"/>
          <w:color w:val="auto"/>
          <w:spacing w:val="0"/>
          <w:w w:val="100"/>
          <w:position w:val="0"/>
          <w:highlight w:val="none"/>
        </w:rPr>
        <w:t>3.10-13</w:t>
      </w:r>
      <w:r>
        <w:rPr>
          <w:rFonts w:ascii="Times New Roman" w:hAnsi="Times New Roman" w:eastAsiaTheme="minorEastAsia"/>
          <w:b/>
          <w:caps w:val="0"/>
          <w:smallCaps w:val="0"/>
          <w:color w:val="auto"/>
          <w:spacing w:val="0"/>
          <w:w w:val="100"/>
          <w:kern w:val="2"/>
          <w:position w:val="0"/>
          <w:highlight w:val="none"/>
        </w:rPr>
        <w:t xml:space="preserve">    </w:t>
      </w:r>
      <w:r>
        <w:rPr>
          <w:rFonts w:ascii="Times New Roman" w:hAnsi="Times New Roman" w:eastAsiaTheme="minorEastAsia"/>
          <w:b/>
          <w:bCs/>
          <w:caps w:val="0"/>
          <w:smallCaps w:val="0"/>
          <w:color w:val="auto"/>
          <w:spacing w:val="0"/>
          <w:w w:val="100"/>
          <w:position w:val="0"/>
          <w:highlight w:val="none"/>
        </w:rPr>
        <w:t>退役</w:t>
      </w:r>
      <w:r>
        <w:rPr>
          <w:rFonts w:ascii="Times New Roman" w:hAnsi="Times New Roman" w:eastAsiaTheme="minorEastAsia"/>
          <w:b/>
          <w:caps w:val="0"/>
          <w:smallCaps w:val="0"/>
          <w:color w:val="auto"/>
          <w:spacing w:val="0"/>
          <w:w w:val="100"/>
          <w:kern w:val="2"/>
          <w:position w:val="0"/>
          <w:highlight w:val="none"/>
        </w:rPr>
        <w:t>期固体废物污染源强核算结果表</w:t>
      </w:r>
    </w:p>
    <w:tbl>
      <w:tblPr>
        <w:tblStyle w:val="80"/>
        <w:tblW w:w="14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1528"/>
        <w:gridCol w:w="1134"/>
        <w:gridCol w:w="1276"/>
        <w:gridCol w:w="1276"/>
        <w:gridCol w:w="1559"/>
        <w:gridCol w:w="6352"/>
      </w:tblGrid>
      <w:tr w14:paraId="63A2F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3226718F">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工序</w:t>
            </w:r>
          </w:p>
        </w:tc>
        <w:tc>
          <w:tcPr>
            <w:tcW w:w="1528" w:type="dxa"/>
            <w:vMerge w:val="restart"/>
            <w:vAlign w:val="center"/>
          </w:tcPr>
          <w:p w14:paraId="6EC2E6B3">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固体废物名称</w:t>
            </w:r>
          </w:p>
        </w:tc>
        <w:tc>
          <w:tcPr>
            <w:tcW w:w="2410" w:type="dxa"/>
            <w:gridSpan w:val="2"/>
            <w:vAlign w:val="center"/>
          </w:tcPr>
          <w:p w14:paraId="21163F65">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产生情况</w:t>
            </w:r>
          </w:p>
        </w:tc>
        <w:tc>
          <w:tcPr>
            <w:tcW w:w="2835" w:type="dxa"/>
            <w:gridSpan w:val="2"/>
            <w:vAlign w:val="center"/>
          </w:tcPr>
          <w:p w14:paraId="0696B34D">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处置措施</w:t>
            </w:r>
          </w:p>
        </w:tc>
        <w:tc>
          <w:tcPr>
            <w:tcW w:w="6352" w:type="dxa"/>
            <w:vMerge w:val="restart"/>
            <w:vAlign w:val="center"/>
          </w:tcPr>
          <w:p w14:paraId="77A6E793">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最终排放去向</w:t>
            </w:r>
          </w:p>
        </w:tc>
      </w:tr>
      <w:tr w14:paraId="1690C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2B18A712">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528" w:type="dxa"/>
            <w:vMerge w:val="continue"/>
            <w:vAlign w:val="center"/>
          </w:tcPr>
          <w:p w14:paraId="36DFD66A">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134" w:type="dxa"/>
            <w:vAlign w:val="center"/>
          </w:tcPr>
          <w:p w14:paraId="4B429613">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核算方法</w:t>
            </w:r>
          </w:p>
        </w:tc>
        <w:tc>
          <w:tcPr>
            <w:tcW w:w="1276" w:type="dxa"/>
            <w:vAlign w:val="center"/>
          </w:tcPr>
          <w:p w14:paraId="320161FE">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产生量</w:t>
            </w:r>
          </w:p>
        </w:tc>
        <w:tc>
          <w:tcPr>
            <w:tcW w:w="1276" w:type="dxa"/>
            <w:vAlign w:val="center"/>
          </w:tcPr>
          <w:p w14:paraId="2DB56477">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工艺</w:t>
            </w:r>
          </w:p>
        </w:tc>
        <w:tc>
          <w:tcPr>
            <w:tcW w:w="1559" w:type="dxa"/>
            <w:vAlign w:val="center"/>
          </w:tcPr>
          <w:p w14:paraId="3C65BCE8">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处置量</w:t>
            </w:r>
          </w:p>
        </w:tc>
        <w:tc>
          <w:tcPr>
            <w:tcW w:w="6352" w:type="dxa"/>
            <w:vMerge w:val="continue"/>
            <w:vAlign w:val="center"/>
          </w:tcPr>
          <w:p w14:paraId="6520AAB4">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r>
      <w:tr w14:paraId="19AF7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3E1EA19B">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p>
        </w:tc>
        <w:tc>
          <w:tcPr>
            <w:tcW w:w="1528" w:type="dxa"/>
            <w:vAlign w:val="center"/>
          </w:tcPr>
          <w:p w14:paraId="2DF557DB">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生活垃圾</w:t>
            </w:r>
          </w:p>
        </w:tc>
        <w:tc>
          <w:tcPr>
            <w:tcW w:w="1134" w:type="dxa"/>
            <w:vAlign w:val="center"/>
          </w:tcPr>
          <w:p w14:paraId="4B640E01">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类比法</w:t>
            </w:r>
          </w:p>
        </w:tc>
        <w:tc>
          <w:tcPr>
            <w:tcW w:w="1276" w:type="dxa"/>
            <w:vAlign w:val="center"/>
          </w:tcPr>
          <w:p w14:paraId="128C38D9">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zh-CN"/>
              </w:rPr>
            </w:pPr>
            <w:r>
              <w:rPr>
                <w:rFonts w:ascii="Times New Roman" w:hAnsi="Times New Roman" w:cs="Times New Roman" w:eastAsiaTheme="minorEastAsia"/>
                <w:caps w:val="0"/>
                <w:smallCaps w:val="0"/>
                <w:color w:val="auto"/>
                <w:spacing w:val="0"/>
                <w:w w:val="100"/>
                <w:position w:val="0"/>
                <w:sz w:val="21"/>
                <w:szCs w:val="21"/>
                <w:highlight w:val="none"/>
              </w:rPr>
              <w:t>0.2t</w:t>
            </w:r>
          </w:p>
        </w:tc>
        <w:tc>
          <w:tcPr>
            <w:tcW w:w="1276" w:type="dxa"/>
            <w:vAlign w:val="center"/>
          </w:tcPr>
          <w:p w14:paraId="56A8248E">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无害化处理</w:t>
            </w:r>
          </w:p>
        </w:tc>
        <w:tc>
          <w:tcPr>
            <w:tcW w:w="1559" w:type="dxa"/>
            <w:vAlign w:val="center"/>
          </w:tcPr>
          <w:p w14:paraId="7EC248BF">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zh-CN"/>
              </w:rPr>
            </w:pPr>
            <w:r>
              <w:rPr>
                <w:rFonts w:ascii="Times New Roman" w:hAnsi="Times New Roman" w:cs="Times New Roman" w:eastAsiaTheme="minorEastAsia"/>
                <w:caps w:val="0"/>
                <w:smallCaps w:val="0"/>
                <w:color w:val="auto"/>
                <w:spacing w:val="0"/>
                <w:w w:val="100"/>
                <w:position w:val="0"/>
                <w:sz w:val="21"/>
                <w:szCs w:val="21"/>
                <w:highlight w:val="none"/>
              </w:rPr>
              <w:t>0.2t</w:t>
            </w:r>
          </w:p>
        </w:tc>
        <w:tc>
          <w:tcPr>
            <w:tcW w:w="6352" w:type="dxa"/>
            <w:vAlign w:val="center"/>
          </w:tcPr>
          <w:p w14:paraId="680F2416">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统一收集后拉运至安达市生活垃圾填埋场处理。</w:t>
            </w:r>
          </w:p>
        </w:tc>
      </w:tr>
    </w:tbl>
    <w:p w14:paraId="57CA28C1">
      <w:pPr>
        <w:rPr>
          <w:rFonts w:ascii="Times New Roman" w:hAnsi="Times New Roman" w:cs="Times New Roman" w:eastAsiaTheme="minorEastAsia"/>
          <w:caps w:val="0"/>
          <w:smallCaps w:val="0"/>
          <w:color w:val="auto"/>
          <w:spacing w:val="0"/>
          <w:w w:val="100"/>
          <w:position w:val="0"/>
          <w:szCs w:val="20"/>
          <w:highlight w:val="none"/>
        </w:rPr>
        <w:sectPr>
          <w:type w:val="nextColumn"/>
          <w:pgSz w:w="16838" w:h="11906" w:orient="landscape"/>
          <w:pgMar w:top="1418" w:right="1418" w:bottom="1418" w:left="1418" w:header="851" w:footer="992" w:gutter="0"/>
          <w:cols w:space="720" w:num="1"/>
          <w:docGrid w:linePitch="326" w:charSpace="0"/>
        </w:sectPr>
      </w:pPr>
    </w:p>
    <w:p w14:paraId="07915DDA">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564" w:name="_Toc161040854"/>
      <w:bookmarkStart w:id="565" w:name="_Toc86141951"/>
      <w:bookmarkStart w:id="566" w:name="_Toc70050204"/>
      <w:bookmarkStart w:id="567" w:name="_Toc78816480"/>
      <w:bookmarkStart w:id="568" w:name="_Toc80971397"/>
      <w:bookmarkStart w:id="569" w:name="_Toc196569738"/>
      <w:bookmarkStart w:id="570" w:name="_Toc67860155"/>
      <w:bookmarkStart w:id="571" w:name="_Toc401560716"/>
      <w:bookmarkStart w:id="572" w:name="_Toc187769962"/>
      <w:bookmarkStart w:id="573" w:name="_Toc326934136"/>
      <w:bookmarkStart w:id="574" w:name="_Toc110438493"/>
      <w:bookmarkStart w:id="575" w:name="_Toc83209497"/>
      <w:bookmarkStart w:id="576" w:name="_Toc303693581"/>
      <w:bookmarkStart w:id="577" w:name="_Toc298419504"/>
      <w:bookmarkStart w:id="578" w:name="_Toc84929252"/>
      <w:bookmarkStart w:id="579" w:name="_Toc306198592"/>
      <w:bookmarkStart w:id="580" w:name="_Toc161042136"/>
      <w:bookmarkStart w:id="581" w:name="_Toc80588275"/>
      <w:bookmarkStart w:id="582" w:name="_Toc85640776"/>
      <w:bookmarkStart w:id="583" w:name="_Toc76976266"/>
      <w:bookmarkStart w:id="584" w:name="_Toc77067678"/>
      <w:r>
        <w:rPr>
          <w:rFonts w:eastAsiaTheme="minorEastAsia"/>
          <w:b/>
          <w:caps w:val="0"/>
          <w:smallCaps w:val="0"/>
          <w:color w:val="auto"/>
          <w:spacing w:val="0"/>
          <w:w w:val="100"/>
          <w:kern w:val="2"/>
          <w:position w:val="0"/>
          <w:sz w:val="24"/>
          <w:szCs w:val="24"/>
          <w:highlight w:val="none"/>
        </w:rPr>
        <w:t>3.10.4污染物“三本帐”汇总</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1986AE75">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本项目施工期、退役期产生的各种污染物将随施工活动的结束而消失，管道运营期正常工况下不会产生污染物，因此本项目无需给出三本帐计算。</w:t>
      </w:r>
    </w:p>
    <w:p w14:paraId="599E046C">
      <w:pPr>
        <w:pStyle w:val="4"/>
        <w:keepNext w:val="0"/>
        <w:keepLines w:val="0"/>
        <w:widowControl w:val="0"/>
        <w:spacing w:line="440" w:lineRule="exact"/>
        <w:jc w:val="both"/>
        <w:rPr>
          <w:rFonts w:ascii="Times New Roman" w:hAnsi="Times New Roman"/>
          <w:b/>
          <w:caps w:val="0"/>
          <w:smallCaps w:val="0"/>
          <w:snapToGrid w:val="0"/>
          <w:color w:val="auto"/>
          <w:spacing w:val="0"/>
          <w:w w:val="100"/>
          <w:position w:val="0"/>
          <w:highlight w:val="none"/>
        </w:rPr>
      </w:pPr>
      <w:bookmarkStart w:id="585" w:name="_Toc62550103"/>
      <w:bookmarkStart w:id="586" w:name="_Toc74812351"/>
      <w:bookmarkStart w:id="587" w:name="_Toc219900389"/>
      <w:r>
        <w:rPr>
          <w:rFonts w:ascii="Times New Roman" w:hAnsi="Times New Roman"/>
          <w:b/>
          <w:caps w:val="0"/>
          <w:smallCaps w:val="0"/>
          <w:snapToGrid w:val="0"/>
          <w:color w:val="auto"/>
          <w:spacing w:val="0"/>
          <w:w w:val="100"/>
          <w:position w:val="0"/>
          <w:highlight w:val="none"/>
        </w:rPr>
        <w:t>3.11清洁生产分析</w:t>
      </w:r>
      <w:bookmarkEnd w:id="585"/>
      <w:bookmarkEnd w:id="586"/>
      <w:bookmarkEnd w:id="587"/>
    </w:p>
    <w:p w14:paraId="293D76C3">
      <w:pPr>
        <w:pStyle w:val="6"/>
        <w:keepNext w:val="0"/>
        <w:keepLines w:val="0"/>
        <w:widowControl w:val="0"/>
        <w:spacing w:line="440" w:lineRule="exact"/>
        <w:jc w:val="both"/>
        <w:rPr>
          <w:b/>
          <w:caps w:val="0"/>
          <w:smallCaps w:val="0"/>
          <w:color w:val="auto"/>
          <w:spacing w:val="0"/>
          <w:w w:val="100"/>
          <w:kern w:val="2"/>
          <w:position w:val="0"/>
          <w:sz w:val="24"/>
          <w:szCs w:val="24"/>
          <w:highlight w:val="none"/>
        </w:rPr>
      </w:pPr>
      <w:bookmarkStart w:id="588" w:name="_Toc83209500"/>
      <w:bookmarkStart w:id="589" w:name="_Toc76976269"/>
      <w:bookmarkStart w:id="590" w:name="_Toc77067681"/>
      <w:bookmarkStart w:id="591" w:name="_Toc84929255"/>
      <w:bookmarkStart w:id="592" w:name="_Toc85640779"/>
      <w:bookmarkStart w:id="593" w:name="_Toc80588278"/>
      <w:bookmarkStart w:id="594" w:name="_Toc78816483"/>
      <w:bookmarkStart w:id="595" w:name="_Toc110438495"/>
      <w:bookmarkStart w:id="596" w:name="_Toc80971400"/>
      <w:bookmarkStart w:id="597" w:name="_Toc86141954"/>
      <w:r>
        <w:rPr>
          <w:b/>
          <w:caps w:val="0"/>
          <w:smallCaps w:val="0"/>
          <w:color w:val="auto"/>
          <w:spacing w:val="0"/>
          <w:w w:val="100"/>
          <w:kern w:val="2"/>
          <w:position w:val="0"/>
          <w:sz w:val="24"/>
          <w:szCs w:val="24"/>
          <w:highlight w:val="none"/>
        </w:rPr>
        <w:t>3.11.1</w:t>
      </w:r>
      <w:bookmarkEnd w:id="588"/>
      <w:bookmarkEnd w:id="589"/>
      <w:bookmarkEnd w:id="590"/>
      <w:bookmarkEnd w:id="591"/>
      <w:bookmarkEnd w:id="592"/>
      <w:bookmarkEnd w:id="593"/>
      <w:bookmarkEnd w:id="594"/>
      <w:bookmarkEnd w:id="595"/>
      <w:bookmarkEnd w:id="596"/>
      <w:bookmarkEnd w:id="597"/>
      <w:r>
        <w:rPr>
          <w:b/>
          <w:caps w:val="0"/>
          <w:smallCaps w:val="0"/>
          <w:color w:val="auto"/>
          <w:spacing w:val="0"/>
          <w:w w:val="100"/>
          <w:kern w:val="2"/>
          <w:position w:val="0"/>
          <w:sz w:val="24"/>
          <w:szCs w:val="24"/>
          <w:highlight w:val="none"/>
        </w:rPr>
        <w:t>管线输送的清洁生产工艺</w:t>
      </w:r>
    </w:p>
    <w:p w14:paraId="594C5E16">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（1）优化布局</w:t>
      </w:r>
    </w:p>
    <w:p w14:paraId="644EC001">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本项目采取总体方案设计、总体布局，结合当地地形地貌特征，合理确定线路位置和走向，最大限度的减少工程建设投资。</w:t>
      </w:r>
    </w:p>
    <w:p w14:paraId="34AF1F9B">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（2）采用全密闭集输流程</w:t>
      </w:r>
    </w:p>
    <w:p w14:paraId="00446E9C">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本项目集输管线采用全密闭工艺流程输送，最大程度减少挥发性有机物产生。</w:t>
      </w:r>
    </w:p>
    <w:p w14:paraId="0D979E94">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（3）本项目在集输管线施工完成后立即进行植被恢复，可有效降低工程施工对环境的影响。</w:t>
      </w:r>
    </w:p>
    <w:p w14:paraId="551DCC64">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（4）本项目集输管线均采用无缝钢管，采用内外防腐的防护措施，防腐层均在工厂预制，不在现场施工。</w:t>
      </w:r>
    </w:p>
    <w:p w14:paraId="17362EA5">
      <w:pPr>
        <w:pStyle w:val="6"/>
        <w:keepNext w:val="0"/>
        <w:keepLines w:val="0"/>
        <w:widowControl w:val="0"/>
        <w:spacing w:line="440" w:lineRule="exact"/>
        <w:jc w:val="both"/>
        <w:rPr>
          <w:b/>
          <w:caps w:val="0"/>
          <w:smallCaps w:val="0"/>
          <w:color w:val="auto"/>
          <w:spacing w:val="0"/>
          <w:w w:val="100"/>
          <w:kern w:val="2"/>
          <w:position w:val="0"/>
          <w:sz w:val="24"/>
          <w:szCs w:val="24"/>
          <w:highlight w:val="none"/>
        </w:rPr>
      </w:pPr>
      <w:bookmarkStart w:id="598" w:name="_Toc110438497"/>
      <w:bookmarkStart w:id="599" w:name="_Toc85640781"/>
      <w:bookmarkStart w:id="600" w:name="_Toc86141956"/>
      <w:bookmarkStart w:id="601" w:name="_Toc76976271"/>
      <w:bookmarkStart w:id="602" w:name="_Toc80588280"/>
      <w:bookmarkStart w:id="603" w:name="_Toc77067683"/>
      <w:bookmarkStart w:id="604" w:name="_Toc78816485"/>
      <w:bookmarkStart w:id="605" w:name="_Toc83209502"/>
      <w:bookmarkStart w:id="606" w:name="_Toc80971402"/>
      <w:bookmarkStart w:id="607" w:name="_Toc84929257"/>
      <w:r>
        <w:rPr>
          <w:b/>
          <w:caps w:val="0"/>
          <w:smallCaps w:val="0"/>
          <w:color w:val="auto"/>
          <w:spacing w:val="0"/>
          <w:w w:val="100"/>
          <w:kern w:val="2"/>
          <w:position w:val="0"/>
          <w:sz w:val="24"/>
          <w:szCs w:val="24"/>
          <w:highlight w:val="none"/>
        </w:rPr>
        <w:t>3.11.2先进的环境管理</w:t>
      </w:r>
      <w:bookmarkEnd w:id="598"/>
      <w:bookmarkEnd w:id="599"/>
      <w:bookmarkEnd w:id="600"/>
      <w:bookmarkEnd w:id="601"/>
      <w:bookmarkEnd w:id="602"/>
      <w:bookmarkEnd w:id="603"/>
      <w:bookmarkEnd w:id="604"/>
      <w:bookmarkEnd w:id="605"/>
      <w:bookmarkEnd w:id="606"/>
      <w:bookmarkEnd w:id="607"/>
    </w:p>
    <w:p w14:paraId="11921D81">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本项目在实施过程中，积极推行HSE管理体系，对项目实施HSE管理，同时对全体员工进行相应的HSE培训，使职工自觉遵守HSE管理体系并积极保护其人身安全和周围环境，尽量减少直至杜绝环境污染事故的发生。</w:t>
      </w:r>
    </w:p>
    <w:p w14:paraId="0789B861">
      <w:pPr>
        <w:pStyle w:val="6"/>
        <w:keepNext w:val="0"/>
        <w:keepLines w:val="0"/>
        <w:widowControl w:val="0"/>
        <w:spacing w:line="440" w:lineRule="exact"/>
        <w:jc w:val="both"/>
        <w:rPr>
          <w:b/>
          <w:caps w:val="0"/>
          <w:smallCaps w:val="0"/>
          <w:color w:val="auto"/>
          <w:spacing w:val="0"/>
          <w:w w:val="100"/>
          <w:kern w:val="2"/>
          <w:position w:val="0"/>
          <w:sz w:val="24"/>
          <w:szCs w:val="24"/>
          <w:highlight w:val="none"/>
        </w:rPr>
      </w:pPr>
      <w:r>
        <w:rPr>
          <w:b/>
          <w:caps w:val="0"/>
          <w:smallCaps w:val="0"/>
          <w:color w:val="auto"/>
          <w:spacing w:val="0"/>
          <w:w w:val="100"/>
          <w:kern w:val="2"/>
          <w:position w:val="0"/>
          <w:sz w:val="24"/>
          <w:szCs w:val="24"/>
          <w:highlight w:val="none"/>
        </w:rPr>
        <w:t>3.11.3合理有效的污染物处置措施</w:t>
      </w:r>
    </w:p>
    <w:p w14:paraId="111B24DA">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本项目施工期产生的</w:t>
      </w:r>
      <w:r>
        <w:rPr>
          <w:rFonts w:ascii="Times New Roman" w:hAnsi="Times New Roman" w:cs="Times New Roman" w:eastAsiaTheme="minorEastAsia"/>
          <w:bCs/>
          <w:caps w:val="0"/>
          <w:smallCaps w:val="0"/>
          <w:color w:val="auto"/>
          <w:spacing w:val="0"/>
          <w:w w:val="100"/>
          <w:kern w:val="2"/>
          <w:position w:val="0"/>
          <w:highlight w:val="none"/>
        </w:rPr>
        <w:t>管线试压废水、</w:t>
      </w:r>
      <w:r>
        <w:rPr>
          <w:rFonts w:hint="eastAsia" w:ascii="Times New Roman" w:hAnsi="Times New Roman" w:cs="Times New Roman" w:eastAsiaTheme="minorEastAsia"/>
          <w:bCs/>
          <w:caps w:val="0"/>
          <w:smallCaps w:val="0"/>
          <w:color w:val="auto"/>
          <w:spacing w:val="0"/>
          <w:w w:val="100"/>
          <w:kern w:val="2"/>
          <w:position w:val="0"/>
          <w:highlight w:val="none"/>
          <w:lang w:val="en-US" w:eastAsia="zh-CN"/>
        </w:rPr>
        <w:t>废弃</w:t>
      </w:r>
      <w:r>
        <w:rPr>
          <w:rFonts w:ascii="Times New Roman" w:hAnsi="Times New Roman" w:cs="Times New Roman" w:eastAsiaTheme="minorEastAsia"/>
          <w:bCs/>
          <w:caps w:val="0"/>
          <w:smallCaps w:val="0"/>
          <w:color w:val="auto"/>
          <w:spacing w:val="0"/>
          <w:w w:val="100"/>
          <w:kern w:val="2"/>
          <w:position w:val="0"/>
          <w:highlight w:val="none"/>
        </w:rPr>
        <w:t>管线清洗废水</w:t>
      </w:r>
      <w:r>
        <w:rPr>
          <w:rFonts w:hint="eastAsia" w:ascii="Times New Roman" w:hAnsi="Times New Roman" w:cs="Times New Roman" w:eastAsiaTheme="minorEastAsia"/>
          <w:bCs/>
          <w:caps w:val="0"/>
          <w:smallCaps w:val="0"/>
          <w:color w:val="auto"/>
          <w:spacing w:val="0"/>
          <w:w w:val="100"/>
          <w:kern w:val="2"/>
          <w:position w:val="0"/>
          <w:highlight w:val="none"/>
          <w:lang w:val="en-US" w:eastAsia="zh-CN"/>
        </w:rPr>
        <w:t>由罐车拉运至</w:t>
      </w:r>
      <w:r>
        <w:rPr>
          <w:rFonts w:hint="eastAsia" w:ascii="Times New Roman" w:hAnsi="Times New Roman" w:eastAsiaTheme="minorEastAsia"/>
          <w:caps w:val="0"/>
          <w:smallCaps w:val="0"/>
          <w:color w:val="auto"/>
          <w:spacing w:val="0"/>
          <w:w w:val="100"/>
          <w:position w:val="0"/>
          <w:highlight w:val="none"/>
          <w:lang w:val="en-US" w:eastAsia="zh-CN"/>
        </w:rPr>
        <w:t>卫一联含油污水深度处理站</w:t>
      </w:r>
      <w:r>
        <w:rPr>
          <w:rFonts w:ascii="Times New Roman" w:hAnsi="Times New Roman" w:cs="Times New Roman" w:eastAsiaTheme="minorEastAsia"/>
          <w:bCs/>
          <w:caps w:val="0"/>
          <w:smallCaps w:val="0"/>
          <w:color w:val="auto"/>
          <w:spacing w:val="0"/>
          <w:w w:val="100"/>
          <w:kern w:val="2"/>
          <w:position w:val="0"/>
          <w:highlight w:val="none"/>
        </w:rPr>
        <w:t>处理满足《大庆油田地面工程建设设计规定》（Q/SYDQ0639-2015）及《碎屑岩油藏注水水质指标技术要求及分析方法》（SY/T5329-2022）限值要求后回注油层，不外排；施工期施工人员产生的生活污水排入附近</w:t>
      </w:r>
      <w:r>
        <w:rPr>
          <w:rFonts w:hint="eastAsia" w:ascii="Times New Roman" w:hAnsi="Times New Roman" w:cs="Times New Roman" w:eastAsiaTheme="minorEastAsia"/>
          <w:bCs/>
          <w:caps w:val="0"/>
          <w:smallCaps w:val="0"/>
          <w:color w:val="auto"/>
          <w:spacing w:val="0"/>
          <w:w w:val="100"/>
          <w:kern w:val="2"/>
          <w:position w:val="0"/>
          <w:highlight w:val="none"/>
          <w:lang w:val="en-US" w:eastAsia="zh-CN"/>
        </w:rPr>
        <w:t>阀组</w:t>
      </w:r>
      <w:r>
        <w:rPr>
          <w:rFonts w:ascii="Times New Roman" w:hAnsi="Times New Roman" w:cs="Times New Roman" w:eastAsiaTheme="minorEastAsia"/>
          <w:bCs/>
          <w:caps w:val="0"/>
          <w:smallCaps w:val="0"/>
          <w:color w:val="auto"/>
          <w:spacing w:val="0"/>
          <w:w w:val="100"/>
          <w:kern w:val="2"/>
          <w:position w:val="0"/>
          <w:highlight w:val="none"/>
        </w:rPr>
        <w:t>间或场站内已建防渗旱厕，定期</w:t>
      </w:r>
      <w:r>
        <w:rPr>
          <w:rFonts w:hint="eastAsia" w:ascii="Times New Roman" w:hAnsi="Times New Roman" w:cs="Times New Roman" w:eastAsiaTheme="minorEastAsia"/>
          <w:bCs/>
          <w:caps w:val="0"/>
          <w:smallCaps w:val="0"/>
          <w:color w:val="auto"/>
          <w:spacing w:val="0"/>
          <w:w w:val="100"/>
          <w:kern w:val="2"/>
          <w:position w:val="0"/>
          <w:highlight w:val="none"/>
          <w:lang w:eastAsia="zh-CN"/>
        </w:rPr>
        <w:t>由安达市同昌油田工程有限公司拉运至大庆市净源环保科技有限公司进行处理</w:t>
      </w:r>
      <w:r>
        <w:rPr>
          <w:rFonts w:ascii="Times New Roman" w:hAnsi="Times New Roman" w:cs="Times New Roman" w:eastAsiaTheme="minorEastAsia"/>
          <w:bCs/>
          <w:caps w:val="0"/>
          <w:smallCaps w:val="0"/>
          <w:color w:val="auto"/>
          <w:spacing w:val="0"/>
          <w:w w:val="100"/>
          <w:kern w:val="2"/>
          <w:position w:val="0"/>
          <w:highlight w:val="none"/>
        </w:rPr>
        <w:t>。项目施工废料采用收集桶回收，最大限度回收利用后，剩余废料拉运至第八采油厂工业固废填埋场处理；废弃泥浆排入施工场地的钢制泥浆槽中，定期拉运至大庆洁宇环保科技有限公司处理；</w:t>
      </w:r>
      <w:r>
        <w:rPr>
          <w:rFonts w:hint="eastAsia" w:ascii="Times New Roman" w:hAnsi="Times New Roman" w:cs="Times New Roman" w:eastAsiaTheme="minorEastAsia"/>
          <w:bCs/>
          <w:caps w:val="0"/>
          <w:smallCaps w:val="0"/>
          <w:color w:val="auto"/>
          <w:spacing w:val="0"/>
          <w:w w:val="100"/>
          <w:kern w:val="2"/>
          <w:position w:val="0"/>
          <w:highlight w:val="none"/>
        </w:rPr>
        <w:t>废防渗布采用收集桶回收，由施工单位安排拉运至第八采油厂工业固废填埋场处理</w:t>
      </w:r>
      <w:r>
        <w:rPr>
          <w:rFonts w:hint="eastAsia" w:ascii="Times New Roman" w:hAnsi="Times New Roman" w:cs="Times New Roman" w:eastAsiaTheme="minorEastAsia"/>
          <w:bCs/>
          <w:caps w:val="0"/>
          <w:smallCaps w:val="0"/>
          <w:color w:val="auto"/>
          <w:spacing w:val="0"/>
          <w:w w:val="100"/>
          <w:kern w:val="2"/>
          <w:position w:val="0"/>
          <w:highlight w:val="none"/>
          <w:lang w:eastAsia="zh-CN"/>
        </w:rPr>
        <w:t>；生活垃圾统一收集后拉运至安达市生活垃圾填埋场处理。</w:t>
      </w:r>
    </w:p>
    <w:p w14:paraId="74703437">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根据上述分析，本项目将清洁生产贯穿于设计、建设与生产的全过程，符合清洁生产要求。</w:t>
      </w:r>
    </w:p>
    <w:bookmarkEnd w:id="531"/>
    <w:p w14:paraId="2784306E">
      <w:pPr>
        <w:pStyle w:val="3"/>
        <w:widowControl w:val="0"/>
        <w:spacing w:before="180" w:after="180" w:line="500" w:lineRule="exact"/>
        <w:jc w:val="both"/>
        <w:rPr>
          <w:rFonts w:ascii="Times New Roman" w:hAnsi="Times New Roman" w:eastAsiaTheme="minorEastAsia"/>
          <w:b/>
          <w:caps w:val="0"/>
          <w:smallCaps w:val="0"/>
          <w:snapToGrid w:val="0"/>
          <w:color w:val="auto"/>
          <w:spacing w:val="0"/>
          <w:w w:val="100"/>
          <w:position w:val="0"/>
          <w:sz w:val="30"/>
          <w:szCs w:val="30"/>
          <w:highlight w:val="none"/>
        </w:rPr>
        <w:sectPr>
          <w:headerReference r:id="rId10" w:type="default"/>
          <w:pgSz w:w="11907" w:h="16840"/>
          <w:pgMar w:top="1418" w:right="1418" w:bottom="1418" w:left="1418" w:header="851" w:footer="425" w:gutter="0"/>
          <w:cols w:space="720" w:num="1"/>
          <w:docGrid w:linePitch="326" w:charSpace="0"/>
        </w:sectPr>
      </w:pPr>
      <w:bookmarkStart w:id="608" w:name="_Toc219900390"/>
      <w:bookmarkStart w:id="609" w:name="_Toc502736485"/>
    </w:p>
    <w:p w14:paraId="33A9B8E4">
      <w:pPr>
        <w:pStyle w:val="3"/>
        <w:widowControl w:val="0"/>
        <w:spacing w:before="180" w:after="180" w:line="500" w:lineRule="exact"/>
        <w:jc w:val="both"/>
        <w:rPr>
          <w:rFonts w:ascii="Times New Roman" w:hAnsi="Times New Roman" w:eastAsiaTheme="minorEastAsia"/>
          <w:b/>
          <w:caps w:val="0"/>
          <w:smallCaps w:val="0"/>
          <w:snapToGrid w:val="0"/>
          <w:color w:val="auto"/>
          <w:spacing w:val="0"/>
          <w:w w:val="100"/>
          <w:position w:val="0"/>
          <w:sz w:val="30"/>
          <w:szCs w:val="30"/>
          <w:highlight w:val="none"/>
        </w:rPr>
      </w:pPr>
      <w:r>
        <w:rPr>
          <w:rFonts w:ascii="Times New Roman" w:hAnsi="Times New Roman" w:eastAsiaTheme="minorEastAsia"/>
          <w:b/>
          <w:caps w:val="0"/>
          <w:smallCaps w:val="0"/>
          <w:snapToGrid w:val="0"/>
          <w:color w:val="auto"/>
          <w:spacing w:val="0"/>
          <w:w w:val="100"/>
          <w:position w:val="0"/>
          <w:sz w:val="30"/>
          <w:szCs w:val="30"/>
          <w:highlight w:val="none"/>
        </w:rPr>
        <w:t>4环境现状调查与评价</w:t>
      </w:r>
      <w:bookmarkEnd w:id="608"/>
      <w:bookmarkEnd w:id="609"/>
    </w:p>
    <w:p w14:paraId="280C1582">
      <w:pPr>
        <w:pStyle w:val="4"/>
        <w:keepNext w:val="0"/>
        <w:keepLines w:val="0"/>
        <w:widowControl w:val="0"/>
        <w:spacing w:before="120" w:after="120"/>
        <w:jc w:val="both"/>
        <w:rPr>
          <w:rFonts w:ascii="Times New Roman" w:hAnsi="Times New Roman" w:eastAsiaTheme="minorEastAsia"/>
          <w:b/>
          <w:caps w:val="0"/>
          <w:smallCaps w:val="0"/>
          <w:snapToGrid w:val="0"/>
          <w:color w:val="auto"/>
          <w:spacing w:val="0"/>
          <w:w w:val="100"/>
          <w:position w:val="0"/>
          <w:highlight w:val="none"/>
        </w:rPr>
      </w:pPr>
      <w:bookmarkStart w:id="610" w:name="_Toc475378598"/>
      <w:bookmarkStart w:id="611" w:name="_Toc502736486"/>
      <w:bookmarkStart w:id="612" w:name="_Toc219900391"/>
      <w:bookmarkStart w:id="613" w:name="_Toc472590896"/>
      <w:bookmarkStart w:id="614" w:name="_Toc127950100"/>
      <w:bookmarkStart w:id="615" w:name="_Toc472585619"/>
      <w:bookmarkStart w:id="616" w:name="_Toc255391947"/>
      <w:bookmarkStart w:id="617" w:name="_Toc296952023"/>
      <w:bookmarkStart w:id="618" w:name="_Toc101092159"/>
      <w:bookmarkStart w:id="619" w:name="_Toc449393546"/>
      <w:r>
        <w:rPr>
          <w:rFonts w:ascii="Times New Roman" w:hAnsi="Times New Roman" w:eastAsiaTheme="minorEastAsia"/>
          <w:b/>
          <w:caps w:val="0"/>
          <w:smallCaps w:val="0"/>
          <w:snapToGrid w:val="0"/>
          <w:color w:val="auto"/>
          <w:spacing w:val="0"/>
          <w:w w:val="100"/>
          <w:position w:val="0"/>
          <w:highlight w:val="none"/>
        </w:rPr>
        <w:t>4.1自然环境</w:t>
      </w:r>
      <w:bookmarkEnd w:id="610"/>
      <w:bookmarkEnd w:id="611"/>
      <w:r>
        <w:rPr>
          <w:rFonts w:ascii="Times New Roman" w:hAnsi="Times New Roman" w:eastAsiaTheme="minorEastAsia"/>
          <w:b/>
          <w:caps w:val="0"/>
          <w:smallCaps w:val="0"/>
          <w:snapToGrid w:val="0"/>
          <w:color w:val="auto"/>
          <w:spacing w:val="0"/>
          <w:w w:val="100"/>
          <w:position w:val="0"/>
          <w:highlight w:val="none"/>
        </w:rPr>
        <w:t>状况</w:t>
      </w:r>
      <w:bookmarkEnd w:id="612"/>
    </w:p>
    <w:bookmarkEnd w:id="613"/>
    <w:bookmarkEnd w:id="614"/>
    <w:bookmarkEnd w:id="615"/>
    <w:bookmarkEnd w:id="616"/>
    <w:bookmarkEnd w:id="617"/>
    <w:bookmarkEnd w:id="618"/>
    <w:bookmarkEnd w:id="619"/>
    <w:p w14:paraId="1A7C73D7">
      <w:pPr>
        <w:pStyle w:val="4"/>
        <w:keepNext w:val="0"/>
        <w:keepLines w:val="0"/>
        <w:widowControl w:val="0"/>
        <w:spacing w:before="120" w:after="120"/>
        <w:jc w:val="both"/>
        <w:rPr>
          <w:rFonts w:ascii="Times New Roman" w:hAnsi="Times New Roman" w:eastAsiaTheme="minorEastAsia"/>
          <w:b/>
          <w:snapToGrid w:val="0"/>
          <w:color w:val="auto"/>
          <w:highlight w:val="none"/>
        </w:rPr>
      </w:pPr>
      <w:bookmarkStart w:id="620" w:name="_Toc195661896"/>
      <w:bookmarkStart w:id="621" w:name="_Toc402352946"/>
      <w:bookmarkStart w:id="622" w:name="_Toc502736490"/>
      <w:bookmarkStart w:id="623" w:name="_Toc244329288"/>
      <w:bookmarkStart w:id="624" w:name="_Toc244330528"/>
      <w:bookmarkStart w:id="625" w:name="_Toc422224744"/>
      <w:bookmarkStart w:id="626" w:name="_Toc244330362"/>
      <w:r>
        <w:rPr>
          <w:rFonts w:ascii="Times New Roman" w:hAnsi="Times New Roman" w:eastAsiaTheme="minorEastAsia"/>
          <w:b/>
          <w:snapToGrid w:val="0"/>
          <w:color w:val="auto"/>
          <w:highlight w:val="none"/>
        </w:rPr>
        <w:t>4.1自然环境状况</w:t>
      </w:r>
      <w:bookmarkEnd w:id="620"/>
    </w:p>
    <w:p w14:paraId="3374BA60">
      <w:pPr>
        <w:pStyle w:val="6"/>
        <w:keepNext w:val="0"/>
        <w:keepLines w:val="0"/>
        <w:widowControl w:val="0"/>
        <w:spacing w:before="60" w:after="60"/>
        <w:jc w:val="both"/>
        <w:rPr>
          <w:rFonts w:eastAsiaTheme="minorEastAsia"/>
          <w:b/>
          <w:color w:val="auto"/>
          <w:kern w:val="2"/>
          <w:sz w:val="24"/>
          <w:szCs w:val="24"/>
          <w:highlight w:val="none"/>
        </w:rPr>
      </w:pPr>
      <w:bookmarkStart w:id="627" w:name="_Toc86141959"/>
      <w:bookmarkStart w:id="628" w:name="_Toc80588283"/>
      <w:bookmarkStart w:id="629" w:name="_Toc244329286"/>
      <w:bookmarkStart w:id="630" w:name="_Toc78816488"/>
      <w:bookmarkStart w:id="631" w:name="_Toc402352943"/>
      <w:bookmarkStart w:id="632" w:name="_Toc61597257"/>
      <w:bookmarkStart w:id="633" w:name="_Toc57976695"/>
      <w:bookmarkStart w:id="634" w:name="_Toc244330360"/>
      <w:bookmarkStart w:id="635" w:name="_Toc80971405"/>
      <w:bookmarkStart w:id="636" w:name="_Toc57203273"/>
      <w:bookmarkStart w:id="637" w:name="_Toc67860158"/>
      <w:bookmarkStart w:id="638" w:name="_Toc77067686"/>
      <w:bookmarkStart w:id="639" w:name="_Toc83209505"/>
      <w:bookmarkStart w:id="640" w:name="_Toc110438500"/>
      <w:bookmarkStart w:id="641" w:name="_Toc84929260"/>
      <w:bookmarkStart w:id="642" w:name="_Toc57707943"/>
      <w:bookmarkStart w:id="643" w:name="_Toc17898192"/>
      <w:bookmarkStart w:id="644" w:name="_Toc85640784"/>
      <w:bookmarkStart w:id="645" w:name="_Toc422224741"/>
      <w:bookmarkStart w:id="646" w:name="_Toc244330526"/>
      <w:bookmarkStart w:id="647" w:name="_Toc76976274"/>
      <w:bookmarkStart w:id="648" w:name="_Toc70050207"/>
      <w:r>
        <w:rPr>
          <w:rFonts w:eastAsiaTheme="minorEastAsia"/>
          <w:b/>
          <w:color w:val="auto"/>
          <w:kern w:val="2"/>
          <w:sz w:val="24"/>
          <w:szCs w:val="24"/>
          <w:highlight w:val="none"/>
        </w:rPr>
        <w:t>4.1.1地理位置</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201EC25A">
      <w:pPr>
        <w:widowControl w:val="0"/>
        <w:spacing w:line="500" w:lineRule="exact"/>
        <w:ind w:firstLine="480" w:firstLineChars="200"/>
        <w:jc w:val="both"/>
        <w:rPr>
          <w:rFonts w:ascii="Times New Roman" w:hAnsi="Times New Roman" w:cs="Times New Roman"/>
          <w:color w:val="auto"/>
          <w:highlight w:val="none"/>
        </w:rPr>
      </w:pPr>
      <w:r>
        <w:rPr>
          <w:rFonts w:ascii="Times New Roman" w:hAnsi="Times New Roman" w:cs="Times New Roman" w:eastAsiaTheme="minorEastAsia"/>
          <w:color w:val="auto"/>
          <w:highlight w:val="none"/>
        </w:rPr>
        <w:t>本项目位于绥化市安达市昌德镇</w:t>
      </w:r>
      <w:r>
        <w:rPr>
          <w:rFonts w:hint="eastAsia" w:ascii="Times New Roman" w:hAnsi="Times New Roman" w:cs="Times New Roman" w:eastAsiaTheme="minorEastAsia"/>
          <w:color w:val="auto"/>
          <w:highlight w:val="none"/>
          <w:lang w:val="en-US" w:eastAsia="zh-CN"/>
        </w:rPr>
        <w:t>境内</w:t>
      </w:r>
      <w:r>
        <w:rPr>
          <w:rFonts w:ascii="Times New Roman" w:hAnsi="Times New Roman" w:cs="Times New Roman" w:eastAsiaTheme="minorEastAsia"/>
          <w:color w:val="auto"/>
          <w:highlight w:val="none"/>
        </w:rPr>
        <w:t>，地理坐标为东经124°</w:t>
      </w:r>
      <w:r>
        <w:rPr>
          <w:rFonts w:hint="eastAsia" w:ascii="Times New Roman" w:hAnsi="Times New Roman" w:cs="Times New Roman" w:eastAsiaTheme="minorEastAsia"/>
          <w:color w:val="auto"/>
          <w:highlight w:val="none"/>
        </w:rPr>
        <w:t>5</w:t>
      </w:r>
      <w:r>
        <w:rPr>
          <w:rFonts w:hint="eastAsia" w:ascii="Times New Roman" w:hAnsi="Times New Roman" w:cs="Times New Roman" w:eastAsiaTheme="minorEastAsia"/>
          <w:color w:val="auto"/>
          <w:highlight w:val="none"/>
          <w:lang w:val="en-US" w:eastAsia="zh-CN"/>
        </w:rPr>
        <w:t>6</w:t>
      </w:r>
      <w:r>
        <w:rPr>
          <w:rFonts w:ascii="Times New Roman" w:hAnsi="Times New Roman" w:cs="Times New Roman" w:eastAsiaTheme="minorEastAsia"/>
          <w:color w:val="auto"/>
          <w:highlight w:val="none"/>
        </w:rPr>
        <w:t>'</w:t>
      </w:r>
      <w:r>
        <w:rPr>
          <w:rFonts w:hint="eastAsia" w:ascii="Times New Roman" w:hAnsi="Times New Roman" w:cs="Times New Roman" w:eastAsiaTheme="minorEastAsia"/>
          <w:color w:val="auto"/>
          <w:highlight w:val="none"/>
          <w:lang w:val="en-US" w:eastAsia="zh-CN"/>
        </w:rPr>
        <w:t>21.569</w:t>
      </w:r>
      <w:r>
        <w:rPr>
          <w:rFonts w:ascii="Times New Roman" w:hAnsi="Times New Roman" w:cs="Times New Roman" w:eastAsiaTheme="minorEastAsia"/>
          <w:color w:val="auto"/>
          <w:highlight w:val="none"/>
        </w:rPr>
        <w:t>"~ 12</w:t>
      </w:r>
      <w:r>
        <w:rPr>
          <w:rFonts w:hint="eastAsia" w:ascii="Times New Roman" w:hAnsi="Times New Roman" w:cs="Times New Roman" w:eastAsiaTheme="minorEastAsia"/>
          <w:color w:val="auto"/>
          <w:highlight w:val="none"/>
        </w:rPr>
        <w:t>5</w:t>
      </w:r>
      <w:r>
        <w:rPr>
          <w:rFonts w:ascii="Times New Roman" w:hAnsi="Times New Roman" w:cs="Times New Roman" w:eastAsiaTheme="minorEastAsia"/>
          <w:color w:val="auto"/>
          <w:highlight w:val="none"/>
        </w:rPr>
        <w:t>°</w:t>
      </w:r>
      <w:r>
        <w:rPr>
          <w:rFonts w:hint="eastAsia" w:ascii="Times New Roman" w:hAnsi="Times New Roman" w:cs="Times New Roman" w:eastAsiaTheme="minorEastAsia"/>
          <w:color w:val="auto"/>
          <w:highlight w:val="none"/>
          <w:lang w:val="en-US" w:eastAsia="zh-CN"/>
        </w:rPr>
        <w:t>2</w:t>
      </w:r>
      <w:r>
        <w:rPr>
          <w:rFonts w:ascii="Times New Roman" w:hAnsi="Times New Roman" w:cs="Times New Roman" w:eastAsiaTheme="minorEastAsia"/>
          <w:color w:val="auto"/>
          <w:highlight w:val="none"/>
        </w:rPr>
        <w:t>'</w:t>
      </w:r>
      <w:r>
        <w:rPr>
          <w:rFonts w:hint="eastAsia" w:ascii="Times New Roman" w:hAnsi="Times New Roman" w:cs="Times New Roman" w:eastAsiaTheme="minorEastAsia"/>
          <w:color w:val="auto"/>
          <w:highlight w:val="none"/>
          <w:lang w:val="en-US" w:eastAsia="zh-CN"/>
        </w:rPr>
        <w:t>42.254</w:t>
      </w:r>
      <w:r>
        <w:rPr>
          <w:rFonts w:ascii="Times New Roman" w:hAnsi="Times New Roman" w:cs="Times New Roman" w:eastAsiaTheme="minorEastAsia"/>
          <w:color w:val="auto"/>
          <w:highlight w:val="none"/>
        </w:rPr>
        <w:t>"，北纬46°</w:t>
      </w:r>
      <w:r>
        <w:rPr>
          <w:rFonts w:hint="eastAsia" w:ascii="Times New Roman" w:hAnsi="Times New Roman" w:cs="Times New Roman" w:eastAsiaTheme="minorEastAsia"/>
          <w:color w:val="auto"/>
          <w:highlight w:val="none"/>
          <w:lang w:val="en-US" w:eastAsia="zh-CN"/>
        </w:rPr>
        <w:t>7</w:t>
      </w:r>
      <w:r>
        <w:rPr>
          <w:rFonts w:ascii="Times New Roman" w:hAnsi="Times New Roman" w:cs="Times New Roman" w:eastAsiaTheme="minorEastAsia"/>
          <w:color w:val="auto"/>
          <w:highlight w:val="none"/>
        </w:rPr>
        <w:t>'</w:t>
      </w:r>
      <w:r>
        <w:rPr>
          <w:rFonts w:hint="eastAsia" w:ascii="Times New Roman" w:hAnsi="Times New Roman" w:cs="Times New Roman" w:eastAsiaTheme="minorEastAsia"/>
          <w:color w:val="auto"/>
          <w:highlight w:val="none"/>
          <w:lang w:val="en-US" w:eastAsia="zh-CN"/>
        </w:rPr>
        <w:t>57.512</w:t>
      </w:r>
      <w:r>
        <w:rPr>
          <w:rFonts w:ascii="Times New Roman" w:hAnsi="Times New Roman" w:cs="Times New Roman" w:eastAsiaTheme="minorEastAsia"/>
          <w:color w:val="auto"/>
          <w:highlight w:val="none"/>
        </w:rPr>
        <w:t xml:space="preserve">" ~ </w:t>
      </w:r>
      <w:bookmarkStart w:id="649" w:name="OLE_LINK24"/>
      <w:bookmarkStart w:id="650" w:name="OLE_LINK23"/>
      <w:r>
        <w:rPr>
          <w:rFonts w:ascii="Times New Roman" w:hAnsi="Times New Roman" w:cs="Times New Roman" w:eastAsiaTheme="minorEastAsia"/>
          <w:color w:val="auto"/>
          <w:highlight w:val="none"/>
        </w:rPr>
        <w:t>46°1</w:t>
      </w:r>
      <w:r>
        <w:rPr>
          <w:rFonts w:hint="eastAsia" w:ascii="Times New Roman" w:hAnsi="Times New Roman" w:cs="Times New Roman" w:eastAsiaTheme="minorEastAsia"/>
          <w:color w:val="auto"/>
          <w:highlight w:val="none"/>
          <w:lang w:val="en-US" w:eastAsia="zh-CN"/>
        </w:rPr>
        <w:t>0</w:t>
      </w:r>
      <w:r>
        <w:rPr>
          <w:rFonts w:ascii="Times New Roman" w:hAnsi="Times New Roman" w:cs="Times New Roman" w:eastAsiaTheme="minorEastAsia"/>
          <w:color w:val="auto"/>
          <w:highlight w:val="none"/>
        </w:rPr>
        <w:t>'</w:t>
      </w:r>
      <w:r>
        <w:rPr>
          <w:rFonts w:hint="eastAsia" w:ascii="Times New Roman" w:hAnsi="Times New Roman" w:cs="Times New Roman" w:eastAsiaTheme="minorEastAsia"/>
          <w:color w:val="auto"/>
          <w:highlight w:val="none"/>
          <w:lang w:val="en-US" w:eastAsia="zh-CN"/>
        </w:rPr>
        <w:t>6.042</w:t>
      </w:r>
      <w:r>
        <w:rPr>
          <w:rFonts w:ascii="Times New Roman" w:hAnsi="Times New Roman" w:cs="Times New Roman" w:eastAsiaTheme="minorEastAsia"/>
          <w:color w:val="auto"/>
          <w:highlight w:val="none"/>
        </w:rPr>
        <w:t>"</w:t>
      </w:r>
      <w:bookmarkEnd w:id="649"/>
      <w:bookmarkEnd w:id="650"/>
      <w:r>
        <w:rPr>
          <w:rFonts w:ascii="Times New Roman" w:hAnsi="Times New Roman" w:cs="Times New Roman" w:eastAsiaTheme="minorEastAsia"/>
          <w:color w:val="auto"/>
          <w:highlight w:val="none"/>
        </w:rPr>
        <w:t>。</w:t>
      </w:r>
      <w:r>
        <w:rPr>
          <w:rFonts w:ascii="Times New Roman" w:hAnsi="Times New Roman" w:cs="Times New Roman"/>
          <w:color w:val="auto"/>
          <w:highlight w:val="none"/>
        </w:rPr>
        <w:t>本项目地理位置见附图1。</w:t>
      </w:r>
    </w:p>
    <w:p w14:paraId="5712C97D">
      <w:pPr>
        <w:pStyle w:val="6"/>
        <w:keepNext w:val="0"/>
        <w:keepLines w:val="0"/>
        <w:widowControl w:val="0"/>
        <w:spacing w:before="60" w:after="60" w:line="440" w:lineRule="exact"/>
        <w:jc w:val="both"/>
        <w:rPr>
          <w:rFonts w:eastAsia="宋体"/>
          <w:b/>
          <w:color w:val="auto"/>
          <w:kern w:val="2"/>
          <w:sz w:val="24"/>
          <w:szCs w:val="24"/>
          <w:highlight w:val="none"/>
        </w:rPr>
      </w:pPr>
      <w:bookmarkStart w:id="651" w:name="_Toc186444312"/>
      <w:r>
        <w:rPr>
          <w:rFonts w:eastAsia="宋体"/>
          <w:b/>
          <w:color w:val="auto"/>
          <w:kern w:val="2"/>
          <w:sz w:val="24"/>
          <w:szCs w:val="24"/>
          <w:highlight w:val="none"/>
        </w:rPr>
        <w:t>4.1.2地形地貌</w:t>
      </w:r>
      <w:bookmarkEnd w:id="651"/>
    </w:p>
    <w:p w14:paraId="06C8B59A">
      <w:pPr>
        <w:spacing w:line="440" w:lineRule="exact"/>
        <w:ind w:firstLine="480" w:firstLineChars="200"/>
        <w:rPr>
          <w:rFonts w:ascii="Times New Roman" w:hAnsi="Times New Roman" w:cs="Times New Roman"/>
          <w:color w:val="auto"/>
          <w:highlight w:val="none"/>
        </w:rPr>
      </w:pPr>
      <w:r>
        <w:rPr>
          <w:rFonts w:ascii="Times New Roman" w:hAnsi="Times New Roman" w:cs="Times New Roman"/>
          <w:bCs/>
          <w:color w:val="auto"/>
          <w:highlight w:val="none"/>
        </w:rPr>
        <w:t>建设项目所在地区位于松嫩平原中部，地处松嫩断陷中央凹陷的东部与东部隆起的西部，境内无江无河，自然泡沼众多。地势平缓，稍有起伏，自西南向东北略微倾斜，最大高差在3m左右，区域内平均海拔高度在118m-220m之间。区域内分布为剥蚀堆积台地及堆积的平原。其中剥蚀堆积台地多分布在东北部，分岗阜状起伏台地和缓倾斜台地。分岗阜状起伏台地地面起伏较大，上部由第四系松散堆积物覆盖。缓倾斜台地台面起伏微弱，与西部的低平原缓坡相连，上部由第四系松散堆积物覆盖。堆积的平原分布在西部和南部大部分区域，地势平坦，上部由第四系松散堆积物覆盖</w:t>
      </w:r>
      <w:r>
        <w:rPr>
          <w:rFonts w:ascii="Times New Roman" w:hAnsi="Times New Roman" w:cs="Times New Roman"/>
          <w:color w:val="auto"/>
          <w:highlight w:val="none"/>
        </w:rPr>
        <w:t>。</w:t>
      </w:r>
    </w:p>
    <w:p w14:paraId="5CEB8BB7">
      <w:pPr>
        <w:pStyle w:val="6"/>
        <w:keepNext w:val="0"/>
        <w:keepLines w:val="0"/>
        <w:widowControl w:val="0"/>
        <w:spacing w:before="60" w:after="60" w:line="440" w:lineRule="exact"/>
        <w:jc w:val="both"/>
        <w:rPr>
          <w:rFonts w:eastAsia="宋体"/>
          <w:b/>
          <w:color w:val="auto"/>
          <w:kern w:val="2"/>
          <w:sz w:val="24"/>
          <w:szCs w:val="24"/>
          <w:highlight w:val="none"/>
        </w:rPr>
      </w:pPr>
      <w:bookmarkStart w:id="652" w:name="_Toc186444313"/>
      <w:r>
        <w:rPr>
          <w:rFonts w:eastAsia="宋体"/>
          <w:b/>
          <w:color w:val="auto"/>
          <w:kern w:val="2"/>
          <w:sz w:val="24"/>
          <w:szCs w:val="24"/>
          <w:highlight w:val="none"/>
        </w:rPr>
        <w:t>4.1.3 气象特征</w:t>
      </w:r>
      <w:bookmarkEnd w:id="652"/>
    </w:p>
    <w:p w14:paraId="4ACD0F52">
      <w:pPr>
        <w:widowControl w:val="0"/>
        <w:spacing w:line="440" w:lineRule="exact"/>
        <w:ind w:firstLine="480" w:firstLineChars="200"/>
        <w:jc w:val="both"/>
        <w:rPr>
          <w:rFonts w:ascii="Times New Roman" w:hAnsi="Times New Roman" w:cs="Times New Roman" w:eastAsiaTheme="minorEastAsia"/>
          <w:color w:val="auto"/>
          <w:highlight w:val="none"/>
        </w:rPr>
      </w:pPr>
      <w:bookmarkStart w:id="653" w:name="_Toc143099605"/>
      <w:bookmarkStart w:id="654" w:name="_Toc186444314"/>
      <w:r>
        <w:rPr>
          <w:rFonts w:ascii="Times New Roman" w:hAnsi="Times New Roman" w:cs="Times New Roman" w:eastAsiaTheme="minorEastAsia"/>
          <w:color w:val="auto"/>
          <w:highlight w:val="none"/>
          <w:lang w:bidi="zh-CN"/>
        </w:rPr>
        <w:t>本工程所在区域属于半湿润温带大陆性季风气候，冬季受蒙古西北气流控制及东部鄂霍次克寒流影响，因此冬季漫长、寒冷而干燥。夏季多受太平洋西伸北跃西南气流的影响，炎热多雨。春秋两季短促，多风且干燥。极端最低温度-36.2℃，极端最高温度为38.9℃，年平均气温5.2℃，最大冻土深度为1.85m，结冰期176天左右。年平均降水量为513.6mm左右，年平均蒸发量1491.6mm，最大积雪深度18cm，年日照时长2470.3h，年平均相对湿度约60.7%。区域内夏季盛行西南风，冬季盛行</w:t>
      </w:r>
      <w:r>
        <w:rPr>
          <w:rFonts w:hint="eastAsia" w:ascii="Times New Roman" w:hAnsi="Times New Roman" w:cs="Times New Roman" w:eastAsiaTheme="minorEastAsia"/>
          <w:color w:val="auto"/>
          <w:highlight w:val="none"/>
          <w:lang w:bidi="zh-CN"/>
        </w:rPr>
        <w:t>西北风</w:t>
      </w:r>
      <w:r>
        <w:rPr>
          <w:rFonts w:ascii="Times New Roman" w:hAnsi="Times New Roman" w:cs="Times New Roman" w:eastAsiaTheme="minorEastAsia"/>
          <w:color w:val="auto"/>
          <w:highlight w:val="none"/>
          <w:lang w:bidi="zh-CN"/>
        </w:rPr>
        <w:t>，年平均风速为3.1m/s</w:t>
      </w:r>
      <w:r>
        <w:rPr>
          <w:rFonts w:ascii="Times New Roman" w:hAnsi="Times New Roman" w:cs="Times New Roman" w:eastAsiaTheme="minorEastAsia"/>
          <w:color w:val="auto"/>
          <w:highlight w:val="none"/>
        </w:rPr>
        <w:t>。</w:t>
      </w:r>
    </w:p>
    <w:p w14:paraId="37D1A038">
      <w:pPr>
        <w:keepNext/>
        <w:keepLines/>
        <w:widowControl w:val="0"/>
        <w:spacing w:before="60" w:after="60" w:line="440" w:lineRule="exact"/>
        <w:jc w:val="both"/>
        <w:outlineLvl w:val="2"/>
        <w:rPr>
          <w:rFonts w:ascii="Times New Roman" w:hAnsi="Times New Roman" w:eastAsia="黑体" w:cs="Times New Roman"/>
          <w:b/>
          <w:bCs/>
          <w:color w:val="auto"/>
          <w:kern w:val="2"/>
          <w:highlight w:val="none"/>
        </w:rPr>
      </w:pPr>
      <w:r>
        <w:rPr>
          <w:rFonts w:ascii="Times New Roman" w:hAnsi="Times New Roman" w:eastAsia="黑体" w:cs="Times New Roman"/>
          <w:b/>
          <w:bCs/>
          <w:color w:val="auto"/>
          <w:kern w:val="2"/>
          <w:highlight w:val="none"/>
        </w:rPr>
        <w:t>4.1.4 地表水</w:t>
      </w:r>
      <w:bookmarkEnd w:id="653"/>
      <w:r>
        <w:rPr>
          <w:rFonts w:ascii="Times New Roman" w:hAnsi="Times New Roman" w:eastAsia="黑体" w:cs="Times New Roman"/>
          <w:b/>
          <w:bCs/>
          <w:color w:val="auto"/>
          <w:kern w:val="2"/>
          <w:highlight w:val="none"/>
        </w:rPr>
        <w:t>体</w:t>
      </w:r>
      <w:bookmarkEnd w:id="654"/>
    </w:p>
    <w:p w14:paraId="03CE0EC7">
      <w:pPr>
        <w:widowControl w:val="0"/>
        <w:spacing w:line="440" w:lineRule="exact"/>
        <w:ind w:firstLine="480" w:firstLineChars="200"/>
        <w:jc w:val="both"/>
        <w:rPr>
          <w:rFonts w:ascii="Times New Roman" w:hAnsi="Times New Roman" w:cs="Times New Roman"/>
          <w:color w:val="auto"/>
          <w:highlight w:val="none"/>
        </w:rPr>
      </w:pPr>
      <w:r>
        <w:rPr>
          <w:rFonts w:hint="eastAsia" w:ascii="Times New Roman" w:hAnsi="Times New Roman" w:cs="Times New Roman"/>
          <w:bCs/>
          <w:color w:val="auto"/>
          <w:highlight w:val="none"/>
        </w:rPr>
        <w:t>本工程</w:t>
      </w:r>
      <w:r>
        <w:rPr>
          <w:rFonts w:ascii="Times New Roman" w:hAnsi="Times New Roman" w:cs="Times New Roman"/>
          <w:bCs/>
          <w:color w:val="auto"/>
          <w:highlight w:val="none"/>
        </w:rPr>
        <w:t>周边</w:t>
      </w:r>
      <w:r>
        <w:rPr>
          <w:rFonts w:hint="eastAsia" w:ascii="Times New Roman" w:hAnsi="Times New Roman" w:cs="Times New Roman"/>
          <w:bCs/>
          <w:color w:val="auto"/>
          <w:highlight w:val="none"/>
          <w:lang w:val="en-US" w:eastAsia="zh-CN"/>
        </w:rPr>
        <w:t>无</w:t>
      </w:r>
      <w:r>
        <w:rPr>
          <w:rFonts w:ascii="Times New Roman" w:hAnsi="Times New Roman" w:cs="Times New Roman"/>
          <w:bCs/>
          <w:color w:val="auto"/>
          <w:highlight w:val="none"/>
        </w:rPr>
        <w:t>地表水体</w:t>
      </w:r>
      <w:r>
        <w:rPr>
          <w:rFonts w:ascii="Times New Roman" w:hAnsi="Times New Roman" w:cs="Times New Roman"/>
          <w:color w:val="auto"/>
          <w:highlight w:val="none"/>
        </w:rPr>
        <w:t>。</w:t>
      </w:r>
    </w:p>
    <w:p w14:paraId="13199E3F">
      <w:pPr>
        <w:spacing w:before="60" w:after="60" w:line="440" w:lineRule="exact"/>
        <w:outlineLvl w:val="2"/>
        <w:rPr>
          <w:rFonts w:ascii="Times New Roman" w:hAnsi="Times New Roman" w:cs="Times New Roman"/>
          <w:b/>
          <w:bCs/>
          <w:color w:val="auto"/>
          <w:kern w:val="2"/>
          <w:highlight w:val="none"/>
        </w:rPr>
      </w:pPr>
      <w:bookmarkStart w:id="655" w:name="_Toc186444315"/>
      <w:r>
        <w:rPr>
          <w:rFonts w:ascii="Times New Roman" w:hAnsi="Times New Roman" w:cs="Times New Roman"/>
          <w:b/>
          <w:bCs/>
          <w:color w:val="auto"/>
          <w:kern w:val="2"/>
          <w:highlight w:val="none"/>
        </w:rPr>
        <w:t>4.1.5水文地质</w:t>
      </w:r>
      <w:bookmarkEnd w:id="655"/>
    </w:p>
    <w:p w14:paraId="5FCA0B81">
      <w:pPr>
        <w:widowControl w:val="0"/>
        <w:autoSpaceDE w:val="0"/>
        <w:autoSpaceDN w:val="0"/>
        <w:spacing w:line="440" w:lineRule="exact"/>
        <w:outlineLvl w:val="3"/>
        <w:rPr>
          <w:rFonts w:ascii="Times New Roman" w:hAnsi="Times New Roman" w:cs="Times New Roman"/>
          <w:b/>
          <w:color w:val="auto"/>
          <w:highlight w:val="none"/>
          <w:lang w:val="zh-CN" w:bidi="zh-CN"/>
        </w:rPr>
      </w:pPr>
      <w:r>
        <w:rPr>
          <w:rFonts w:ascii="Times New Roman" w:hAnsi="Times New Roman" w:cs="Times New Roman"/>
          <w:b/>
          <w:color w:val="auto"/>
          <w:highlight w:val="none"/>
          <w:lang w:val="zh-CN" w:bidi="zh-CN"/>
        </w:rPr>
        <w:t>4.1.</w:t>
      </w:r>
      <w:r>
        <w:rPr>
          <w:rFonts w:hint="eastAsia" w:ascii="Times New Roman" w:hAnsi="Times New Roman" w:cs="Times New Roman"/>
          <w:b/>
          <w:color w:val="auto"/>
          <w:highlight w:val="none"/>
          <w:lang w:val="zh-CN" w:bidi="zh-CN"/>
        </w:rPr>
        <w:t>5</w:t>
      </w:r>
      <w:r>
        <w:rPr>
          <w:rFonts w:ascii="Times New Roman" w:hAnsi="Times New Roman" w:cs="Times New Roman"/>
          <w:b/>
          <w:color w:val="auto"/>
          <w:highlight w:val="none"/>
          <w:lang w:val="zh-CN" w:bidi="zh-CN"/>
        </w:rPr>
        <w:t>.1地下水的形成条件</w:t>
      </w:r>
    </w:p>
    <w:p w14:paraId="65283F62">
      <w:pPr>
        <w:widowControl w:val="0"/>
        <w:autoSpaceDE w:val="0"/>
        <w:autoSpaceDN w:val="0"/>
        <w:spacing w:line="440" w:lineRule="exact"/>
        <w:ind w:firstLine="480" w:firstLineChars="200"/>
        <w:rPr>
          <w:rFonts w:ascii="Times New Roman" w:hAnsi="Times New Roman" w:cs="Times New Roman"/>
          <w:color w:val="auto"/>
          <w:highlight w:val="none"/>
          <w:lang w:val="zh-CN" w:bidi="zh-CN"/>
        </w:rPr>
      </w:pPr>
      <w:r>
        <w:rPr>
          <w:rFonts w:ascii="Times New Roman" w:hAnsi="Times New Roman" w:cs="Times New Roman"/>
          <w:color w:val="auto"/>
          <w:highlight w:val="none"/>
          <w:lang w:val="zh-CN" w:bidi="zh-CN"/>
        </w:rPr>
        <w:t>评价区位于松嫩平原的北部，黑龙江省西部，位于松辽中断陷—中央坳陷的东部与东部隆起的西部。在各组岩层中沉积有厚薄不均的砂、砂砾石层及砂岩、砂砾岩层，为地下水的赋存提供了良好的条件。</w:t>
      </w:r>
    </w:p>
    <w:p w14:paraId="5414858A">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lang w:val="zh-CN" w:bidi="zh-CN"/>
        </w:rPr>
        <w:t>根据地下水的埋藏条件及含水层介质、水力性质等，区内地下水类型可划分为第四系上更新统松散层孔隙潜水、第四系荒山组孔隙承压水、第四系荒山组孔隙弱承压水，第三系依安组孔隙裂隙承压含水层和白垩系孔隙裂隙承压含水层</w:t>
      </w:r>
      <w:r>
        <w:rPr>
          <w:rFonts w:ascii="Times New Roman" w:hAnsi="Times New Roman" w:cs="Times New Roman"/>
          <w:color w:val="auto"/>
          <w:highlight w:val="none"/>
        </w:rPr>
        <w:t>。区域综合水文地质图见附图</w:t>
      </w:r>
      <w:r>
        <w:rPr>
          <w:rFonts w:hint="eastAsia" w:ascii="Times New Roman" w:hAnsi="Times New Roman" w:cs="Times New Roman"/>
          <w:color w:val="auto"/>
          <w:highlight w:val="none"/>
        </w:rPr>
        <w:t>7</w:t>
      </w:r>
      <w:r>
        <w:rPr>
          <w:rFonts w:ascii="Times New Roman" w:hAnsi="Times New Roman" w:cs="Times New Roman"/>
          <w:color w:val="auto"/>
          <w:highlight w:val="none"/>
        </w:rPr>
        <w:t>，区域水文地质剖面图见附图</w:t>
      </w:r>
      <w:r>
        <w:rPr>
          <w:rFonts w:hint="eastAsia" w:ascii="Times New Roman" w:hAnsi="Times New Roman" w:cs="Times New Roman"/>
          <w:color w:val="auto"/>
          <w:highlight w:val="none"/>
        </w:rPr>
        <w:t>8</w:t>
      </w:r>
      <w:r>
        <w:rPr>
          <w:rFonts w:ascii="Times New Roman" w:hAnsi="Times New Roman" w:cs="Times New Roman"/>
          <w:color w:val="auto"/>
          <w:highlight w:val="none"/>
        </w:rPr>
        <w:t>。</w:t>
      </w:r>
    </w:p>
    <w:p w14:paraId="3253F166">
      <w:pPr>
        <w:widowControl w:val="0"/>
        <w:autoSpaceDE w:val="0"/>
        <w:autoSpaceDN w:val="0"/>
        <w:spacing w:line="440" w:lineRule="exact"/>
        <w:outlineLvl w:val="3"/>
        <w:rPr>
          <w:rFonts w:ascii="Times New Roman" w:hAnsi="Times New Roman" w:cs="Times New Roman"/>
          <w:b/>
          <w:color w:val="auto"/>
          <w:highlight w:val="none"/>
          <w:lang w:val="zh-CN" w:bidi="zh-CN"/>
        </w:rPr>
      </w:pPr>
      <w:r>
        <w:rPr>
          <w:rFonts w:ascii="Times New Roman" w:hAnsi="Times New Roman" w:cs="Times New Roman"/>
          <w:b/>
          <w:color w:val="auto"/>
          <w:highlight w:val="none"/>
          <w:lang w:val="zh-CN" w:bidi="zh-CN"/>
        </w:rPr>
        <w:t>4.1.</w:t>
      </w:r>
      <w:r>
        <w:rPr>
          <w:rFonts w:hint="eastAsia" w:ascii="Times New Roman" w:hAnsi="Times New Roman" w:cs="Times New Roman"/>
          <w:b/>
          <w:color w:val="auto"/>
          <w:highlight w:val="none"/>
          <w:lang w:val="zh-CN" w:bidi="zh-CN"/>
        </w:rPr>
        <w:t>5</w:t>
      </w:r>
      <w:r>
        <w:rPr>
          <w:rFonts w:ascii="Times New Roman" w:hAnsi="Times New Roman" w:cs="Times New Roman"/>
          <w:b/>
          <w:color w:val="auto"/>
          <w:highlight w:val="none"/>
          <w:lang w:val="zh-CN" w:bidi="zh-CN"/>
        </w:rPr>
        <w:t>.2地下水类型及含水岩组特征</w:t>
      </w:r>
    </w:p>
    <w:p w14:paraId="5960AFF8">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1）第四系含水层</w:t>
      </w:r>
    </w:p>
    <w:p w14:paraId="6D4B95BB">
      <w:pPr>
        <w:widowControl w:val="0"/>
        <w:spacing w:line="440" w:lineRule="exact"/>
        <w:ind w:firstLine="480" w:firstLineChars="200"/>
        <w:rPr>
          <w:rFonts w:ascii="Times New Roman" w:hAnsi="Times New Roman" w:cs="Times New Roman"/>
          <w:color w:val="auto"/>
          <w:highlight w:val="none"/>
        </w:rPr>
      </w:pPr>
      <w:r>
        <w:rPr>
          <w:rFonts w:hint="eastAsia"/>
          <w:color w:val="auto"/>
          <w:highlight w:val="none"/>
        </w:rPr>
        <w:t>①</w:t>
      </w:r>
      <w:r>
        <w:rPr>
          <w:rFonts w:ascii="Times New Roman" w:hAnsi="Times New Roman" w:cs="Times New Roman"/>
          <w:color w:val="auto"/>
          <w:highlight w:val="none"/>
        </w:rPr>
        <w:t>第四系上更新统松散层孔隙潜水</w:t>
      </w:r>
    </w:p>
    <w:p w14:paraId="07BC2292">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分布在区域全部内。含水层岩性为第四系中更新统荒山组冲积</w:t>
      </w:r>
      <w:r>
        <w:rPr>
          <w:rFonts w:hint="eastAsia" w:ascii="Times New Roman" w:hAnsi="Times New Roman" w:cs="Times New Roman"/>
          <w:color w:val="auto"/>
          <w:highlight w:val="none"/>
        </w:rPr>
        <w:t>粉</w:t>
      </w:r>
      <w:r>
        <w:rPr>
          <w:rFonts w:ascii="Times New Roman" w:hAnsi="Times New Roman" w:cs="Times New Roman"/>
          <w:color w:val="auto"/>
          <w:highlight w:val="none"/>
        </w:rPr>
        <w:t>细砂，含水层埋深6-12m，含水层厚度2-9m，水位埋深2-5m，单井涌用水量100-500m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/d，富水性差。</w:t>
      </w:r>
    </w:p>
    <w:p w14:paraId="5786E36D">
      <w:pPr>
        <w:widowControl w:val="0"/>
        <w:spacing w:line="440" w:lineRule="exact"/>
        <w:ind w:firstLine="480" w:firstLineChars="200"/>
        <w:rPr>
          <w:rFonts w:ascii="Times New Roman" w:hAnsi="Times New Roman" w:cs="Times New Roman"/>
          <w:color w:val="auto"/>
          <w:highlight w:val="none"/>
        </w:rPr>
      </w:pPr>
      <w:r>
        <w:rPr>
          <w:rFonts w:hint="eastAsia"/>
          <w:color w:val="auto"/>
          <w:highlight w:val="none"/>
        </w:rPr>
        <w:t>②</w:t>
      </w:r>
      <w:r>
        <w:rPr>
          <w:rFonts w:ascii="Times New Roman" w:hAnsi="Times New Roman" w:cs="Times New Roman"/>
          <w:color w:val="auto"/>
          <w:highlight w:val="none"/>
        </w:rPr>
        <w:t>第四系荒山组孔隙承压水</w:t>
      </w:r>
    </w:p>
    <w:p w14:paraId="6CCFA2C3">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分布在东北部任民镇、老虎岗镇、四平山乡缓倾斜台地的大柳罐屯、迟兴屯、姜有屯杨家娃子连线至安达边界。含水层为荒山组冲积中粗砂含砾石孔隙承压水，含水层岩性颗粒粗大，分选较好，有效孔隙度大，透水性强。含水层埋深29-40m，含水层厚度 6-15m，单井涌水量100-500m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/d，富水性较差，区域主要开采含水层之一。</w:t>
      </w:r>
    </w:p>
    <w:p w14:paraId="74A40EB2">
      <w:pPr>
        <w:widowControl w:val="0"/>
        <w:spacing w:line="440" w:lineRule="exact"/>
        <w:ind w:firstLine="480" w:firstLineChars="200"/>
        <w:rPr>
          <w:rFonts w:ascii="Times New Roman" w:hAnsi="Times New Roman" w:cs="Times New Roman"/>
          <w:color w:val="auto"/>
          <w:highlight w:val="none"/>
        </w:rPr>
      </w:pPr>
      <w:r>
        <w:rPr>
          <w:rFonts w:hint="eastAsia"/>
          <w:color w:val="auto"/>
          <w:highlight w:val="none"/>
        </w:rPr>
        <w:t>③</w:t>
      </w:r>
      <w:r>
        <w:rPr>
          <w:rFonts w:ascii="Times New Roman" w:hAnsi="Times New Roman" w:cs="Times New Roman"/>
          <w:color w:val="auto"/>
          <w:highlight w:val="none"/>
        </w:rPr>
        <w:t>第四系荒山组孔隙弱承压水</w:t>
      </w:r>
    </w:p>
    <w:p w14:paraId="54D4A63E">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分布在的平原，各区域含水层岩性、厚度不一，富水性差异较大。老虎岗、任民镇、安达镇、羊草以西区域分布，含水层为中上更新统冲洪积砂砾石，含水层岩性颗粒粗大，分选较好，有效孔隙度大，透水性强，区域主要开采含水层之一。</w:t>
      </w:r>
    </w:p>
    <w:p w14:paraId="7CFA81CB">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区域的北部含水层埋深21-39m，厚度7-16m，单井涌水量1000-3000m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/d，富水性较好。区域的南部含水层埋深15-34m，厚度3.0-10m，单井涌水量500-1000m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/d，富水性一般。</w:t>
      </w:r>
    </w:p>
    <w:p w14:paraId="315250D1">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2）第三系依安组含水层</w:t>
      </w:r>
    </w:p>
    <w:p w14:paraId="3DF3365F">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青肯泡乡、四平中星村连线以西均有分布，含水层顶板埋深60到140m，北部埋深较浅，西南埋深较大，含水层厚度5-27m，岩性以细砂岩为主，颗粒较细，下部分布有薄层砂砾岩，单井涌水量小于1000m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/d，富水性一般。</w:t>
      </w:r>
    </w:p>
    <w:p w14:paraId="3679A930">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3）白垩系明水组含水层</w:t>
      </w:r>
    </w:p>
    <w:p w14:paraId="745C65A2">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明水组承压含水层其岩性主要是含砾砂岩和泥质砂岩组成，质软，成岩性较差，含水层分布不均，连续性较差，透水性一般、富水性一般，含水层一般由2-7个单层组成，单层厚度为2.0-10.0m。明水组含水层由于受构造格局的影响，分布于区域西部，东部吉星、火石山缺失，单井出水量1000-1500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/d（273mm），明水组是区域主要开采含水层之一。</w:t>
      </w:r>
    </w:p>
    <w:p w14:paraId="17B3F7D5">
      <w:pPr>
        <w:widowControl w:val="0"/>
        <w:autoSpaceDE w:val="0"/>
        <w:autoSpaceDN w:val="0"/>
        <w:spacing w:line="440" w:lineRule="exact"/>
        <w:outlineLvl w:val="3"/>
        <w:rPr>
          <w:rFonts w:ascii="Times New Roman" w:hAnsi="Times New Roman" w:cs="Times New Roman"/>
          <w:b/>
          <w:color w:val="auto"/>
          <w:highlight w:val="none"/>
          <w:lang w:val="zh-CN" w:bidi="zh-CN"/>
        </w:rPr>
      </w:pPr>
      <w:r>
        <w:rPr>
          <w:rFonts w:ascii="Times New Roman" w:hAnsi="Times New Roman" w:cs="Times New Roman"/>
          <w:b/>
          <w:color w:val="auto"/>
          <w:highlight w:val="none"/>
          <w:lang w:val="zh-CN" w:bidi="zh-CN"/>
        </w:rPr>
        <w:t>4.1.</w:t>
      </w:r>
      <w:r>
        <w:rPr>
          <w:rFonts w:hint="eastAsia" w:ascii="Times New Roman" w:hAnsi="Times New Roman" w:cs="Times New Roman"/>
          <w:b/>
          <w:color w:val="auto"/>
          <w:highlight w:val="none"/>
          <w:lang w:val="zh-CN" w:bidi="zh-CN"/>
        </w:rPr>
        <w:t>5</w:t>
      </w:r>
      <w:r>
        <w:rPr>
          <w:rFonts w:ascii="Times New Roman" w:hAnsi="Times New Roman" w:cs="Times New Roman"/>
          <w:b/>
          <w:color w:val="auto"/>
          <w:highlight w:val="none"/>
          <w:lang w:val="zh-CN" w:bidi="zh-CN"/>
        </w:rPr>
        <w:t>.3地下水的补给、径流和排泄条件</w:t>
      </w:r>
    </w:p>
    <w:p w14:paraId="6E376325">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地质环境决定了地下水的补给、径流、排泄规律。而其补给、径流和排泄构成了含水层地下水流系统的形成条件。</w:t>
      </w:r>
    </w:p>
    <w:p w14:paraId="5DE36831">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1）地下水补给</w:t>
      </w:r>
    </w:p>
    <w:p w14:paraId="78211369">
      <w:pPr>
        <w:widowControl w:val="0"/>
        <w:spacing w:line="440" w:lineRule="exact"/>
        <w:ind w:firstLine="480" w:firstLineChars="200"/>
        <w:rPr>
          <w:rFonts w:ascii="Times New Roman" w:hAnsi="Times New Roman" w:cs="Times New Roman"/>
          <w:color w:val="auto"/>
          <w:highlight w:val="none"/>
        </w:rPr>
      </w:pPr>
      <w:r>
        <w:rPr>
          <w:rFonts w:hint="eastAsia"/>
          <w:color w:val="auto"/>
          <w:highlight w:val="none"/>
        </w:rPr>
        <w:t>①</w:t>
      </w:r>
      <w:r>
        <w:rPr>
          <w:rFonts w:ascii="Times New Roman" w:hAnsi="Times New Roman" w:cs="Times New Roman"/>
          <w:color w:val="auto"/>
          <w:highlight w:val="none"/>
        </w:rPr>
        <w:t>垂向补给</w:t>
      </w:r>
    </w:p>
    <w:p w14:paraId="27F2ADC4">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区域地下水垂向补给，主要来自大气降水、地表水体入渗补给孔隙潜水，潜水通过弱透水层越流补给下部孔隙承压水含水层，区域第四系垂向节理发育，结构松散，构成具有一定透水能力，为第四系潜水通过弱透水层越流补给第四系承压、弱承压含水层、依安组含水层、明水组孔隙承压 水含水层提供了有利条件。</w:t>
      </w:r>
    </w:p>
    <w:p w14:paraId="2400ED2E">
      <w:pPr>
        <w:widowControl w:val="0"/>
        <w:spacing w:line="440" w:lineRule="exact"/>
        <w:ind w:firstLine="480" w:firstLineChars="200"/>
        <w:rPr>
          <w:rFonts w:ascii="Times New Roman" w:hAnsi="Times New Roman" w:cs="Times New Roman"/>
          <w:color w:val="auto"/>
          <w:highlight w:val="none"/>
        </w:rPr>
      </w:pPr>
      <w:r>
        <w:rPr>
          <w:rFonts w:hint="eastAsia"/>
          <w:color w:val="auto"/>
          <w:highlight w:val="none"/>
        </w:rPr>
        <w:t>②</w:t>
      </w:r>
      <w:r>
        <w:rPr>
          <w:rFonts w:ascii="Times New Roman" w:hAnsi="Times New Roman" w:cs="Times New Roman"/>
          <w:color w:val="auto"/>
          <w:highlight w:val="none"/>
        </w:rPr>
        <w:t>侧向补给</w:t>
      </w:r>
    </w:p>
    <w:p w14:paraId="5297C14C">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在天然条件下，主要来自区域以外广泛连续分布的统一含水层中的地下水，在地下水动力作用下，通过水平方向径流补给评价区地下水。区域侧向补给为由北向南，由东向西补给。</w:t>
      </w:r>
    </w:p>
    <w:p w14:paraId="22DF544E">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2）地下水径流</w:t>
      </w:r>
    </w:p>
    <w:p w14:paraId="6CB20A0D">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在整个松嫩平原区，地下水总体径流方向是由北向南，区域地下水径流与盆地径流特征具有一致性。受地层沉积的影响，区域地下水径流方向为由东向西。</w:t>
      </w:r>
    </w:p>
    <w:p w14:paraId="05388D23">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3）地下水排泄</w:t>
      </w:r>
    </w:p>
    <w:p w14:paraId="5FF0357E">
      <w:pPr>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在人为活动影响条件下，评价区地下水的排泄主要有三种类型，即蒸发排泄、侧向径流排泄、人工开采。</w:t>
      </w:r>
    </w:p>
    <w:p w14:paraId="7B399713">
      <w:pPr>
        <w:spacing w:line="440" w:lineRule="exact"/>
        <w:ind w:firstLine="480" w:firstLineChars="200"/>
        <w:rPr>
          <w:rStyle w:val="1674"/>
          <w:rFonts w:hint="default" w:ascii="Times New Roman" w:hAnsi="Times New Roman" w:cs="Times New Roman"/>
          <w:color w:val="auto"/>
          <w:highlight w:val="none"/>
        </w:rPr>
      </w:pPr>
      <w:r>
        <w:rPr>
          <w:rStyle w:val="1674"/>
          <w:rFonts w:hint="default" w:ascii="Times New Roman" w:hAnsi="Times New Roman" w:cs="Times New Roman"/>
          <w:color w:val="auto"/>
          <w:highlight w:val="none"/>
        </w:rPr>
        <w:t>项目所在区域区域综合水文地质图见附图7，区域水文地质剖面图见附图8。</w:t>
      </w:r>
    </w:p>
    <w:p w14:paraId="404334C8">
      <w:pPr>
        <w:spacing w:line="434" w:lineRule="exact"/>
        <w:jc w:val="both"/>
        <w:outlineLvl w:val="3"/>
        <w:rPr>
          <w:rFonts w:ascii="Times New Roman" w:hAnsi="Times New Roman" w:cs="Times New Roman"/>
          <w:b/>
          <w:color w:val="auto"/>
          <w:highlight w:val="none"/>
        </w:rPr>
      </w:pPr>
      <w:r>
        <w:rPr>
          <w:rFonts w:ascii="Times New Roman" w:hAnsi="Times New Roman" w:cs="Times New Roman"/>
          <w:b/>
          <w:color w:val="auto"/>
          <w:highlight w:val="none"/>
        </w:rPr>
        <w:t>4.1.5.</w:t>
      </w:r>
      <w:r>
        <w:rPr>
          <w:rFonts w:hint="eastAsia" w:ascii="Times New Roman" w:hAnsi="Times New Roman" w:cs="Times New Roman"/>
          <w:b/>
          <w:color w:val="auto"/>
          <w:highlight w:val="none"/>
        </w:rPr>
        <w:t>4</w:t>
      </w:r>
      <w:r>
        <w:rPr>
          <w:rFonts w:ascii="Times New Roman" w:hAnsi="Times New Roman" w:cs="Times New Roman"/>
          <w:b/>
          <w:color w:val="auto"/>
          <w:highlight w:val="none"/>
        </w:rPr>
        <w:t>包气带现状</w:t>
      </w:r>
    </w:p>
    <w:p w14:paraId="6D4CB884">
      <w:pPr>
        <w:pStyle w:val="31"/>
        <w:spacing w:line="440" w:lineRule="exact"/>
        <w:ind w:firstLine="480" w:firstLineChars="200"/>
        <w:jc w:val="both"/>
        <w:rPr>
          <w:rFonts w:ascii="Times New Roman" w:hAnsi="Times New Roman" w:eastAsiaTheme="minorEastAsia"/>
          <w:color w:val="auto"/>
          <w:kern w:val="0"/>
          <w:szCs w:val="24"/>
          <w:highlight w:val="none"/>
        </w:rPr>
      </w:pPr>
      <w:r>
        <w:rPr>
          <w:rFonts w:ascii="Times New Roman" w:hAnsi="Times New Roman" w:eastAsiaTheme="minorEastAsia"/>
          <w:color w:val="auto"/>
          <w:kern w:val="0"/>
          <w:szCs w:val="24"/>
          <w:highlight w:val="none"/>
        </w:rPr>
        <w:t>（1）建设场地地质概况</w:t>
      </w:r>
    </w:p>
    <w:p w14:paraId="148349DE">
      <w:pPr>
        <w:spacing w:line="440" w:lineRule="exact"/>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项目区内包气带均为第四系松散堆积层，堆积厚度大，分布范围广。按地貌成因形态类型主要为冲积低平原沉积地层。根据项目区潜水地下水埋深特征，包气带厚度 2.4-3.6m。</w:t>
      </w:r>
    </w:p>
    <w:p w14:paraId="0BB5981A">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第四系包气带地层特征：</w:t>
      </w:r>
    </w:p>
    <w:p w14:paraId="5098D7BD">
      <w:pPr>
        <w:widowControl w:val="0"/>
        <w:spacing w:line="440" w:lineRule="exact"/>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粉质粘土：黄褐色-褐黄色，可塑，土质不均匀，局部夹有粉土，手捻有砂粒感，含氧化铁斑点，中压缩性，干强度中等，韧性中等，稍有光滑，无摇振反应，地层厚度3.60-4.50m。</w:t>
      </w:r>
    </w:p>
    <w:p w14:paraId="51FF863C">
      <w:pPr>
        <w:widowControl w:val="0"/>
        <w:spacing w:line="440" w:lineRule="exact"/>
        <w:ind w:firstLine="480" w:firstLineChars="200"/>
        <w:rPr>
          <w:rFonts w:ascii="Times New Roman" w:hAnsi="Times New Roman" w:eastAsiaTheme="minorEastAsia"/>
          <w:color w:val="auto"/>
          <w:highlight w:val="none"/>
        </w:rPr>
      </w:pPr>
      <w:r>
        <w:rPr>
          <w:rFonts w:ascii="Times New Roman" w:hAnsi="Times New Roman" w:cs="Times New Roman"/>
          <w:color w:val="auto"/>
          <w:highlight w:val="none"/>
        </w:rPr>
        <w:t>粉细砂：黄色，稍密，饱和，颗粒均一，级配差，主要矿物成份由石英、长石组成，含少量暗色矿物。土层分布不连续，地层厚度2.10-2.40m。</w:t>
      </w:r>
    </w:p>
    <w:p w14:paraId="52CD8B41">
      <w:pPr>
        <w:pStyle w:val="31"/>
        <w:spacing w:line="440" w:lineRule="exact"/>
        <w:ind w:firstLine="480" w:firstLineChars="200"/>
        <w:rPr>
          <w:rFonts w:ascii="Times New Roman" w:hAnsi="Times New Roman" w:eastAsiaTheme="minorEastAsia"/>
          <w:color w:val="auto"/>
          <w:kern w:val="0"/>
          <w:szCs w:val="24"/>
          <w:highlight w:val="none"/>
        </w:rPr>
      </w:pPr>
      <w:r>
        <w:rPr>
          <w:rFonts w:ascii="Times New Roman" w:hAnsi="Times New Roman" w:eastAsiaTheme="minorEastAsia"/>
          <w:color w:val="auto"/>
          <w:kern w:val="0"/>
          <w:szCs w:val="24"/>
          <w:highlight w:val="none"/>
        </w:rPr>
        <w:t>（2）建设场地包气带防污性能</w:t>
      </w:r>
    </w:p>
    <w:p w14:paraId="32642630">
      <w:pPr>
        <w:pStyle w:val="31"/>
        <w:spacing w:line="440" w:lineRule="exact"/>
        <w:ind w:firstLine="480" w:firstLineChars="200"/>
        <w:rPr>
          <w:rFonts w:ascii="Times New Roman" w:hAnsi="Times New Roman" w:eastAsiaTheme="minorEastAsia"/>
          <w:color w:val="auto"/>
          <w:kern w:val="0"/>
          <w:szCs w:val="24"/>
          <w:highlight w:val="none"/>
        </w:rPr>
      </w:pPr>
      <w:r>
        <w:rPr>
          <w:rFonts w:ascii="Times New Roman" w:hAnsi="Times New Roman" w:eastAsiaTheme="minorEastAsia"/>
          <w:color w:val="auto"/>
          <w:kern w:val="0"/>
          <w:szCs w:val="24"/>
          <w:highlight w:val="none"/>
        </w:rPr>
        <w:t>根据《环境影响评价技术导则地下水环境》（HJ610-2016）天然包气带防污性能分级参照表，本项目建设场地区包气带防污性能分级见表4.1-1。</w:t>
      </w:r>
    </w:p>
    <w:p w14:paraId="4719D6A7">
      <w:pPr>
        <w:pStyle w:val="149"/>
        <w:widowControl w:val="0"/>
        <w:spacing w:line="440" w:lineRule="exact"/>
        <w:ind w:firstLine="482"/>
        <w:rPr>
          <w:rFonts w:ascii="Times New Roman" w:hAnsi="Times New Roman" w:eastAsiaTheme="minorEastAsia"/>
          <w:b/>
          <w:color w:val="auto"/>
          <w:highlight w:val="none"/>
        </w:rPr>
      </w:pPr>
      <w:r>
        <w:rPr>
          <w:rFonts w:ascii="Times New Roman" w:hAnsi="Times New Roman" w:eastAsiaTheme="minorEastAsia"/>
          <w:b/>
          <w:color w:val="auto"/>
          <w:highlight w:val="none"/>
        </w:rPr>
        <w:t xml:space="preserve">表4.1-1    </w:t>
      </w:r>
      <w:r>
        <w:rPr>
          <w:rFonts w:ascii="Times New Roman" w:hAnsi="Times New Roman" w:eastAsiaTheme="minorEastAsia"/>
          <w:b/>
          <w:bCs/>
          <w:color w:val="auto"/>
          <w:highlight w:val="none"/>
        </w:rPr>
        <w:t>包气带</w:t>
      </w:r>
      <w:r>
        <w:rPr>
          <w:rFonts w:ascii="Times New Roman" w:hAnsi="Times New Roman" w:eastAsiaTheme="minorEastAsia"/>
          <w:b/>
          <w:color w:val="auto"/>
          <w:highlight w:val="none"/>
        </w:rPr>
        <w:t>防污性能分级</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8566"/>
      </w:tblGrid>
      <w:tr w14:paraId="6183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454CAEFE">
            <w:pPr>
              <w:widowControl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分级</w:t>
            </w:r>
          </w:p>
        </w:tc>
        <w:tc>
          <w:tcPr>
            <w:tcW w:w="4612" w:type="pct"/>
            <w:vAlign w:val="center"/>
          </w:tcPr>
          <w:p w14:paraId="29E21673">
            <w:pPr>
              <w:widowControl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包气带岩土的渗透性能</w:t>
            </w:r>
          </w:p>
        </w:tc>
      </w:tr>
      <w:tr w14:paraId="3FEF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1F3CD0C0">
            <w:pPr>
              <w:widowControl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强</w:t>
            </w:r>
          </w:p>
        </w:tc>
        <w:tc>
          <w:tcPr>
            <w:tcW w:w="4612" w:type="pct"/>
            <w:vAlign w:val="center"/>
          </w:tcPr>
          <w:p w14:paraId="7B211A02">
            <w:pPr>
              <w:widowControl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岩（土）层单层厚度Mb≥1.0m，渗透系数K≤10</w:t>
            </w:r>
            <w:r>
              <w:rPr>
                <w:rFonts w:ascii="Times New Roman" w:hAnsi="Times New Roman" w:cs="Times New Roman" w:eastAsiaTheme="minorEastAsia"/>
                <w:color w:val="auto"/>
                <w:kern w:val="2"/>
                <w:sz w:val="21"/>
                <w:szCs w:val="21"/>
                <w:highlight w:val="none"/>
                <w:vertAlign w:val="superscript"/>
              </w:rPr>
              <w:t>-6</w:t>
            </w:r>
            <w:r>
              <w:rPr>
                <w:rFonts w:ascii="Times New Roman" w:hAnsi="Times New Roman" w:cs="Times New Roman" w:eastAsiaTheme="minorEastAsia"/>
                <w:color w:val="auto"/>
                <w:kern w:val="2"/>
                <w:sz w:val="21"/>
                <w:szCs w:val="21"/>
                <w:highlight w:val="none"/>
              </w:rPr>
              <w:t>cm/s，且分布连续、稳定。</w:t>
            </w:r>
          </w:p>
        </w:tc>
      </w:tr>
      <w:tr w14:paraId="4E8C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68774512">
            <w:pPr>
              <w:widowControl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中</w:t>
            </w:r>
          </w:p>
        </w:tc>
        <w:tc>
          <w:tcPr>
            <w:tcW w:w="4612" w:type="pct"/>
            <w:vAlign w:val="center"/>
          </w:tcPr>
          <w:p w14:paraId="42A1A6E5">
            <w:pPr>
              <w:widowControl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岩（土）层单层厚度0.5m≤Mb＜1.0m，渗透系数K≤10</w:t>
            </w:r>
            <w:r>
              <w:rPr>
                <w:rFonts w:ascii="Times New Roman" w:hAnsi="Times New Roman" w:cs="Times New Roman" w:eastAsiaTheme="minorEastAsia"/>
                <w:color w:val="auto"/>
                <w:kern w:val="2"/>
                <w:sz w:val="21"/>
                <w:szCs w:val="21"/>
                <w:highlight w:val="none"/>
                <w:vertAlign w:val="superscript"/>
              </w:rPr>
              <w:t>-6</w:t>
            </w:r>
            <w:r>
              <w:rPr>
                <w:rFonts w:ascii="Times New Roman" w:hAnsi="Times New Roman" w:cs="Times New Roman" w:eastAsiaTheme="minorEastAsia"/>
                <w:color w:val="auto"/>
                <w:kern w:val="2"/>
                <w:sz w:val="21"/>
                <w:szCs w:val="21"/>
                <w:highlight w:val="none"/>
              </w:rPr>
              <w:t>cm/s，且分布连续、稳定。岩（土）层单层厚度Mb≥1.0m，渗透系数1×10</w:t>
            </w:r>
            <w:r>
              <w:rPr>
                <w:rFonts w:ascii="Times New Roman" w:hAnsi="Times New Roman" w:cs="Times New Roman" w:eastAsiaTheme="minorEastAsia"/>
                <w:color w:val="auto"/>
                <w:kern w:val="2"/>
                <w:sz w:val="21"/>
                <w:szCs w:val="21"/>
                <w:highlight w:val="none"/>
                <w:vertAlign w:val="superscript"/>
              </w:rPr>
              <w:t>-6</w:t>
            </w:r>
            <w:r>
              <w:rPr>
                <w:rFonts w:ascii="Times New Roman" w:hAnsi="Times New Roman" w:cs="Times New Roman" w:eastAsiaTheme="minorEastAsia"/>
                <w:color w:val="auto"/>
                <w:kern w:val="2"/>
                <w:sz w:val="21"/>
                <w:szCs w:val="21"/>
                <w:highlight w:val="none"/>
              </w:rPr>
              <w:t>cm/s＜K≤1×10</w:t>
            </w:r>
            <w:r>
              <w:rPr>
                <w:rFonts w:ascii="Times New Roman" w:hAnsi="Times New Roman" w:cs="Times New Roman" w:eastAsiaTheme="minorEastAsia"/>
                <w:color w:val="auto"/>
                <w:kern w:val="2"/>
                <w:sz w:val="21"/>
                <w:szCs w:val="21"/>
                <w:highlight w:val="none"/>
                <w:vertAlign w:val="superscript"/>
              </w:rPr>
              <w:t>-4</w:t>
            </w:r>
            <w:r>
              <w:rPr>
                <w:rFonts w:ascii="Times New Roman" w:hAnsi="Times New Roman" w:cs="Times New Roman" w:eastAsiaTheme="minorEastAsia"/>
                <w:color w:val="auto"/>
                <w:kern w:val="2"/>
                <w:sz w:val="21"/>
                <w:szCs w:val="21"/>
                <w:highlight w:val="none"/>
              </w:rPr>
              <w:t>cm/s，且分布连续、稳定。</w:t>
            </w:r>
          </w:p>
        </w:tc>
      </w:tr>
      <w:tr w14:paraId="4B02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7D374325">
            <w:pPr>
              <w:widowControl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弱</w:t>
            </w:r>
          </w:p>
        </w:tc>
        <w:tc>
          <w:tcPr>
            <w:tcW w:w="4612" w:type="pct"/>
            <w:vAlign w:val="center"/>
          </w:tcPr>
          <w:p w14:paraId="4C17E03F">
            <w:pPr>
              <w:widowControl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岩（土）层不满足上述“强”和“中”条件。</w:t>
            </w:r>
          </w:p>
        </w:tc>
      </w:tr>
    </w:tbl>
    <w:p w14:paraId="4039F4CB">
      <w:pPr>
        <w:pStyle w:val="31"/>
        <w:spacing w:line="440" w:lineRule="exact"/>
        <w:ind w:firstLine="480" w:firstLineChars="200"/>
        <w:rPr>
          <w:rFonts w:ascii="Times New Roman" w:hAnsi="Times New Roman" w:eastAsiaTheme="minorEastAsia"/>
          <w:color w:val="auto"/>
          <w:kern w:val="0"/>
          <w:szCs w:val="24"/>
          <w:highlight w:val="none"/>
        </w:rPr>
      </w:pPr>
      <w:r>
        <w:rPr>
          <w:rFonts w:ascii="Times New Roman" w:hAnsi="Times New Roman" w:eastAsiaTheme="minorEastAsia"/>
          <w:color w:val="auto"/>
          <w:kern w:val="0"/>
          <w:szCs w:val="24"/>
          <w:highlight w:val="none"/>
        </w:rPr>
        <w:t>本项目场地区粉质粘土厚度2.4～3.6m，根据地质资料，项目包气带岩性主要为粘土、细砂，参照水文地质参数表，黏土、细砂渗透系数5.79×10</w:t>
      </w:r>
      <w:r>
        <w:rPr>
          <w:rFonts w:ascii="Times New Roman" w:hAnsi="Times New Roman" w:eastAsiaTheme="minorEastAsia"/>
          <w:color w:val="auto"/>
          <w:kern w:val="0"/>
          <w:szCs w:val="24"/>
          <w:highlight w:val="none"/>
          <w:vertAlign w:val="superscript"/>
        </w:rPr>
        <w:t>-5</w:t>
      </w:r>
      <w:r>
        <w:rPr>
          <w:rFonts w:ascii="Times New Roman" w:hAnsi="Times New Roman" w:eastAsiaTheme="minorEastAsia"/>
          <w:color w:val="auto"/>
          <w:kern w:val="0"/>
          <w:szCs w:val="24"/>
          <w:highlight w:val="none"/>
        </w:rPr>
        <w:t>-2.89×10</w:t>
      </w:r>
      <w:r>
        <w:rPr>
          <w:rFonts w:ascii="Times New Roman" w:hAnsi="Times New Roman" w:eastAsiaTheme="minorEastAsia"/>
          <w:color w:val="auto"/>
          <w:kern w:val="0"/>
          <w:szCs w:val="24"/>
          <w:highlight w:val="none"/>
          <w:vertAlign w:val="superscript"/>
        </w:rPr>
        <w:t>-4</w:t>
      </w:r>
      <w:r>
        <w:rPr>
          <w:rFonts w:ascii="Times New Roman" w:hAnsi="Times New Roman" w:eastAsiaTheme="minorEastAsia"/>
          <w:color w:val="auto"/>
          <w:kern w:val="0"/>
          <w:szCs w:val="24"/>
          <w:highlight w:val="none"/>
        </w:rPr>
        <w:t>cm/s（&gt;1×10</w:t>
      </w:r>
      <w:r>
        <w:rPr>
          <w:rFonts w:ascii="Times New Roman" w:hAnsi="Times New Roman" w:eastAsiaTheme="minorEastAsia"/>
          <w:color w:val="auto"/>
          <w:kern w:val="0"/>
          <w:szCs w:val="24"/>
          <w:highlight w:val="none"/>
          <w:vertAlign w:val="superscript"/>
        </w:rPr>
        <w:t>-6</w:t>
      </w:r>
      <w:r>
        <w:rPr>
          <w:rFonts w:ascii="Times New Roman" w:hAnsi="Times New Roman" w:eastAsiaTheme="minorEastAsia"/>
          <w:color w:val="auto"/>
          <w:kern w:val="0"/>
          <w:szCs w:val="24"/>
          <w:highlight w:val="none"/>
        </w:rPr>
        <w:t>cm/s，&lt;1×10</w:t>
      </w:r>
      <w:r>
        <w:rPr>
          <w:rFonts w:ascii="Times New Roman" w:hAnsi="Times New Roman" w:eastAsiaTheme="minorEastAsia"/>
          <w:color w:val="auto"/>
          <w:kern w:val="0"/>
          <w:szCs w:val="24"/>
          <w:highlight w:val="none"/>
          <w:vertAlign w:val="superscript"/>
        </w:rPr>
        <w:t>-4</w:t>
      </w:r>
      <w:r>
        <w:rPr>
          <w:rFonts w:ascii="Times New Roman" w:hAnsi="Times New Roman" w:eastAsiaTheme="minorEastAsia"/>
          <w:color w:val="auto"/>
          <w:kern w:val="0"/>
          <w:szCs w:val="24"/>
          <w:highlight w:val="none"/>
        </w:rPr>
        <w:t>cm/s），由此可知，项目区域包气带防污性能为中。</w:t>
      </w:r>
    </w:p>
    <w:p w14:paraId="0A70F43B">
      <w:pPr>
        <w:spacing w:before="60" w:after="60" w:line="440" w:lineRule="exact"/>
        <w:outlineLvl w:val="2"/>
        <w:rPr>
          <w:rFonts w:ascii="Times New Roman" w:hAnsi="Times New Roman" w:cs="Times New Roman"/>
          <w:b/>
          <w:bCs/>
          <w:color w:val="auto"/>
          <w:kern w:val="2"/>
          <w:highlight w:val="none"/>
        </w:rPr>
      </w:pPr>
      <w:bookmarkStart w:id="656" w:name="_Toc186444316"/>
      <w:bookmarkStart w:id="657" w:name="_Toc15605"/>
      <w:r>
        <w:rPr>
          <w:rFonts w:ascii="Times New Roman" w:hAnsi="Times New Roman" w:cs="Times New Roman"/>
          <w:b/>
          <w:bCs/>
          <w:color w:val="auto"/>
          <w:kern w:val="2"/>
          <w:highlight w:val="none"/>
        </w:rPr>
        <w:t>4.1.6土壤类型与植被分布</w:t>
      </w:r>
      <w:bookmarkEnd w:id="656"/>
      <w:bookmarkEnd w:id="657"/>
    </w:p>
    <w:p w14:paraId="2A561ECD">
      <w:pPr>
        <w:spacing w:line="440" w:lineRule="exact"/>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评价区地处松嫩平原，根据现场踏勘及国家土壤信息服务平台资料显示，</w:t>
      </w:r>
      <w:r>
        <w:rPr>
          <w:rFonts w:ascii="Times New Roman" w:hAnsi="Times New Roman" w:cs="Times New Roman"/>
          <w:color w:val="auto"/>
          <w:highlight w:val="none"/>
        </w:rPr>
        <w:t>本项目评价范围内土壤种类主要为</w:t>
      </w:r>
      <w:bookmarkStart w:id="658" w:name="OLE_LINK134"/>
      <w:bookmarkStart w:id="659" w:name="OLE_LINK132"/>
      <w:r>
        <w:rPr>
          <w:rFonts w:ascii="Times New Roman" w:hAnsi="Times New Roman" w:cs="Times New Roman" w:eastAsiaTheme="minorEastAsia"/>
          <w:color w:val="auto"/>
          <w:highlight w:val="none"/>
        </w:rPr>
        <w:t>草甸土</w:t>
      </w:r>
      <w:bookmarkEnd w:id="658"/>
      <w:bookmarkEnd w:id="659"/>
      <w:r>
        <w:rPr>
          <w:rFonts w:ascii="Times New Roman" w:hAnsi="Times New Roman" w:cs="Times New Roman"/>
          <w:color w:val="auto"/>
          <w:highlight w:val="none"/>
        </w:rPr>
        <w:t>。本项目区域土壤类型分布图见附图</w:t>
      </w:r>
      <w:r>
        <w:rPr>
          <w:rFonts w:hint="eastAsia" w:ascii="Times New Roman" w:hAnsi="Times New Roman" w:cs="Times New Roman"/>
          <w:color w:val="auto"/>
          <w:highlight w:val="none"/>
        </w:rPr>
        <w:t>15</w:t>
      </w:r>
      <w:r>
        <w:rPr>
          <w:rFonts w:ascii="Times New Roman" w:hAnsi="Times New Roman" w:cs="Times New Roman"/>
          <w:color w:val="auto"/>
          <w:highlight w:val="none"/>
        </w:rPr>
        <w:t>。</w:t>
      </w:r>
    </w:p>
    <w:p w14:paraId="44E86E1F">
      <w:pPr>
        <w:widowControl w:val="0"/>
        <w:spacing w:line="440" w:lineRule="exact"/>
        <w:ind w:firstLine="480"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草甸土是形成农田和草原的主要土壤类型。草甸土主要是在草甸植被下变化而成。因为分布地形较低，地下水较高和气候因素，多数附加有盐化过程，部分附加有潜育化过程。草甸子肥力较高，一般黑土层20~40cm，有机质含量在3~4%，全氮在0.1~0.2%，全磷在0.09~0.12%。土浆粘重，冷浆，耕性不好，通透性差，该类土壤适宜发展水稻、向日葵、甜菜等作物。</w:t>
      </w:r>
    </w:p>
    <w:p w14:paraId="23D57853">
      <w:pPr>
        <w:keepNext/>
        <w:keepLines/>
        <w:widowControl w:val="0"/>
        <w:spacing w:before="60" w:after="60" w:line="440" w:lineRule="exact"/>
        <w:jc w:val="both"/>
        <w:outlineLvl w:val="2"/>
        <w:rPr>
          <w:rFonts w:ascii="Times New Roman" w:hAnsi="Times New Roman" w:eastAsia="黑体" w:cs="Times New Roman"/>
          <w:b/>
          <w:bCs/>
          <w:color w:val="auto"/>
          <w:kern w:val="2"/>
          <w:highlight w:val="none"/>
        </w:rPr>
      </w:pPr>
      <w:bookmarkStart w:id="660" w:name="_Toc126863422"/>
      <w:bookmarkStart w:id="661" w:name="_Toc71371989"/>
      <w:bookmarkStart w:id="662" w:name="_Toc77667339"/>
      <w:bookmarkStart w:id="663" w:name="_Toc131167322"/>
      <w:bookmarkStart w:id="664" w:name="_Toc74812366"/>
      <w:bookmarkStart w:id="665" w:name="_Toc143099609"/>
      <w:bookmarkStart w:id="666" w:name="_Toc69690855"/>
      <w:bookmarkStart w:id="667" w:name="_Toc186444317"/>
      <w:bookmarkStart w:id="668" w:name="_Toc67523637"/>
      <w:bookmarkStart w:id="669" w:name="_Toc74812127"/>
      <w:bookmarkStart w:id="670" w:name="_Toc127192371"/>
      <w:r>
        <w:rPr>
          <w:rFonts w:ascii="Times New Roman" w:hAnsi="Times New Roman" w:eastAsia="黑体" w:cs="Times New Roman"/>
          <w:b/>
          <w:bCs/>
          <w:color w:val="auto"/>
          <w:kern w:val="2"/>
          <w:highlight w:val="none"/>
        </w:rPr>
        <w:t>4.1.7植被情况</w:t>
      </w:r>
      <w:bookmarkEnd w:id="660"/>
      <w:bookmarkEnd w:id="661"/>
      <w:bookmarkEnd w:id="662"/>
      <w:bookmarkEnd w:id="663"/>
      <w:bookmarkEnd w:id="664"/>
      <w:bookmarkEnd w:id="665"/>
      <w:bookmarkEnd w:id="666"/>
      <w:bookmarkEnd w:id="667"/>
      <w:bookmarkEnd w:id="668"/>
      <w:bookmarkEnd w:id="669"/>
      <w:bookmarkEnd w:id="670"/>
    </w:p>
    <w:p w14:paraId="4F75D28E">
      <w:pPr>
        <w:spacing w:line="440" w:lineRule="exact"/>
        <w:ind w:firstLine="480" w:firstLineChars="200"/>
        <w:jc w:val="both"/>
        <w:rPr>
          <w:rFonts w:ascii="Times New Roman" w:hAnsi="Times New Roman" w:cs="Times New Roman" w:eastAsiaTheme="minorEastAsia"/>
          <w:color w:val="auto"/>
          <w:highlight w:val="none"/>
        </w:rPr>
      </w:pPr>
      <w:r>
        <w:rPr>
          <w:rFonts w:ascii="Times New Roman" w:hAnsi="Times New Roman" w:cs="Times New Roman"/>
          <w:color w:val="auto"/>
          <w:highlight w:val="none"/>
        </w:rPr>
        <w:t>地区内原始植被主要为草甸草原类植物，以中旱生的多年生草本植物为建群种，主要为羊草、针茅、洽草、隐子草和杂类草类型。植被群落着生在沙质漫岗上，其土壤干燥，完全依赖大气降水。在地势低洼地带，以星星草、芦苇和杂草等中旱生植物为主。由于气候的变化和人类活动的影响，地区内森林植物退却，原生林木很少，林木主要以农田防护林、护村林和护路林等为主，品种以速生林杨树为主。农田植被以旱田植被为主，粮食作物包括玉米、大豆等，经济作物有</w:t>
      </w:r>
      <w:r>
        <w:rPr>
          <w:rFonts w:hint="eastAsia" w:ascii="Times New Roman" w:hAnsi="Times New Roman" w:cs="Times New Roman"/>
          <w:color w:val="auto"/>
          <w:highlight w:val="none"/>
        </w:rPr>
        <w:t>甜菜</w:t>
      </w:r>
      <w:r>
        <w:rPr>
          <w:rFonts w:ascii="Times New Roman" w:hAnsi="Times New Roman" w:cs="Times New Roman"/>
          <w:color w:val="auto"/>
          <w:highlight w:val="none"/>
        </w:rPr>
        <w:t>等。</w:t>
      </w:r>
    </w:p>
    <w:p w14:paraId="761B7995">
      <w:pPr>
        <w:keepNext/>
        <w:keepLines/>
        <w:widowControl w:val="0"/>
        <w:spacing w:before="60" w:after="60" w:line="440" w:lineRule="exact"/>
        <w:jc w:val="both"/>
        <w:outlineLvl w:val="2"/>
        <w:rPr>
          <w:rFonts w:ascii="Times New Roman" w:hAnsi="Times New Roman" w:eastAsia="黑体" w:cs="Times New Roman"/>
          <w:b/>
          <w:bCs/>
          <w:color w:val="auto"/>
          <w:kern w:val="2"/>
          <w:highlight w:val="none"/>
        </w:rPr>
      </w:pPr>
      <w:bookmarkStart w:id="671" w:name="_Toc127192372"/>
      <w:bookmarkStart w:id="672" w:name="_Toc71371990"/>
      <w:bookmarkStart w:id="673" w:name="_Toc126863423"/>
      <w:bookmarkStart w:id="674" w:name="_Toc77667340"/>
      <w:bookmarkStart w:id="675" w:name="_Toc67523638"/>
      <w:bookmarkStart w:id="676" w:name="_Toc131167323"/>
      <w:bookmarkStart w:id="677" w:name="_Toc69690856"/>
      <w:bookmarkStart w:id="678" w:name="_Toc186444318"/>
      <w:bookmarkStart w:id="679" w:name="_Toc143099610"/>
      <w:bookmarkStart w:id="680" w:name="_Toc74812367"/>
      <w:bookmarkStart w:id="681" w:name="_Toc74812128"/>
      <w:r>
        <w:rPr>
          <w:rFonts w:ascii="Times New Roman" w:hAnsi="Times New Roman" w:eastAsia="黑体" w:cs="Times New Roman"/>
          <w:b/>
          <w:bCs/>
          <w:color w:val="auto"/>
          <w:kern w:val="2"/>
          <w:highlight w:val="none"/>
        </w:rPr>
        <w:t>4.1.8动植分布</w:t>
      </w:r>
      <w:bookmarkEnd w:id="671"/>
      <w:bookmarkEnd w:id="672"/>
      <w:bookmarkEnd w:id="673"/>
      <w:bookmarkEnd w:id="674"/>
      <w:bookmarkEnd w:id="675"/>
      <w:bookmarkEnd w:id="676"/>
      <w:bookmarkEnd w:id="677"/>
      <w:bookmarkEnd w:id="678"/>
      <w:bookmarkEnd w:id="679"/>
      <w:bookmarkEnd w:id="680"/>
      <w:bookmarkEnd w:id="681"/>
    </w:p>
    <w:p w14:paraId="19BEB731">
      <w:pPr>
        <w:spacing w:line="440" w:lineRule="exact"/>
        <w:ind w:firstLine="480" w:firstLineChars="200"/>
        <w:jc w:val="both"/>
        <w:rPr>
          <w:rFonts w:ascii="Times New Roman" w:hAnsi="Times New Roman" w:cs="Times New Roman"/>
          <w:bCs/>
          <w:color w:val="auto"/>
          <w:kern w:val="2"/>
          <w:szCs w:val="20"/>
          <w:highlight w:val="none"/>
        </w:rPr>
      </w:pPr>
      <w:r>
        <w:rPr>
          <w:rFonts w:ascii="Times New Roman" w:hAnsi="Times New Roman" w:cs="Times New Roman"/>
          <w:bCs/>
          <w:color w:val="auto"/>
          <w:kern w:val="2"/>
          <w:szCs w:val="20"/>
          <w:highlight w:val="none"/>
        </w:rPr>
        <w:t>区域内野生动物种类和数量均较少，伴随人类生存的农田小型鼠类、麻雀、家燕等种群数量较多，使陆生动物区系具有典型的农田动物群色彩。</w:t>
      </w:r>
    </w:p>
    <w:p w14:paraId="17144DD4">
      <w:pPr>
        <w:widowControl w:val="0"/>
        <w:spacing w:line="440" w:lineRule="exact"/>
        <w:ind w:firstLine="480" w:firstLineChars="200"/>
        <w:jc w:val="both"/>
        <w:rPr>
          <w:rFonts w:ascii="Times New Roman" w:hAnsi="Times New Roman" w:cs="Times New Roman" w:eastAsiaTheme="minorEastAsia"/>
          <w:color w:val="auto"/>
          <w:highlight w:val="none"/>
        </w:rPr>
      </w:pPr>
      <w:r>
        <w:rPr>
          <w:rFonts w:ascii="Times New Roman" w:hAnsi="Times New Roman" w:cs="Times New Roman"/>
          <w:bCs/>
          <w:color w:val="auto"/>
          <w:kern w:val="2"/>
          <w:szCs w:val="20"/>
          <w:highlight w:val="none"/>
        </w:rPr>
        <w:t>项目所在地区内无文物古迹、风景名胜区、自然保护区和珍稀濒危野生动植物分布</w:t>
      </w:r>
      <w:r>
        <w:rPr>
          <w:rFonts w:ascii="Times New Roman" w:hAnsi="Times New Roman" w:cs="Times New Roman" w:eastAsiaTheme="minorEastAsia"/>
          <w:color w:val="auto"/>
          <w:highlight w:val="none"/>
        </w:rPr>
        <w:t>。</w:t>
      </w:r>
    </w:p>
    <w:p w14:paraId="00FA8BDF">
      <w:pPr>
        <w:pStyle w:val="4"/>
        <w:keepNext w:val="0"/>
        <w:keepLines w:val="0"/>
        <w:widowControl w:val="0"/>
        <w:spacing w:before="120" w:after="120" w:line="440" w:lineRule="exact"/>
        <w:jc w:val="both"/>
        <w:rPr>
          <w:rFonts w:ascii="Times New Roman" w:hAnsi="Times New Roman" w:eastAsia="宋体"/>
          <w:b/>
          <w:snapToGrid w:val="0"/>
          <w:color w:val="auto"/>
          <w:highlight w:val="none"/>
        </w:rPr>
      </w:pPr>
      <w:bookmarkStart w:id="682" w:name="_Toc186444319"/>
      <w:bookmarkStart w:id="683" w:name="_Toc195661897"/>
      <w:r>
        <w:rPr>
          <w:rFonts w:ascii="Times New Roman" w:hAnsi="Times New Roman" w:eastAsia="宋体"/>
          <w:b/>
          <w:snapToGrid w:val="0"/>
          <w:color w:val="auto"/>
          <w:highlight w:val="none"/>
        </w:rPr>
        <w:t>4.2环境</w:t>
      </w:r>
      <w:r>
        <w:rPr>
          <w:rFonts w:hint="eastAsia" w:ascii="Times New Roman" w:hAnsi="Times New Roman" w:eastAsia="宋体"/>
          <w:b/>
          <w:snapToGrid w:val="0"/>
          <w:color w:val="auto"/>
          <w:highlight w:val="none"/>
        </w:rPr>
        <w:t>敏感区</w:t>
      </w:r>
      <w:r>
        <w:rPr>
          <w:rFonts w:ascii="Times New Roman" w:hAnsi="Times New Roman" w:eastAsia="宋体"/>
          <w:b/>
          <w:snapToGrid w:val="0"/>
          <w:color w:val="auto"/>
          <w:highlight w:val="none"/>
        </w:rPr>
        <w:t>调查</w:t>
      </w:r>
      <w:bookmarkEnd w:id="682"/>
      <w:bookmarkEnd w:id="683"/>
    </w:p>
    <w:p w14:paraId="26D492ED">
      <w:pPr>
        <w:widowControl w:val="0"/>
        <w:spacing w:line="430" w:lineRule="exact"/>
        <w:ind w:firstLine="480" w:firstLineChars="200"/>
        <w:jc w:val="both"/>
        <w:rPr>
          <w:rFonts w:ascii="Times New Roman" w:hAnsi="Times New Roman" w:cs="Times New Roman"/>
          <w:color w:val="auto"/>
          <w:highlight w:val="none"/>
        </w:rPr>
      </w:pPr>
      <w:r>
        <w:rPr>
          <w:rFonts w:ascii="Times New Roman" w:hAnsi="Times New Roman" w:cs="Times New Roman"/>
          <w:bCs/>
          <w:color w:val="auto"/>
          <w:highlight w:val="none"/>
        </w:rPr>
        <w:t>本项目位于黑龙江省安达市昌德镇境内，根据现场勘查，本项目区域范围内不涉及国家公园、自然保护区、风景名胜区、世界文化和自然遗产地、海洋特别保护区、饮用水水源保护区，不涉及基本草原、自然公园（森林公园、地质公园、海洋公园等）、重要湿地、天然林、重点保护野生动物栖息地、重点保护野生植物生长繁殖地、重要水生生物的自然产卵场、索饵场、越冬场和洄游通道、天然渔场、水土流失重点预防区</w:t>
      </w:r>
      <w:r>
        <w:rPr>
          <w:rFonts w:hint="eastAsia" w:ascii="Times New Roman" w:hAnsi="Times New Roman" w:cs="Times New Roman"/>
          <w:bCs/>
          <w:color w:val="auto"/>
          <w:highlight w:val="none"/>
        </w:rPr>
        <w:t>和重点治理区</w:t>
      </w:r>
      <w:r>
        <w:rPr>
          <w:rFonts w:ascii="Times New Roman" w:hAnsi="Times New Roman" w:cs="Times New Roman"/>
          <w:bCs/>
          <w:color w:val="auto"/>
          <w:highlight w:val="none"/>
        </w:rPr>
        <w:t>、沙化土地封禁保护区、封闭及半封闭海域，不涉及以医疗卫生、文化教育、科研、行政办公为主要功能的区域，以及文物保护单位等环境敏感区，也不在生态保护红线范围内。项目占地类型为耕地（</w:t>
      </w:r>
      <w:r>
        <w:rPr>
          <w:rFonts w:hint="eastAsia" w:ascii="Times New Roman" w:hAnsi="Times New Roman" w:cs="Times New Roman"/>
          <w:bCs/>
          <w:color w:val="auto"/>
          <w:highlight w:val="none"/>
        </w:rPr>
        <w:t>永久</w:t>
      </w:r>
      <w:r>
        <w:rPr>
          <w:rFonts w:ascii="Times New Roman" w:hAnsi="Times New Roman" w:cs="Times New Roman"/>
          <w:bCs/>
          <w:color w:val="auto"/>
          <w:highlight w:val="none"/>
        </w:rPr>
        <w:t>基本农田）</w:t>
      </w:r>
      <w:r>
        <w:rPr>
          <w:rFonts w:hint="eastAsia" w:ascii="Times New Roman" w:hAnsi="Times New Roman" w:cs="Times New Roman"/>
          <w:bCs/>
          <w:color w:val="auto"/>
          <w:highlight w:val="none"/>
        </w:rPr>
        <w:t>和</w:t>
      </w:r>
      <w:r>
        <w:rPr>
          <w:rFonts w:ascii="Times New Roman" w:hAnsi="Times New Roman" w:cs="Times New Roman"/>
          <w:bCs/>
          <w:color w:val="auto"/>
          <w:highlight w:val="none"/>
        </w:rPr>
        <w:t>草地（非基本草原），项目</w:t>
      </w:r>
      <w:r>
        <w:rPr>
          <w:rFonts w:hint="eastAsia" w:ascii="Times New Roman" w:hAnsi="Times New Roman" w:cs="Times New Roman"/>
          <w:bCs/>
          <w:color w:val="auto"/>
          <w:highlight w:val="none"/>
        </w:rPr>
        <w:t>评价范围内</w:t>
      </w:r>
      <w:r>
        <w:rPr>
          <w:rFonts w:ascii="Times New Roman" w:hAnsi="Times New Roman" w:cs="Times New Roman"/>
          <w:bCs/>
          <w:color w:val="auto"/>
          <w:highlight w:val="none"/>
        </w:rPr>
        <w:t>不涉及地下</w:t>
      </w:r>
      <w:r>
        <w:rPr>
          <w:rFonts w:hint="eastAsia" w:ascii="Times New Roman" w:hAnsi="Times New Roman" w:cs="Times New Roman"/>
          <w:bCs/>
          <w:color w:val="auto"/>
          <w:highlight w:val="none"/>
        </w:rPr>
        <w:t>饮用</w:t>
      </w:r>
      <w:r>
        <w:rPr>
          <w:rFonts w:ascii="Times New Roman" w:hAnsi="Times New Roman" w:cs="Times New Roman"/>
          <w:bCs/>
          <w:color w:val="auto"/>
          <w:highlight w:val="none"/>
        </w:rPr>
        <w:t>水源井。项目</w:t>
      </w:r>
      <w:r>
        <w:rPr>
          <w:rFonts w:hint="eastAsia" w:ascii="Times New Roman" w:hAnsi="Times New Roman" w:cs="Times New Roman"/>
          <w:bCs/>
          <w:color w:val="auto"/>
          <w:highlight w:val="none"/>
        </w:rPr>
        <w:t>周边</w:t>
      </w:r>
      <w:r>
        <w:rPr>
          <w:rFonts w:ascii="Times New Roman" w:hAnsi="Times New Roman" w:cs="Times New Roman"/>
          <w:bCs/>
          <w:color w:val="auto"/>
          <w:highlight w:val="none"/>
        </w:rPr>
        <w:t>涉及以居住为主要功能的区域。</w:t>
      </w:r>
    </w:p>
    <w:p w14:paraId="2DBFC649">
      <w:pPr>
        <w:widowControl w:val="0"/>
        <w:spacing w:line="440" w:lineRule="exact"/>
        <w:ind w:firstLine="480" w:firstLineChars="200"/>
        <w:jc w:val="both"/>
        <w:rPr>
          <w:rFonts w:ascii="Times New Roman" w:hAnsi="Times New Roman" w:cs="Times New Roman"/>
          <w:bCs/>
          <w:color w:val="auto"/>
          <w:kern w:val="2"/>
          <w:highlight w:val="none"/>
        </w:rPr>
      </w:pPr>
      <w:r>
        <w:rPr>
          <w:rFonts w:ascii="Times New Roman" w:hAnsi="Times New Roman" w:cs="Times New Roman"/>
          <w:bCs/>
          <w:color w:val="auto"/>
          <w:kern w:val="2"/>
          <w:highlight w:val="none"/>
        </w:rPr>
        <w:t>（1）卫星牧场草原自然保护区</w:t>
      </w:r>
    </w:p>
    <w:p w14:paraId="7F8435EF">
      <w:pPr>
        <w:widowControl w:val="0"/>
        <w:spacing w:line="430" w:lineRule="exact"/>
        <w:ind w:firstLine="480" w:firstLineChars="200"/>
        <w:rPr>
          <w:rFonts w:ascii="Times New Roman" w:hAnsi="Times New Roman" w:cs="Times New Roman"/>
          <w:bCs/>
          <w:color w:val="auto"/>
          <w:highlight w:val="none"/>
        </w:rPr>
      </w:pPr>
      <w:r>
        <w:rPr>
          <w:rFonts w:ascii="Times New Roman" w:hAnsi="Times New Roman" w:cs="Times New Roman"/>
          <w:bCs/>
          <w:color w:val="auto"/>
          <w:kern w:val="2"/>
          <w:highlight w:val="none"/>
        </w:rPr>
        <w:t>本工程位于黑龙江省绥化市安达市境内，</w:t>
      </w:r>
      <w:r>
        <w:rPr>
          <w:rFonts w:hint="eastAsia" w:ascii="Times New Roman" w:hAnsi="Times New Roman" w:cs="Times New Roman"/>
          <w:bCs/>
          <w:color w:val="auto"/>
          <w:kern w:val="2"/>
          <w:highlight w:val="none"/>
        </w:rPr>
        <w:t>工程周边分布有</w:t>
      </w:r>
      <w:r>
        <w:rPr>
          <w:rFonts w:ascii="Times New Roman" w:hAnsi="Times New Roman" w:cs="Times New Roman"/>
          <w:bCs/>
          <w:color w:val="auto"/>
          <w:kern w:val="2"/>
          <w:highlight w:val="none"/>
        </w:rPr>
        <w:t>卫星牧场草原自然保护区</w:t>
      </w:r>
      <w:r>
        <w:rPr>
          <w:rFonts w:hint="eastAsia" w:ascii="Times New Roman" w:hAnsi="Times New Roman" w:cs="Times New Roman"/>
          <w:bCs/>
          <w:color w:val="auto"/>
          <w:kern w:val="2"/>
          <w:highlight w:val="none"/>
        </w:rPr>
        <w:t>，最近距离为保护区核心区位于新建管道</w:t>
      </w:r>
      <w:r>
        <w:rPr>
          <w:rFonts w:hint="eastAsia" w:ascii="Times New Roman" w:hAnsi="Times New Roman" w:cs="Times New Roman"/>
          <w:bCs/>
          <w:color w:val="auto"/>
          <w:kern w:val="2"/>
          <w:highlight w:val="none"/>
          <w:lang w:val="en-US" w:eastAsia="zh-CN"/>
        </w:rPr>
        <w:t>东北</w:t>
      </w:r>
      <w:r>
        <w:rPr>
          <w:rFonts w:ascii="Times New Roman" w:hAnsi="Times New Roman" w:cs="Times New Roman"/>
          <w:bCs/>
          <w:color w:val="auto"/>
          <w:kern w:val="2"/>
          <w:highlight w:val="none"/>
        </w:rPr>
        <w:t>侧</w:t>
      </w:r>
      <w:r>
        <w:rPr>
          <w:rFonts w:hint="eastAsia" w:ascii="Times New Roman" w:hAnsi="Times New Roman" w:cs="Times New Roman"/>
          <w:bCs/>
          <w:color w:val="auto"/>
          <w:kern w:val="2"/>
          <w:highlight w:val="none"/>
          <w:lang w:val="en-US" w:eastAsia="zh-CN"/>
        </w:rPr>
        <w:t>3.1</w:t>
      </w:r>
      <w:r>
        <w:rPr>
          <w:rFonts w:hint="eastAsia" w:ascii="Times New Roman" w:hAnsi="Times New Roman" w:cs="Times New Roman"/>
          <w:bCs/>
          <w:color w:val="auto"/>
          <w:kern w:val="2"/>
          <w:highlight w:val="none"/>
        </w:rPr>
        <w:t>k</w:t>
      </w:r>
      <w:r>
        <w:rPr>
          <w:rFonts w:ascii="Times New Roman" w:hAnsi="Times New Roman" w:cs="Times New Roman"/>
          <w:bCs/>
          <w:color w:val="auto"/>
          <w:kern w:val="2"/>
          <w:highlight w:val="none"/>
        </w:rPr>
        <w:t>m</w:t>
      </w:r>
      <w:r>
        <w:rPr>
          <w:rFonts w:hint="eastAsia" w:ascii="Times New Roman" w:hAnsi="Times New Roman" w:cs="Times New Roman"/>
          <w:bCs/>
          <w:color w:val="auto"/>
          <w:kern w:val="2"/>
          <w:highlight w:val="none"/>
        </w:rPr>
        <w:t>（</w:t>
      </w:r>
      <w:r>
        <w:rPr>
          <w:rFonts w:hint="eastAsia" w:ascii="Times New Roman" w:hAnsi="Times New Roman" w:cs="Times New Roman"/>
          <w:color w:val="auto"/>
          <w:kern w:val="2"/>
          <w:szCs w:val="28"/>
          <w:highlight w:val="none"/>
        </w:rPr>
        <w:t>距实验区</w:t>
      </w:r>
      <w:r>
        <w:rPr>
          <w:rFonts w:hint="eastAsia" w:ascii="Times New Roman" w:hAnsi="Times New Roman" w:cs="Times New Roman"/>
          <w:color w:val="auto"/>
          <w:kern w:val="2"/>
          <w:szCs w:val="28"/>
          <w:highlight w:val="none"/>
          <w:lang w:val="en-US" w:eastAsia="zh-CN"/>
        </w:rPr>
        <w:t>3.4</w:t>
      </w:r>
      <w:r>
        <w:rPr>
          <w:rFonts w:hint="eastAsia" w:ascii="Times New Roman" w:hAnsi="Times New Roman" w:cs="Times New Roman"/>
          <w:color w:val="auto"/>
          <w:kern w:val="2"/>
          <w:szCs w:val="28"/>
          <w:highlight w:val="none"/>
        </w:rPr>
        <w:t>km、缓冲区</w:t>
      </w:r>
      <w:r>
        <w:rPr>
          <w:rFonts w:hint="eastAsia" w:ascii="Times New Roman" w:hAnsi="Times New Roman" w:cs="Times New Roman"/>
          <w:color w:val="auto"/>
          <w:kern w:val="2"/>
          <w:szCs w:val="28"/>
          <w:highlight w:val="none"/>
          <w:lang w:val="en-US" w:eastAsia="zh-CN"/>
        </w:rPr>
        <w:t>3.2</w:t>
      </w:r>
      <w:r>
        <w:rPr>
          <w:rFonts w:hint="eastAsia" w:ascii="Times New Roman" w:hAnsi="Times New Roman" w:cs="Times New Roman"/>
          <w:color w:val="auto"/>
          <w:kern w:val="2"/>
          <w:szCs w:val="28"/>
          <w:highlight w:val="none"/>
        </w:rPr>
        <w:t>km</w:t>
      </w:r>
      <w:r>
        <w:rPr>
          <w:rFonts w:hint="eastAsia" w:ascii="Times New Roman" w:hAnsi="Times New Roman" w:cs="Times New Roman"/>
          <w:bCs/>
          <w:color w:val="auto"/>
          <w:kern w:val="2"/>
          <w:highlight w:val="none"/>
        </w:rPr>
        <w:t>）</w:t>
      </w:r>
      <w:r>
        <w:rPr>
          <w:rFonts w:ascii="Times New Roman" w:hAnsi="Times New Roman" w:cs="Times New Roman"/>
          <w:bCs/>
          <w:color w:val="auto"/>
          <w:kern w:val="2"/>
          <w:highlight w:val="none"/>
        </w:rPr>
        <w:t>。卫星牧场草原自然保护区是大庆市肇州县2003年5月建设的自然生态系统类县级保护区。2017年12月，肇州县卫星牧场草原自然保护区范围和功能分区进行了调整，后根据《关于做好自然保护区范围及功能分区优化调整前期有关工作的函》（自然资函〔2020〕71号），对自然保护区各功能区进行了完善，卫星牧场草原自然保护区是肇州县具有代表性的自然生态系统，以草原及栖息于其中野生动物为保护对象，是生物多样性保护、资源可持续利用的综合性自然保护区，同时也是开展草甸草原生态系统和野生动植物物种研究和保护的重要基地</w:t>
      </w:r>
      <w:r>
        <w:rPr>
          <w:rFonts w:ascii="Times New Roman" w:hAnsi="Times New Roman" w:cs="Times New Roman" w:eastAsiaTheme="minorEastAsia"/>
          <w:bCs/>
          <w:color w:val="auto"/>
          <w:kern w:val="2"/>
          <w:highlight w:val="none"/>
        </w:rPr>
        <w:t>。</w:t>
      </w:r>
    </w:p>
    <w:p w14:paraId="6E696AD2">
      <w:pPr>
        <w:widowControl w:val="0"/>
        <w:spacing w:line="440" w:lineRule="exact"/>
        <w:ind w:firstLine="480" w:firstLineChars="200"/>
        <w:jc w:val="both"/>
        <w:rPr>
          <w:rFonts w:ascii="Times New Roman" w:hAnsi="Times New Roman" w:cs="Times New Roman"/>
          <w:bCs/>
          <w:color w:val="auto"/>
          <w:kern w:val="2"/>
          <w:highlight w:val="none"/>
        </w:rPr>
      </w:pPr>
      <w:r>
        <w:rPr>
          <w:rFonts w:hint="eastAsia" w:ascii="Times New Roman" w:hAnsi="Times New Roman" w:cs="Times New Roman"/>
          <w:bCs/>
          <w:color w:val="auto"/>
          <w:kern w:val="2"/>
          <w:highlight w:val="none"/>
        </w:rPr>
        <w:t>（2）永久</w:t>
      </w:r>
      <w:r>
        <w:rPr>
          <w:rFonts w:ascii="Times New Roman" w:hAnsi="Times New Roman" w:cs="Times New Roman"/>
          <w:bCs/>
          <w:color w:val="auto"/>
          <w:kern w:val="2"/>
          <w:highlight w:val="none"/>
        </w:rPr>
        <w:t>基本农田</w:t>
      </w:r>
    </w:p>
    <w:p w14:paraId="5D33F0D3">
      <w:pPr>
        <w:widowControl w:val="0"/>
        <w:spacing w:line="440" w:lineRule="exact"/>
        <w:ind w:firstLine="480" w:firstLineChars="200"/>
        <w:jc w:val="both"/>
        <w:rPr>
          <w:rFonts w:ascii="Times New Roman" w:hAnsi="Times New Roman" w:cs="Times New Roman"/>
          <w:bCs/>
          <w:color w:val="auto"/>
          <w:kern w:val="2"/>
          <w:highlight w:val="none"/>
        </w:rPr>
      </w:pPr>
      <w:r>
        <w:rPr>
          <w:rFonts w:ascii="Times New Roman" w:hAnsi="Times New Roman" w:cs="Times New Roman"/>
          <w:bCs/>
          <w:color w:val="auto"/>
          <w:kern w:val="2"/>
          <w:highlight w:val="none"/>
        </w:rPr>
        <w:t>根据《基本农田保护条例》，国家能源、交通、水利、军事设施等重点建设项目选址确实无法避开永久基本农田保护区，需要占用永久基本农田，涉及农用地转用或者征收土地的，应报请相关主管部门同意，并补充划入数量和质量相当的永久基本农田或按规定缴纳耕地开垦费，专款用于开垦新的耕地。油田开发工程占地完全避开永久基本农田的可能性较低，在不可避免的条件下需占用永久基本农田时，施工完毕后1年内，临时占地全部恢复原有植被类型，即占用农田全部恢复为耕地。临时占地</w:t>
      </w:r>
      <w:r>
        <w:rPr>
          <w:rFonts w:hint="eastAsia" w:ascii="Times New Roman" w:hAnsi="Times New Roman" w:cs="Times New Roman"/>
          <w:bCs/>
          <w:color w:val="auto"/>
          <w:kern w:val="2"/>
          <w:highlight w:val="none"/>
        </w:rPr>
        <w:t>按规定缴纳土地补偿费</w:t>
      </w:r>
      <w:r>
        <w:rPr>
          <w:rFonts w:ascii="Times New Roman" w:hAnsi="Times New Roman" w:cs="Times New Roman"/>
          <w:bCs/>
          <w:color w:val="auto"/>
          <w:kern w:val="2"/>
          <w:highlight w:val="none"/>
        </w:rPr>
        <w:t>。</w:t>
      </w:r>
    </w:p>
    <w:p w14:paraId="7E069C26">
      <w:pPr>
        <w:widowControl w:val="0"/>
        <w:spacing w:line="430" w:lineRule="exact"/>
        <w:ind w:firstLine="480" w:firstLineChars="200"/>
        <w:rPr>
          <w:rFonts w:ascii="Times New Roman" w:hAnsi="Times New Roman" w:cs="Times New Roman"/>
          <w:bCs/>
          <w:color w:val="auto"/>
          <w:highlight w:val="none"/>
        </w:rPr>
      </w:pPr>
      <w:r>
        <w:rPr>
          <w:rFonts w:ascii="Times New Roman" w:hAnsi="Times New Roman" w:cs="Times New Roman"/>
          <w:bCs/>
          <w:color w:val="auto"/>
          <w:kern w:val="2"/>
          <w:highlight w:val="none"/>
        </w:rPr>
        <w:t>本工程管线等工程临时</w:t>
      </w:r>
      <w:r>
        <w:rPr>
          <w:rFonts w:hint="eastAsia" w:ascii="Times New Roman" w:hAnsi="Times New Roman" w:cs="Times New Roman"/>
          <w:bCs/>
          <w:color w:val="auto"/>
          <w:kern w:val="2"/>
          <w:highlight w:val="none"/>
        </w:rPr>
        <w:t>占用</w:t>
      </w:r>
      <w:r>
        <w:rPr>
          <w:rFonts w:ascii="Times New Roman" w:hAnsi="Times New Roman" w:cs="Times New Roman"/>
          <w:bCs/>
          <w:color w:val="auto"/>
          <w:kern w:val="2"/>
          <w:highlight w:val="none"/>
        </w:rPr>
        <w:t>基本农田</w:t>
      </w:r>
      <w:r>
        <w:rPr>
          <w:rFonts w:hint="eastAsia" w:ascii="Times New Roman" w:hAnsi="Times New Roman" w:cs="Times New Roman"/>
          <w:bCs/>
          <w:color w:val="auto"/>
          <w:kern w:val="2"/>
          <w:highlight w:val="none"/>
          <w:lang w:val="en-US" w:eastAsia="zh-CN"/>
        </w:rPr>
        <w:t>16.96</w:t>
      </w:r>
      <w:r>
        <w:rPr>
          <w:rFonts w:ascii="Times New Roman" w:hAnsi="Times New Roman" w:cs="Times New Roman"/>
          <w:bCs/>
          <w:color w:val="auto"/>
          <w:kern w:val="2"/>
          <w:highlight w:val="none"/>
        </w:rPr>
        <w:t>hm</w:t>
      </w:r>
      <w:r>
        <w:rPr>
          <w:rFonts w:ascii="Times New Roman" w:hAnsi="Times New Roman" w:cs="Times New Roman"/>
          <w:bCs/>
          <w:color w:val="auto"/>
          <w:kern w:val="2"/>
          <w:highlight w:val="none"/>
          <w:vertAlign w:val="superscript"/>
        </w:rPr>
        <w:t>2</w:t>
      </w:r>
      <w:r>
        <w:rPr>
          <w:rFonts w:ascii="Times New Roman" w:hAnsi="Times New Roman" w:cs="Times New Roman"/>
          <w:bCs/>
          <w:color w:val="auto"/>
          <w:kern w:val="2"/>
          <w:highlight w:val="none"/>
        </w:rPr>
        <w:t>，对农业生产的直接影响主要体现为占用耕地而造成粮食减产，对于临时占地造成的农作物减产，除应对其进行经济补偿外，工程开工前，</w:t>
      </w:r>
      <w:r>
        <w:rPr>
          <w:rFonts w:hint="eastAsia" w:ascii="Times New Roman" w:hAnsi="Times New Roman" w:cs="Times New Roman"/>
          <w:bCs/>
          <w:color w:val="auto"/>
          <w:kern w:val="2"/>
          <w:highlight w:val="none"/>
        </w:rPr>
        <w:t>由</w:t>
      </w:r>
      <w:r>
        <w:rPr>
          <w:rFonts w:hint="eastAsia" w:ascii="Times New Roman" w:hAnsi="Times New Roman" w:eastAsiaTheme="minorEastAsia"/>
          <w:bCs/>
          <w:caps w:val="0"/>
          <w:smallCaps w:val="0"/>
          <w:color w:val="auto"/>
          <w:spacing w:val="0"/>
          <w:w w:val="100"/>
          <w:position w:val="0"/>
          <w:highlight w:val="none"/>
          <w:lang w:val="en-US" w:eastAsia="zh-CN"/>
        </w:rPr>
        <w:t>第十一采油厂</w:t>
      </w:r>
      <w:r>
        <w:rPr>
          <w:rFonts w:ascii="Times New Roman" w:hAnsi="Times New Roman" w:cs="Times New Roman"/>
          <w:bCs/>
          <w:color w:val="auto"/>
          <w:kern w:val="2"/>
          <w:highlight w:val="none"/>
        </w:rPr>
        <w:t>编制表土剥离施工方案，先剥离占地范围内表层土，表层土堆置于</w:t>
      </w:r>
      <w:r>
        <w:rPr>
          <w:rFonts w:hint="eastAsia" w:ascii="Times New Roman" w:hAnsi="Times New Roman" w:cs="Times New Roman"/>
          <w:bCs/>
          <w:color w:val="auto"/>
          <w:kern w:val="2"/>
          <w:highlight w:val="none"/>
        </w:rPr>
        <w:t>管沟一侧</w:t>
      </w:r>
      <w:r>
        <w:rPr>
          <w:rFonts w:ascii="Times New Roman" w:hAnsi="Times New Roman" w:cs="Times New Roman"/>
          <w:bCs/>
          <w:color w:val="auto"/>
          <w:kern w:val="2"/>
          <w:highlight w:val="none"/>
        </w:rPr>
        <w:t>表土剥离临时堆放</w:t>
      </w:r>
      <w:r>
        <w:rPr>
          <w:rFonts w:hint="eastAsia" w:ascii="Times New Roman" w:hAnsi="Times New Roman" w:cs="Times New Roman"/>
          <w:bCs/>
          <w:color w:val="auto"/>
          <w:kern w:val="2"/>
          <w:highlight w:val="none"/>
        </w:rPr>
        <w:t>带</w:t>
      </w:r>
      <w:r>
        <w:rPr>
          <w:rFonts w:ascii="Times New Roman" w:hAnsi="Times New Roman" w:cs="Times New Roman"/>
          <w:bCs/>
          <w:color w:val="auto"/>
          <w:kern w:val="2"/>
          <w:highlight w:val="none"/>
        </w:rPr>
        <w:t>，并对堆放区做好水保措施，</w:t>
      </w:r>
      <w:r>
        <w:rPr>
          <w:rFonts w:hint="eastAsia" w:ascii="Times New Roman" w:hAnsi="Times New Roman" w:cs="Times New Roman"/>
          <w:bCs/>
          <w:color w:val="auto"/>
          <w:kern w:val="2"/>
          <w:highlight w:val="none"/>
        </w:rPr>
        <w:t>如加盖防尘网</w:t>
      </w:r>
      <w:r>
        <w:rPr>
          <w:rFonts w:ascii="Times New Roman" w:hAnsi="Times New Roman" w:cs="Times New Roman"/>
          <w:bCs/>
          <w:color w:val="auto"/>
          <w:kern w:val="2"/>
          <w:highlight w:val="none"/>
        </w:rPr>
        <w:t>，</w:t>
      </w:r>
      <w:r>
        <w:rPr>
          <w:rFonts w:hint="eastAsia" w:ascii="Times New Roman" w:hAnsi="Times New Roman" w:cs="Times New Roman"/>
          <w:bCs/>
          <w:color w:val="auto"/>
          <w:kern w:val="2"/>
          <w:highlight w:val="none"/>
        </w:rPr>
        <w:t>施工结束后及时</w:t>
      </w:r>
      <w:r>
        <w:rPr>
          <w:rFonts w:ascii="Times New Roman" w:hAnsi="Times New Roman" w:cs="Times New Roman"/>
          <w:bCs/>
          <w:color w:val="auto"/>
          <w:kern w:val="2"/>
          <w:highlight w:val="none"/>
        </w:rPr>
        <w:t>回填占地范围，并采用表土复耕，增肥作业，恢复临时占用耕地的生产力</w:t>
      </w:r>
      <w:r>
        <w:rPr>
          <w:rFonts w:hint="eastAsia" w:ascii="Times New Roman" w:hAnsi="Times New Roman"/>
          <w:color w:val="auto"/>
          <w:highlight w:val="none"/>
        </w:rPr>
        <w:t>。</w:t>
      </w:r>
      <w:r>
        <w:rPr>
          <w:rFonts w:ascii="Times New Roman" w:hAnsi="Times New Roman" w:cs="Times New Roman"/>
          <w:bCs/>
          <w:color w:val="auto"/>
          <w:kern w:val="2"/>
          <w:highlight w:val="none"/>
        </w:rPr>
        <w:t>本项目的建设对当地土地利用格局影响在可接受范围内。</w:t>
      </w:r>
    </w:p>
    <w:p w14:paraId="5EA155D7">
      <w:pPr>
        <w:widowControl w:val="0"/>
        <w:spacing w:line="430" w:lineRule="exact"/>
        <w:ind w:firstLine="480" w:firstLineChars="200"/>
        <w:rPr>
          <w:rFonts w:ascii="Times New Roman" w:hAnsi="Times New Roman" w:cs="Times New Roman"/>
          <w:bCs/>
          <w:color w:val="auto"/>
          <w:highlight w:val="none"/>
        </w:rPr>
      </w:pPr>
      <w:r>
        <w:rPr>
          <w:rFonts w:ascii="Times New Roman" w:hAnsi="Times New Roman" w:cs="Times New Roman"/>
          <w:bCs/>
          <w:color w:val="auto"/>
          <w:highlight w:val="none"/>
        </w:rPr>
        <w:t>（3）居住区</w:t>
      </w:r>
    </w:p>
    <w:p w14:paraId="6E66F2A4">
      <w:pPr>
        <w:widowControl w:val="0"/>
        <w:spacing w:line="430" w:lineRule="exact"/>
        <w:ind w:firstLine="480" w:firstLineChars="200"/>
        <w:rPr>
          <w:rFonts w:ascii="Times New Roman" w:hAnsi="Times New Roman" w:cs="Times New Roman"/>
          <w:bCs/>
          <w:color w:val="auto"/>
          <w:highlight w:val="none"/>
        </w:rPr>
      </w:pPr>
      <w:r>
        <w:rPr>
          <w:rFonts w:ascii="Times New Roman" w:hAnsi="Times New Roman" w:cs="Times New Roman"/>
          <w:bCs/>
          <w:color w:val="auto"/>
          <w:highlight w:val="none"/>
        </w:rPr>
        <w:t>本项目周边分布有</w:t>
      </w:r>
      <w:r>
        <w:rPr>
          <w:rFonts w:hint="eastAsia" w:ascii="Times New Roman" w:hAnsi="Times New Roman" w:cs="Times New Roman"/>
          <w:bCs/>
          <w:color w:val="auto"/>
          <w:highlight w:val="none"/>
        </w:rPr>
        <w:t>石宝珍屯</w:t>
      </w:r>
      <w:r>
        <w:rPr>
          <w:rFonts w:ascii="Times New Roman" w:hAnsi="Times New Roman" w:cs="Times New Roman"/>
          <w:bCs/>
          <w:color w:val="auto"/>
          <w:highlight w:val="none"/>
        </w:rPr>
        <w:t>等村屯居</w:t>
      </w:r>
      <w:r>
        <w:rPr>
          <w:rFonts w:hint="eastAsia" w:ascii="Times New Roman" w:hAnsi="Times New Roman" w:cs="Times New Roman"/>
          <w:bCs/>
          <w:color w:val="auto"/>
          <w:highlight w:val="none"/>
        </w:rPr>
        <w:t>住</w:t>
      </w:r>
      <w:r>
        <w:rPr>
          <w:rFonts w:ascii="Times New Roman" w:hAnsi="Times New Roman" w:cs="Times New Roman"/>
          <w:bCs/>
          <w:color w:val="auto"/>
          <w:highlight w:val="none"/>
        </w:rPr>
        <w:t>区，区域内环境</w:t>
      </w:r>
      <w:r>
        <w:rPr>
          <w:rFonts w:hint="eastAsia" w:ascii="Times New Roman" w:hAnsi="Times New Roman" w:cs="Times New Roman"/>
          <w:bCs/>
          <w:color w:val="auto"/>
          <w:highlight w:val="none"/>
        </w:rPr>
        <w:t>空气</w:t>
      </w:r>
      <w:r>
        <w:rPr>
          <w:rFonts w:ascii="Times New Roman" w:hAnsi="Times New Roman" w:cs="Times New Roman"/>
          <w:bCs/>
          <w:color w:val="auto"/>
          <w:highlight w:val="none"/>
        </w:rPr>
        <w:t>质量执行《环境空气质量标准》（GB3095-20</w:t>
      </w:r>
      <w:r>
        <w:rPr>
          <w:rFonts w:hint="eastAsia" w:ascii="Times New Roman" w:hAnsi="Times New Roman" w:cs="Times New Roman"/>
          <w:bCs/>
          <w:color w:val="auto"/>
          <w:highlight w:val="none"/>
        </w:rPr>
        <w:t>26</w:t>
      </w:r>
      <w:r>
        <w:rPr>
          <w:rFonts w:ascii="Times New Roman" w:hAnsi="Times New Roman" w:cs="Times New Roman"/>
          <w:bCs/>
          <w:color w:val="auto"/>
          <w:highlight w:val="none"/>
        </w:rPr>
        <w:t>）中</w:t>
      </w:r>
      <w:r>
        <w:rPr>
          <w:rFonts w:hint="eastAsia" w:ascii="Times New Roman" w:hAnsi="Times New Roman" w:cs="Times New Roman"/>
          <w:bCs/>
          <w:color w:val="auto"/>
          <w:highlight w:val="none"/>
        </w:rPr>
        <w:t>过渡阶段</w:t>
      </w:r>
      <w:r>
        <w:rPr>
          <w:rFonts w:ascii="Times New Roman" w:hAnsi="Times New Roman" w:cs="Times New Roman"/>
          <w:bCs/>
          <w:color w:val="auto"/>
          <w:highlight w:val="none"/>
        </w:rPr>
        <w:t>的二级标准，项目</w:t>
      </w:r>
      <w:r>
        <w:rPr>
          <w:rFonts w:hint="eastAsia" w:ascii="Times New Roman" w:hAnsi="Times New Roman" w:cs="Times New Roman"/>
          <w:bCs/>
          <w:color w:val="auto"/>
          <w:highlight w:val="none"/>
        </w:rPr>
        <w:t>场站</w:t>
      </w:r>
      <w:r>
        <w:rPr>
          <w:rFonts w:ascii="Times New Roman" w:hAnsi="Times New Roman" w:cs="Times New Roman"/>
          <w:bCs/>
          <w:color w:val="auto"/>
          <w:highlight w:val="none"/>
        </w:rPr>
        <w:t>区域声环境执行《声环境质量标准》（GB3096-2008）中2类区标准，项目周边村屯声环境执行《声环境质量标准》（GB3096-2008）中1类区标准。</w:t>
      </w:r>
    </w:p>
    <w:p w14:paraId="7E77801A">
      <w:pPr>
        <w:widowControl w:val="0"/>
        <w:spacing w:line="430" w:lineRule="exact"/>
        <w:ind w:firstLine="480" w:firstLineChars="200"/>
        <w:rPr>
          <w:rFonts w:ascii="Times New Roman" w:hAnsi="Times New Roman" w:cs="Times New Roman"/>
          <w:bCs/>
          <w:color w:val="auto"/>
          <w:highlight w:val="none"/>
        </w:rPr>
      </w:pPr>
      <w:r>
        <w:rPr>
          <w:rFonts w:ascii="Times New Roman" w:hAnsi="Times New Roman" w:cs="Times New Roman"/>
          <w:bCs/>
          <w:color w:val="auto"/>
          <w:highlight w:val="none"/>
        </w:rPr>
        <w:t>（4）占地类型</w:t>
      </w:r>
    </w:p>
    <w:p w14:paraId="497A4F78">
      <w:pPr>
        <w:widowControl w:val="0"/>
        <w:spacing w:line="430" w:lineRule="exact"/>
        <w:ind w:firstLine="480" w:firstLineChars="200"/>
        <w:jc w:val="both"/>
        <w:rPr>
          <w:rFonts w:ascii="Times New Roman" w:hAnsi="Times New Roman" w:cs="Times New Roman"/>
          <w:bCs/>
          <w:color w:val="auto"/>
          <w:highlight w:val="none"/>
        </w:rPr>
      </w:pPr>
      <w:r>
        <w:rPr>
          <w:rFonts w:ascii="Times New Roman" w:hAnsi="Times New Roman" w:cs="Times New Roman"/>
          <w:bCs/>
          <w:color w:val="auto"/>
          <w:highlight w:val="none"/>
        </w:rPr>
        <w:t>根据工程占地统计情况，本项目总占地</w:t>
      </w:r>
      <w:r>
        <w:rPr>
          <w:rFonts w:hint="eastAsia" w:ascii="Times New Roman" w:hAnsi="Times New Roman" w:cs="Times New Roman"/>
          <w:bCs/>
          <w:color w:val="auto"/>
          <w:highlight w:val="none"/>
          <w:lang w:val="en-US" w:eastAsia="zh-CN"/>
        </w:rPr>
        <w:t>21.88</w:t>
      </w:r>
      <w:r>
        <w:rPr>
          <w:rFonts w:ascii="Times New Roman" w:hAnsi="Times New Roman" w:cs="Times New Roman"/>
          <w:bCs/>
          <w:color w:val="auto"/>
          <w:highlight w:val="none"/>
        </w:rPr>
        <w:t>hm</w:t>
      </w:r>
      <w:r>
        <w:rPr>
          <w:rFonts w:ascii="Times New Roman" w:hAnsi="Times New Roman" w:cs="Times New Roman"/>
          <w:bCs/>
          <w:color w:val="auto"/>
          <w:highlight w:val="none"/>
          <w:vertAlign w:val="superscript"/>
        </w:rPr>
        <w:t>2</w:t>
      </w:r>
      <w:r>
        <w:rPr>
          <w:rFonts w:ascii="Times New Roman" w:hAnsi="Times New Roman" w:cs="Times New Roman"/>
          <w:bCs/>
          <w:color w:val="auto"/>
          <w:highlight w:val="none"/>
        </w:rPr>
        <w:t>，</w:t>
      </w:r>
      <w:r>
        <w:rPr>
          <w:rFonts w:hint="eastAsia" w:ascii="Times New Roman" w:hAnsi="Times New Roman" w:cs="Times New Roman"/>
          <w:bCs/>
          <w:color w:val="auto"/>
          <w:highlight w:val="none"/>
          <w:lang w:val="en-US" w:eastAsia="zh-CN"/>
        </w:rPr>
        <w:t>均为</w:t>
      </w:r>
      <w:r>
        <w:rPr>
          <w:rFonts w:ascii="Times New Roman" w:hAnsi="Times New Roman" w:cs="Times New Roman"/>
          <w:bCs/>
          <w:color w:val="auto"/>
          <w:highlight w:val="none"/>
        </w:rPr>
        <w:t>临时占地，根据现场勘查，项目占地类型为</w:t>
      </w:r>
      <w:r>
        <w:rPr>
          <w:rFonts w:hint="eastAsia" w:ascii="Times New Roman" w:hAnsi="Times New Roman" w:cs="Times New Roman"/>
          <w:bCs/>
          <w:color w:val="auto"/>
          <w:highlight w:val="none"/>
        </w:rPr>
        <w:t>草地（非基本草原）</w:t>
      </w:r>
      <w:r>
        <w:rPr>
          <w:rFonts w:hint="eastAsia" w:ascii="Times New Roman" w:hAnsi="Times New Roman" w:cs="Times New Roman"/>
          <w:bCs/>
          <w:color w:val="auto"/>
          <w:highlight w:val="none"/>
          <w:lang w:val="en-US" w:eastAsia="zh-CN"/>
        </w:rPr>
        <w:t>和</w:t>
      </w:r>
      <w:r>
        <w:rPr>
          <w:rFonts w:ascii="Times New Roman" w:hAnsi="Times New Roman" w:cs="Times New Roman"/>
          <w:bCs/>
          <w:color w:val="auto"/>
          <w:highlight w:val="none"/>
        </w:rPr>
        <w:t>耕地</w:t>
      </w:r>
      <w:r>
        <w:rPr>
          <w:rFonts w:hint="eastAsia" w:ascii="Times New Roman" w:hAnsi="Times New Roman" w:cs="Times New Roman"/>
          <w:bCs/>
          <w:color w:val="auto"/>
          <w:highlight w:val="none"/>
        </w:rPr>
        <w:t>（基本农田）</w:t>
      </w:r>
      <w:r>
        <w:rPr>
          <w:rFonts w:ascii="Times New Roman" w:hAnsi="Times New Roman" w:cs="Times New Roman"/>
          <w:bCs/>
          <w:color w:val="auto"/>
          <w:highlight w:val="none"/>
        </w:rPr>
        <w:t>。</w:t>
      </w:r>
    </w:p>
    <w:p w14:paraId="74478954">
      <w:pPr>
        <w:widowControl w:val="0"/>
        <w:spacing w:line="430" w:lineRule="exact"/>
        <w:ind w:firstLine="480" w:firstLineChars="200"/>
        <w:rPr>
          <w:rFonts w:ascii="Times New Roman" w:hAnsi="Times New Roman" w:cs="Times New Roman"/>
          <w:bCs/>
          <w:color w:val="auto"/>
          <w:highlight w:val="none"/>
        </w:rPr>
      </w:pPr>
      <w:r>
        <w:rPr>
          <w:rFonts w:ascii="Times New Roman" w:hAnsi="Times New Roman" w:cs="Times New Roman"/>
          <w:bCs/>
          <w:color w:val="auto"/>
          <w:highlight w:val="none"/>
        </w:rPr>
        <w:t>（5）地表水体</w:t>
      </w:r>
    </w:p>
    <w:p w14:paraId="776C5A71">
      <w:pPr>
        <w:widowControl w:val="0"/>
        <w:spacing w:line="430" w:lineRule="exact"/>
        <w:ind w:firstLine="480" w:firstLineChars="200"/>
        <w:rPr>
          <w:rFonts w:ascii="Times New Roman" w:hAnsi="Times New Roman" w:cs="Times New Roman"/>
          <w:bCs/>
          <w:color w:val="auto"/>
          <w:highlight w:val="none"/>
        </w:rPr>
      </w:pPr>
      <w:r>
        <w:rPr>
          <w:rFonts w:ascii="Times New Roman" w:hAnsi="Times New Roman" w:cs="Times New Roman"/>
          <w:bCs/>
          <w:color w:val="auto"/>
          <w:highlight w:val="none"/>
        </w:rPr>
        <w:t>本项目附近</w:t>
      </w:r>
      <w:r>
        <w:rPr>
          <w:rFonts w:hint="eastAsia" w:ascii="Times New Roman" w:hAnsi="Times New Roman" w:cs="Times New Roman"/>
          <w:bCs/>
          <w:color w:val="auto"/>
          <w:highlight w:val="none"/>
          <w:lang w:val="en-US" w:eastAsia="zh-CN"/>
        </w:rPr>
        <w:t>无</w:t>
      </w:r>
      <w:r>
        <w:rPr>
          <w:rFonts w:ascii="Times New Roman" w:hAnsi="Times New Roman" w:cs="Times New Roman"/>
          <w:bCs/>
          <w:color w:val="auto"/>
          <w:highlight w:val="none"/>
        </w:rPr>
        <w:t>地表水体。</w:t>
      </w:r>
    </w:p>
    <w:p w14:paraId="12D695DE">
      <w:pPr>
        <w:widowControl w:val="0"/>
        <w:spacing w:line="430" w:lineRule="exact"/>
        <w:ind w:firstLine="480" w:firstLineChars="200"/>
        <w:rPr>
          <w:rFonts w:ascii="Times New Roman" w:hAnsi="Times New Roman" w:cs="Times New Roman"/>
          <w:bCs/>
          <w:color w:val="auto"/>
          <w:highlight w:val="none"/>
        </w:rPr>
      </w:pPr>
      <w:r>
        <w:rPr>
          <w:rFonts w:ascii="Times New Roman" w:hAnsi="Times New Roman" w:cs="Times New Roman"/>
          <w:bCs/>
          <w:color w:val="auto"/>
          <w:highlight w:val="none"/>
        </w:rPr>
        <w:t>（6）地下饮用水源保护区</w:t>
      </w:r>
    </w:p>
    <w:p w14:paraId="4D402004">
      <w:pPr>
        <w:widowControl w:val="0"/>
        <w:spacing w:line="430" w:lineRule="exact"/>
        <w:ind w:firstLine="480" w:firstLineChars="200"/>
        <w:jc w:val="both"/>
        <w:rPr>
          <w:rFonts w:ascii="Times New Roman" w:hAnsi="Times New Roman" w:cs="Times New Roman"/>
          <w:bCs/>
          <w:color w:val="auto"/>
          <w:highlight w:val="none"/>
        </w:rPr>
      </w:pPr>
      <w:r>
        <w:rPr>
          <w:rFonts w:ascii="Times New Roman" w:hAnsi="Times New Roman" w:cs="Times New Roman"/>
          <w:bCs/>
          <w:color w:val="auto"/>
          <w:highlight w:val="none"/>
        </w:rPr>
        <w:t>根据《黑龙江省人民政府关于调整撤销新建哈尔滨等11个地市384个集中式饮用水水源保护区》（黑政函〔2019〕118号）和《黑龙江省人民政府关于调整撤销新建哈尔滨市等市（地）197个集中式饮用水水源保护区》（黑政函〔2020〕97号））以及现场实际勘察，根据调查，</w:t>
      </w:r>
      <w:r>
        <w:rPr>
          <w:rFonts w:ascii="Times New Roman" w:hAnsi="Times New Roman" w:cs="Times New Roman"/>
          <w:bCs/>
          <w:color w:val="auto"/>
          <w:highlight w:val="none"/>
        </w:rPr>
        <w:t>距离本项目最近的集中式地下水饮用水水源为</w:t>
      </w:r>
      <w:r>
        <w:rPr>
          <w:rFonts w:hint="eastAsia" w:ascii="Times New Roman" w:hAnsi="Times New Roman" w:cs="Times New Roman"/>
          <w:bCs/>
          <w:color w:val="auto"/>
          <w:highlight w:val="none"/>
        </w:rPr>
        <w:t>昌德镇</w:t>
      </w:r>
      <w:r>
        <w:rPr>
          <w:rFonts w:ascii="Times New Roman" w:hAnsi="Times New Roman" w:cs="Times New Roman"/>
          <w:bCs/>
          <w:color w:val="auto"/>
          <w:highlight w:val="none"/>
        </w:rPr>
        <w:t>地下水饮用水水源</w:t>
      </w:r>
      <w:r>
        <w:rPr>
          <w:rFonts w:hint="eastAsia" w:ascii="Times New Roman" w:hAnsi="Times New Roman" w:cs="Times New Roman"/>
          <w:bCs/>
          <w:color w:val="auto"/>
          <w:highlight w:val="none"/>
        </w:rPr>
        <w:t>（</w:t>
      </w:r>
      <w:r>
        <w:rPr>
          <w:rFonts w:hint="eastAsia" w:ascii="Times New Roman" w:hAnsi="Times New Roman" w:cs="Times New Roman"/>
          <w:bCs/>
          <w:color w:val="auto"/>
          <w:kern w:val="2"/>
          <w:highlight w:val="none"/>
        </w:rPr>
        <w:t>管道</w:t>
      </w:r>
      <w:r>
        <w:rPr>
          <w:rFonts w:hint="eastAsia" w:ascii="Times New Roman" w:hAnsi="Times New Roman" w:cs="Times New Roman"/>
          <w:bCs/>
          <w:color w:val="auto"/>
          <w:kern w:val="2"/>
          <w:highlight w:val="none"/>
          <w:lang w:val="en-US" w:eastAsia="zh-CN"/>
        </w:rPr>
        <w:t>西侧500</w:t>
      </w:r>
      <w:r>
        <w:rPr>
          <w:rFonts w:hint="eastAsia" w:ascii="Times New Roman" w:hAnsi="Times New Roman" w:cs="Times New Roman"/>
          <w:bCs/>
          <w:color w:val="auto"/>
          <w:kern w:val="2"/>
          <w:highlight w:val="none"/>
        </w:rPr>
        <w:t>m</w:t>
      </w:r>
      <w:r>
        <w:rPr>
          <w:rFonts w:hint="eastAsia" w:ascii="Times New Roman" w:hAnsi="Times New Roman" w:cs="Times New Roman"/>
          <w:bCs/>
          <w:color w:val="auto"/>
          <w:highlight w:val="none"/>
        </w:rPr>
        <w:t>）</w:t>
      </w:r>
      <w:r>
        <w:rPr>
          <w:rFonts w:ascii="Times New Roman" w:hAnsi="Times New Roman" w:cs="Times New Roman"/>
          <w:bCs/>
          <w:color w:val="auto"/>
          <w:highlight w:val="none"/>
        </w:rPr>
        <w:t>，</w:t>
      </w:r>
      <w:r>
        <w:rPr>
          <w:rFonts w:hint="eastAsia" w:ascii="Times New Roman" w:hAnsi="Times New Roman" w:cs="Times New Roman"/>
          <w:bCs/>
          <w:color w:val="auto"/>
          <w:highlight w:val="none"/>
        </w:rPr>
        <w:t>昌德</w:t>
      </w:r>
      <w:r>
        <w:rPr>
          <w:rFonts w:ascii="Times New Roman" w:hAnsi="Times New Roman" w:cs="Times New Roman"/>
          <w:bCs/>
          <w:color w:val="auto"/>
          <w:highlight w:val="none"/>
        </w:rPr>
        <w:t>镇地下水饮用水水源井共3口，井深120m，供水人口4400人，服务范围为</w:t>
      </w:r>
      <w:r>
        <w:rPr>
          <w:rFonts w:hint="eastAsia" w:ascii="Times New Roman" w:hAnsi="Times New Roman" w:cs="Times New Roman"/>
          <w:bCs/>
          <w:color w:val="auto"/>
          <w:highlight w:val="none"/>
        </w:rPr>
        <w:t>昌德镇</w:t>
      </w:r>
      <w:r>
        <w:rPr>
          <w:rFonts w:ascii="Times New Roman" w:hAnsi="Times New Roman" w:cs="Times New Roman"/>
          <w:bCs/>
          <w:color w:val="auto"/>
          <w:highlight w:val="none"/>
        </w:rPr>
        <w:t>及周边村屯，为集中式水源地</w:t>
      </w:r>
      <w:r>
        <w:rPr>
          <w:rFonts w:ascii="Times New Roman" w:hAnsi="Times New Roman" w:cs="Times New Roman"/>
          <w:bCs/>
          <w:color w:val="auto"/>
          <w:highlight w:val="none"/>
        </w:rPr>
        <w:t>。本项目调查范围内村屯联村饮用水源井供水人数小于1000人，</w:t>
      </w:r>
      <w:r>
        <w:rPr>
          <w:rFonts w:hint="eastAsia" w:ascii="Times New Roman" w:hAnsi="Times New Roman" w:cs="Times New Roman"/>
          <w:bCs/>
          <w:color w:val="auto"/>
          <w:highlight w:val="none"/>
          <w:lang w:val="en-US" w:eastAsia="zh-CN"/>
        </w:rPr>
        <w:t>史家屯、张家屯、车家窝棚、新立屯</w:t>
      </w:r>
      <w:r>
        <w:rPr>
          <w:rFonts w:hint="eastAsia" w:ascii="Times New Roman" w:hAnsi="Times New Roman" w:cs="Times New Roman"/>
          <w:bCs/>
          <w:color w:val="auto"/>
          <w:highlight w:val="none"/>
        </w:rPr>
        <w:t>水源井</w:t>
      </w:r>
      <w:r>
        <w:rPr>
          <w:rFonts w:ascii="Times New Roman" w:hAnsi="Times New Roman" w:cs="Times New Roman"/>
          <w:bCs/>
          <w:color w:val="auto"/>
          <w:highlight w:val="none"/>
        </w:rPr>
        <w:t>为分散式水源地。</w:t>
      </w:r>
    </w:p>
    <w:p w14:paraId="2246A382">
      <w:pPr>
        <w:pStyle w:val="4"/>
        <w:keepNext w:val="0"/>
        <w:keepLines w:val="0"/>
        <w:widowControl w:val="0"/>
        <w:spacing w:before="120" w:after="120" w:line="430" w:lineRule="exact"/>
        <w:rPr>
          <w:rFonts w:ascii="Times New Roman" w:hAnsi="Times New Roman" w:eastAsiaTheme="minorEastAsia"/>
          <w:b/>
          <w:caps w:val="0"/>
          <w:smallCaps w:val="0"/>
          <w:snapToGrid w:val="0"/>
          <w:color w:val="auto"/>
          <w:spacing w:val="0"/>
          <w:w w:val="100"/>
          <w:position w:val="0"/>
          <w:highlight w:val="none"/>
        </w:rPr>
      </w:pPr>
      <w:bookmarkStart w:id="684" w:name="_Toc15781"/>
      <w:bookmarkStart w:id="685" w:name="_Toc219900393"/>
      <w:r>
        <w:rPr>
          <w:rFonts w:ascii="Times New Roman" w:hAnsi="Times New Roman" w:eastAsiaTheme="minorEastAsia"/>
          <w:b/>
          <w:caps w:val="0"/>
          <w:smallCaps w:val="0"/>
          <w:snapToGrid w:val="0"/>
          <w:color w:val="auto"/>
          <w:spacing w:val="0"/>
          <w:w w:val="100"/>
          <w:position w:val="0"/>
          <w:highlight w:val="none"/>
        </w:rPr>
        <w:t>4.3环境质量现状调查与评价</w:t>
      </w:r>
      <w:bookmarkEnd w:id="684"/>
      <w:bookmarkEnd w:id="685"/>
    </w:p>
    <w:p w14:paraId="11775A9A">
      <w:pPr>
        <w:widowControl w:val="0"/>
        <w:spacing w:line="43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bookmarkStart w:id="686" w:name="_Toc430689874"/>
      <w:bookmarkStart w:id="687" w:name="_Toc438540824"/>
      <w:bookmarkStart w:id="688" w:name="_Toc430692059"/>
      <w:r>
        <w:rPr>
          <w:rFonts w:ascii="Times New Roman" w:hAnsi="Times New Roman" w:cs="Times New Roman"/>
          <w:caps w:val="0"/>
          <w:smallCaps w:val="0"/>
          <w:color w:val="auto"/>
          <w:spacing w:val="0"/>
          <w:w w:val="100"/>
          <w:kern w:val="2"/>
          <w:position w:val="0"/>
          <w:highlight w:val="none"/>
        </w:rPr>
        <w:t>委托大庆中环评价检测有限公司于</w:t>
      </w:r>
      <w:r>
        <w:rPr>
          <w:rFonts w:ascii="Times New Roman" w:hAnsi="Times New Roman" w:cs="Times New Roman"/>
          <w:bCs/>
          <w:caps w:val="0"/>
          <w:smallCaps w:val="0"/>
          <w:color w:val="auto"/>
          <w:spacing w:val="0"/>
          <w:w w:val="100"/>
          <w:kern w:val="2"/>
          <w:position w:val="0"/>
          <w:highlight w:val="none"/>
        </w:rPr>
        <w:t>202</w:t>
      </w:r>
      <w:r>
        <w:rPr>
          <w:rFonts w:hint="eastAsia" w:ascii="Times New Roman" w:hAnsi="Times New Roman" w:cs="Times New Roman"/>
          <w:bCs/>
          <w:caps w:val="0"/>
          <w:smallCaps w:val="0"/>
          <w:color w:val="auto"/>
          <w:spacing w:val="0"/>
          <w:w w:val="100"/>
          <w:kern w:val="2"/>
          <w:position w:val="0"/>
          <w:highlight w:val="none"/>
          <w:lang w:val="en-US" w:eastAsia="zh-CN"/>
        </w:rPr>
        <w:t>6</w:t>
      </w:r>
      <w:r>
        <w:rPr>
          <w:rFonts w:ascii="Times New Roman" w:hAnsi="Times New Roman" w:cs="Times New Roman"/>
          <w:bCs/>
          <w:caps w:val="0"/>
          <w:smallCaps w:val="0"/>
          <w:color w:val="auto"/>
          <w:spacing w:val="0"/>
          <w:w w:val="100"/>
          <w:kern w:val="2"/>
          <w:position w:val="0"/>
          <w:highlight w:val="none"/>
        </w:rPr>
        <w:t>年</w:t>
      </w:r>
      <w:r>
        <w:rPr>
          <w:rFonts w:hint="eastAsia" w:ascii="Times New Roman" w:hAnsi="Times New Roman" w:cs="Times New Roman"/>
          <w:bCs/>
          <w:caps w:val="0"/>
          <w:smallCaps w:val="0"/>
          <w:color w:val="auto"/>
          <w:spacing w:val="0"/>
          <w:w w:val="100"/>
          <w:kern w:val="2"/>
          <w:position w:val="0"/>
          <w:highlight w:val="none"/>
          <w:lang w:val="en-US" w:eastAsia="zh-CN"/>
        </w:rPr>
        <w:t>5</w:t>
      </w:r>
      <w:r>
        <w:rPr>
          <w:rFonts w:ascii="Times New Roman" w:hAnsi="Times New Roman" w:cs="Times New Roman"/>
          <w:bCs/>
          <w:caps w:val="0"/>
          <w:smallCaps w:val="0"/>
          <w:color w:val="auto"/>
          <w:spacing w:val="0"/>
          <w:w w:val="100"/>
          <w:kern w:val="2"/>
          <w:position w:val="0"/>
          <w:highlight w:val="none"/>
        </w:rPr>
        <w:t>月</w:t>
      </w:r>
      <w:r>
        <w:rPr>
          <w:rFonts w:hint="eastAsia" w:ascii="Times New Roman" w:hAnsi="Times New Roman" w:cs="Times New Roman"/>
          <w:bCs/>
          <w:caps w:val="0"/>
          <w:smallCaps w:val="0"/>
          <w:color w:val="auto"/>
          <w:spacing w:val="0"/>
          <w:w w:val="100"/>
          <w:kern w:val="2"/>
          <w:position w:val="0"/>
          <w:highlight w:val="none"/>
          <w:lang w:val="en-US" w:eastAsia="zh-CN"/>
        </w:rPr>
        <w:t>27</w:t>
      </w:r>
      <w:r>
        <w:rPr>
          <w:rFonts w:ascii="Times New Roman" w:hAnsi="Times New Roman" w:cs="Times New Roman"/>
          <w:bCs/>
          <w:caps w:val="0"/>
          <w:smallCaps w:val="0"/>
          <w:color w:val="auto"/>
          <w:spacing w:val="0"/>
          <w:w w:val="100"/>
          <w:kern w:val="2"/>
          <w:position w:val="0"/>
          <w:highlight w:val="none"/>
        </w:rPr>
        <w:t>日~</w:t>
      </w:r>
      <w:r>
        <w:rPr>
          <w:rFonts w:hint="eastAsia" w:ascii="Times New Roman" w:hAnsi="Times New Roman" w:cs="Times New Roman"/>
          <w:bCs/>
          <w:caps w:val="0"/>
          <w:smallCaps w:val="0"/>
          <w:color w:val="auto"/>
          <w:spacing w:val="0"/>
          <w:w w:val="100"/>
          <w:kern w:val="2"/>
          <w:position w:val="0"/>
          <w:highlight w:val="none"/>
          <w:lang w:val="en-US" w:eastAsia="zh-CN"/>
        </w:rPr>
        <w:t>6月2日</w:t>
      </w:r>
      <w:r>
        <w:rPr>
          <w:rFonts w:ascii="Times New Roman" w:hAnsi="Times New Roman" w:cs="Times New Roman"/>
          <w:caps w:val="0"/>
          <w:smallCaps w:val="0"/>
          <w:color w:val="auto"/>
          <w:spacing w:val="0"/>
          <w:w w:val="100"/>
          <w:kern w:val="2"/>
          <w:position w:val="0"/>
          <w:highlight w:val="none"/>
        </w:rPr>
        <w:t>对评价范围内环境空气、地下水环境、包气带、土壤环境质量现状进行了监测。</w:t>
      </w:r>
    </w:p>
    <w:p w14:paraId="20A7CE42">
      <w:pPr>
        <w:pStyle w:val="6"/>
        <w:keepNext w:val="0"/>
        <w:keepLines w:val="0"/>
        <w:widowControl w:val="0"/>
        <w:spacing w:before="60" w:after="60" w:line="430" w:lineRule="exact"/>
        <w:jc w:val="both"/>
        <w:rPr>
          <w:rFonts w:eastAsiaTheme="minorEastAsia"/>
          <w:b/>
          <w:caps w:val="0"/>
          <w:smallCaps w:val="0"/>
          <w:color w:val="auto"/>
          <w:spacing w:val="0"/>
          <w:w w:val="100"/>
          <w:kern w:val="2"/>
          <w:position w:val="0"/>
          <w:sz w:val="24"/>
          <w:szCs w:val="24"/>
          <w:highlight w:val="none"/>
        </w:rPr>
      </w:pPr>
      <w:bookmarkStart w:id="689" w:name="_Toc83209516"/>
      <w:bookmarkStart w:id="690" w:name="_Toc29643949"/>
      <w:bookmarkStart w:id="691" w:name="_Toc61597270"/>
      <w:bookmarkStart w:id="692" w:name="_Toc78816499"/>
      <w:bookmarkStart w:id="693" w:name="_Toc84929271"/>
      <w:bookmarkStart w:id="694" w:name="_Toc34124483"/>
      <w:bookmarkStart w:id="695" w:name="_Toc57707954"/>
      <w:bookmarkStart w:id="696" w:name="_Toc38296421"/>
      <w:bookmarkStart w:id="697" w:name="_Toc77067697"/>
      <w:bookmarkStart w:id="698" w:name="_Toc85640795"/>
      <w:bookmarkStart w:id="699" w:name="_Toc31473"/>
      <w:bookmarkStart w:id="700" w:name="_Toc29642917"/>
      <w:bookmarkStart w:id="701" w:name="_Toc70050220"/>
      <w:bookmarkStart w:id="702" w:name="_Toc86141970"/>
      <w:bookmarkStart w:id="703" w:name="_Toc57976706"/>
      <w:bookmarkStart w:id="704" w:name="_Toc67860171"/>
      <w:bookmarkStart w:id="705" w:name="_Toc41655198"/>
      <w:bookmarkStart w:id="706" w:name="_Toc29644701"/>
      <w:bookmarkStart w:id="707" w:name="_Toc76976285"/>
      <w:bookmarkStart w:id="708" w:name="_Toc80588294"/>
      <w:bookmarkStart w:id="709" w:name="_Toc38545054"/>
      <w:bookmarkStart w:id="710" w:name="_Toc57203284"/>
      <w:bookmarkStart w:id="711" w:name="_Toc110438511"/>
      <w:bookmarkStart w:id="712" w:name="_Toc80971416"/>
      <w:r>
        <w:rPr>
          <w:rFonts w:eastAsiaTheme="minorEastAsia"/>
          <w:b/>
          <w:caps w:val="0"/>
          <w:smallCaps w:val="0"/>
          <w:color w:val="auto"/>
          <w:spacing w:val="0"/>
          <w:w w:val="100"/>
          <w:kern w:val="2"/>
          <w:position w:val="0"/>
          <w:sz w:val="24"/>
          <w:szCs w:val="24"/>
          <w:highlight w:val="none"/>
        </w:rPr>
        <w:t>4.3.1环境空气质量现状监测与评价</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1C194FEE">
      <w:pPr>
        <w:widowControl w:val="0"/>
        <w:spacing w:line="430" w:lineRule="exact"/>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4.3.1.1环境空气质量达标区判定</w:t>
      </w:r>
    </w:p>
    <w:p w14:paraId="3FC7D40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本项目区域环境空气质量引用《202</w:t>
      </w:r>
      <w:r>
        <w:rPr>
          <w:rFonts w:hint="eastAsia" w:ascii="Times New Roman" w:hAnsi="Times New Roman" w:cs="Times New Roman" w:eastAsiaTheme="minorEastAsia"/>
          <w:caps w:val="0"/>
          <w:smallCaps w:val="0"/>
          <w:color w:val="auto"/>
          <w:spacing w:val="0"/>
          <w:w w:val="100"/>
          <w:kern w:val="2"/>
          <w:position w:val="0"/>
          <w:szCs w:val="20"/>
          <w:highlight w:val="none"/>
        </w:rPr>
        <w:t>3</w:t>
      </w:r>
      <w:r>
        <w:rPr>
          <w:rFonts w:ascii="Times New Roman" w:hAnsi="Times New Roman" w:cs="Times New Roman" w:eastAsiaTheme="minorEastAsia"/>
          <w:caps w:val="0"/>
          <w:smallCaps w:val="0"/>
          <w:color w:val="auto"/>
          <w:spacing w:val="0"/>
          <w:w w:val="100"/>
          <w:kern w:val="2"/>
          <w:position w:val="0"/>
          <w:szCs w:val="20"/>
          <w:highlight w:val="none"/>
        </w:rPr>
        <w:t>年大庆市生态环境状况公报》，202</w:t>
      </w:r>
      <w:r>
        <w:rPr>
          <w:rFonts w:hint="eastAsia" w:ascii="Times New Roman" w:hAnsi="Times New Roman" w:cs="Times New Roman" w:eastAsiaTheme="minorEastAsia"/>
          <w:caps w:val="0"/>
          <w:smallCaps w:val="0"/>
          <w:color w:val="auto"/>
          <w:spacing w:val="0"/>
          <w:w w:val="100"/>
          <w:kern w:val="2"/>
          <w:position w:val="0"/>
          <w:szCs w:val="20"/>
          <w:highlight w:val="none"/>
        </w:rPr>
        <w:t>3</w:t>
      </w:r>
      <w:r>
        <w:rPr>
          <w:rFonts w:ascii="Times New Roman" w:hAnsi="Times New Roman" w:cs="Times New Roman" w:eastAsiaTheme="minorEastAsia"/>
          <w:caps w:val="0"/>
          <w:smallCaps w:val="0"/>
          <w:color w:val="auto"/>
          <w:spacing w:val="0"/>
          <w:w w:val="100"/>
          <w:kern w:val="2"/>
          <w:position w:val="0"/>
          <w:szCs w:val="20"/>
          <w:highlight w:val="none"/>
        </w:rPr>
        <w:t>年，大庆市城区环境空气中二氧化硫年均浓度为</w:t>
      </w:r>
      <w:r>
        <w:rPr>
          <w:rFonts w:hint="eastAsia" w:ascii="Times New Roman" w:hAnsi="Times New Roman" w:cs="Times New Roman" w:eastAsiaTheme="minorEastAsia"/>
          <w:caps w:val="0"/>
          <w:smallCaps w:val="0"/>
          <w:color w:val="auto"/>
          <w:spacing w:val="0"/>
          <w:w w:val="100"/>
          <w:kern w:val="2"/>
          <w:position w:val="0"/>
          <w:szCs w:val="20"/>
          <w:highlight w:val="none"/>
        </w:rPr>
        <w:t>6</w:t>
      </w:r>
      <w:r>
        <w:rPr>
          <w:rFonts w:ascii="Times New Roman" w:hAnsi="Times New Roman" w:cs="Times New Roman" w:eastAsiaTheme="minorEastAsia"/>
          <w:caps w:val="0"/>
          <w:smallCaps w:val="0"/>
          <w:color w:val="auto"/>
          <w:spacing w:val="0"/>
          <w:w w:val="100"/>
          <w:kern w:val="2"/>
          <w:position w:val="0"/>
          <w:szCs w:val="20"/>
          <w:highlight w:val="none"/>
        </w:rPr>
        <w:t>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，日均值浓度范围为</w:t>
      </w:r>
      <w:r>
        <w:rPr>
          <w:rFonts w:hint="eastAsia" w:ascii="Times New Roman" w:hAnsi="Times New Roman" w:cs="Times New Roman" w:eastAsiaTheme="minorEastAsia"/>
          <w:caps w:val="0"/>
          <w:smallCaps w:val="0"/>
          <w:color w:val="auto"/>
          <w:spacing w:val="0"/>
          <w:w w:val="100"/>
          <w:kern w:val="2"/>
          <w:position w:val="0"/>
          <w:szCs w:val="20"/>
          <w:highlight w:val="none"/>
        </w:rPr>
        <w:t>3</w:t>
      </w:r>
      <w:r>
        <w:rPr>
          <w:rFonts w:ascii="Times New Roman" w:hAnsi="Times New Roman" w:cs="Times New Roman" w:eastAsiaTheme="minorEastAsia"/>
          <w:caps w:val="0"/>
          <w:smallCaps w:val="0"/>
          <w:color w:val="auto"/>
          <w:spacing w:val="0"/>
          <w:w w:val="100"/>
          <w:kern w:val="2"/>
          <w:position w:val="0"/>
          <w:szCs w:val="20"/>
          <w:highlight w:val="none"/>
        </w:rPr>
        <w:t>～</w:t>
      </w:r>
      <w:r>
        <w:rPr>
          <w:rFonts w:hint="eastAsia" w:ascii="Times New Roman" w:hAnsi="Times New Roman" w:cs="Times New Roman" w:eastAsiaTheme="minorEastAsia"/>
          <w:caps w:val="0"/>
          <w:smallCaps w:val="0"/>
          <w:color w:val="auto"/>
          <w:spacing w:val="0"/>
          <w:w w:val="100"/>
          <w:kern w:val="2"/>
          <w:position w:val="0"/>
          <w:szCs w:val="20"/>
          <w:highlight w:val="none"/>
        </w:rPr>
        <w:t>15</w:t>
      </w:r>
      <w:r>
        <w:rPr>
          <w:rFonts w:ascii="Times New Roman" w:hAnsi="Times New Roman" w:cs="Times New Roman" w:eastAsiaTheme="minorEastAsia"/>
          <w:caps w:val="0"/>
          <w:smallCaps w:val="0"/>
          <w:color w:val="auto"/>
          <w:spacing w:val="0"/>
          <w:w w:val="100"/>
          <w:kern w:val="2"/>
          <w:position w:val="0"/>
          <w:szCs w:val="20"/>
          <w:highlight w:val="none"/>
        </w:rPr>
        <w:t>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，优于国家环境空气质量一级标准限值；二氧化氮年均浓度为</w:t>
      </w:r>
      <w:r>
        <w:rPr>
          <w:rFonts w:hint="eastAsia" w:ascii="Times New Roman" w:hAnsi="Times New Roman" w:cs="Times New Roman" w:eastAsiaTheme="minorEastAsia"/>
          <w:caps w:val="0"/>
          <w:smallCaps w:val="0"/>
          <w:color w:val="auto"/>
          <w:spacing w:val="0"/>
          <w:w w:val="100"/>
          <w:kern w:val="2"/>
          <w:position w:val="0"/>
          <w:szCs w:val="20"/>
          <w:highlight w:val="none"/>
        </w:rPr>
        <w:t>17</w:t>
      </w:r>
      <w:r>
        <w:rPr>
          <w:rFonts w:ascii="Times New Roman" w:hAnsi="Times New Roman" w:cs="Times New Roman" w:eastAsiaTheme="minorEastAsia"/>
          <w:caps w:val="0"/>
          <w:smallCaps w:val="0"/>
          <w:color w:val="auto"/>
          <w:spacing w:val="0"/>
          <w:w w:val="100"/>
          <w:kern w:val="2"/>
          <w:position w:val="0"/>
          <w:szCs w:val="20"/>
          <w:highlight w:val="none"/>
        </w:rPr>
        <w:t>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，日均值浓度范围为</w:t>
      </w:r>
      <w:r>
        <w:rPr>
          <w:rFonts w:hint="eastAsia" w:ascii="Times New Roman" w:hAnsi="Times New Roman" w:cs="Times New Roman" w:eastAsiaTheme="minorEastAsia"/>
          <w:caps w:val="0"/>
          <w:smallCaps w:val="0"/>
          <w:color w:val="auto"/>
          <w:spacing w:val="0"/>
          <w:w w:val="100"/>
          <w:kern w:val="2"/>
          <w:position w:val="0"/>
          <w:szCs w:val="20"/>
          <w:highlight w:val="none"/>
        </w:rPr>
        <w:t>5</w:t>
      </w:r>
      <w:r>
        <w:rPr>
          <w:rFonts w:ascii="Times New Roman" w:hAnsi="Times New Roman" w:cs="Times New Roman" w:eastAsiaTheme="minorEastAsia"/>
          <w:caps w:val="0"/>
          <w:smallCaps w:val="0"/>
          <w:color w:val="auto"/>
          <w:spacing w:val="0"/>
          <w:w w:val="100"/>
          <w:kern w:val="2"/>
          <w:position w:val="0"/>
          <w:szCs w:val="20"/>
          <w:highlight w:val="none"/>
        </w:rPr>
        <w:t>～</w:t>
      </w:r>
      <w:r>
        <w:rPr>
          <w:rFonts w:hint="eastAsia" w:ascii="Times New Roman" w:hAnsi="Times New Roman" w:cs="Times New Roman" w:eastAsiaTheme="minorEastAsia"/>
          <w:caps w:val="0"/>
          <w:smallCaps w:val="0"/>
          <w:color w:val="auto"/>
          <w:spacing w:val="0"/>
          <w:w w:val="100"/>
          <w:kern w:val="2"/>
          <w:position w:val="0"/>
          <w:szCs w:val="20"/>
          <w:highlight w:val="none"/>
        </w:rPr>
        <w:t>48</w:t>
      </w:r>
      <w:r>
        <w:rPr>
          <w:rFonts w:ascii="Times New Roman" w:hAnsi="Times New Roman" w:cs="Times New Roman" w:eastAsiaTheme="minorEastAsia"/>
          <w:caps w:val="0"/>
          <w:smallCaps w:val="0"/>
          <w:color w:val="auto"/>
          <w:spacing w:val="0"/>
          <w:w w:val="100"/>
          <w:kern w:val="2"/>
          <w:position w:val="0"/>
          <w:szCs w:val="20"/>
          <w:highlight w:val="none"/>
        </w:rPr>
        <w:t>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，优于国家环境空气质量一级标准限值；可吸入颗粒物（PM</w:t>
      </w:r>
      <w:r>
        <w:rPr>
          <w:rFonts w:ascii="Times New Roman" w:hAnsi="Times New Roman" w:cs="Times New Roman" w:eastAsiaTheme="minorEastAsia"/>
          <w:caps w:val="0"/>
          <w:smallCaps w:val="0"/>
          <w:color w:val="auto"/>
          <w:spacing w:val="0"/>
          <w:w w:val="100"/>
          <w:kern w:val="2"/>
          <w:position w:val="0"/>
          <w:szCs w:val="20"/>
          <w:highlight w:val="none"/>
          <w:vertAlign w:val="subscript"/>
        </w:rPr>
        <w:t>10</w:t>
      </w:r>
      <w:r>
        <w:rPr>
          <w:rFonts w:ascii="Times New Roman" w:hAnsi="Times New Roman" w:cs="Times New Roman" w:eastAsiaTheme="minorEastAsia"/>
          <w:caps w:val="0"/>
          <w:smallCaps w:val="0"/>
          <w:color w:val="auto"/>
          <w:spacing w:val="0"/>
          <w:w w:val="100"/>
          <w:kern w:val="2"/>
          <w:position w:val="0"/>
          <w:szCs w:val="20"/>
          <w:highlight w:val="none"/>
        </w:rPr>
        <w:t>）年均浓度为41μg/m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，日均值浓度范围为7～252μg/m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，优于国家环境空气质量二级标准限值；细颗粒物（PM</w:t>
      </w:r>
      <w:r>
        <w:rPr>
          <w:rFonts w:ascii="Times New Roman" w:hAnsi="Times New Roman" w:cs="Times New Roman" w:eastAsiaTheme="minorEastAsia"/>
          <w:caps w:val="0"/>
          <w:smallCaps w:val="0"/>
          <w:color w:val="auto"/>
          <w:spacing w:val="0"/>
          <w:w w:val="100"/>
          <w:kern w:val="2"/>
          <w:position w:val="0"/>
          <w:szCs w:val="20"/>
          <w:highlight w:val="none"/>
          <w:vertAlign w:val="subscript"/>
        </w:rPr>
        <w:t>2.5</w:t>
      </w:r>
      <w:r>
        <w:rPr>
          <w:rFonts w:ascii="Times New Roman" w:hAnsi="Times New Roman" w:cs="Times New Roman" w:eastAsiaTheme="minorEastAsia"/>
          <w:caps w:val="0"/>
          <w:smallCaps w:val="0"/>
          <w:color w:val="auto"/>
          <w:spacing w:val="0"/>
          <w:w w:val="100"/>
          <w:kern w:val="2"/>
          <w:position w:val="0"/>
          <w:szCs w:val="20"/>
          <w:highlight w:val="none"/>
        </w:rPr>
        <w:t>）年均浓度为</w:t>
      </w:r>
      <w:r>
        <w:rPr>
          <w:rFonts w:hint="eastAsia" w:ascii="Times New Roman" w:hAnsi="Times New Roman" w:cs="Times New Roman" w:eastAsiaTheme="minorEastAsia"/>
          <w:caps w:val="0"/>
          <w:smallCaps w:val="0"/>
          <w:color w:val="auto"/>
          <w:spacing w:val="0"/>
          <w:w w:val="100"/>
          <w:kern w:val="2"/>
          <w:position w:val="0"/>
          <w:szCs w:val="20"/>
          <w:highlight w:val="none"/>
        </w:rPr>
        <w:t>26</w:t>
      </w:r>
      <w:r>
        <w:rPr>
          <w:rFonts w:ascii="Times New Roman" w:hAnsi="Times New Roman" w:cs="Times New Roman" w:eastAsiaTheme="minorEastAsia"/>
          <w:caps w:val="0"/>
          <w:smallCaps w:val="0"/>
          <w:color w:val="auto"/>
          <w:spacing w:val="0"/>
          <w:w w:val="100"/>
          <w:kern w:val="2"/>
          <w:position w:val="0"/>
          <w:szCs w:val="20"/>
          <w:highlight w:val="none"/>
        </w:rPr>
        <w:t>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，优于国家环境空气质量二级标准限值；一氧化碳24小时平均第95百分位数为</w:t>
      </w:r>
      <w:r>
        <w:rPr>
          <w:rFonts w:hint="eastAsia" w:ascii="Times New Roman" w:hAnsi="Times New Roman" w:cs="Times New Roman" w:eastAsiaTheme="minorEastAsia"/>
          <w:caps w:val="0"/>
          <w:smallCaps w:val="0"/>
          <w:color w:val="auto"/>
          <w:spacing w:val="0"/>
          <w:w w:val="100"/>
          <w:kern w:val="2"/>
          <w:position w:val="0"/>
          <w:szCs w:val="20"/>
          <w:highlight w:val="none"/>
        </w:rPr>
        <w:t>0.8</w:t>
      </w:r>
      <w:r>
        <w:rPr>
          <w:rFonts w:ascii="Times New Roman" w:hAnsi="Times New Roman" w:cs="Times New Roman" w:eastAsiaTheme="minorEastAsia"/>
          <w:caps w:val="0"/>
          <w:smallCaps w:val="0"/>
          <w:color w:val="auto"/>
          <w:spacing w:val="0"/>
          <w:w w:val="100"/>
          <w:kern w:val="2"/>
          <w:position w:val="0"/>
          <w:szCs w:val="20"/>
          <w:highlight w:val="none"/>
        </w:rPr>
        <w:t>mg/m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w:t>
      </w:r>
      <w:r>
        <w:rPr>
          <w:rFonts w:hint="eastAsia" w:ascii="Times New Roman" w:hAnsi="Times New Roman" w:cs="Times New Roman" w:eastAsiaTheme="minorEastAsia"/>
          <w:caps w:val="0"/>
          <w:smallCaps w:val="0"/>
          <w:color w:val="auto"/>
          <w:spacing w:val="0"/>
          <w:w w:val="100"/>
          <w:kern w:val="2"/>
          <w:position w:val="0"/>
          <w:szCs w:val="20"/>
          <w:highlight w:val="none"/>
        </w:rPr>
        <w:t>24小时平均</w:t>
      </w:r>
      <w:r>
        <w:rPr>
          <w:rFonts w:ascii="Times New Roman" w:hAnsi="Times New Roman" w:cs="Times New Roman" w:eastAsiaTheme="minorEastAsia"/>
          <w:caps w:val="0"/>
          <w:smallCaps w:val="0"/>
          <w:color w:val="auto"/>
          <w:spacing w:val="0"/>
          <w:w w:val="100"/>
          <w:kern w:val="2"/>
          <w:position w:val="0"/>
          <w:szCs w:val="20"/>
          <w:highlight w:val="none"/>
        </w:rPr>
        <w:t>浓度范围为</w:t>
      </w:r>
      <w:r>
        <w:rPr>
          <w:rFonts w:hint="eastAsia" w:ascii="Times New Roman" w:hAnsi="Times New Roman" w:cs="Times New Roman" w:eastAsiaTheme="minorEastAsia"/>
          <w:caps w:val="0"/>
          <w:smallCaps w:val="0"/>
          <w:color w:val="auto"/>
          <w:spacing w:val="0"/>
          <w:w w:val="100"/>
          <w:kern w:val="2"/>
          <w:position w:val="0"/>
          <w:szCs w:val="20"/>
          <w:highlight w:val="none"/>
        </w:rPr>
        <w:t>0.2</w:t>
      </w:r>
      <w:r>
        <w:rPr>
          <w:rFonts w:ascii="Times New Roman" w:hAnsi="Times New Roman" w:cs="Times New Roman" w:eastAsiaTheme="minorEastAsia"/>
          <w:caps w:val="0"/>
          <w:smallCaps w:val="0"/>
          <w:color w:val="auto"/>
          <w:spacing w:val="0"/>
          <w:w w:val="100"/>
          <w:kern w:val="2"/>
          <w:position w:val="0"/>
          <w:szCs w:val="20"/>
          <w:highlight w:val="none"/>
        </w:rPr>
        <w:t>～</w:t>
      </w:r>
      <w:r>
        <w:rPr>
          <w:rFonts w:hint="eastAsia" w:ascii="Times New Roman" w:hAnsi="Times New Roman" w:cs="Times New Roman" w:eastAsiaTheme="minorEastAsia"/>
          <w:caps w:val="0"/>
          <w:smallCaps w:val="0"/>
          <w:color w:val="auto"/>
          <w:spacing w:val="0"/>
          <w:w w:val="100"/>
          <w:kern w:val="2"/>
          <w:position w:val="0"/>
          <w:szCs w:val="20"/>
          <w:highlight w:val="none"/>
        </w:rPr>
        <w:t>1.5</w:t>
      </w:r>
      <w:r>
        <w:rPr>
          <w:rFonts w:ascii="Times New Roman" w:hAnsi="Times New Roman" w:cs="Times New Roman" w:eastAsiaTheme="minorEastAsia"/>
          <w:caps w:val="0"/>
          <w:smallCaps w:val="0"/>
          <w:color w:val="auto"/>
          <w:spacing w:val="0"/>
          <w:w w:val="100"/>
          <w:kern w:val="2"/>
          <w:position w:val="0"/>
          <w:szCs w:val="20"/>
          <w:highlight w:val="none"/>
        </w:rPr>
        <w:t>mg/m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，优于国家环境空气质量一级标准限值；臭氧</w:t>
      </w:r>
      <w:r>
        <w:rPr>
          <w:rFonts w:hint="eastAsia" w:ascii="Times New Roman" w:hAnsi="Times New Roman" w:cs="Times New Roman" w:eastAsiaTheme="minorEastAsia"/>
          <w:caps w:val="0"/>
          <w:smallCaps w:val="0"/>
          <w:color w:val="auto"/>
          <w:spacing w:val="0"/>
          <w:w w:val="100"/>
          <w:kern w:val="2"/>
          <w:position w:val="0"/>
          <w:szCs w:val="20"/>
          <w:highlight w:val="none"/>
        </w:rPr>
        <w:t>日</w:t>
      </w:r>
      <w:r>
        <w:rPr>
          <w:rFonts w:ascii="Times New Roman" w:hAnsi="Times New Roman" w:cs="Times New Roman" w:eastAsiaTheme="minorEastAsia"/>
          <w:caps w:val="0"/>
          <w:smallCaps w:val="0"/>
          <w:color w:val="auto"/>
          <w:spacing w:val="0"/>
          <w:w w:val="100"/>
          <w:kern w:val="2"/>
          <w:position w:val="0"/>
          <w:szCs w:val="20"/>
          <w:highlight w:val="none"/>
        </w:rPr>
        <w:t>最大8小时平均第90百分位数为</w:t>
      </w:r>
      <w:r>
        <w:rPr>
          <w:rFonts w:hint="eastAsia" w:ascii="Times New Roman" w:hAnsi="Times New Roman" w:cs="Times New Roman" w:eastAsiaTheme="minorEastAsia"/>
          <w:caps w:val="0"/>
          <w:smallCaps w:val="0"/>
          <w:color w:val="auto"/>
          <w:spacing w:val="0"/>
          <w:w w:val="100"/>
          <w:kern w:val="2"/>
          <w:position w:val="0"/>
          <w:szCs w:val="20"/>
          <w:highlight w:val="none"/>
        </w:rPr>
        <w:t>116</w:t>
      </w:r>
      <w:r>
        <w:rPr>
          <w:rFonts w:ascii="Times New Roman" w:hAnsi="Times New Roman" w:cs="Times New Roman" w:eastAsiaTheme="minorEastAsia"/>
          <w:caps w:val="0"/>
          <w:smallCaps w:val="0"/>
          <w:color w:val="auto"/>
          <w:spacing w:val="0"/>
          <w:w w:val="100"/>
          <w:kern w:val="2"/>
          <w:position w:val="0"/>
          <w:szCs w:val="20"/>
          <w:highlight w:val="none"/>
        </w:rPr>
        <w:t>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，日</w:t>
      </w:r>
      <w:r>
        <w:rPr>
          <w:rFonts w:hint="eastAsia" w:ascii="Times New Roman" w:hAnsi="Times New Roman" w:cs="Times New Roman" w:eastAsiaTheme="minorEastAsia"/>
          <w:caps w:val="0"/>
          <w:smallCaps w:val="0"/>
          <w:color w:val="auto"/>
          <w:spacing w:val="0"/>
          <w:w w:val="100"/>
          <w:kern w:val="2"/>
          <w:position w:val="0"/>
          <w:szCs w:val="20"/>
          <w:highlight w:val="none"/>
        </w:rPr>
        <w:t>最大8小时平均浓度</w:t>
      </w:r>
      <w:r>
        <w:rPr>
          <w:rFonts w:ascii="Times New Roman" w:hAnsi="Times New Roman" w:cs="Times New Roman" w:eastAsiaTheme="minorEastAsia"/>
          <w:caps w:val="0"/>
          <w:smallCaps w:val="0"/>
          <w:color w:val="auto"/>
          <w:spacing w:val="0"/>
          <w:w w:val="100"/>
          <w:kern w:val="2"/>
          <w:position w:val="0"/>
          <w:szCs w:val="20"/>
          <w:highlight w:val="none"/>
        </w:rPr>
        <w:t>范围为</w:t>
      </w:r>
      <w:r>
        <w:rPr>
          <w:rFonts w:hint="eastAsia" w:ascii="Times New Roman" w:hAnsi="Times New Roman" w:cs="Times New Roman" w:eastAsiaTheme="minorEastAsia"/>
          <w:caps w:val="0"/>
          <w:smallCaps w:val="0"/>
          <w:color w:val="auto"/>
          <w:spacing w:val="0"/>
          <w:w w:val="100"/>
          <w:kern w:val="2"/>
          <w:position w:val="0"/>
          <w:szCs w:val="20"/>
          <w:highlight w:val="none"/>
        </w:rPr>
        <w:t>24</w:t>
      </w:r>
      <w:r>
        <w:rPr>
          <w:rFonts w:ascii="Times New Roman" w:hAnsi="Times New Roman" w:cs="Times New Roman" w:eastAsiaTheme="minorEastAsia"/>
          <w:caps w:val="0"/>
          <w:smallCaps w:val="0"/>
          <w:color w:val="auto"/>
          <w:spacing w:val="0"/>
          <w:w w:val="100"/>
          <w:kern w:val="2"/>
          <w:position w:val="0"/>
          <w:szCs w:val="20"/>
          <w:highlight w:val="none"/>
        </w:rPr>
        <w:t>～</w:t>
      </w:r>
      <w:r>
        <w:rPr>
          <w:rFonts w:hint="eastAsia" w:ascii="Times New Roman" w:hAnsi="Times New Roman" w:cs="Times New Roman" w:eastAsiaTheme="minorEastAsia"/>
          <w:caps w:val="0"/>
          <w:smallCaps w:val="0"/>
          <w:color w:val="auto"/>
          <w:spacing w:val="0"/>
          <w:w w:val="100"/>
          <w:kern w:val="2"/>
          <w:position w:val="0"/>
          <w:szCs w:val="20"/>
          <w:highlight w:val="none"/>
        </w:rPr>
        <w:t>190</w:t>
      </w:r>
      <w:r>
        <w:rPr>
          <w:rFonts w:ascii="Times New Roman" w:hAnsi="Times New Roman" w:cs="Times New Roman" w:eastAsiaTheme="minorEastAsia"/>
          <w:caps w:val="0"/>
          <w:smallCaps w:val="0"/>
          <w:color w:val="auto"/>
          <w:spacing w:val="0"/>
          <w:w w:val="100"/>
          <w:kern w:val="2"/>
          <w:position w:val="0"/>
          <w:szCs w:val="20"/>
          <w:highlight w:val="none"/>
        </w:rPr>
        <w:t>μg/m</w:t>
      </w:r>
      <w:r>
        <w:rPr>
          <w:rFonts w:ascii="Times New Roman" w:hAnsi="Times New Roman" w:cs="Times New Roman" w:eastAsiaTheme="minorEastAsia"/>
          <w:caps w:val="0"/>
          <w:smallCaps w:val="0"/>
          <w:color w:val="auto"/>
          <w:spacing w:val="0"/>
          <w:w w:val="100"/>
          <w:kern w:val="2"/>
          <w:position w:val="0"/>
          <w:szCs w:val="20"/>
          <w:highlight w:val="none"/>
          <w:vertAlign w:val="superscript"/>
        </w:rPr>
        <w:t>3</w:t>
      </w:r>
      <w:r>
        <w:rPr>
          <w:rFonts w:ascii="Times New Roman" w:hAnsi="Times New Roman" w:cs="Times New Roman" w:eastAsiaTheme="minorEastAsia"/>
          <w:caps w:val="0"/>
          <w:smallCaps w:val="0"/>
          <w:color w:val="auto"/>
          <w:spacing w:val="0"/>
          <w:w w:val="100"/>
          <w:kern w:val="2"/>
          <w:position w:val="0"/>
          <w:szCs w:val="20"/>
          <w:highlight w:val="none"/>
        </w:rPr>
        <w:t>，优于国家环境空气质量二级标准限值。</w:t>
      </w:r>
    </w:p>
    <w:p w14:paraId="714452CB">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本项目区域空气质量现状评价见表4.3-1。</w:t>
      </w:r>
    </w:p>
    <w:p w14:paraId="6E200961">
      <w:pPr>
        <w:widowControl w:val="0"/>
        <w:spacing w:line="440" w:lineRule="exact"/>
        <w:ind w:firstLine="482" w:firstLineChars="200"/>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 xml:space="preserve">表4.3-1    </w:t>
      </w:r>
      <w:r>
        <w:rPr>
          <w:rFonts w:ascii="Times New Roman" w:hAnsi="Times New Roman" w:cs="Times New Roman"/>
          <w:b/>
          <w:bCs/>
          <w:caps w:val="0"/>
          <w:smallCaps w:val="0"/>
          <w:color w:val="auto"/>
          <w:spacing w:val="0"/>
          <w:w w:val="100"/>
          <w:position w:val="0"/>
          <w:highlight w:val="none"/>
        </w:rPr>
        <w:t>区域</w:t>
      </w:r>
      <w:r>
        <w:rPr>
          <w:rFonts w:ascii="Times New Roman" w:hAnsi="Times New Roman" w:cs="Times New Roman"/>
          <w:b/>
          <w:caps w:val="0"/>
          <w:smallCaps w:val="0"/>
          <w:color w:val="auto"/>
          <w:spacing w:val="0"/>
          <w:w w:val="100"/>
          <w:kern w:val="2"/>
          <w:position w:val="0"/>
          <w:highlight w:val="none"/>
        </w:rPr>
        <w:t>空气质量现状评价表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2831"/>
        <w:gridCol w:w="1363"/>
        <w:gridCol w:w="1365"/>
        <w:gridCol w:w="1365"/>
        <w:gridCol w:w="1364"/>
      </w:tblGrid>
      <w:tr w14:paraId="2FE6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24C37B6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w:t>
            </w:r>
          </w:p>
        </w:tc>
        <w:tc>
          <w:tcPr>
            <w:tcW w:w="1524" w:type="pct"/>
            <w:vAlign w:val="center"/>
          </w:tcPr>
          <w:p w14:paraId="1731407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年评价指标</w:t>
            </w:r>
          </w:p>
        </w:tc>
        <w:tc>
          <w:tcPr>
            <w:tcW w:w="734" w:type="pct"/>
            <w:vAlign w:val="center"/>
          </w:tcPr>
          <w:p w14:paraId="4A1F136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现状浓度</w:t>
            </w:r>
          </w:p>
        </w:tc>
        <w:tc>
          <w:tcPr>
            <w:tcW w:w="735" w:type="pct"/>
            <w:vAlign w:val="center"/>
          </w:tcPr>
          <w:p w14:paraId="43C904D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标准值</w:t>
            </w:r>
          </w:p>
        </w:tc>
        <w:tc>
          <w:tcPr>
            <w:tcW w:w="735" w:type="pct"/>
            <w:vAlign w:val="center"/>
          </w:tcPr>
          <w:p w14:paraId="5F1CADA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占标率</w:t>
            </w:r>
          </w:p>
        </w:tc>
        <w:tc>
          <w:tcPr>
            <w:tcW w:w="734" w:type="pct"/>
            <w:vAlign w:val="center"/>
          </w:tcPr>
          <w:p w14:paraId="484EBEE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达标情况</w:t>
            </w:r>
          </w:p>
        </w:tc>
      </w:tr>
      <w:tr w14:paraId="01CC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17C10ED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w:t>
            </w:r>
          </w:p>
        </w:tc>
        <w:tc>
          <w:tcPr>
            <w:tcW w:w="1524" w:type="pct"/>
            <w:vAlign w:val="center"/>
          </w:tcPr>
          <w:p w14:paraId="61F2958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年平均质量浓度</w:t>
            </w:r>
          </w:p>
        </w:tc>
        <w:tc>
          <w:tcPr>
            <w:tcW w:w="734" w:type="pct"/>
            <w:vAlign w:val="center"/>
          </w:tcPr>
          <w:p w14:paraId="6DC6BC4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6</w:t>
            </w:r>
            <w:r>
              <w:rPr>
                <w:rFonts w:ascii="Times New Roman" w:hAnsi="Times New Roman" w:cs="Times New Roman" w:eastAsiaTheme="minorEastAsia"/>
                <w:caps w:val="0"/>
                <w:smallCaps w:val="0"/>
                <w:color w:val="auto"/>
                <w:spacing w:val="0"/>
                <w:w w:val="100"/>
                <w:kern w:val="2"/>
                <w:position w:val="0"/>
                <w:sz w:val="21"/>
                <w:szCs w:val="21"/>
                <w:highlight w:val="none"/>
              </w:rPr>
              <w:t>μg/m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735" w:type="pct"/>
            <w:vAlign w:val="center"/>
          </w:tcPr>
          <w:p w14:paraId="76B73C05">
            <w:pPr>
              <w:widowControl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60μg/m</w:t>
            </w:r>
            <w:r>
              <w:rPr>
                <w:rFonts w:ascii="Times New Roman" w:hAnsi="Times New Roman" w:cs="Times New Roman"/>
                <w:caps w:val="0"/>
                <w:smallCaps w:val="0"/>
                <w:color w:val="auto"/>
                <w:spacing w:val="0"/>
                <w:w w:val="100"/>
                <w:kern w:val="2"/>
                <w:position w:val="0"/>
                <w:sz w:val="21"/>
                <w:szCs w:val="21"/>
                <w:highlight w:val="none"/>
                <w:vertAlign w:val="superscript"/>
              </w:rPr>
              <w:t>3</w:t>
            </w:r>
          </w:p>
        </w:tc>
        <w:tc>
          <w:tcPr>
            <w:tcW w:w="735" w:type="pct"/>
            <w:vAlign w:val="center"/>
          </w:tcPr>
          <w:p w14:paraId="6EC9400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10</w:t>
            </w: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734" w:type="pct"/>
            <w:vAlign w:val="center"/>
          </w:tcPr>
          <w:p w14:paraId="0FA45B6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达标</w:t>
            </w:r>
          </w:p>
        </w:tc>
      </w:tr>
      <w:tr w14:paraId="6AC8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50F2016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w:t>
            </w:r>
          </w:p>
        </w:tc>
        <w:tc>
          <w:tcPr>
            <w:tcW w:w="1524" w:type="pct"/>
            <w:vAlign w:val="center"/>
          </w:tcPr>
          <w:p w14:paraId="2B850B2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年平均质量浓度</w:t>
            </w:r>
          </w:p>
        </w:tc>
        <w:tc>
          <w:tcPr>
            <w:tcW w:w="734" w:type="pct"/>
            <w:vAlign w:val="center"/>
          </w:tcPr>
          <w:p w14:paraId="7128B80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17</w:t>
            </w:r>
            <w:r>
              <w:rPr>
                <w:rFonts w:ascii="Times New Roman" w:hAnsi="Times New Roman" w:cs="Times New Roman" w:eastAsiaTheme="minorEastAsia"/>
                <w:caps w:val="0"/>
                <w:smallCaps w:val="0"/>
                <w:color w:val="auto"/>
                <w:spacing w:val="0"/>
                <w:w w:val="100"/>
                <w:kern w:val="2"/>
                <w:position w:val="0"/>
                <w:sz w:val="21"/>
                <w:szCs w:val="21"/>
                <w:highlight w:val="none"/>
              </w:rPr>
              <w:t>μg/m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735" w:type="pct"/>
            <w:vAlign w:val="center"/>
          </w:tcPr>
          <w:p w14:paraId="4111D862">
            <w:pPr>
              <w:widowControl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40μg/m</w:t>
            </w:r>
            <w:r>
              <w:rPr>
                <w:rFonts w:ascii="Times New Roman" w:hAnsi="Times New Roman" w:cs="Times New Roman"/>
                <w:caps w:val="0"/>
                <w:smallCaps w:val="0"/>
                <w:color w:val="auto"/>
                <w:spacing w:val="0"/>
                <w:w w:val="100"/>
                <w:kern w:val="2"/>
                <w:position w:val="0"/>
                <w:sz w:val="21"/>
                <w:szCs w:val="21"/>
                <w:highlight w:val="none"/>
                <w:vertAlign w:val="superscript"/>
              </w:rPr>
              <w:t>3</w:t>
            </w:r>
          </w:p>
        </w:tc>
        <w:tc>
          <w:tcPr>
            <w:tcW w:w="735" w:type="pct"/>
            <w:vAlign w:val="center"/>
          </w:tcPr>
          <w:p w14:paraId="7812F6C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42.5</w:t>
            </w: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734" w:type="pct"/>
            <w:vAlign w:val="center"/>
          </w:tcPr>
          <w:p w14:paraId="0785016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达标</w:t>
            </w:r>
          </w:p>
        </w:tc>
      </w:tr>
      <w:tr w14:paraId="6394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46CB711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PM</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10</w:t>
            </w:r>
          </w:p>
        </w:tc>
        <w:tc>
          <w:tcPr>
            <w:tcW w:w="1524" w:type="pct"/>
            <w:vAlign w:val="center"/>
          </w:tcPr>
          <w:p w14:paraId="68645A3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年平均质量浓度</w:t>
            </w:r>
          </w:p>
        </w:tc>
        <w:tc>
          <w:tcPr>
            <w:tcW w:w="734" w:type="pct"/>
            <w:vAlign w:val="center"/>
          </w:tcPr>
          <w:p w14:paraId="4CFD1B4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41μg/m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735" w:type="pct"/>
            <w:vAlign w:val="center"/>
          </w:tcPr>
          <w:p w14:paraId="1114F5B8">
            <w:pPr>
              <w:widowControl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60μg/m</w:t>
            </w:r>
            <w:r>
              <w:rPr>
                <w:rFonts w:ascii="Times New Roman" w:hAnsi="Times New Roman" w:cs="Times New Roman"/>
                <w:caps w:val="0"/>
                <w:smallCaps w:val="0"/>
                <w:color w:val="auto"/>
                <w:spacing w:val="0"/>
                <w:w w:val="100"/>
                <w:kern w:val="2"/>
                <w:position w:val="0"/>
                <w:sz w:val="21"/>
                <w:szCs w:val="21"/>
                <w:highlight w:val="none"/>
                <w:vertAlign w:val="superscript"/>
              </w:rPr>
              <w:t>3</w:t>
            </w:r>
          </w:p>
        </w:tc>
        <w:tc>
          <w:tcPr>
            <w:tcW w:w="735" w:type="pct"/>
            <w:vAlign w:val="center"/>
          </w:tcPr>
          <w:p w14:paraId="3B3AACD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68.33%</w:t>
            </w:r>
          </w:p>
        </w:tc>
        <w:tc>
          <w:tcPr>
            <w:tcW w:w="734" w:type="pct"/>
            <w:vAlign w:val="center"/>
          </w:tcPr>
          <w:p w14:paraId="1D5A2A1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达标</w:t>
            </w:r>
          </w:p>
        </w:tc>
      </w:tr>
      <w:tr w14:paraId="13D8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4BE91C4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PM</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2.5</w:t>
            </w:r>
          </w:p>
        </w:tc>
        <w:tc>
          <w:tcPr>
            <w:tcW w:w="1524" w:type="pct"/>
            <w:vAlign w:val="center"/>
          </w:tcPr>
          <w:p w14:paraId="0CD0246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年平均质量浓度</w:t>
            </w:r>
          </w:p>
        </w:tc>
        <w:tc>
          <w:tcPr>
            <w:tcW w:w="734" w:type="pct"/>
            <w:vAlign w:val="center"/>
          </w:tcPr>
          <w:p w14:paraId="40945D8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26</w:t>
            </w:r>
            <w:r>
              <w:rPr>
                <w:rFonts w:ascii="Times New Roman" w:hAnsi="Times New Roman" w:cs="Times New Roman" w:eastAsiaTheme="minorEastAsia"/>
                <w:caps w:val="0"/>
                <w:smallCaps w:val="0"/>
                <w:color w:val="auto"/>
                <w:spacing w:val="0"/>
                <w:w w:val="100"/>
                <w:kern w:val="2"/>
                <w:position w:val="0"/>
                <w:sz w:val="21"/>
                <w:szCs w:val="21"/>
                <w:highlight w:val="none"/>
              </w:rPr>
              <w:t>μg/m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735" w:type="pct"/>
            <w:vAlign w:val="center"/>
          </w:tcPr>
          <w:p w14:paraId="3BC2A0A5">
            <w:pPr>
              <w:widowControl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30μg/m</w:t>
            </w:r>
            <w:r>
              <w:rPr>
                <w:rFonts w:ascii="Times New Roman" w:hAnsi="Times New Roman" w:cs="Times New Roman"/>
                <w:caps w:val="0"/>
                <w:smallCaps w:val="0"/>
                <w:color w:val="auto"/>
                <w:spacing w:val="0"/>
                <w:w w:val="100"/>
                <w:kern w:val="2"/>
                <w:position w:val="0"/>
                <w:sz w:val="21"/>
                <w:szCs w:val="21"/>
                <w:highlight w:val="none"/>
                <w:vertAlign w:val="superscript"/>
              </w:rPr>
              <w:t>3</w:t>
            </w:r>
          </w:p>
        </w:tc>
        <w:tc>
          <w:tcPr>
            <w:tcW w:w="735" w:type="pct"/>
            <w:vAlign w:val="center"/>
          </w:tcPr>
          <w:p w14:paraId="2BE52293">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86.67%</w:t>
            </w:r>
          </w:p>
        </w:tc>
        <w:tc>
          <w:tcPr>
            <w:tcW w:w="734" w:type="pct"/>
            <w:vAlign w:val="center"/>
          </w:tcPr>
          <w:p w14:paraId="00BADDD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达标</w:t>
            </w:r>
          </w:p>
        </w:tc>
      </w:tr>
      <w:tr w14:paraId="063B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7A61FFE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CO</w:t>
            </w:r>
          </w:p>
        </w:tc>
        <w:tc>
          <w:tcPr>
            <w:tcW w:w="1524" w:type="pct"/>
            <w:vAlign w:val="center"/>
          </w:tcPr>
          <w:p w14:paraId="1D26BAE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第95位日平均质量浓度</w:t>
            </w:r>
          </w:p>
        </w:tc>
        <w:tc>
          <w:tcPr>
            <w:tcW w:w="734" w:type="pct"/>
            <w:vAlign w:val="center"/>
          </w:tcPr>
          <w:p w14:paraId="523F6B1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w:t>
            </w:r>
            <w:r>
              <w:rPr>
                <w:rFonts w:hint="eastAsia" w:ascii="Times New Roman" w:hAnsi="Times New Roman" w:cs="Times New Roman" w:eastAsiaTheme="minorEastAsia"/>
                <w:caps w:val="0"/>
                <w:smallCaps w:val="0"/>
                <w:color w:val="auto"/>
                <w:spacing w:val="0"/>
                <w:w w:val="100"/>
                <w:kern w:val="2"/>
                <w:position w:val="0"/>
                <w:sz w:val="21"/>
                <w:szCs w:val="21"/>
                <w:highlight w:val="none"/>
              </w:rPr>
              <w:t>8</w:t>
            </w:r>
            <w:r>
              <w:rPr>
                <w:rFonts w:ascii="Times New Roman" w:hAnsi="Times New Roman" w:cs="Times New Roman" w:eastAsiaTheme="minorEastAsia"/>
                <w:caps w:val="0"/>
                <w:smallCaps w:val="0"/>
                <w:color w:val="auto"/>
                <w:spacing w:val="0"/>
                <w:w w:val="100"/>
                <w:kern w:val="2"/>
                <w:position w:val="0"/>
                <w:sz w:val="21"/>
                <w:szCs w:val="21"/>
                <w:highlight w:val="none"/>
              </w:rPr>
              <w:t>mg/m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735" w:type="pct"/>
            <w:vAlign w:val="center"/>
          </w:tcPr>
          <w:p w14:paraId="17040DDA">
            <w:pPr>
              <w:widowControl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4mg/m</w:t>
            </w:r>
            <w:r>
              <w:rPr>
                <w:rFonts w:ascii="Times New Roman" w:hAnsi="Times New Roman" w:cs="Times New Roman"/>
                <w:caps w:val="0"/>
                <w:smallCaps w:val="0"/>
                <w:color w:val="auto"/>
                <w:spacing w:val="0"/>
                <w:w w:val="100"/>
                <w:kern w:val="2"/>
                <w:position w:val="0"/>
                <w:sz w:val="21"/>
                <w:szCs w:val="21"/>
                <w:highlight w:val="none"/>
                <w:vertAlign w:val="superscript"/>
              </w:rPr>
              <w:t>3</w:t>
            </w:r>
          </w:p>
        </w:tc>
        <w:tc>
          <w:tcPr>
            <w:tcW w:w="735" w:type="pct"/>
            <w:vAlign w:val="center"/>
          </w:tcPr>
          <w:p w14:paraId="7824C80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20</w:t>
            </w: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734" w:type="pct"/>
            <w:vAlign w:val="center"/>
          </w:tcPr>
          <w:p w14:paraId="02BD77C1">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达标</w:t>
            </w:r>
          </w:p>
        </w:tc>
      </w:tr>
      <w:tr w14:paraId="3B21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1087C2A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p>
        </w:tc>
        <w:tc>
          <w:tcPr>
            <w:tcW w:w="1524" w:type="pct"/>
            <w:vAlign w:val="center"/>
          </w:tcPr>
          <w:p w14:paraId="0BB5B75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第90位8h平均质量浓度</w:t>
            </w:r>
          </w:p>
        </w:tc>
        <w:tc>
          <w:tcPr>
            <w:tcW w:w="734" w:type="pct"/>
            <w:vAlign w:val="center"/>
          </w:tcPr>
          <w:p w14:paraId="0CDF918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116</w:t>
            </w:r>
            <w:r>
              <w:rPr>
                <w:rFonts w:ascii="Times New Roman" w:hAnsi="Times New Roman" w:cs="Times New Roman" w:eastAsiaTheme="minorEastAsia"/>
                <w:caps w:val="0"/>
                <w:smallCaps w:val="0"/>
                <w:color w:val="auto"/>
                <w:spacing w:val="0"/>
                <w:w w:val="100"/>
                <w:kern w:val="2"/>
                <w:position w:val="0"/>
                <w:sz w:val="21"/>
                <w:szCs w:val="21"/>
                <w:highlight w:val="none"/>
              </w:rPr>
              <w:t>μg/m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p>
        </w:tc>
        <w:tc>
          <w:tcPr>
            <w:tcW w:w="735" w:type="pct"/>
            <w:vAlign w:val="center"/>
          </w:tcPr>
          <w:p w14:paraId="1073B5F1">
            <w:pPr>
              <w:widowControl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160μg/m</w:t>
            </w:r>
            <w:r>
              <w:rPr>
                <w:rFonts w:ascii="Times New Roman" w:hAnsi="Times New Roman" w:cs="Times New Roman"/>
                <w:caps w:val="0"/>
                <w:smallCaps w:val="0"/>
                <w:color w:val="auto"/>
                <w:spacing w:val="0"/>
                <w:w w:val="100"/>
                <w:kern w:val="2"/>
                <w:position w:val="0"/>
                <w:sz w:val="21"/>
                <w:szCs w:val="21"/>
                <w:highlight w:val="none"/>
                <w:vertAlign w:val="superscript"/>
              </w:rPr>
              <w:t>3</w:t>
            </w:r>
          </w:p>
        </w:tc>
        <w:tc>
          <w:tcPr>
            <w:tcW w:w="735" w:type="pct"/>
            <w:vAlign w:val="center"/>
          </w:tcPr>
          <w:p w14:paraId="3E4817A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72.5</w:t>
            </w: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734" w:type="pct"/>
            <w:vAlign w:val="center"/>
          </w:tcPr>
          <w:p w14:paraId="3BB7A44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达标</w:t>
            </w:r>
          </w:p>
        </w:tc>
      </w:tr>
    </w:tbl>
    <w:p w14:paraId="77D629B9">
      <w:pPr>
        <w:widowControl w:val="0"/>
        <w:spacing w:line="43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2"/>
          <w:highlight w:val="none"/>
        </w:rPr>
      </w:pPr>
      <w:r>
        <w:rPr>
          <w:rFonts w:ascii="Times New Roman" w:hAnsi="Times New Roman" w:cs="Times New Roman" w:eastAsiaTheme="minorEastAsia"/>
          <w:caps w:val="0"/>
          <w:smallCaps w:val="0"/>
          <w:color w:val="auto"/>
          <w:spacing w:val="0"/>
          <w:w w:val="100"/>
          <w:kern w:val="2"/>
          <w:position w:val="0"/>
          <w:szCs w:val="22"/>
          <w:highlight w:val="none"/>
        </w:rPr>
        <w:t>以上统计结果表明，项目所在区域内空气污染因子PM</w:t>
      </w:r>
      <w:r>
        <w:rPr>
          <w:rFonts w:ascii="Times New Roman" w:hAnsi="Times New Roman" w:cs="Times New Roman" w:eastAsiaTheme="minorEastAsia"/>
          <w:caps w:val="0"/>
          <w:smallCaps w:val="0"/>
          <w:color w:val="auto"/>
          <w:spacing w:val="0"/>
          <w:w w:val="100"/>
          <w:kern w:val="2"/>
          <w:position w:val="0"/>
          <w:szCs w:val="22"/>
          <w:highlight w:val="none"/>
          <w:vertAlign w:val="subscript"/>
        </w:rPr>
        <w:t>10</w:t>
      </w:r>
      <w:r>
        <w:rPr>
          <w:rFonts w:ascii="Times New Roman" w:hAnsi="Times New Roman" w:cs="Times New Roman" w:eastAsiaTheme="minorEastAsia"/>
          <w:caps w:val="0"/>
          <w:smallCaps w:val="0"/>
          <w:color w:val="auto"/>
          <w:spacing w:val="0"/>
          <w:w w:val="100"/>
          <w:kern w:val="2"/>
          <w:position w:val="0"/>
          <w:szCs w:val="22"/>
          <w:highlight w:val="none"/>
        </w:rPr>
        <w:t>、PM</w:t>
      </w:r>
      <w:r>
        <w:rPr>
          <w:rFonts w:ascii="Times New Roman" w:hAnsi="Times New Roman" w:cs="Times New Roman" w:eastAsiaTheme="minorEastAsia"/>
          <w:caps w:val="0"/>
          <w:smallCaps w:val="0"/>
          <w:color w:val="auto"/>
          <w:spacing w:val="0"/>
          <w:w w:val="100"/>
          <w:kern w:val="2"/>
          <w:position w:val="0"/>
          <w:szCs w:val="22"/>
          <w:highlight w:val="none"/>
          <w:vertAlign w:val="subscript"/>
        </w:rPr>
        <w:t>2.5</w:t>
      </w:r>
      <w:r>
        <w:rPr>
          <w:rFonts w:ascii="Times New Roman" w:hAnsi="Times New Roman" w:cs="Times New Roman" w:eastAsiaTheme="minorEastAsia"/>
          <w:caps w:val="0"/>
          <w:smallCaps w:val="0"/>
          <w:color w:val="auto"/>
          <w:spacing w:val="0"/>
          <w:w w:val="100"/>
          <w:kern w:val="2"/>
          <w:position w:val="0"/>
          <w:szCs w:val="22"/>
          <w:highlight w:val="none"/>
        </w:rPr>
        <w:t>、SO</w:t>
      </w:r>
      <w:r>
        <w:rPr>
          <w:rFonts w:ascii="Times New Roman" w:hAnsi="Times New Roman" w:cs="Times New Roman" w:eastAsiaTheme="minorEastAsia"/>
          <w:caps w:val="0"/>
          <w:smallCaps w:val="0"/>
          <w:color w:val="auto"/>
          <w:spacing w:val="0"/>
          <w:w w:val="100"/>
          <w:kern w:val="2"/>
          <w:position w:val="0"/>
          <w:szCs w:val="22"/>
          <w:highlight w:val="none"/>
          <w:vertAlign w:val="subscript"/>
        </w:rPr>
        <w:t>2</w:t>
      </w:r>
      <w:r>
        <w:rPr>
          <w:rFonts w:ascii="Times New Roman" w:hAnsi="Times New Roman" w:cs="Times New Roman" w:eastAsiaTheme="minorEastAsia"/>
          <w:caps w:val="0"/>
          <w:smallCaps w:val="0"/>
          <w:color w:val="auto"/>
          <w:spacing w:val="0"/>
          <w:w w:val="100"/>
          <w:kern w:val="2"/>
          <w:position w:val="0"/>
          <w:szCs w:val="22"/>
          <w:highlight w:val="none"/>
        </w:rPr>
        <w:t>、NO</w:t>
      </w:r>
      <w:r>
        <w:rPr>
          <w:rFonts w:ascii="Times New Roman" w:hAnsi="Times New Roman" w:cs="Times New Roman" w:eastAsiaTheme="minorEastAsia"/>
          <w:caps w:val="0"/>
          <w:smallCaps w:val="0"/>
          <w:color w:val="auto"/>
          <w:spacing w:val="0"/>
          <w:w w:val="100"/>
          <w:kern w:val="2"/>
          <w:position w:val="0"/>
          <w:szCs w:val="22"/>
          <w:highlight w:val="none"/>
          <w:vertAlign w:val="subscript"/>
        </w:rPr>
        <w:t>2</w:t>
      </w:r>
      <w:r>
        <w:rPr>
          <w:rFonts w:ascii="Times New Roman" w:hAnsi="Times New Roman" w:cs="Times New Roman" w:eastAsiaTheme="minorEastAsia"/>
          <w:caps w:val="0"/>
          <w:smallCaps w:val="0"/>
          <w:color w:val="auto"/>
          <w:spacing w:val="0"/>
          <w:w w:val="100"/>
          <w:kern w:val="2"/>
          <w:position w:val="0"/>
          <w:szCs w:val="22"/>
          <w:highlight w:val="none"/>
        </w:rPr>
        <w:t>、CO、O</w:t>
      </w:r>
      <w:r>
        <w:rPr>
          <w:rFonts w:ascii="Times New Roman" w:hAnsi="Times New Roman" w:cs="Times New Roman" w:eastAsiaTheme="minorEastAsia"/>
          <w:caps w:val="0"/>
          <w:smallCaps w:val="0"/>
          <w:color w:val="auto"/>
          <w:spacing w:val="0"/>
          <w:w w:val="100"/>
          <w:kern w:val="2"/>
          <w:position w:val="0"/>
          <w:szCs w:val="22"/>
          <w:highlight w:val="none"/>
          <w:vertAlign w:val="subscript"/>
        </w:rPr>
        <w:t>3</w:t>
      </w:r>
      <w:r>
        <w:rPr>
          <w:rFonts w:ascii="Times New Roman" w:hAnsi="Times New Roman" w:cs="Times New Roman" w:eastAsiaTheme="minorEastAsia"/>
          <w:caps w:val="0"/>
          <w:smallCaps w:val="0"/>
          <w:color w:val="auto"/>
          <w:spacing w:val="0"/>
          <w:w w:val="100"/>
          <w:kern w:val="2"/>
          <w:position w:val="0"/>
          <w:szCs w:val="22"/>
          <w:highlight w:val="none"/>
        </w:rPr>
        <w:t>均满足</w:t>
      </w:r>
      <w:r>
        <w:rPr>
          <w:rFonts w:hint="eastAsia" w:ascii="Times New Roman" w:hAnsi="Times New Roman" w:cs="Times New Roman" w:eastAsiaTheme="minorEastAsia"/>
          <w:caps w:val="0"/>
          <w:smallCaps w:val="0"/>
          <w:color w:val="auto"/>
          <w:spacing w:val="0"/>
          <w:w w:val="100"/>
          <w:kern w:val="2"/>
          <w:position w:val="0"/>
          <w:szCs w:val="22"/>
          <w:highlight w:val="none"/>
        </w:rPr>
        <w:t>《环境空气质量标准》（</w:t>
      </w:r>
      <w:r>
        <w:rPr>
          <w:rFonts w:ascii="Times New Roman" w:hAnsi="Times New Roman" w:cs="Times New Roman" w:eastAsiaTheme="minorEastAsia"/>
          <w:caps w:val="0"/>
          <w:smallCaps w:val="0"/>
          <w:color w:val="auto"/>
          <w:spacing w:val="0"/>
          <w:w w:val="100"/>
          <w:kern w:val="2"/>
          <w:position w:val="0"/>
          <w:szCs w:val="22"/>
          <w:highlight w:val="none"/>
        </w:rPr>
        <w:t>GB3095-2026）中过渡阶段二级浓度限值要求。</w:t>
      </w:r>
    </w:p>
    <w:p w14:paraId="539575F5">
      <w:pPr>
        <w:widowControl w:val="0"/>
        <w:spacing w:line="430" w:lineRule="exact"/>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4.3.1.2环境空气质量现状补充监测</w:t>
      </w:r>
    </w:p>
    <w:p w14:paraId="591B69D8">
      <w:pPr>
        <w:widowControl w:val="0"/>
        <w:tabs>
          <w:tab w:val="left" w:pos="5262"/>
        </w:tabs>
        <w:spacing w:line="430" w:lineRule="exact"/>
        <w:ind w:firstLine="480" w:firstLineChars="200"/>
        <w:jc w:val="both"/>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（1）监测点位布设</w:t>
      </w:r>
    </w:p>
    <w:p w14:paraId="7F06A970">
      <w:pPr>
        <w:widowControl w:val="0"/>
        <w:tabs>
          <w:tab w:val="left" w:pos="5262"/>
        </w:tabs>
        <w:spacing w:line="430" w:lineRule="exact"/>
        <w:ind w:firstLine="480" w:firstLineChars="200"/>
        <w:jc w:val="both"/>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根据《环境影响评价技术导则 大气环境》（HJ2.2-2018），以近20年统计的当地主导风向为轴向，在厂址及主导风向下风向5 km范围内设置 1～2 个监测点。根据区域管线分布特点，本项目共布设2个环境空气监测点位。</w:t>
      </w:r>
    </w:p>
    <w:p w14:paraId="02AE5FDC">
      <w:pPr>
        <w:widowControl w:val="0"/>
        <w:tabs>
          <w:tab w:val="left" w:pos="5262"/>
        </w:tabs>
        <w:spacing w:line="430" w:lineRule="exact"/>
        <w:ind w:firstLine="480" w:firstLineChars="200"/>
        <w:jc w:val="both"/>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本项目委托大庆中环评价检测有限公司于</w:t>
      </w:r>
      <w:r>
        <w:rPr>
          <w:rFonts w:ascii="Times New Roman" w:hAnsi="Times New Roman" w:cs="Times New Roman"/>
          <w:caps w:val="0"/>
          <w:smallCaps w:val="0"/>
          <w:color w:val="auto"/>
          <w:spacing w:val="0"/>
          <w:w w:val="100"/>
          <w:kern w:val="2"/>
          <w:position w:val="0"/>
          <w:highlight w:val="none"/>
        </w:rPr>
        <w:t>2025年12月22日-28日</w:t>
      </w:r>
      <w:r>
        <w:rPr>
          <w:rFonts w:ascii="Times New Roman" w:hAnsi="Times New Roman" w:cs="Times New Roman"/>
          <w:bCs/>
          <w:caps w:val="0"/>
          <w:smallCaps w:val="0"/>
          <w:color w:val="auto"/>
          <w:spacing w:val="0"/>
          <w:w w:val="100"/>
          <w:kern w:val="21"/>
          <w:position w:val="0"/>
          <w:highlight w:val="none"/>
        </w:rPr>
        <w:t>对评价区域特征污染物进行环境质量现状监测，区域特征污染物为非甲烷总烃、TSP，具体点位见表</w:t>
      </w:r>
      <w:r>
        <w:rPr>
          <w:rFonts w:ascii="Times New Roman" w:hAnsi="Times New Roman" w:cs="Times New Roman"/>
          <w:caps w:val="0"/>
          <w:smallCaps w:val="0"/>
          <w:color w:val="auto"/>
          <w:spacing w:val="0"/>
          <w:w w:val="100"/>
          <w:kern w:val="2"/>
          <w:position w:val="0"/>
          <w:szCs w:val="20"/>
          <w:highlight w:val="none"/>
        </w:rPr>
        <w:t>4.3-</w:t>
      </w:r>
      <w:r>
        <w:rPr>
          <w:rFonts w:ascii="Times New Roman" w:hAnsi="Times New Roman" w:cs="Times New Roman"/>
          <w:bCs/>
          <w:caps w:val="0"/>
          <w:smallCaps w:val="0"/>
          <w:color w:val="auto"/>
          <w:spacing w:val="0"/>
          <w:w w:val="100"/>
          <w:kern w:val="21"/>
          <w:position w:val="0"/>
          <w:highlight w:val="none"/>
        </w:rPr>
        <w:t>2，现状监测布点见附图16。</w:t>
      </w:r>
    </w:p>
    <w:p w14:paraId="5FAAC248">
      <w:pPr>
        <w:widowControl w:val="0"/>
        <w:tabs>
          <w:tab w:val="left" w:pos="5262"/>
        </w:tabs>
        <w:spacing w:line="430" w:lineRule="exact"/>
        <w:ind w:firstLine="482" w:firstLineChars="200"/>
        <w:jc w:val="both"/>
        <w:rPr>
          <w:rFonts w:ascii="Times New Roman" w:hAnsi="Times New Roman" w:cs="Times New Roman"/>
          <w:b/>
          <w:caps w:val="0"/>
          <w:smallCaps w:val="0"/>
          <w:color w:val="auto"/>
          <w:spacing w:val="0"/>
          <w:w w:val="100"/>
          <w:kern w:val="21"/>
          <w:position w:val="0"/>
          <w:highlight w:val="none"/>
        </w:rPr>
      </w:pPr>
      <w:r>
        <w:rPr>
          <w:rFonts w:ascii="Times New Roman" w:hAnsi="Times New Roman" w:cs="Times New Roman"/>
          <w:b/>
          <w:caps w:val="0"/>
          <w:smallCaps w:val="0"/>
          <w:color w:val="auto"/>
          <w:spacing w:val="0"/>
          <w:w w:val="100"/>
          <w:kern w:val="21"/>
          <w:position w:val="0"/>
          <w:highlight w:val="none"/>
        </w:rPr>
        <w:t>表</w:t>
      </w:r>
      <w:r>
        <w:rPr>
          <w:rFonts w:ascii="Times New Roman" w:hAnsi="Times New Roman" w:cs="Times New Roman"/>
          <w:b/>
          <w:caps w:val="0"/>
          <w:smallCaps w:val="0"/>
          <w:color w:val="auto"/>
          <w:spacing w:val="0"/>
          <w:w w:val="100"/>
          <w:kern w:val="2"/>
          <w:position w:val="0"/>
          <w:szCs w:val="20"/>
          <w:highlight w:val="none"/>
        </w:rPr>
        <w:t>4.3-</w:t>
      </w:r>
      <w:r>
        <w:rPr>
          <w:rFonts w:ascii="Times New Roman" w:hAnsi="Times New Roman" w:cs="Times New Roman"/>
          <w:b/>
          <w:caps w:val="0"/>
          <w:smallCaps w:val="0"/>
          <w:color w:val="auto"/>
          <w:spacing w:val="0"/>
          <w:w w:val="100"/>
          <w:kern w:val="21"/>
          <w:position w:val="0"/>
          <w:highlight w:val="none"/>
        </w:rPr>
        <w:t>2    环境空气现状监测点位</w:t>
      </w:r>
    </w:p>
    <w:tbl>
      <w:tblPr>
        <w:tblStyle w:val="8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6"/>
        <w:gridCol w:w="2325"/>
        <w:gridCol w:w="1155"/>
        <w:gridCol w:w="1080"/>
        <w:gridCol w:w="930"/>
        <w:gridCol w:w="1050"/>
        <w:gridCol w:w="1178"/>
        <w:gridCol w:w="846"/>
      </w:tblGrid>
      <w:tr w14:paraId="22FAA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496" w:type="dxa"/>
            <w:vMerge w:val="restart"/>
            <w:vAlign w:val="center"/>
          </w:tcPr>
          <w:p w14:paraId="487FA53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序号</w:t>
            </w:r>
          </w:p>
        </w:tc>
        <w:tc>
          <w:tcPr>
            <w:tcW w:w="2325" w:type="dxa"/>
            <w:vMerge w:val="restart"/>
            <w:vAlign w:val="center"/>
          </w:tcPr>
          <w:p w14:paraId="5E8CDCF6">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监测点名称</w:t>
            </w:r>
          </w:p>
        </w:tc>
        <w:tc>
          <w:tcPr>
            <w:tcW w:w="2235" w:type="dxa"/>
            <w:gridSpan w:val="2"/>
            <w:vAlign w:val="center"/>
          </w:tcPr>
          <w:p w14:paraId="65957428">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监测点坐标</w:t>
            </w:r>
          </w:p>
        </w:tc>
        <w:tc>
          <w:tcPr>
            <w:tcW w:w="930" w:type="dxa"/>
            <w:vMerge w:val="restart"/>
            <w:vAlign w:val="center"/>
          </w:tcPr>
          <w:p w14:paraId="55ED449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监测因子</w:t>
            </w:r>
          </w:p>
        </w:tc>
        <w:tc>
          <w:tcPr>
            <w:tcW w:w="1050" w:type="dxa"/>
            <w:vMerge w:val="restart"/>
            <w:vAlign w:val="center"/>
          </w:tcPr>
          <w:p w14:paraId="7EEFE65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监测时段</w:t>
            </w:r>
          </w:p>
        </w:tc>
        <w:tc>
          <w:tcPr>
            <w:tcW w:w="1178" w:type="dxa"/>
            <w:vMerge w:val="restart"/>
            <w:vAlign w:val="center"/>
          </w:tcPr>
          <w:p w14:paraId="5F767F0B">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相对厂址方位</w:t>
            </w:r>
          </w:p>
        </w:tc>
        <w:tc>
          <w:tcPr>
            <w:tcW w:w="846" w:type="dxa"/>
            <w:vMerge w:val="restart"/>
            <w:vAlign w:val="center"/>
          </w:tcPr>
          <w:p w14:paraId="203B4C49">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相对厂界距离</w:t>
            </w:r>
          </w:p>
        </w:tc>
      </w:tr>
      <w:tr w14:paraId="1772D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vMerge w:val="continue"/>
            <w:vAlign w:val="center"/>
          </w:tcPr>
          <w:p w14:paraId="4D9645A0">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325" w:type="dxa"/>
            <w:vMerge w:val="continue"/>
            <w:vAlign w:val="center"/>
          </w:tcPr>
          <w:p w14:paraId="125AEDD6">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155" w:type="dxa"/>
            <w:vAlign w:val="center"/>
          </w:tcPr>
          <w:p w14:paraId="64A29270">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经度</w:t>
            </w:r>
          </w:p>
        </w:tc>
        <w:tc>
          <w:tcPr>
            <w:tcW w:w="1080" w:type="dxa"/>
            <w:vAlign w:val="center"/>
          </w:tcPr>
          <w:p w14:paraId="1E5BB916">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纬度</w:t>
            </w:r>
          </w:p>
        </w:tc>
        <w:tc>
          <w:tcPr>
            <w:tcW w:w="930" w:type="dxa"/>
            <w:vMerge w:val="continue"/>
            <w:vAlign w:val="center"/>
          </w:tcPr>
          <w:p w14:paraId="37F01B6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050" w:type="dxa"/>
            <w:vMerge w:val="continue"/>
            <w:vAlign w:val="center"/>
          </w:tcPr>
          <w:p w14:paraId="4211DCC4">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178" w:type="dxa"/>
            <w:vMerge w:val="continue"/>
            <w:vAlign w:val="center"/>
          </w:tcPr>
          <w:p w14:paraId="548463E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846" w:type="dxa"/>
            <w:vMerge w:val="continue"/>
            <w:vAlign w:val="center"/>
          </w:tcPr>
          <w:p w14:paraId="2D5AD813">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r>
      <w:tr w14:paraId="6D369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noWrap/>
            <w:vAlign w:val="center"/>
          </w:tcPr>
          <w:p w14:paraId="036054DB">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w:t>
            </w:r>
          </w:p>
        </w:tc>
        <w:tc>
          <w:tcPr>
            <w:tcW w:w="2325" w:type="dxa"/>
            <w:noWrap/>
            <w:vAlign w:val="center"/>
          </w:tcPr>
          <w:p w14:paraId="4F3DE83F">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拟建卫2-25-28</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kern w:val="21"/>
                <w:position w:val="0"/>
                <w:sz w:val="21"/>
                <w:szCs w:val="21"/>
                <w:highlight w:val="none"/>
              </w:rPr>
              <w:t>卫2-25-斜29</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井场集油管线处</w:t>
            </w:r>
          </w:p>
        </w:tc>
        <w:tc>
          <w:tcPr>
            <w:tcW w:w="1155" w:type="dxa"/>
            <w:vAlign w:val="center"/>
          </w:tcPr>
          <w:p w14:paraId="27CCEFD0">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124.97491</w:t>
            </w:r>
          </w:p>
        </w:tc>
        <w:tc>
          <w:tcPr>
            <w:tcW w:w="1080" w:type="dxa"/>
            <w:vAlign w:val="center"/>
          </w:tcPr>
          <w:p w14:paraId="5FEFBA5D">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46.16333</w:t>
            </w:r>
          </w:p>
        </w:tc>
        <w:tc>
          <w:tcPr>
            <w:tcW w:w="930" w:type="dxa"/>
            <w:vMerge w:val="restart"/>
            <w:noWrap/>
            <w:vAlign w:val="center"/>
          </w:tcPr>
          <w:p w14:paraId="4375B78F">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非甲烷总烃、TSP</w:t>
            </w:r>
            <w:r>
              <w:rPr>
                <w:rFonts w:ascii="Times New Roman" w:hAnsi="Times New Roman" w:cs="Times New Roman" w:eastAsiaTheme="minorEastAsia"/>
                <w:caps w:val="0"/>
                <w:smallCaps w:val="0"/>
                <w:color w:val="auto"/>
                <w:spacing w:val="0"/>
                <w:w w:val="100"/>
                <w:kern w:val="21"/>
                <w:position w:val="0"/>
                <w:sz w:val="21"/>
                <w:szCs w:val="21"/>
                <w:highlight w:val="none"/>
              </w:rPr>
              <w:t xml:space="preserve"> </w:t>
            </w:r>
          </w:p>
        </w:tc>
        <w:tc>
          <w:tcPr>
            <w:tcW w:w="1050" w:type="dxa"/>
            <w:vMerge w:val="restart"/>
            <w:noWrap/>
            <w:vAlign w:val="center"/>
          </w:tcPr>
          <w:p w14:paraId="76E8AB58">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202</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6</w:t>
            </w:r>
            <w:r>
              <w:rPr>
                <w:rFonts w:hint="eastAsia" w:ascii="Times New Roman" w:hAnsi="Times New Roman" w:cs="Times New Roman" w:eastAsiaTheme="minorEastAsia"/>
                <w:caps w:val="0"/>
                <w:smallCaps w:val="0"/>
                <w:color w:val="auto"/>
                <w:spacing w:val="0"/>
                <w:w w:val="100"/>
                <w:kern w:val="21"/>
                <w:position w:val="0"/>
                <w:sz w:val="21"/>
                <w:szCs w:val="21"/>
                <w:highlight w:val="none"/>
              </w:rPr>
              <w:t>年</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5</w:t>
            </w:r>
            <w:r>
              <w:rPr>
                <w:rFonts w:hint="eastAsia" w:ascii="Times New Roman" w:hAnsi="Times New Roman" w:cs="Times New Roman" w:eastAsiaTheme="minorEastAsia"/>
                <w:caps w:val="0"/>
                <w:smallCaps w:val="0"/>
                <w:color w:val="auto"/>
                <w:spacing w:val="0"/>
                <w:w w:val="100"/>
                <w:kern w:val="21"/>
                <w:position w:val="0"/>
                <w:sz w:val="21"/>
                <w:szCs w:val="21"/>
                <w:highlight w:val="none"/>
              </w:rPr>
              <w:t>月</w:t>
            </w:r>
            <w:r>
              <w:rPr>
                <w:rFonts w:ascii="Times New Roman" w:hAnsi="Times New Roman" w:cs="Times New Roman" w:eastAsiaTheme="minorEastAsia"/>
                <w:caps w:val="0"/>
                <w:smallCaps w:val="0"/>
                <w:color w:val="auto"/>
                <w:spacing w:val="0"/>
                <w:w w:val="100"/>
                <w:kern w:val="21"/>
                <w:position w:val="0"/>
                <w:sz w:val="21"/>
                <w:szCs w:val="21"/>
                <w:highlight w:val="none"/>
              </w:rPr>
              <w:t>2</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7</w:t>
            </w:r>
            <w:r>
              <w:rPr>
                <w:rFonts w:ascii="Times New Roman" w:hAnsi="Times New Roman" w:cs="Times New Roman" w:eastAsiaTheme="minorEastAsia"/>
                <w:caps w:val="0"/>
                <w:smallCaps w:val="0"/>
                <w:color w:val="auto"/>
                <w:spacing w:val="0"/>
                <w:w w:val="100"/>
                <w:kern w:val="21"/>
                <w:position w:val="0"/>
                <w:sz w:val="21"/>
                <w:szCs w:val="21"/>
                <w:highlight w:val="none"/>
              </w:rPr>
              <w:t>日-</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6月2</w:t>
            </w:r>
            <w:r>
              <w:rPr>
                <w:rFonts w:ascii="Times New Roman" w:hAnsi="Times New Roman" w:cs="Times New Roman" w:eastAsiaTheme="minorEastAsia"/>
                <w:caps w:val="0"/>
                <w:smallCaps w:val="0"/>
                <w:color w:val="auto"/>
                <w:spacing w:val="0"/>
                <w:w w:val="100"/>
                <w:kern w:val="21"/>
                <w:position w:val="0"/>
                <w:sz w:val="21"/>
                <w:szCs w:val="21"/>
                <w:highlight w:val="none"/>
              </w:rPr>
              <w:t>日</w:t>
            </w:r>
          </w:p>
        </w:tc>
        <w:tc>
          <w:tcPr>
            <w:tcW w:w="1178" w:type="dxa"/>
            <w:noWrap/>
            <w:vAlign w:val="center"/>
          </w:tcPr>
          <w:p w14:paraId="7CE844CF">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拟建管线</w:t>
            </w:r>
          </w:p>
        </w:tc>
        <w:tc>
          <w:tcPr>
            <w:tcW w:w="846" w:type="dxa"/>
            <w:noWrap/>
            <w:vAlign w:val="center"/>
          </w:tcPr>
          <w:p w14:paraId="1670EEFF">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w:t>
            </w:r>
          </w:p>
        </w:tc>
      </w:tr>
      <w:tr w14:paraId="7DD8E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noWrap/>
            <w:vAlign w:val="center"/>
          </w:tcPr>
          <w:p w14:paraId="272D66C9">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2</w:t>
            </w:r>
          </w:p>
        </w:tc>
        <w:tc>
          <w:tcPr>
            <w:tcW w:w="2325" w:type="dxa"/>
            <w:noWrap/>
            <w:vAlign w:val="center"/>
          </w:tcPr>
          <w:p w14:paraId="0A9ECB7E">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拟建卫2-25-28</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kern w:val="21"/>
                <w:position w:val="0"/>
                <w:sz w:val="21"/>
                <w:szCs w:val="21"/>
                <w:highlight w:val="none"/>
              </w:rPr>
              <w:t>卫2-25-斜29</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井场集油管线南侧200m处</w:t>
            </w:r>
          </w:p>
        </w:tc>
        <w:tc>
          <w:tcPr>
            <w:tcW w:w="1155" w:type="dxa"/>
            <w:vAlign w:val="center"/>
          </w:tcPr>
          <w:p w14:paraId="4EE108DE">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124.97497</w:t>
            </w:r>
          </w:p>
        </w:tc>
        <w:tc>
          <w:tcPr>
            <w:tcW w:w="1080" w:type="dxa"/>
            <w:vAlign w:val="center"/>
          </w:tcPr>
          <w:p w14:paraId="363AA9CB">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46.16154</w:t>
            </w:r>
          </w:p>
        </w:tc>
        <w:tc>
          <w:tcPr>
            <w:tcW w:w="930" w:type="dxa"/>
            <w:vMerge w:val="continue"/>
            <w:noWrap/>
            <w:vAlign w:val="center"/>
          </w:tcPr>
          <w:p w14:paraId="73D3388D">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050" w:type="dxa"/>
            <w:vMerge w:val="continue"/>
            <w:noWrap/>
            <w:vAlign w:val="center"/>
          </w:tcPr>
          <w:p w14:paraId="246AC800">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178" w:type="dxa"/>
            <w:noWrap/>
            <w:vAlign w:val="center"/>
          </w:tcPr>
          <w:p w14:paraId="5A827381">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拟建管线区域南侧</w:t>
            </w:r>
          </w:p>
        </w:tc>
        <w:tc>
          <w:tcPr>
            <w:tcW w:w="846" w:type="dxa"/>
            <w:noWrap/>
            <w:vAlign w:val="center"/>
          </w:tcPr>
          <w:p w14:paraId="5EB85DA8">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2</w:t>
            </w:r>
            <w:r>
              <w:rPr>
                <w:rFonts w:ascii="Times New Roman" w:hAnsi="Times New Roman" w:cs="Times New Roman" w:eastAsiaTheme="minorEastAsia"/>
                <w:caps w:val="0"/>
                <w:smallCaps w:val="0"/>
                <w:color w:val="auto"/>
                <w:spacing w:val="0"/>
                <w:w w:val="100"/>
                <w:kern w:val="21"/>
                <w:position w:val="0"/>
                <w:sz w:val="21"/>
                <w:szCs w:val="21"/>
                <w:highlight w:val="none"/>
              </w:rPr>
              <w:t>00m</w:t>
            </w:r>
          </w:p>
        </w:tc>
      </w:tr>
      <w:tr w14:paraId="4F9F0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noWrap/>
            <w:vAlign w:val="center"/>
          </w:tcPr>
          <w:p w14:paraId="643DAA65">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3</w:t>
            </w:r>
          </w:p>
        </w:tc>
        <w:tc>
          <w:tcPr>
            <w:tcW w:w="2325" w:type="dxa"/>
            <w:noWrap/>
            <w:vAlign w:val="center"/>
          </w:tcPr>
          <w:p w14:paraId="6E86F89A">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1-5#集油阀组间至卫1-17-14井场集油</w:t>
            </w:r>
            <w:r>
              <w:rPr>
                <w:rFonts w:hint="eastAsia" w:ascii="Times New Roman" w:hAnsi="Times New Roman" w:cs="Times New Roman" w:eastAsiaTheme="minorEastAsia"/>
                <w:caps w:val="0"/>
                <w:smallCaps w:val="0"/>
                <w:color w:val="auto"/>
                <w:spacing w:val="0"/>
                <w:w w:val="100"/>
                <w:kern w:val="21"/>
                <w:position w:val="0"/>
                <w:sz w:val="21"/>
                <w:szCs w:val="21"/>
                <w:highlight w:val="none"/>
              </w:rPr>
              <w:t>管线</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处</w:t>
            </w:r>
          </w:p>
        </w:tc>
        <w:tc>
          <w:tcPr>
            <w:tcW w:w="1155" w:type="dxa"/>
            <w:vAlign w:val="center"/>
          </w:tcPr>
          <w:p w14:paraId="72C751A6">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125.03901</w:t>
            </w:r>
          </w:p>
        </w:tc>
        <w:tc>
          <w:tcPr>
            <w:tcW w:w="1080" w:type="dxa"/>
            <w:vAlign w:val="center"/>
          </w:tcPr>
          <w:p w14:paraId="5AB083D5">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46.14731</w:t>
            </w:r>
          </w:p>
        </w:tc>
        <w:tc>
          <w:tcPr>
            <w:tcW w:w="930" w:type="dxa"/>
            <w:vMerge w:val="continue"/>
            <w:noWrap/>
            <w:vAlign w:val="center"/>
          </w:tcPr>
          <w:p w14:paraId="380E6970">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050" w:type="dxa"/>
            <w:vMerge w:val="continue"/>
            <w:noWrap/>
            <w:vAlign w:val="center"/>
          </w:tcPr>
          <w:p w14:paraId="6E60E8E2">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178" w:type="dxa"/>
            <w:noWrap/>
            <w:vAlign w:val="center"/>
          </w:tcPr>
          <w:p w14:paraId="6268D9ED">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拟建管线</w:t>
            </w:r>
          </w:p>
        </w:tc>
        <w:tc>
          <w:tcPr>
            <w:tcW w:w="846" w:type="dxa"/>
            <w:noWrap/>
            <w:vAlign w:val="center"/>
          </w:tcPr>
          <w:p w14:paraId="5FE4A020">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w:t>
            </w:r>
          </w:p>
        </w:tc>
      </w:tr>
      <w:tr w14:paraId="329BB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noWrap/>
            <w:vAlign w:val="center"/>
          </w:tcPr>
          <w:p w14:paraId="444A4209">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w:t>
            </w:r>
          </w:p>
        </w:tc>
        <w:tc>
          <w:tcPr>
            <w:tcW w:w="2325" w:type="dxa"/>
            <w:noWrap/>
            <w:vAlign w:val="center"/>
          </w:tcPr>
          <w:p w14:paraId="13A2962C">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史家屯</w:t>
            </w:r>
          </w:p>
        </w:tc>
        <w:tc>
          <w:tcPr>
            <w:tcW w:w="1155" w:type="dxa"/>
            <w:vAlign w:val="center"/>
          </w:tcPr>
          <w:p w14:paraId="49E782CB">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125.03720</w:t>
            </w:r>
          </w:p>
        </w:tc>
        <w:tc>
          <w:tcPr>
            <w:tcW w:w="1080" w:type="dxa"/>
            <w:vAlign w:val="center"/>
          </w:tcPr>
          <w:p w14:paraId="7F8C14F3">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46.14629</w:t>
            </w:r>
          </w:p>
        </w:tc>
        <w:tc>
          <w:tcPr>
            <w:tcW w:w="930" w:type="dxa"/>
            <w:vMerge w:val="continue"/>
            <w:noWrap/>
            <w:vAlign w:val="center"/>
          </w:tcPr>
          <w:p w14:paraId="346FE2A3">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050" w:type="dxa"/>
            <w:vMerge w:val="continue"/>
            <w:noWrap/>
            <w:vAlign w:val="center"/>
          </w:tcPr>
          <w:p w14:paraId="0072FD64">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1178" w:type="dxa"/>
            <w:noWrap/>
            <w:vAlign w:val="center"/>
          </w:tcPr>
          <w:p w14:paraId="49101D88">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ascii="Times New Roman" w:hAnsi="Times New Roman" w:cs="Times New Roman" w:eastAsiaTheme="minorEastAsia"/>
                <w:caps w:val="0"/>
                <w:smallCaps w:val="0"/>
                <w:color w:val="auto"/>
                <w:spacing w:val="0"/>
                <w:w w:val="100"/>
                <w:kern w:val="21"/>
                <w:position w:val="0"/>
                <w:sz w:val="21"/>
                <w:szCs w:val="21"/>
                <w:highlight w:val="none"/>
              </w:rPr>
              <w:t>拟建管线</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西侧</w:t>
            </w:r>
          </w:p>
        </w:tc>
        <w:tc>
          <w:tcPr>
            <w:tcW w:w="846" w:type="dxa"/>
            <w:noWrap/>
            <w:vAlign w:val="center"/>
          </w:tcPr>
          <w:p w14:paraId="1E88F5AE">
            <w:pPr>
              <w:widowControl w:val="0"/>
              <w:spacing w:line="320" w:lineRule="exact"/>
              <w:jc w:val="center"/>
              <w:rPr>
                <w:rFonts w:hint="default"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70m</w:t>
            </w:r>
          </w:p>
        </w:tc>
      </w:tr>
    </w:tbl>
    <w:p w14:paraId="4A05961C">
      <w:pPr>
        <w:widowControl w:val="0"/>
        <w:spacing w:line="440" w:lineRule="exact"/>
        <w:ind w:firstLine="480" w:firstLineChars="200"/>
        <w:jc w:val="both"/>
        <w:rPr>
          <w:rFonts w:ascii="Times New Roman" w:hAnsi="Times New Roman" w:cs="Times New Roman"/>
          <w:caps w:val="0"/>
          <w:smallCaps w:val="0"/>
          <w:color w:val="auto"/>
          <w:spacing w:val="0"/>
          <w:w w:val="100"/>
          <w:position w:val="0"/>
          <w:szCs w:val="28"/>
          <w:highlight w:val="none"/>
        </w:rPr>
      </w:pPr>
      <w:r>
        <w:rPr>
          <w:rFonts w:ascii="Times New Roman" w:hAnsi="Times New Roman" w:cs="Times New Roman"/>
          <w:caps w:val="0"/>
          <w:smallCaps w:val="0"/>
          <w:color w:val="auto"/>
          <w:spacing w:val="0"/>
          <w:w w:val="100"/>
          <w:position w:val="0"/>
          <w:szCs w:val="28"/>
          <w:highlight w:val="none"/>
        </w:rPr>
        <w:t>（2）监测项目</w:t>
      </w:r>
    </w:p>
    <w:p w14:paraId="05048FB6">
      <w:pPr>
        <w:widowControl w:val="0"/>
        <w:spacing w:line="440" w:lineRule="exact"/>
        <w:ind w:firstLine="480" w:firstLineChars="200"/>
        <w:jc w:val="both"/>
        <w:rPr>
          <w:rFonts w:ascii="Times New Roman" w:hAnsi="Times New Roman" w:cs="Times New Roman"/>
          <w:caps w:val="0"/>
          <w:smallCaps w:val="0"/>
          <w:color w:val="auto"/>
          <w:spacing w:val="0"/>
          <w:w w:val="100"/>
          <w:position w:val="0"/>
          <w:szCs w:val="28"/>
          <w:highlight w:val="none"/>
        </w:rPr>
      </w:pPr>
      <w:r>
        <w:rPr>
          <w:rFonts w:ascii="Times New Roman" w:hAnsi="Times New Roman" w:cs="Times New Roman"/>
          <w:caps w:val="0"/>
          <w:smallCaps w:val="0"/>
          <w:color w:val="auto"/>
          <w:spacing w:val="0"/>
          <w:w w:val="100"/>
          <w:position w:val="0"/>
          <w:szCs w:val="28"/>
          <w:highlight w:val="none"/>
        </w:rPr>
        <w:t>根据当地的环境空气质量特征，结合本项目大气污染物排放特点，确定环境空气质量监测因子为</w:t>
      </w:r>
      <w:r>
        <w:rPr>
          <w:rFonts w:ascii="Times New Roman" w:hAnsi="Times New Roman" w:cs="Times New Roman"/>
          <w:bCs/>
          <w:caps w:val="0"/>
          <w:smallCaps w:val="0"/>
          <w:color w:val="auto"/>
          <w:spacing w:val="0"/>
          <w:w w:val="100"/>
          <w:position w:val="0"/>
          <w:szCs w:val="28"/>
          <w:highlight w:val="none"/>
        </w:rPr>
        <w:t>非甲烷总烃、TSP</w:t>
      </w:r>
      <w:r>
        <w:rPr>
          <w:rFonts w:ascii="Times New Roman" w:hAnsi="Times New Roman" w:cs="Times New Roman"/>
          <w:caps w:val="0"/>
          <w:smallCaps w:val="0"/>
          <w:color w:val="auto"/>
          <w:spacing w:val="0"/>
          <w:w w:val="100"/>
          <w:position w:val="0"/>
          <w:szCs w:val="28"/>
          <w:highlight w:val="none"/>
        </w:rPr>
        <w:t>。</w:t>
      </w:r>
    </w:p>
    <w:p w14:paraId="2AB3EA13">
      <w:pPr>
        <w:widowControl w:val="0"/>
        <w:spacing w:line="440" w:lineRule="exact"/>
        <w:ind w:firstLine="480" w:firstLineChars="200"/>
        <w:jc w:val="both"/>
        <w:rPr>
          <w:rFonts w:ascii="Times New Roman" w:hAnsi="Times New Roman" w:cs="Times New Roman"/>
          <w:caps w:val="0"/>
          <w:smallCaps w:val="0"/>
          <w:color w:val="auto"/>
          <w:spacing w:val="0"/>
          <w:w w:val="100"/>
          <w:position w:val="0"/>
          <w:szCs w:val="28"/>
          <w:highlight w:val="none"/>
        </w:rPr>
      </w:pPr>
      <w:r>
        <w:rPr>
          <w:rFonts w:ascii="Times New Roman" w:hAnsi="Times New Roman" w:cs="Times New Roman"/>
          <w:caps w:val="0"/>
          <w:smallCaps w:val="0"/>
          <w:color w:val="auto"/>
          <w:spacing w:val="0"/>
          <w:w w:val="100"/>
          <w:position w:val="0"/>
          <w:szCs w:val="28"/>
          <w:highlight w:val="none"/>
        </w:rPr>
        <w:t>（3）监测频次</w:t>
      </w:r>
    </w:p>
    <w:p w14:paraId="6F9066CE">
      <w:pPr>
        <w:widowControl w:val="0"/>
        <w:spacing w:line="440" w:lineRule="exact"/>
        <w:ind w:firstLine="480" w:firstLineChars="200"/>
        <w:jc w:val="both"/>
        <w:rPr>
          <w:rFonts w:ascii="Times New Roman" w:hAnsi="Times New Roman" w:cs="Times New Roman"/>
          <w:bCs/>
          <w:caps w:val="0"/>
          <w:smallCaps w:val="0"/>
          <w:color w:val="auto"/>
          <w:spacing w:val="0"/>
          <w:w w:val="100"/>
          <w:position w:val="0"/>
          <w:szCs w:val="28"/>
          <w:highlight w:val="none"/>
        </w:rPr>
      </w:pPr>
      <w:r>
        <w:rPr>
          <w:rFonts w:ascii="Times New Roman" w:hAnsi="Times New Roman" w:cs="Times New Roman"/>
          <w:bCs/>
          <w:caps w:val="0"/>
          <w:smallCaps w:val="0"/>
          <w:color w:val="auto"/>
          <w:spacing w:val="0"/>
          <w:w w:val="100"/>
          <w:position w:val="0"/>
          <w:szCs w:val="28"/>
          <w:highlight w:val="none"/>
        </w:rPr>
        <w:t>连续监测七天。非甲烷总烃取02、08、14、20时的小时浓度值，TSP取日均值。</w:t>
      </w:r>
    </w:p>
    <w:p w14:paraId="1442064A">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（4）评价方法</w:t>
      </w:r>
    </w:p>
    <w:p w14:paraId="339DB47A">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评价采用最大浓度占标率法，利用各监测点监测数据，统计各类污染物浓度范围、最大浓度占标率、最大超标倍数。数学表达式如下：</w:t>
      </w:r>
    </w:p>
    <w:p w14:paraId="5F655ED0">
      <w:pPr>
        <w:widowControl w:val="0"/>
        <w:spacing w:line="440" w:lineRule="exact"/>
        <w:ind w:firstLine="480" w:firstLineChars="200"/>
        <w:jc w:val="center"/>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I</w:t>
      </w:r>
      <w:r>
        <w:rPr>
          <w:rFonts w:ascii="Times New Roman" w:hAnsi="Times New Roman" w:cs="Times New Roman" w:eastAsiaTheme="minorEastAsia"/>
          <w:caps w:val="0"/>
          <w:smallCaps w:val="0"/>
          <w:color w:val="auto"/>
          <w:spacing w:val="0"/>
          <w:w w:val="100"/>
          <w:position w:val="0"/>
          <w:szCs w:val="28"/>
          <w:highlight w:val="none"/>
          <w:vertAlign w:val="subscript"/>
        </w:rPr>
        <w:t>i</w:t>
      </w:r>
      <w:r>
        <w:rPr>
          <w:rFonts w:ascii="Times New Roman" w:hAnsi="Times New Roman" w:cs="Times New Roman" w:eastAsiaTheme="minorEastAsia"/>
          <w:caps w:val="0"/>
          <w:smallCaps w:val="0"/>
          <w:color w:val="auto"/>
          <w:spacing w:val="0"/>
          <w:w w:val="100"/>
          <w:position w:val="0"/>
          <w:szCs w:val="28"/>
          <w:highlight w:val="none"/>
        </w:rPr>
        <w:t>＝C</w:t>
      </w:r>
      <w:r>
        <w:rPr>
          <w:rFonts w:ascii="Times New Roman" w:hAnsi="Times New Roman" w:cs="Times New Roman" w:eastAsiaTheme="minorEastAsia"/>
          <w:caps w:val="0"/>
          <w:smallCaps w:val="0"/>
          <w:color w:val="auto"/>
          <w:spacing w:val="0"/>
          <w:w w:val="100"/>
          <w:position w:val="0"/>
          <w:szCs w:val="28"/>
          <w:highlight w:val="none"/>
          <w:vertAlign w:val="subscript"/>
        </w:rPr>
        <w:t>i</w:t>
      </w:r>
      <w:r>
        <w:rPr>
          <w:rFonts w:ascii="Times New Roman" w:hAnsi="Times New Roman" w:cs="Times New Roman" w:eastAsiaTheme="minorEastAsia"/>
          <w:caps w:val="0"/>
          <w:smallCaps w:val="0"/>
          <w:color w:val="auto"/>
          <w:spacing w:val="0"/>
          <w:w w:val="100"/>
          <w:position w:val="0"/>
          <w:szCs w:val="28"/>
          <w:highlight w:val="none"/>
        </w:rPr>
        <w:t>/C</w:t>
      </w:r>
      <w:r>
        <w:rPr>
          <w:rFonts w:ascii="Times New Roman" w:hAnsi="Times New Roman" w:cs="Times New Roman" w:eastAsiaTheme="minorEastAsia"/>
          <w:caps w:val="0"/>
          <w:smallCaps w:val="0"/>
          <w:color w:val="auto"/>
          <w:spacing w:val="0"/>
          <w:w w:val="100"/>
          <w:position w:val="0"/>
          <w:szCs w:val="28"/>
          <w:highlight w:val="none"/>
          <w:vertAlign w:val="subscript"/>
        </w:rPr>
        <w:t>oi</w:t>
      </w:r>
      <w:r>
        <w:rPr>
          <w:rFonts w:ascii="Times New Roman" w:hAnsi="Times New Roman" w:cs="Times New Roman" w:eastAsiaTheme="minorEastAsia"/>
          <w:caps w:val="0"/>
          <w:smallCaps w:val="0"/>
          <w:color w:val="auto"/>
          <w:spacing w:val="0"/>
          <w:w w:val="100"/>
          <w:position w:val="0"/>
          <w:szCs w:val="28"/>
          <w:highlight w:val="none"/>
        </w:rPr>
        <w:t>×100%</w:t>
      </w:r>
    </w:p>
    <w:p w14:paraId="2E7DF6D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式中：I</w:t>
      </w:r>
      <w:r>
        <w:rPr>
          <w:rFonts w:ascii="Times New Roman" w:hAnsi="Times New Roman" w:cs="Times New Roman" w:eastAsiaTheme="minorEastAsia"/>
          <w:caps w:val="0"/>
          <w:smallCaps w:val="0"/>
          <w:color w:val="auto"/>
          <w:spacing w:val="0"/>
          <w:w w:val="100"/>
          <w:position w:val="0"/>
          <w:szCs w:val="28"/>
          <w:highlight w:val="none"/>
          <w:vertAlign w:val="subscript"/>
        </w:rPr>
        <w:t>i</w:t>
      </w:r>
      <w:r>
        <w:rPr>
          <w:rFonts w:ascii="Times New Roman" w:hAnsi="Times New Roman" w:cs="Times New Roman" w:eastAsiaTheme="minorEastAsia"/>
          <w:caps w:val="0"/>
          <w:smallCaps w:val="0"/>
          <w:color w:val="auto"/>
          <w:spacing w:val="0"/>
          <w:w w:val="100"/>
          <w:position w:val="0"/>
          <w:szCs w:val="28"/>
          <w:highlight w:val="none"/>
        </w:rPr>
        <w:t>—第i种污染物的最大浓度占标率，%；</w:t>
      </w:r>
    </w:p>
    <w:p w14:paraId="0030D35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 xml:space="preserve">      C</w:t>
      </w:r>
      <w:r>
        <w:rPr>
          <w:rFonts w:ascii="Times New Roman" w:hAnsi="Times New Roman" w:cs="Times New Roman" w:eastAsiaTheme="minorEastAsia"/>
          <w:caps w:val="0"/>
          <w:smallCaps w:val="0"/>
          <w:color w:val="auto"/>
          <w:spacing w:val="0"/>
          <w:w w:val="100"/>
          <w:position w:val="0"/>
          <w:szCs w:val="28"/>
          <w:highlight w:val="none"/>
          <w:vertAlign w:val="subscript"/>
        </w:rPr>
        <w:t>i</w:t>
      </w:r>
      <w:r>
        <w:rPr>
          <w:rFonts w:ascii="Times New Roman" w:hAnsi="Times New Roman" w:cs="Times New Roman" w:eastAsiaTheme="minorEastAsia"/>
          <w:caps w:val="0"/>
          <w:smallCaps w:val="0"/>
          <w:color w:val="auto"/>
          <w:spacing w:val="0"/>
          <w:w w:val="100"/>
          <w:position w:val="0"/>
          <w:szCs w:val="28"/>
          <w:highlight w:val="none"/>
        </w:rPr>
        <w:t>—第i种污染物平均浓度，mg/m</w:t>
      </w:r>
      <w:r>
        <w:rPr>
          <w:rFonts w:ascii="Times New Roman" w:hAnsi="Times New Roman" w:cs="Times New Roman" w:eastAsiaTheme="minorEastAsia"/>
          <w:caps w:val="0"/>
          <w:smallCaps w:val="0"/>
          <w:color w:val="auto"/>
          <w:spacing w:val="0"/>
          <w:w w:val="100"/>
          <w:position w:val="0"/>
          <w:szCs w:val="28"/>
          <w:highlight w:val="none"/>
          <w:vertAlign w:val="superscript"/>
        </w:rPr>
        <w:t>3</w:t>
      </w:r>
      <w:r>
        <w:rPr>
          <w:rFonts w:ascii="Times New Roman" w:hAnsi="Times New Roman" w:cs="Times New Roman" w:eastAsiaTheme="minorEastAsia"/>
          <w:caps w:val="0"/>
          <w:smallCaps w:val="0"/>
          <w:color w:val="auto"/>
          <w:spacing w:val="0"/>
          <w:w w:val="100"/>
          <w:position w:val="0"/>
          <w:szCs w:val="28"/>
          <w:highlight w:val="none"/>
        </w:rPr>
        <w:t>；</w:t>
      </w:r>
    </w:p>
    <w:p w14:paraId="2EB30A8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 xml:space="preserve">      C</w:t>
      </w:r>
      <w:r>
        <w:rPr>
          <w:rFonts w:ascii="Times New Roman" w:hAnsi="Times New Roman" w:cs="Times New Roman" w:eastAsiaTheme="minorEastAsia"/>
          <w:caps w:val="0"/>
          <w:smallCaps w:val="0"/>
          <w:color w:val="auto"/>
          <w:spacing w:val="0"/>
          <w:w w:val="100"/>
          <w:position w:val="0"/>
          <w:szCs w:val="28"/>
          <w:highlight w:val="none"/>
          <w:vertAlign w:val="subscript"/>
        </w:rPr>
        <w:t>0i</w:t>
      </w:r>
      <w:r>
        <w:rPr>
          <w:rFonts w:ascii="Times New Roman" w:hAnsi="Times New Roman" w:cs="Times New Roman" w:eastAsiaTheme="minorEastAsia"/>
          <w:caps w:val="0"/>
          <w:smallCaps w:val="0"/>
          <w:color w:val="auto"/>
          <w:spacing w:val="0"/>
          <w:w w:val="100"/>
          <w:position w:val="0"/>
          <w:szCs w:val="28"/>
          <w:highlight w:val="none"/>
        </w:rPr>
        <w:t>—第i种污染物环境质量标准，mg/m</w:t>
      </w:r>
      <w:r>
        <w:rPr>
          <w:rFonts w:ascii="Times New Roman" w:hAnsi="Times New Roman" w:cs="Times New Roman" w:eastAsiaTheme="minorEastAsia"/>
          <w:caps w:val="0"/>
          <w:smallCaps w:val="0"/>
          <w:color w:val="auto"/>
          <w:spacing w:val="0"/>
          <w:w w:val="100"/>
          <w:position w:val="0"/>
          <w:szCs w:val="28"/>
          <w:highlight w:val="none"/>
          <w:vertAlign w:val="superscript"/>
        </w:rPr>
        <w:t>3</w:t>
      </w:r>
      <w:r>
        <w:rPr>
          <w:rFonts w:ascii="Times New Roman" w:hAnsi="Times New Roman" w:cs="Times New Roman" w:eastAsiaTheme="minorEastAsia"/>
          <w:caps w:val="0"/>
          <w:smallCaps w:val="0"/>
          <w:color w:val="auto"/>
          <w:spacing w:val="0"/>
          <w:w w:val="100"/>
          <w:position w:val="0"/>
          <w:szCs w:val="28"/>
          <w:highlight w:val="none"/>
        </w:rPr>
        <w:t>。</w:t>
      </w:r>
    </w:p>
    <w:p w14:paraId="51FEB859">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若I</w:t>
      </w:r>
      <w:r>
        <w:rPr>
          <w:rFonts w:ascii="Times New Roman" w:hAnsi="Times New Roman" w:cs="Times New Roman" w:eastAsiaTheme="minorEastAsia"/>
          <w:caps w:val="0"/>
          <w:smallCaps w:val="0"/>
          <w:color w:val="auto"/>
          <w:spacing w:val="0"/>
          <w:w w:val="100"/>
          <w:position w:val="0"/>
          <w:szCs w:val="28"/>
          <w:highlight w:val="none"/>
          <w:vertAlign w:val="subscript"/>
        </w:rPr>
        <w:t>i</w:t>
      </w:r>
      <w:r>
        <w:rPr>
          <w:rFonts w:ascii="Times New Roman" w:hAnsi="Times New Roman" w:cs="Times New Roman" w:eastAsiaTheme="minorEastAsia"/>
          <w:caps w:val="0"/>
          <w:smallCaps w:val="0"/>
          <w:color w:val="auto"/>
          <w:spacing w:val="0"/>
          <w:w w:val="100"/>
          <w:position w:val="0"/>
          <w:szCs w:val="28"/>
          <w:highlight w:val="none"/>
        </w:rPr>
        <w:t>≥100%，表明该项指标超过了相应的环境空气质量标准，不能满足使用功能要求。若I</w:t>
      </w:r>
      <w:r>
        <w:rPr>
          <w:rFonts w:ascii="Times New Roman" w:hAnsi="Times New Roman" w:cs="Times New Roman" w:eastAsiaTheme="minorEastAsia"/>
          <w:caps w:val="0"/>
          <w:smallCaps w:val="0"/>
          <w:color w:val="auto"/>
          <w:spacing w:val="0"/>
          <w:w w:val="100"/>
          <w:position w:val="0"/>
          <w:szCs w:val="28"/>
          <w:highlight w:val="none"/>
          <w:vertAlign w:val="subscript"/>
        </w:rPr>
        <w:t>i</w:t>
      </w:r>
      <w:r>
        <w:rPr>
          <w:rFonts w:ascii="Times New Roman" w:hAnsi="Times New Roman" w:cs="Times New Roman" w:eastAsiaTheme="minorEastAsia"/>
          <w:caps w:val="0"/>
          <w:smallCaps w:val="0"/>
          <w:color w:val="auto"/>
          <w:spacing w:val="0"/>
          <w:w w:val="100"/>
          <w:position w:val="0"/>
          <w:szCs w:val="28"/>
          <w:highlight w:val="none"/>
        </w:rPr>
        <w:t>＜100%，则该指标满足环境空气质量标准，可以满足使用功能要求。</w:t>
      </w:r>
    </w:p>
    <w:p w14:paraId="6CBF424A">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（5）评价标准</w:t>
      </w:r>
    </w:p>
    <w:p w14:paraId="7EDC3CE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8"/>
          <w:highlight w:val="none"/>
        </w:rPr>
      </w:pPr>
      <w:r>
        <w:rPr>
          <w:rFonts w:ascii="Times New Roman" w:hAnsi="Times New Roman" w:cs="Times New Roman" w:eastAsiaTheme="minorEastAsia"/>
          <w:caps w:val="0"/>
          <w:smallCaps w:val="0"/>
          <w:color w:val="auto"/>
          <w:spacing w:val="0"/>
          <w:w w:val="100"/>
          <w:position w:val="0"/>
          <w:szCs w:val="28"/>
          <w:highlight w:val="none"/>
        </w:rPr>
        <w:t>非甲烷总烃执行《大气污染物综合排放标准详解》中的2.0mg/m</w:t>
      </w:r>
      <w:r>
        <w:rPr>
          <w:rFonts w:ascii="Times New Roman" w:hAnsi="Times New Roman" w:cs="Times New Roman" w:eastAsiaTheme="minorEastAsia"/>
          <w:caps w:val="0"/>
          <w:smallCaps w:val="0"/>
          <w:color w:val="auto"/>
          <w:spacing w:val="0"/>
          <w:w w:val="100"/>
          <w:position w:val="0"/>
          <w:szCs w:val="28"/>
          <w:highlight w:val="none"/>
          <w:vertAlign w:val="superscript"/>
        </w:rPr>
        <w:t>3</w:t>
      </w:r>
      <w:r>
        <w:rPr>
          <w:rFonts w:ascii="Times New Roman" w:hAnsi="Times New Roman" w:cs="Times New Roman" w:eastAsiaTheme="minorEastAsia"/>
          <w:caps w:val="0"/>
          <w:smallCaps w:val="0"/>
          <w:color w:val="auto"/>
          <w:spacing w:val="0"/>
          <w:w w:val="100"/>
          <w:position w:val="0"/>
          <w:szCs w:val="28"/>
          <w:highlight w:val="none"/>
        </w:rPr>
        <w:t>标准限值，</w:t>
      </w:r>
      <w:r>
        <w:rPr>
          <w:rFonts w:ascii="Times New Roman" w:hAnsi="Times New Roman" w:cs="Times New Roman" w:eastAsiaTheme="minorEastAsia"/>
          <w:bCs/>
          <w:caps w:val="0"/>
          <w:smallCaps w:val="0"/>
          <w:color w:val="auto"/>
          <w:spacing w:val="0"/>
          <w:w w:val="100"/>
          <w:position w:val="0"/>
          <w:szCs w:val="28"/>
          <w:highlight w:val="none"/>
        </w:rPr>
        <w:t>TSP</w:t>
      </w:r>
      <w:r>
        <w:rPr>
          <w:rFonts w:ascii="Times New Roman" w:hAnsi="Times New Roman" w:cs="Times New Roman" w:eastAsiaTheme="minorEastAsia"/>
          <w:caps w:val="0"/>
          <w:smallCaps w:val="0"/>
          <w:color w:val="auto"/>
          <w:spacing w:val="0"/>
          <w:w w:val="100"/>
          <w:position w:val="0"/>
          <w:szCs w:val="28"/>
          <w:highlight w:val="none"/>
        </w:rPr>
        <w:t>执行</w:t>
      </w:r>
      <w:r>
        <w:rPr>
          <w:rFonts w:hint="eastAsia" w:ascii="Times New Roman" w:hAnsi="Times New Roman" w:cs="Times New Roman" w:eastAsiaTheme="minorEastAsia"/>
          <w:caps w:val="0"/>
          <w:smallCaps w:val="0"/>
          <w:color w:val="auto"/>
          <w:spacing w:val="0"/>
          <w:w w:val="100"/>
          <w:kern w:val="2"/>
          <w:position w:val="0"/>
          <w:szCs w:val="20"/>
          <w:highlight w:val="none"/>
        </w:rPr>
        <w:t>《环境空气质量标准》（</w:t>
      </w:r>
      <w:r>
        <w:rPr>
          <w:rFonts w:ascii="Times New Roman" w:hAnsi="Times New Roman" w:cs="Times New Roman" w:eastAsiaTheme="minorEastAsia"/>
          <w:caps w:val="0"/>
          <w:smallCaps w:val="0"/>
          <w:color w:val="auto"/>
          <w:spacing w:val="0"/>
          <w:w w:val="100"/>
          <w:kern w:val="2"/>
          <w:position w:val="0"/>
          <w:szCs w:val="20"/>
          <w:highlight w:val="none"/>
        </w:rPr>
        <w:t>GB3095-2026）表2中过渡阶段二级浓度限值要求</w:t>
      </w:r>
      <w:r>
        <w:rPr>
          <w:rFonts w:ascii="Times New Roman" w:hAnsi="Times New Roman" w:cs="Times New Roman" w:eastAsiaTheme="minorEastAsia"/>
          <w:caps w:val="0"/>
          <w:smallCaps w:val="0"/>
          <w:color w:val="auto"/>
          <w:spacing w:val="0"/>
          <w:w w:val="100"/>
          <w:position w:val="0"/>
          <w:szCs w:val="28"/>
          <w:highlight w:val="none"/>
        </w:rPr>
        <w:t>。</w:t>
      </w:r>
    </w:p>
    <w:p w14:paraId="3925ED52">
      <w:pPr>
        <w:widowControl w:val="0"/>
        <w:spacing w:line="440" w:lineRule="exact"/>
        <w:ind w:firstLine="480" w:firstLineChars="200"/>
        <w:jc w:val="both"/>
        <w:rPr>
          <w:rFonts w:ascii="Times New Roman" w:hAnsi="Times New Roman" w:cs="Times New Roman"/>
          <w:caps w:val="0"/>
          <w:smallCaps w:val="0"/>
          <w:color w:val="auto"/>
          <w:spacing w:val="0"/>
          <w:w w:val="100"/>
          <w:position w:val="0"/>
          <w:szCs w:val="28"/>
          <w:highlight w:val="none"/>
        </w:rPr>
      </w:pPr>
      <w:r>
        <w:rPr>
          <w:rFonts w:ascii="Times New Roman" w:hAnsi="Times New Roman" w:cs="Times New Roman"/>
          <w:caps w:val="0"/>
          <w:smallCaps w:val="0"/>
          <w:color w:val="auto"/>
          <w:spacing w:val="0"/>
          <w:w w:val="100"/>
          <w:position w:val="0"/>
          <w:szCs w:val="28"/>
          <w:highlight w:val="none"/>
        </w:rPr>
        <w:t>（6）监测及评价结果</w:t>
      </w:r>
    </w:p>
    <w:p w14:paraId="3EAB4694">
      <w:pPr>
        <w:widowControl w:val="0"/>
        <w:tabs>
          <w:tab w:val="left" w:pos="5262"/>
        </w:tabs>
        <w:spacing w:line="440" w:lineRule="exact"/>
        <w:ind w:firstLine="480" w:firstLineChars="200"/>
        <w:jc w:val="both"/>
        <w:rPr>
          <w:rFonts w:ascii="Times New Roman" w:hAnsi="Times New Roman" w:cs="Times New Roman"/>
          <w:bCs/>
          <w:caps w:val="0"/>
          <w:smallCaps w:val="0"/>
          <w:color w:val="auto"/>
          <w:spacing w:val="0"/>
          <w:w w:val="100"/>
          <w:kern w:val="21"/>
          <w:position w:val="0"/>
          <w:highlight w:val="none"/>
        </w:rPr>
      </w:pPr>
      <w:r>
        <w:rPr>
          <w:rFonts w:ascii="Times New Roman" w:hAnsi="Times New Roman" w:cs="Times New Roman"/>
          <w:caps w:val="0"/>
          <w:smallCaps w:val="0"/>
          <w:color w:val="auto"/>
          <w:spacing w:val="0"/>
          <w:w w:val="100"/>
          <w:position w:val="0"/>
          <w:szCs w:val="28"/>
          <w:highlight w:val="none"/>
        </w:rPr>
        <w:t>特征污染物现状监测及评价结果详见表</w:t>
      </w:r>
      <w:r>
        <w:rPr>
          <w:rFonts w:ascii="Times New Roman" w:hAnsi="Times New Roman" w:cs="Times New Roman"/>
          <w:caps w:val="0"/>
          <w:smallCaps w:val="0"/>
          <w:color w:val="auto"/>
          <w:spacing w:val="0"/>
          <w:w w:val="100"/>
          <w:kern w:val="2"/>
          <w:position w:val="0"/>
          <w:szCs w:val="20"/>
          <w:highlight w:val="none"/>
        </w:rPr>
        <w:t>4.3-</w:t>
      </w:r>
      <w:r>
        <w:rPr>
          <w:rFonts w:ascii="Times New Roman" w:hAnsi="Times New Roman" w:cs="Times New Roman"/>
          <w:caps w:val="0"/>
          <w:smallCaps w:val="0"/>
          <w:color w:val="auto"/>
          <w:spacing w:val="0"/>
          <w:w w:val="100"/>
          <w:position w:val="0"/>
          <w:szCs w:val="28"/>
          <w:highlight w:val="none"/>
        </w:rPr>
        <w:t>3。</w:t>
      </w:r>
    </w:p>
    <w:p w14:paraId="308F7909">
      <w:pPr>
        <w:widowControl w:val="0"/>
        <w:tabs>
          <w:tab w:val="left" w:pos="5262"/>
        </w:tabs>
        <w:spacing w:line="440" w:lineRule="exact"/>
        <w:ind w:firstLine="482" w:firstLineChars="200"/>
        <w:jc w:val="both"/>
        <w:rPr>
          <w:rFonts w:ascii="Times New Roman" w:hAnsi="Times New Roman" w:cs="Times New Roman"/>
          <w:b/>
          <w:caps w:val="0"/>
          <w:smallCaps w:val="0"/>
          <w:color w:val="auto"/>
          <w:spacing w:val="0"/>
          <w:w w:val="100"/>
          <w:kern w:val="21"/>
          <w:position w:val="0"/>
          <w:highlight w:val="none"/>
          <w:vertAlign w:val="superscript"/>
        </w:rPr>
      </w:pPr>
      <w:r>
        <w:rPr>
          <w:rFonts w:ascii="Times New Roman" w:hAnsi="Times New Roman" w:cs="Times New Roman"/>
          <w:b/>
          <w:caps w:val="0"/>
          <w:smallCaps w:val="0"/>
          <w:color w:val="auto"/>
          <w:spacing w:val="0"/>
          <w:w w:val="100"/>
          <w:kern w:val="21"/>
          <w:position w:val="0"/>
          <w:highlight w:val="none"/>
        </w:rPr>
        <w:t>表</w:t>
      </w:r>
      <w:r>
        <w:rPr>
          <w:rFonts w:ascii="Times New Roman" w:hAnsi="Times New Roman" w:cs="Times New Roman"/>
          <w:b/>
          <w:caps w:val="0"/>
          <w:smallCaps w:val="0"/>
          <w:color w:val="auto"/>
          <w:spacing w:val="0"/>
          <w:w w:val="100"/>
          <w:kern w:val="2"/>
          <w:position w:val="0"/>
          <w:szCs w:val="20"/>
          <w:highlight w:val="none"/>
        </w:rPr>
        <w:t>4.3-</w:t>
      </w:r>
      <w:r>
        <w:rPr>
          <w:rFonts w:ascii="Times New Roman" w:hAnsi="Times New Roman" w:cs="Times New Roman"/>
          <w:b/>
          <w:caps w:val="0"/>
          <w:smallCaps w:val="0"/>
          <w:color w:val="auto"/>
          <w:spacing w:val="0"/>
          <w:w w:val="100"/>
          <w:kern w:val="21"/>
          <w:position w:val="0"/>
          <w:highlight w:val="none"/>
        </w:rPr>
        <w:t xml:space="preserve">3  </w:t>
      </w:r>
      <w:r>
        <w:rPr>
          <w:rFonts w:ascii="Times New Roman" w:hAnsi="Times New Roman" w:cs="Times New Roman"/>
          <w:b/>
          <w:caps w:val="0"/>
          <w:smallCaps w:val="0"/>
          <w:color w:val="auto"/>
          <w:spacing w:val="0"/>
          <w:w w:val="100"/>
          <w:position w:val="0"/>
          <w:szCs w:val="28"/>
          <w:highlight w:val="none"/>
        </w:rPr>
        <w:t>特征污染物现状监测及评价结果</w:t>
      </w:r>
      <w:r>
        <w:rPr>
          <w:rFonts w:ascii="Times New Roman" w:hAnsi="Times New Roman" w:cs="Times New Roman"/>
          <w:b/>
          <w:caps w:val="0"/>
          <w:smallCaps w:val="0"/>
          <w:color w:val="auto"/>
          <w:spacing w:val="0"/>
          <w:w w:val="100"/>
          <w:kern w:val="21"/>
          <w:position w:val="0"/>
          <w:highlight w:val="none"/>
        </w:rPr>
        <w:t xml:space="preserve">    </w:t>
      </w:r>
    </w:p>
    <w:tbl>
      <w:tblPr>
        <w:tblStyle w:val="80"/>
        <w:tblW w:w="90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76"/>
        <w:gridCol w:w="900"/>
        <w:gridCol w:w="747"/>
        <w:gridCol w:w="708"/>
        <w:gridCol w:w="567"/>
        <w:gridCol w:w="851"/>
        <w:gridCol w:w="1134"/>
        <w:gridCol w:w="709"/>
        <w:gridCol w:w="567"/>
        <w:gridCol w:w="715"/>
      </w:tblGrid>
      <w:tr w14:paraId="7A7F2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Merge w:val="restart"/>
            <w:vAlign w:val="center"/>
          </w:tcPr>
          <w:p w14:paraId="7FCF8A7E">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监测点位</w:t>
            </w:r>
          </w:p>
        </w:tc>
        <w:tc>
          <w:tcPr>
            <w:tcW w:w="1647" w:type="dxa"/>
            <w:gridSpan w:val="2"/>
            <w:vAlign w:val="center"/>
          </w:tcPr>
          <w:p w14:paraId="04101B7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监测点坐标</w:t>
            </w:r>
          </w:p>
        </w:tc>
        <w:tc>
          <w:tcPr>
            <w:tcW w:w="708" w:type="dxa"/>
            <w:vMerge w:val="restart"/>
            <w:vAlign w:val="center"/>
          </w:tcPr>
          <w:p w14:paraId="7026EA23">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污染物</w:t>
            </w:r>
          </w:p>
        </w:tc>
        <w:tc>
          <w:tcPr>
            <w:tcW w:w="567" w:type="dxa"/>
            <w:vMerge w:val="restart"/>
            <w:vAlign w:val="center"/>
          </w:tcPr>
          <w:p w14:paraId="4D256D5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平均时间</w:t>
            </w:r>
          </w:p>
        </w:tc>
        <w:tc>
          <w:tcPr>
            <w:tcW w:w="851" w:type="dxa"/>
            <w:vMerge w:val="restart"/>
            <w:vAlign w:val="center"/>
          </w:tcPr>
          <w:p w14:paraId="360978AA">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评价</w:t>
            </w:r>
          </w:p>
          <w:p w14:paraId="0BF6298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标准μg/m</w:t>
            </w:r>
            <w:r>
              <w:rPr>
                <w:rFonts w:ascii="Times New Roman" w:hAnsi="Times New Roman" w:cs="Times New Roman" w:eastAsiaTheme="minorEastAsia"/>
                <w:caps w:val="0"/>
                <w:smallCaps w:val="0"/>
                <w:color w:val="auto"/>
                <w:spacing w:val="0"/>
                <w:w w:val="100"/>
                <w:position w:val="0"/>
                <w:sz w:val="21"/>
                <w:szCs w:val="21"/>
                <w:highlight w:val="none"/>
                <w:vertAlign w:val="superscript"/>
              </w:rPr>
              <w:t>3</w:t>
            </w:r>
          </w:p>
        </w:tc>
        <w:tc>
          <w:tcPr>
            <w:tcW w:w="1134" w:type="dxa"/>
            <w:vMerge w:val="restart"/>
            <w:vAlign w:val="center"/>
          </w:tcPr>
          <w:p w14:paraId="7639167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监测浓度范围μg/m</w:t>
            </w:r>
            <w:r>
              <w:rPr>
                <w:rFonts w:ascii="Times New Roman" w:hAnsi="Times New Roman" w:cs="Times New Roman" w:eastAsiaTheme="minorEastAsia"/>
                <w:caps w:val="0"/>
                <w:smallCaps w:val="0"/>
                <w:color w:val="auto"/>
                <w:spacing w:val="0"/>
                <w:w w:val="100"/>
                <w:position w:val="0"/>
                <w:sz w:val="21"/>
                <w:szCs w:val="21"/>
                <w:highlight w:val="none"/>
                <w:vertAlign w:val="superscript"/>
              </w:rPr>
              <w:t>3</w:t>
            </w:r>
          </w:p>
        </w:tc>
        <w:tc>
          <w:tcPr>
            <w:tcW w:w="709" w:type="dxa"/>
            <w:vMerge w:val="restart"/>
            <w:vAlign w:val="center"/>
          </w:tcPr>
          <w:p w14:paraId="14B303BD">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最大浓度占标率%</w:t>
            </w:r>
          </w:p>
        </w:tc>
        <w:tc>
          <w:tcPr>
            <w:tcW w:w="567" w:type="dxa"/>
            <w:vMerge w:val="restart"/>
            <w:vAlign w:val="center"/>
          </w:tcPr>
          <w:p w14:paraId="2D175CF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超标率%</w:t>
            </w:r>
          </w:p>
        </w:tc>
        <w:tc>
          <w:tcPr>
            <w:tcW w:w="715" w:type="dxa"/>
            <w:vMerge w:val="restart"/>
            <w:vAlign w:val="center"/>
          </w:tcPr>
          <w:p w14:paraId="05EE6DB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达标情况</w:t>
            </w:r>
          </w:p>
        </w:tc>
      </w:tr>
      <w:tr w14:paraId="2AAEF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Merge w:val="continue"/>
            <w:vAlign w:val="center"/>
          </w:tcPr>
          <w:p w14:paraId="194E181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900" w:type="dxa"/>
            <w:vAlign w:val="center"/>
          </w:tcPr>
          <w:p w14:paraId="0074F3E4">
            <w:pPr>
              <w:adjustRightInd w:val="0"/>
              <w:snapToGrid w:val="0"/>
              <w:spacing w:line="32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ascii="Times New Roman" w:hAnsi="Times New Roman" w:cs="Times New Roman" w:eastAsiaTheme="minorEastAsia"/>
                <w:caps w:val="0"/>
                <w:smallCaps w:val="0"/>
                <w:color w:val="auto"/>
                <w:spacing w:val="0"/>
                <w:w w:val="100"/>
                <w:position w:val="0"/>
                <w:sz w:val="21"/>
                <w:szCs w:val="21"/>
                <w:highlight w:val="none"/>
              </w:rPr>
              <w:t>经度</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p>
        </w:tc>
        <w:tc>
          <w:tcPr>
            <w:tcW w:w="747" w:type="dxa"/>
            <w:vAlign w:val="center"/>
          </w:tcPr>
          <w:p w14:paraId="7C2F263F">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纬度</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p>
        </w:tc>
        <w:tc>
          <w:tcPr>
            <w:tcW w:w="708" w:type="dxa"/>
            <w:vMerge w:val="continue"/>
            <w:vAlign w:val="center"/>
          </w:tcPr>
          <w:p w14:paraId="5E5E74D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7" w:type="dxa"/>
            <w:vMerge w:val="continue"/>
            <w:vAlign w:val="center"/>
          </w:tcPr>
          <w:p w14:paraId="5F6A86AD">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51" w:type="dxa"/>
            <w:vMerge w:val="continue"/>
            <w:vAlign w:val="center"/>
          </w:tcPr>
          <w:p w14:paraId="21A1CBC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134" w:type="dxa"/>
            <w:vMerge w:val="continue"/>
            <w:vAlign w:val="center"/>
          </w:tcPr>
          <w:p w14:paraId="22042D9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709" w:type="dxa"/>
            <w:vMerge w:val="continue"/>
            <w:vAlign w:val="center"/>
          </w:tcPr>
          <w:p w14:paraId="0336B4F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7" w:type="dxa"/>
            <w:vMerge w:val="continue"/>
            <w:vAlign w:val="center"/>
          </w:tcPr>
          <w:p w14:paraId="674718C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715" w:type="dxa"/>
            <w:vMerge w:val="continue"/>
            <w:vAlign w:val="center"/>
          </w:tcPr>
          <w:p w14:paraId="7E33802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r>
      <w:tr w14:paraId="76F34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7DD45167">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拟建卫2-25-28</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kern w:val="21"/>
                <w:position w:val="0"/>
                <w:sz w:val="21"/>
                <w:szCs w:val="21"/>
                <w:highlight w:val="none"/>
              </w:rPr>
              <w:t>卫2-25-斜29</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井场集油管线处</w:t>
            </w:r>
          </w:p>
        </w:tc>
        <w:tc>
          <w:tcPr>
            <w:tcW w:w="900" w:type="dxa"/>
            <w:vAlign w:val="center"/>
          </w:tcPr>
          <w:p w14:paraId="74697F4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124.97491</w:t>
            </w:r>
          </w:p>
        </w:tc>
        <w:tc>
          <w:tcPr>
            <w:tcW w:w="747" w:type="dxa"/>
            <w:vAlign w:val="center"/>
          </w:tcPr>
          <w:p w14:paraId="417394E6">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46.16333</w:t>
            </w:r>
          </w:p>
        </w:tc>
        <w:tc>
          <w:tcPr>
            <w:tcW w:w="708" w:type="dxa"/>
            <w:vMerge w:val="restart"/>
            <w:vAlign w:val="center"/>
          </w:tcPr>
          <w:p w14:paraId="721F3DAA">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非甲烷总烃</w:t>
            </w:r>
          </w:p>
        </w:tc>
        <w:tc>
          <w:tcPr>
            <w:tcW w:w="567" w:type="dxa"/>
            <w:vMerge w:val="restart"/>
            <w:vAlign w:val="center"/>
          </w:tcPr>
          <w:p w14:paraId="44E6AA3E">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1h</w:t>
            </w:r>
          </w:p>
        </w:tc>
        <w:tc>
          <w:tcPr>
            <w:tcW w:w="851" w:type="dxa"/>
            <w:vAlign w:val="center"/>
          </w:tcPr>
          <w:p w14:paraId="7FF44E9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2000</w:t>
            </w:r>
          </w:p>
        </w:tc>
        <w:tc>
          <w:tcPr>
            <w:tcW w:w="1134" w:type="dxa"/>
            <w:vAlign w:val="center"/>
          </w:tcPr>
          <w:p w14:paraId="244BF991">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400-620</w:t>
            </w:r>
          </w:p>
        </w:tc>
        <w:tc>
          <w:tcPr>
            <w:tcW w:w="709" w:type="dxa"/>
            <w:vAlign w:val="center"/>
          </w:tcPr>
          <w:p w14:paraId="31987557">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31</w:t>
            </w:r>
          </w:p>
        </w:tc>
        <w:tc>
          <w:tcPr>
            <w:tcW w:w="567" w:type="dxa"/>
            <w:vAlign w:val="center"/>
          </w:tcPr>
          <w:p w14:paraId="26A3FAB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w:t>
            </w:r>
          </w:p>
        </w:tc>
        <w:tc>
          <w:tcPr>
            <w:tcW w:w="715" w:type="dxa"/>
            <w:vAlign w:val="center"/>
          </w:tcPr>
          <w:p w14:paraId="7F65A1BE">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w:t>
            </w:r>
          </w:p>
        </w:tc>
      </w:tr>
      <w:tr w14:paraId="7A265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0046BC08">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拟建卫2-25-28</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kern w:val="21"/>
                <w:position w:val="0"/>
                <w:sz w:val="21"/>
                <w:szCs w:val="21"/>
                <w:highlight w:val="none"/>
              </w:rPr>
              <w:t>卫2-25-斜29</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井场集油管线南侧200m处</w:t>
            </w:r>
          </w:p>
        </w:tc>
        <w:tc>
          <w:tcPr>
            <w:tcW w:w="900" w:type="dxa"/>
            <w:vAlign w:val="center"/>
          </w:tcPr>
          <w:p w14:paraId="2EC6C634">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124.97497</w:t>
            </w:r>
          </w:p>
        </w:tc>
        <w:tc>
          <w:tcPr>
            <w:tcW w:w="747" w:type="dxa"/>
            <w:vAlign w:val="center"/>
          </w:tcPr>
          <w:p w14:paraId="3B8BC73D">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46.16154</w:t>
            </w:r>
          </w:p>
        </w:tc>
        <w:tc>
          <w:tcPr>
            <w:tcW w:w="708" w:type="dxa"/>
            <w:vMerge w:val="continue"/>
            <w:vAlign w:val="center"/>
          </w:tcPr>
          <w:p w14:paraId="0A87D11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7" w:type="dxa"/>
            <w:vMerge w:val="continue"/>
            <w:vAlign w:val="center"/>
          </w:tcPr>
          <w:p w14:paraId="697CA23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51" w:type="dxa"/>
            <w:vAlign w:val="center"/>
          </w:tcPr>
          <w:p w14:paraId="0823607C">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2000</w:t>
            </w:r>
          </w:p>
        </w:tc>
        <w:tc>
          <w:tcPr>
            <w:tcW w:w="1134" w:type="dxa"/>
            <w:vAlign w:val="center"/>
          </w:tcPr>
          <w:p w14:paraId="6C82DEF3">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410-600</w:t>
            </w:r>
          </w:p>
        </w:tc>
        <w:tc>
          <w:tcPr>
            <w:tcW w:w="709" w:type="dxa"/>
            <w:vAlign w:val="center"/>
          </w:tcPr>
          <w:p w14:paraId="207BA7B7">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30</w:t>
            </w:r>
          </w:p>
        </w:tc>
        <w:tc>
          <w:tcPr>
            <w:tcW w:w="567" w:type="dxa"/>
            <w:vAlign w:val="center"/>
          </w:tcPr>
          <w:p w14:paraId="52A87B1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w:t>
            </w:r>
          </w:p>
        </w:tc>
        <w:tc>
          <w:tcPr>
            <w:tcW w:w="715" w:type="dxa"/>
            <w:vAlign w:val="center"/>
          </w:tcPr>
          <w:p w14:paraId="231A7EFC">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w:t>
            </w:r>
          </w:p>
        </w:tc>
      </w:tr>
      <w:tr w14:paraId="4E324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04FF8CF2">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1-5#集油阀组间至卫1-17-14井场集油</w:t>
            </w:r>
            <w:r>
              <w:rPr>
                <w:rFonts w:hint="eastAsia" w:ascii="Times New Roman" w:hAnsi="Times New Roman" w:cs="Times New Roman" w:eastAsiaTheme="minorEastAsia"/>
                <w:caps w:val="0"/>
                <w:smallCaps w:val="0"/>
                <w:color w:val="auto"/>
                <w:spacing w:val="0"/>
                <w:w w:val="100"/>
                <w:kern w:val="21"/>
                <w:position w:val="0"/>
                <w:sz w:val="21"/>
                <w:szCs w:val="21"/>
                <w:highlight w:val="none"/>
              </w:rPr>
              <w:t>管线</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处</w:t>
            </w:r>
          </w:p>
        </w:tc>
        <w:tc>
          <w:tcPr>
            <w:tcW w:w="900" w:type="dxa"/>
            <w:vAlign w:val="center"/>
          </w:tcPr>
          <w:p w14:paraId="13D83562">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125.03901</w:t>
            </w:r>
          </w:p>
        </w:tc>
        <w:tc>
          <w:tcPr>
            <w:tcW w:w="747" w:type="dxa"/>
            <w:vAlign w:val="center"/>
          </w:tcPr>
          <w:p w14:paraId="712E2F22">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46.14731</w:t>
            </w:r>
          </w:p>
        </w:tc>
        <w:tc>
          <w:tcPr>
            <w:tcW w:w="708" w:type="dxa"/>
            <w:vMerge w:val="continue"/>
            <w:vAlign w:val="center"/>
          </w:tcPr>
          <w:p w14:paraId="6C58876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7" w:type="dxa"/>
            <w:vMerge w:val="continue"/>
            <w:vAlign w:val="center"/>
          </w:tcPr>
          <w:p w14:paraId="22BF51BC">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51" w:type="dxa"/>
            <w:vAlign w:val="center"/>
          </w:tcPr>
          <w:p w14:paraId="363A817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2000</w:t>
            </w:r>
          </w:p>
        </w:tc>
        <w:tc>
          <w:tcPr>
            <w:tcW w:w="1134" w:type="dxa"/>
            <w:vAlign w:val="center"/>
          </w:tcPr>
          <w:p w14:paraId="36A74AD5">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410-660</w:t>
            </w:r>
          </w:p>
        </w:tc>
        <w:tc>
          <w:tcPr>
            <w:tcW w:w="709" w:type="dxa"/>
            <w:vAlign w:val="center"/>
          </w:tcPr>
          <w:p w14:paraId="2D39E277">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33</w:t>
            </w:r>
          </w:p>
        </w:tc>
        <w:tc>
          <w:tcPr>
            <w:tcW w:w="567" w:type="dxa"/>
            <w:vAlign w:val="center"/>
          </w:tcPr>
          <w:p w14:paraId="02BA559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w:t>
            </w:r>
          </w:p>
        </w:tc>
        <w:tc>
          <w:tcPr>
            <w:tcW w:w="715" w:type="dxa"/>
            <w:vAlign w:val="center"/>
          </w:tcPr>
          <w:p w14:paraId="442CE86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w:t>
            </w:r>
          </w:p>
        </w:tc>
      </w:tr>
      <w:tr w14:paraId="37B75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524FC125">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史家屯</w:t>
            </w:r>
          </w:p>
        </w:tc>
        <w:tc>
          <w:tcPr>
            <w:tcW w:w="900" w:type="dxa"/>
            <w:vAlign w:val="center"/>
          </w:tcPr>
          <w:p w14:paraId="598EEA90">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125.03720</w:t>
            </w:r>
          </w:p>
        </w:tc>
        <w:tc>
          <w:tcPr>
            <w:tcW w:w="747" w:type="dxa"/>
            <w:vAlign w:val="center"/>
          </w:tcPr>
          <w:p w14:paraId="7BC9D538">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46.14629</w:t>
            </w:r>
          </w:p>
        </w:tc>
        <w:tc>
          <w:tcPr>
            <w:tcW w:w="708" w:type="dxa"/>
            <w:vMerge w:val="continue"/>
            <w:vAlign w:val="center"/>
          </w:tcPr>
          <w:p w14:paraId="2C8757FC">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7" w:type="dxa"/>
            <w:vMerge w:val="continue"/>
            <w:vAlign w:val="center"/>
          </w:tcPr>
          <w:p w14:paraId="56E4991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51" w:type="dxa"/>
            <w:vAlign w:val="center"/>
          </w:tcPr>
          <w:p w14:paraId="464A715F">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2000</w:t>
            </w:r>
          </w:p>
        </w:tc>
        <w:tc>
          <w:tcPr>
            <w:tcW w:w="1134" w:type="dxa"/>
            <w:vAlign w:val="center"/>
          </w:tcPr>
          <w:p w14:paraId="26A64F7B">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400-600</w:t>
            </w:r>
          </w:p>
        </w:tc>
        <w:tc>
          <w:tcPr>
            <w:tcW w:w="709" w:type="dxa"/>
            <w:vAlign w:val="center"/>
          </w:tcPr>
          <w:p w14:paraId="5FB44DFA">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30</w:t>
            </w:r>
          </w:p>
        </w:tc>
        <w:tc>
          <w:tcPr>
            <w:tcW w:w="567" w:type="dxa"/>
            <w:vAlign w:val="center"/>
          </w:tcPr>
          <w:p w14:paraId="05B3D89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w:t>
            </w:r>
          </w:p>
        </w:tc>
        <w:tc>
          <w:tcPr>
            <w:tcW w:w="715" w:type="dxa"/>
            <w:vAlign w:val="center"/>
          </w:tcPr>
          <w:p w14:paraId="64CFE70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w:t>
            </w:r>
          </w:p>
        </w:tc>
      </w:tr>
      <w:tr w14:paraId="354EC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334E88F2">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拟建卫2-25-28</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kern w:val="21"/>
                <w:position w:val="0"/>
                <w:sz w:val="21"/>
                <w:szCs w:val="21"/>
                <w:highlight w:val="none"/>
              </w:rPr>
              <w:t>卫2-25-斜29</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井场集油管线处</w:t>
            </w:r>
          </w:p>
        </w:tc>
        <w:tc>
          <w:tcPr>
            <w:tcW w:w="900" w:type="dxa"/>
            <w:vAlign w:val="center"/>
          </w:tcPr>
          <w:p w14:paraId="0E4A6A4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124.97491</w:t>
            </w:r>
          </w:p>
        </w:tc>
        <w:tc>
          <w:tcPr>
            <w:tcW w:w="747" w:type="dxa"/>
            <w:vAlign w:val="center"/>
          </w:tcPr>
          <w:p w14:paraId="5332C618">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46.16333</w:t>
            </w:r>
          </w:p>
        </w:tc>
        <w:tc>
          <w:tcPr>
            <w:tcW w:w="708" w:type="dxa"/>
            <w:vMerge w:val="restart"/>
            <w:vAlign w:val="center"/>
          </w:tcPr>
          <w:p w14:paraId="50C1052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TSP</w:t>
            </w:r>
          </w:p>
        </w:tc>
        <w:tc>
          <w:tcPr>
            <w:tcW w:w="567" w:type="dxa"/>
            <w:vMerge w:val="restart"/>
            <w:vAlign w:val="center"/>
          </w:tcPr>
          <w:p w14:paraId="7E4E68AF">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24h</w:t>
            </w:r>
          </w:p>
        </w:tc>
        <w:tc>
          <w:tcPr>
            <w:tcW w:w="851" w:type="dxa"/>
            <w:vAlign w:val="center"/>
          </w:tcPr>
          <w:p w14:paraId="45B71EEC">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300</w:t>
            </w:r>
          </w:p>
        </w:tc>
        <w:tc>
          <w:tcPr>
            <w:tcW w:w="1134" w:type="dxa"/>
            <w:vAlign w:val="center"/>
          </w:tcPr>
          <w:p w14:paraId="0E11B977">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50-61</w:t>
            </w:r>
          </w:p>
        </w:tc>
        <w:tc>
          <w:tcPr>
            <w:tcW w:w="709" w:type="dxa"/>
            <w:vAlign w:val="center"/>
          </w:tcPr>
          <w:p w14:paraId="3EEC7090">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20.33</w:t>
            </w:r>
          </w:p>
        </w:tc>
        <w:tc>
          <w:tcPr>
            <w:tcW w:w="567" w:type="dxa"/>
            <w:vAlign w:val="center"/>
          </w:tcPr>
          <w:p w14:paraId="07637D0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w:t>
            </w:r>
          </w:p>
        </w:tc>
        <w:tc>
          <w:tcPr>
            <w:tcW w:w="715" w:type="dxa"/>
            <w:vAlign w:val="center"/>
          </w:tcPr>
          <w:p w14:paraId="5D4F513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w:t>
            </w:r>
          </w:p>
        </w:tc>
      </w:tr>
      <w:tr w14:paraId="61B9E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60C94026">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拟建卫2-25-28</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kern w:val="21"/>
                <w:position w:val="0"/>
                <w:sz w:val="21"/>
                <w:szCs w:val="21"/>
                <w:highlight w:val="none"/>
              </w:rPr>
              <w:t>卫2-25-斜29</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井场集油管线南侧200m处</w:t>
            </w:r>
          </w:p>
        </w:tc>
        <w:tc>
          <w:tcPr>
            <w:tcW w:w="900" w:type="dxa"/>
            <w:vAlign w:val="center"/>
          </w:tcPr>
          <w:p w14:paraId="7BFB9266">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124.97497</w:t>
            </w:r>
          </w:p>
        </w:tc>
        <w:tc>
          <w:tcPr>
            <w:tcW w:w="747" w:type="dxa"/>
            <w:vAlign w:val="center"/>
          </w:tcPr>
          <w:p w14:paraId="59172DD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46.16154</w:t>
            </w:r>
          </w:p>
        </w:tc>
        <w:tc>
          <w:tcPr>
            <w:tcW w:w="708" w:type="dxa"/>
            <w:vMerge w:val="continue"/>
            <w:vAlign w:val="center"/>
          </w:tcPr>
          <w:p w14:paraId="5A8E426F">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7" w:type="dxa"/>
            <w:vMerge w:val="continue"/>
            <w:vAlign w:val="center"/>
          </w:tcPr>
          <w:p w14:paraId="29DBFBE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51" w:type="dxa"/>
            <w:vAlign w:val="center"/>
          </w:tcPr>
          <w:p w14:paraId="1155031A">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300</w:t>
            </w:r>
          </w:p>
        </w:tc>
        <w:tc>
          <w:tcPr>
            <w:tcW w:w="1134" w:type="dxa"/>
            <w:vAlign w:val="center"/>
          </w:tcPr>
          <w:p w14:paraId="6D2DED4F">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51-62</w:t>
            </w:r>
          </w:p>
        </w:tc>
        <w:tc>
          <w:tcPr>
            <w:tcW w:w="709" w:type="dxa"/>
            <w:vAlign w:val="center"/>
          </w:tcPr>
          <w:p w14:paraId="7DA79BA0">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20.67</w:t>
            </w:r>
          </w:p>
        </w:tc>
        <w:tc>
          <w:tcPr>
            <w:tcW w:w="567" w:type="dxa"/>
            <w:vAlign w:val="center"/>
          </w:tcPr>
          <w:p w14:paraId="7F745E00">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w:t>
            </w:r>
          </w:p>
        </w:tc>
        <w:tc>
          <w:tcPr>
            <w:tcW w:w="715" w:type="dxa"/>
            <w:vAlign w:val="center"/>
          </w:tcPr>
          <w:p w14:paraId="6DDB6FC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w:t>
            </w:r>
          </w:p>
        </w:tc>
      </w:tr>
      <w:tr w14:paraId="71428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60450195">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拟建</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1-5#集油阀组间至卫1-17-14井场集油</w:t>
            </w:r>
            <w:r>
              <w:rPr>
                <w:rFonts w:hint="eastAsia" w:ascii="Times New Roman" w:hAnsi="Times New Roman" w:cs="Times New Roman" w:eastAsiaTheme="minorEastAsia"/>
                <w:caps w:val="0"/>
                <w:smallCaps w:val="0"/>
                <w:color w:val="auto"/>
                <w:spacing w:val="0"/>
                <w:w w:val="100"/>
                <w:kern w:val="21"/>
                <w:position w:val="0"/>
                <w:sz w:val="21"/>
                <w:szCs w:val="21"/>
                <w:highlight w:val="none"/>
              </w:rPr>
              <w:t>管线</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处</w:t>
            </w:r>
          </w:p>
        </w:tc>
        <w:tc>
          <w:tcPr>
            <w:tcW w:w="900" w:type="dxa"/>
            <w:vAlign w:val="center"/>
          </w:tcPr>
          <w:p w14:paraId="3D23DB74">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125.03901</w:t>
            </w:r>
          </w:p>
        </w:tc>
        <w:tc>
          <w:tcPr>
            <w:tcW w:w="747" w:type="dxa"/>
            <w:vAlign w:val="center"/>
          </w:tcPr>
          <w:p w14:paraId="04CBAD06">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46.14731</w:t>
            </w:r>
          </w:p>
        </w:tc>
        <w:tc>
          <w:tcPr>
            <w:tcW w:w="708" w:type="dxa"/>
            <w:vMerge w:val="continue"/>
            <w:vAlign w:val="center"/>
          </w:tcPr>
          <w:p w14:paraId="5372164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7" w:type="dxa"/>
            <w:vMerge w:val="continue"/>
            <w:vAlign w:val="center"/>
          </w:tcPr>
          <w:p w14:paraId="5620A0B4">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51" w:type="dxa"/>
            <w:vAlign w:val="center"/>
          </w:tcPr>
          <w:p w14:paraId="3CCE1088">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300</w:t>
            </w:r>
          </w:p>
        </w:tc>
        <w:tc>
          <w:tcPr>
            <w:tcW w:w="1134" w:type="dxa"/>
            <w:vAlign w:val="center"/>
          </w:tcPr>
          <w:p w14:paraId="3A8492D7">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51-62</w:t>
            </w:r>
          </w:p>
        </w:tc>
        <w:tc>
          <w:tcPr>
            <w:tcW w:w="709" w:type="dxa"/>
            <w:vAlign w:val="center"/>
          </w:tcPr>
          <w:p w14:paraId="026093D1">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20.67</w:t>
            </w:r>
          </w:p>
        </w:tc>
        <w:tc>
          <w:tcPr>
            <w:tcW w:w="567" w:type="dxa"/>
            <w:vAlign w:val="center"/>
          </w:tcPr>
          <w:p w14:paraId="5B38063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w:t>
            </w:r>
          </w:p>
        </w:tc>
        <w:tc>
          <w:tcPr>
            <w:tcW w:w="715" w:type="dxa"/>
            <w:vAlign w:val="center"/>
          </w:tcPr>
          <w:p w14:paraId="2B33918F">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w:t>
            </w:r>
          </w:p>
        </w:tc>
      </w:tr>
      <w:tr w14:paraId="245BD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79062D71">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史家屯</w:t>
            </w:r>
          </w:p>
        </w:tc>
        <w:tc>
          <w:tcPr>
            <w:tcW w:w="900" w:type="dxa"/>
            <w:vAlign w:val="center"/>
          </w:tcPr>
          <w:p w14:paraId="77EB99DB">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125.03720</w:t>
            </w:r>
          </w:p>
        </w:tc>
        <w:tc>
          <w:tcPr>
            <w:tcW w:w="747" w:type="dxa"/>
            <w:vAlign w:val="center"/>
          </w:tcPr>
          <w:p w14:paraId="028CA9DB">
            <w:pPr>
              <w:widowControl w:val="0"/>
              <w:spacing w:line="32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46.14629</w:t>
            </w:r>
          </w:p>
        </w:tc>
        <w:tc>
          <w:tcPr>
            <w:tcW w:w="708" w:type="dxa"/>
            <w:vMerge w:val="continue"/>
            <w:vAlign w:val="center"/>
          </w:tcPr>
          <w:p w14:paraId="049287D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67" w:type="dxa"/>
            <w:vMerge w:val="continue"/>
            <w:vAlign w:val="center"/>
          </w:tcPr>
          <w:p w14:paraId="11F2D583">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51" w:type="dxa"/>
            <w:vAlign w:val="center"/>
          </w:tcPr>
          <w:p w14:paraId="3D6130C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300</w:t>
            </w:r>
          </w:p>
        </w:tc>
        <w:tc>
          <w:tcPr>
            <w:tcW w:w="1134" w:type="dxa"/>
            <w:vAlign w:val="center"/>
          </w:tcPr>
          <w:p w14:paraId="1C0E1078">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51-62</w:t>
            </w:r>
          </w:p>
        </w:tc>
        <w:tc>
          <w:tcPr>
            <w:tcW w:w="709" w:type="dxa"/>
            <w:vAlign w:val="center"/>
          </w:tcPr>
          <w:p w14:paraId="0BCBB394">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20.67</w:t>
            </w:r>
          </w:p>
        </w:tc>
        <w:tc>
          <w:tcPr>
            <w:tcW w:w="567" w:type="dxa"/>
            <w:vAlign w:val="center"/>
          </w:tcPr>
          <w:p w14:paraId="3984CEF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w:t>
            </w:r>
          </w:p>
        </w:tc>
        <w:tc>
          <w:tcPr>
            <w:tcW w:w="715" w:type="dxa"/>
            <w:vAlign w:val="center"/>
          </w:tcPr>
          <w:p w14:paraId="3FA4655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达标</w:t>
            </w:r>
          </w:p>
        </w:tc>
      </w:tr>
    </w:tbl>
    <w:p w14:paraId="4E96D2E0">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评价结果表明，评价区域特征污染物非甲烷总烃满足《大气污染物综合排放标准详解》中的2.0mg/m</w:t>
      </w:r>
      <w:r>
        <w:rPr>
          <w:rFonts w:ascii="Times New Roman" w:hAnsi="Times New Roman" w:cs="Times New Roman" w:eastAsiaTheme="minorEastAsia"/>
          <w:bCs/>
          <w:caps w:val="0"/>
          <w:smallCaps w:val="0"/>
          <w:color w:val="auto"/>
          <w:spacing w:val="0"/>
          <w:w w:val="100"/>
          <w:kern w:val="21"/>
          <w:position w:val="0"/>
          <w:highlight w:val="none"/>
          <w:vertAlign w:val="superscript"/>
        </w:rPr>
        <w:t>3</w:t>
      </w:r>
      <w:r>
        <w:rPr>
          <w:rFonts w:ascii="Times New Roman" w:hAnsi="Times New Roman" w:cs="Times New Roman" w:eastAsiaTheme="minorEastAsia"/>
          <w:bCs/>
          <w:caps w:val="0"/>
          <w:smallCaps w:val="0"/>
          <w:color w:val="auto"/>
          <w:spacing w:val="0"/>
          <w:w w:val="100"/>
          <w:kern w:val="21"/>
          <w:position w:val="0"/>
          <w:highlight w:val="none"/>
        </w:rPr>
        <w:t>标准限值，TSP满足</w:t>
      </w:r>
      <w:r>
        <w:rPr>
          <w:rFonts w:hint="eastAsia" w:ascii="Times New Roman" w:hAnsi="Times New Roman" w:cs="Times New Roman" w:eastAsiaTheme="minorEastAsia"/>
          <w:bCs/>
          <w:caps w:val="0"/>
          <w:smallCaps w:val="0"/>
          <w:color w:val="auto"/>
          <w:spacing w:val="0"/>
          <w:w w:val="100"/>
          <w:kern w:val="21"/>
          <w:position w:val="0"/>
          <w:highlight w:val="none"/>
        </w:rPr>
        <w:t>《环境空气质量标准》（</w:t>
      </w:r>
      <w:r>
        <w:rPr>
          <w:rFonts w:ascii="Times New Roman" w:hAnsi="Times New Roman" w:cs="Times New Roman" w:eastAsiaTheme="minorEastAsia"/>
          <w:bCs/>
          <w:caps w:val="0"/>
          <w:smallCaps w:val="0"/>
          <w:color w:val="auto"/>
          <w:spacing w:val="0"/>
          <w:w w:val="100"/>
          <w:kern w:val="21"/>
          <w:position w:val="0"/>
          <w:highlight w:val="none"/>
        </w:rPr>
        <w:t>GB3095-2026）表2中二级浓度限值要求。</w:t>
      </w:r>
    </w:p>
    <w:p w14:paraId="6CDEB0C7">
      <w:pPr>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bookmarkStart w:id="713" w:name="_Toc186444322"/>
      <w:r>
        <w:rPr>
          <w:rFonts w:ascii="Times New Roman" w:hAnsi="Times New Roman" w:cs="Times New Roman"/>
          <w:b/>
          <w:bCs/>
          <w:caps w:val="0"/>
          <w:smallCaps w:val="0"/>
          <w:color w:val="auto"/>
          <w:spacing w:val="0"/>
          <w:w w:val="100"/>
          <w:kern w:val="2"/>
          <w:position w:val="0"/>
          <w:highlight w:val="none"/>
        </w:rPr>
        <w:t>4.3.2地下水环境质量现状评价</w:t>
      </w:r>
      <w:bookmarkEnd w:id="713"/>
    </w:p>
    <w:p w14:paraId="65245972">
      <w:pPr>
        <w:widowControl w:val="0"/>
        <w:spacing w:line="440" w:lineRule="exact"/>
        <w:ind w:firstLine="480" w:firstLineChars="200"/>
        <w:jc w:val="both"/>
        <w:rPr>
          <w:rFonts w:ascii="Times New Roman" w:hAnsi="Times New Roman" w:cs="Times New Roman"/>
          <w:bCs/>
          <w:caps w:val="0"/>
          <w:smallCaps w:val="0"/>
          <w:color w:val="auto"/>
          <w:spacing w:val="0"/>
          <w:w w:val="100"/>
          <w:kern w:val="21"/>
          <w:position w:val="0"/>
          <w:szCs w:val="20"/>
          <w:highlight w:val="none"/>
        </w:rPr>
      </w:pPr>
      <w:r>
        <w:rPr>
          <w:rFonts w:ascii="Times New Roman" w:hAnsi="Times New Roman" w:cs="Times New Roman"/>
          <w:bCs/>
          <w:caps w:val="0"/>
          <w:smallCaps w:val="0"/>
          <w:color w:val="auto"/>
          <w:spacing w:val="0"/>
          <w:w w:val="100"/>
          <w:kern w:val="21"/>
          <w:position w:val="0"/>
          <w:szCs w:val="20"/>
          <w:highlight w:val="none"/>
        </w:rPr>
        <w:t>根据本项目地层特征，以及地下水含水层特点和区域水资源开发利用情况，参照《环境影响评价技术导则 地下水环境》（HJ 610-2016），详见下表。</w:t>
      </w:r>
    </w:p>
    <w:p w14:paraId="6EE6F8B1">
      <w:pPr>
        <w:widowControl w:val="0"/>
        <w:spacing w:line="440" w:lineRule="exact"/>
        <w:ind w:firstLine="482" w:firstLineChars="200"/>
        <w:jc w:val="both"/>
        <w:rPr>
          <w:rFonts w:ascii="Times New Roman" w:hAnsi="Times New Roman" w:cs="Times New Roman"/>
          <w:b/>
          <w:caps w:val="0"/>
          <w:smallCaps w:val="0"/>
          <w:color w:val="auto"/>
          <w:spacing w:val="0"/>
          <w:w w:val="100"/>
          <w:kern w:val="21"/>
          <w:position w:val="0"/>
          <w:szCs w:val="20"/>
          <w:highlight w:val="none"/>
        </w:rPr>
      </w:pPr>
      <w:r>
        <w:rPr>
          <w:rFonts w:ascii="Times New Roman" w:hAnsi="Times New Roman" w:cs="Times New Roman"/>
          <w:b/>
          <w:caps w:val="0"/>
          <w:smallCaps w:val="0"/>
          <w:color w:val="auto"/>
          <w:spacing w:val="0"/>
          <w:w w:val="100"/>
          <w:kern w:val="21"/>
          <w:position w:val="0"/>
          <w:szCs w:val="20"/>
          <w:highlight w:val="none"/>
        </w:rPr>
        <w:t>表</w:t>
      </w:r>
      <w:r>
        <w:rPr>
          <w:rFonts w:ascii="Times New Roman" w:hAnsi="Times New Roman" w:cs="Times New Roman"/>
          <w:b/>
          <w:caps w:val="0"/>
          <w:smallCaps w:val="0"/>
          <w:color w:val="auto"/>
          <w:spacing w:val="0"/>
          <w:w w:val="100"/>
          <w:kern w:val="2"/>
          <w:position w:val="0"/>
          <w:szCs w:val="20"/>
          <w:highlight w:val="none"/>
        </w:rPr>
        <w:t>4.3-4</w:t>
      </w:r>
      <w:r>
        <w:rPr>
          <w:rFonts w:ascii="Times New Roman" w:hAnsi="Times New Roman" w:cs="Times New Roman"/>
          <w:b/>
          <w:caps w:val="0"/>
          <w:smallCaps w:val="0"/>
          <w:color w:val="auto"/>
          <w:spacing w:val="0"/>
          <w:w w:val="100"/>
          <w:kern w:val="21"/>
          <w:position w:val="0"/>
          <w:szCs w:val="20"/>
          <w:highlight w:val="none"/>
        </w:rPr>
        <w:t xml:space="preserve">    地下水环境现状监测频率参照表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3"/>
        <w:gridCol w:w="1103"/>
        <w:gridCol w:w="1241"/>
        <w:gridCol w:w="1291"/>
        <w:gridCol w:w="1263"/>
        <w:gridCol w:w="1074"/>
        <w:gridCol w:w="1302"/>
      </w:tblGrid>
      <w:tr w14:paraId="2C35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4CC64994">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评价等级</w:t>
            </w:r>
          </w:p>
        </w:tc>
        <w:tc>
          <w:tcPr>
            <w:tcW w:w="1957" w:type="pct"/>
            <w:gridSpan w:val="3"/>
            <w:vAlign w:val="center"/>
          </w:tcPr>
          <w:p w14:paraId="470CFA4C">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水位监测频率</w:t>
            </w:r>
          </w:p>
        </w:tc>
        <w:tc>
          <w:tcPr>
            <w:tcW w:w="1958" w:type="pct"/>
            <w:gridSpan w:val="3"/>
            <w:vAlign w:val="center"/>
          </w:tcPr>
          <w:p w14:paraId="339C2605">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水质监测频率</w:t>
            </w:r>
          </w:p>
        </w:tc>
      </w:tr>
      <w:tr w14:paraId="5240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0D44F1E9">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分布区</w:t>
            </w:r>
          </w:p>
        </w:tc>
        <w:tc>
          <w:tcPr>
            <w:tcW w:w="594" w:type="pct"/>
            <w:vAlign w:val="center"/>
          </w:tcPr>
          <w:p w14:paraId="64A95858">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一级</w:t>
            </w:r>
          </w:p>
        </w:tc>
        <w:tc>
          <w:tcPr>
            <w:tcW w:w="668" w:type="pct"/>
            <w:vAlign w:val="center"/>
          </w:tcPr>
          <w:p w14:paraId="4975F81F">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二级</w:t>
            </w:r>
          </w:p>
        </w:tc>
        <w:tc>
          <w:tcPr>
            <w:tcW w:w="695" w:type="pct"/>
            <w:vAlign w:val="center"/>
          </w:tcPr>
          <w:p w14:paraId="22E48EED">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三级（√）</w:t>
            </w:r>
          </w:p>
        </w:tc>
        <w:tc>
          <w:tcPr>
            <w:tcW w:w="680" w:type="pct"/>
            <w:vAlign w:val="center"/>
          </w:tcPr>
          <w:p w14:paraId="622616F7">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一级</w:t>
            </w:r>
          </w:p>
        </w:tc>
        <w:tc>
          <w:tcPr>
            <w:tcW w:w="578" w:type="pct"/>
            <w:vAlign w:val="center"/>
          </w:tcPr>
          <w:p w14:paraId="352FE952">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二级</w:t>
            </w:r>
          </w:p>
        </w:tc>
        <w:tc>
          <w:tcPr>
            <w:tcW w:w="700" w:type="pct"/>
            <w:vAlign w:val="center"/>
          </w:tcPr>
          <w:p w14:paraId="350CBD8A">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三级（√）</w:t>
            </w:r>
          </w:p>
        </w:tc>
      </w:tr>
      <w:tr w14:paraId="1A32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314BD40C">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山前冲（洪）积</w:t>
            </w:r>
          </w:p>
        </w:tc>
        <w:tc>
          <w:tcPr>
            <w:tcW w:w="594" w:type="pct"/>
            <w:vAlign w:val="center"/>
          </w:tcPr>
          <w:p w14:paraId="4041AE99">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枯平丰</w:t>
            </w:r>
          </w:p>
        </w:tc>
        <w:tc>
          <w:tcPr>
            <w:tcW w:w="668" w:type="pct"/>
            <w:vAlign w:val="center"/>
          </w:tcPr>
          <w:p w14:paraId="2889EB34">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枯丰</w:t>
            </w:r>
          </w:p>
        </w:tc>
        <w:tc>
          <w:tcPr>
            <w:tcW w:w="695" w:type="pct"/>
            <w:vAlign w:val="center"/>
          </w:tcPr>
          <w:p w14:paraId="088A04C0">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80" w:type="pct"/>
            <w:vAlign w:val="center"/>
          </w:tcPr>
          <w:p w14:paraId="0B521095">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枯平丰</w:t>
            </w:r>
          </w:p>
        </w:tc>
        <w:tc>
          <w:tcPr>
            <w:tcW w:w="578" w:type="pct"/>
            <w:vAlign w:val="center"/>
          </w:tcPr>
          <w:p w14:paraId="19D9E80C">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枯丰</w:t>
            </w:r>
          </w:p>
        </w:tc>
        <w:tc>
          <w:tcPr>
            <w:tcW w:w="700" w:type="pct"/>
            <w:vAlign w:val="center"/>
          </w:tcPr>
          <w:p w14:paraId="1BE2E7A3">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r>
      <w:tr w14:paraId="154D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776A34B2">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滨海（含填海区）</w:t>
            </w:r>
          </w:p>
        </w:tc>
        <w:tc>
          <w:tcPr>
            <w:tcW w:w="594" w:type="pct"/>
            <w:vAlign w:val="center"/>
          </w:tcPr>
          <w:p w14:paraId="2C218DE6">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二期a</w:t>
            </w:r>
          </w:p>
        </w:tc>
        <w:tc>
          <w:tcPr>
            <w:tcW w:w="668" w:type="pct"/>
            <w:vAlign w:val="center"/>
          </w:tcPr>
          <w:p w14:paraId="08ACF969">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95" w:type="pct"/>
            <w:vAlign w:val="center"/>
          </w:tcPr>
          <w:p w14:paraId="5362F3BA">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80" w:type="pct"/>
            <w:vAlign w:val="center"/>
          </w:tcPr>
          <w:p w14:paraId="34423721">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578" w:type="pct"/>
            <w:vAlign w:val="center"/>
          </w:tcPr>
          <w:p w14:paraId="4514E08F">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700" w:type="pct"/>
            <w:vAlign w:val="center"/>
          </w:tcPr>
          <w:p w14:paraId="477E84C4">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r>
      <w:tr w14:paraId="6B08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733EE75B">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其他平原区（√）</w:t>
            </w:r>
          </w:p>
        </w:tc>
        <w:tc>
          <w:tcPr>
            <w:tcW w:w="594" w:type="pct"/>
            <w:vAlign w:val="center"/>
          </w:tcPr>
          <w:p w14:paraId="19913CDE">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枯丰</w:t>
            </w:r>
          </w:p>
        </w:tc>
        <w:tc>
          <w:tcPr>
            <w:tcW w:w="668" w:type="pct"/>
            <w:vAlign w:val="center"/>
          </w:tcPr>
          <w:p w14:paraId="3FB9586B">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95" w:type="pct"/>
            <w:vAlign w:val="center"/>
          </w:tcPr>
          <w:p w14:paraId="4BC33B2B">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80" w:type="pct"/>
            <w:vAlign w:val="center"/>
          </w:tcPr>
          <w:p w14:paraId="3E74B503">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w:t>
            </w:r>
          </w:p>
        </w:tc>
        <w:tc>
          <w:tcPr>
            <w:tcW w:w="578" w:type="pct"/>
            <w:vAlign w:val="center"/>
          </w:tcPr>
          <w:p w14:paraId="4E19E753">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700" w:type="pct"/>
            <w:vAlign w:val="center"/>
          </w:tcPr>
          <w:p w14:paraId="3A606731">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r>
      <w:tr w14:paraId="7F26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5549F1D8">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黄土地区</w:t>
            </w:r>
          </w:p>
        </w:tc>
        <w:tc>
          <w:tcPr>
            <w:tcW w:w="594" w:type="pct"/>
            <w:vAlign w:val="center"/>
          </w:tcPr>
          <w:p w14:paraId="04EE8435">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枯平丰</w:t>
            </w:r>
          </w:p>
        </w:tc>
        <w:tc>
          <w:tcPr>
            <w:tcW w:w="668" w:type="pct"/>
            <w:vAlign w:val="center"/>
          </w:tcPr>
          <w:p w14:paraId="7977D026">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95" w:type="pct"/>
            <w:vAlign w:val="center"/>
          </w:tcPr>
          <w:p w14:paraId="408DF818">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80" w:type="pct"/>
            <w:vAlign w:val="center"/>
          </w:tcPr>
          <w:p w14:paraId="11EE3040">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二期</w:t>
            </w:r>
          </w:p>
        </w:tc>
        <w:tc>
          <w:tcPr>
            <w:tcW w:w="578" w:type="pct"/>
            <w:vAlign w:val="center"/>
          </w:tcPr>
          <w:p w14:paraId="1A5F1BEF">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700" w:type="pct"/>
            <w:vAlign w:val="center"/>
          </w:tcPr>
          <w:p w14:paraId="7AABC78E">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r>
      <w:tr w14:paraId="45007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72B4D0A5">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沙漠地区</w:t>
            </w:r>
          </w:p>
        </w:tc>
        <w:tc>
          <w:tcPr>
            <w:tcW w:w="594" w:type="pct"/>
            <w:vAlign w:val="center"/>
          </w:tcPr>
          <w:p w14:paraId="1F663F7D">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枯丰</w:t>
            </w:r>
          </w:p>
        </w:tc>
        <w:tc>
          <w:tcPr>
            <w:tcW w:w="668" w:type="pct"/>
            <w:vAlign w:val="center"/>
          </w:tcPr>
          <w:p w14:paraId="622FEFF4">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95" w:type="pct"/>
            <w:vAlign w:val="center"/>
          </w:tcPr>
          <w:p w14:paraId="3E3A8323">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80" w:type="pct"/>
            <w:vAlign w:val="center"/>
          </w:tcPr>
          <w:p w14:paraId="79186A96">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578" w:type="pct"/>
            <w:vAlign w:val="center"/>
          </w:tcPr>
          <w:p w14:paraId="6AE4793A">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700" w:type="pct"/>
            <w:vAlign w:val="center"/>
          </w:tcPr>
          <w:p w14:paraId="73DA2F1D">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r>
      <w:tr w14:paraId="694F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0C661DA0">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丘陵山区</w:t>
            </w:r>
          </w:p>
        </w:tc>
        <w:tc>
          <w:tcPr>
            <w:tcW w:w="594" w:type="pct"/>
            <w:vAlign w:val="center"/>
          </w:tcPr>
          <w:p w14:paraId="73D59FBE">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枯丰</w:t>
            </w:r>
          </w:p>
        </w:tc>
        <w:tc>
          <w:tcPr>
            <w:tcW w:w="668" w:type="pct"/>
            <w:vAlign w:val="center"/>
          </w:tcPr>
          <w:p w14:paraId="68930CB5">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95" w:type="pct"/>
            <w:vAlign w:val="center"/>
          </w:tcPr>
          <w:p w14:paraId="6B9FAF4A">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80" w:type="pct"/>
            <w:vAlign w:val="center"/>
          </w:tcPr>
          <w:p w14:paraId="4986809F">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578" w:type="pct"/>
            <w:vAlign w:val="center"/>
          </w:tcPr>
          <w:p w14:paraId="323FFD60">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700" w:type="pct"/>
            <w:vAlign w:val="center"/>
          </w:tcPr>
          <w:p w14:paraId="0CB5752D">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r>
      <w:tr w14:paraId="52AB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12D44550">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岩溶裂隙</w:t>
            </w:r>
          </w:p>
        </w:tc>
        <w:tc>
          <w:tcPr>
            <w:tcW w:w="594" w:type="pct"/>
            <w:vAlign w:val="center"/>
          </w:tcPr>
          <w:p w14:paraId="1E71711B">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枯丰</w:t>
            </w:r>
          </w:p>
        </w:tc>
        <w:tc>
          <w:tcPr>
            <w:tcW w:w="668" w:type="pct"/>
            <w:vAlign w:val="center"/>
          </w:tcPr>
          <w:p w14:paraId="7C027D52">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95" w:type="pct"/>
            <w:vAlign w:val="center"/>
          </w:tcPr>
          <w:p w14:paraId="11F20FA3">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80" w:type="pct"/>
            <w:vAlign w:val="center"/>
          </w:tcPr>
          <w:p w14:paraId="78861283">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枯丰</w:t>
            </w:r>
          </w:p>
        </w:tc>
        <w:tc>
          <w:tcPr>
            <w:tcW w:w="578" w:type="pct"/>
            <w:vAlign w:val="center"/>
          </w:tcPr>
          <w:p w14:paraId="5209B04C">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700" w:type="pct"/>
            <w:vAlign w:val="center"/>
          </w:tcPr>
          <w:p w14:paraId="39E9FF8B">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r>
      <w:tr w14:paraId="0C8E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4092C8BF">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岩溶管道</w:t>
            </w:r>
          </w:p>
        </w:tc>
        <w:tc>
          <w:tcPr>
            <w:tcW w:w="594" w:type="pct"/>
            <w:vAlign w:val="center"/>
          </w:tcPr>
          <w:p w14:paraId="19444644">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二期</w:t>
            </w:r>
          </w:p>
        </w:tc>
        <w:tc>
          <w:tcPr>
            <w:tcW w:w="668" w:type="pct"/>
            <w:vAlign w:val="center"/>
          </w:tcPr>
          <w:p w14:paraId="36AE1554">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95" w:type="pct"/>
            <w:vAlign w:val="center"/>
          </w:tcPr>
          <w:p w14:paraId="3784743F">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680" w:type="pct"/>
            <w:vAlign w:val="center"/>
          </w:tcPr>
          <w:p w14:paraId="22C058A6">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二期</w:t>
            </w:r>
          </w:p>
        </w:tc>
        <w:tc>
          <w:tcPr>
            <w:tcW w:w="578" w:type="pct"/>
            <w:vAlign w:val="center"/>
          </w:tcPr>
          <w:p w14:paraId="1C96B293">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c>
          <w:tcPr>
            <w:tcW w:w="700" w:type="pct"/>
            <w:vAlign w:val="center"/>
          </w:tcPr>
          <w:p w14:paraId="1591CC47">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一期</w:t>
            </w:r>
          </w:p>
        </w:tc>
      </w:tr>
      <w:tr w14:paraId="011D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7"/>
            <w:vAlign w:val="center"/>
          </w:tcPr>
          <w:p w14:paraId="23F41BD0">
            <w:pPr>
              <w:widowControl w:val="0"/>
              <w:snapToGrid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a “二期”的间隔有明显水位变化，其变化幅度接近年内变幅。</w:t>
            </w:r>
          </w:p>
        </w:tc>
      </w:tr>
    </w:tbl>
    <w:p w14:paraId="4889A327">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一般情况下，地下水水位监测点数宜大于相应评价级别地下水水质监测点数的2倍。三级评价项目潜水含水层的水质监测点应不少于3个，可能受建设项目影响且具有饮用水开发利用价值的含水层1-2个。原则上建设项目场地上游和两侧的地下水水质监测点均不得少于1个，建设项目场地及下游影响区的的地下水水质监测点不得少于1个。</w:t>
      </w:r>
      <w:r>
        <w:rPr>
          <w:rFonts w:hint="eastAsia" w:ascii="Times New Roman" w:hAnsi="Times New Roman" w:cs="Times New Roman" w:eastAsiaTheme="minorEastAsia"/>
          <w:caps w:val="0"/>
          <w:smallCaps w:val="0"/>
          <w:color w:val="auto"/>
          <w:spacing w:val="0"/>
          <w:w w:val="100"/>
          <w:position w:val="0"/>
          <w:highlight w:val="none"/>
        </w:rPr>
        <w:t>且</w:t>
      </w:r>
      <w:r>
        <w:rPr>
          <w:rFonts w:ascii="Times New Roman" w:hAnsi="Times New Roman" w:cs="Times New Roman" w:eastAsiaTheme="minorEastAsia"/>
          <w:caps w:val="0"/>
          <w:smallCaps w:val="0"/>
          <w:color w:val="auto"/>
          <w:spacing w:val="0"/>
          <w:w w:val="100"/>
          <w:position w:val="0"/>
          <w:highlight w:val="none"/>
        </w:rPr>
        <w:t>根据</w:t>
      </w:r>
      <w:r>
        <w:rPr>
          <w:rFonts w:ascii="Times New Roman" w:hAnsi="Times New Roman" w:cs="Times New Roman" w:eastAsiaTheme="minorEastAsia"/>
          <w:caps w:val="0"/>
          <w:smallCaps w:val="0"/>
          <w:color w:val="auto"/>
          <w:spacing w:val="0"/>
          <w:w w:val="100"/>
          <w:position w:val="0"/>
          <w:highlight w:val="none"/>
          <w:lang w:bidi="zh-CN"/>
        </w:rPr>
        <w:t>《环境影响评价技术导则 陆地石油天然气开发建设项目》（HJ349-2023）中要求“涉及两个或两个以上站场时，可根据评价等级优化调整地下水环境现状监测点布设，每个场地下游至少保证一个监测点，整体数量应满足最高评价等级的监测点数要求”。</w:t>
      </w:r>
      <w:r>
        <w:rPr>
          <w:rFonts w:ascii="Times New Roman" w:hAnsi="Times New Roman" w:cs="Times New Roman"/>
          <w:caps w:val="0"/>
          <w:smallCaps w:val="0"/>
          <w:color w:val="auto"/>
          <w:spacing w:val="0"/>
          <w:w w:val="100"/>
          <w:position w:val="0"/>
          <w:highlight w:val="none"/>
        </w:rPr>
        <w:t>因此本项目共布设</w:t>
      </w:r>
      <w:r>
        <w:rPr>
          <w:rFonts w:hint="eastAsia" w:ascii="Times New Roman" w:hAnsi="Times New Roman" w:cs="Times New Roman"/>
          <w:caps w:val="0"/>
          <w:smallCaps w:val="0"/>
          <w:color w:val="auto"/>
          <w:spacing w:val="0"/>
          <w:w w:val="100"/>
          <w:position w:val="0"/>
          <w:highlight w:val="none"/>
          <w:lang w:val="en-US" w:eastAsia="zh-CN"/>
        </w:rPr>
        <w:t>8</w:t>
      </w:r>
      <w:r>
        <w:rPr>
          <w:rFonts w:ascii="Times New Roman" w:hAnsi="Times New Roman" w:cs="Times New Roman"/>
          <w:caps w:val="0"/>
          <w:smallCaps w:val="0"/>
          <w:color w:val="auto"/>
          <w:spacing w:val="0"/>
          <w:w w:val="100"/>
          <w:position w:val="0"/>
          <w:highlight w:val="none"/>
        </w:rPr>
        <w:t>个水质监测点和</w:t>
      </w:r>
      <w:r>
        <w:rPr>
          <w:rFonts w:hint="eastAsia" w:ascii="Times New Roman" w:hAnsi="Times New Roman" w:cs="Times New Roman"/>
          <w:caps w:val="0"/>
          <w:smallCaps w:val="0"/>
          <w:color w:val="auto"/>
          <w:spacing w:val="0"/>
          <w:w w:val="100"/>
          <w:position w:val="0"/>
          <w:highlight w:val="none"/>
          <w:lang w:val="en-US" w:eastAsia="zh-CN"/>
        </w:rPr>
        <w:t>18</w:t>
      </w:r>
      <w:r>
        <w:rPr>
          <w:rFonts w:ascii="Times New Roman" w:hAnsi="Times New Roman" w:cs="Times New Roman"/>
          <w:caps w:val="0"/>
          <w:smallCaps w:val="0"/>
          <w:color w:val="auto"/>
          <w:spacing w:val="0"/>
          <w:w w:val="100"/>
          <w:position w:val="0"/>
          <w:highlight w:val="none"/>
        </w:rPr>
        <w:t>个水位监测点。</w:t>
      </w:r>
    </w:p>
    <w:p w14:paraId="113B3CCC">
      <w:pPr>
        <w:widowControl w:val="0"/>
        <w:spacing w:line="440" w:lineRule="exact"/>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4.3.2.1地下水位监测</w:t>
      </w:r>
    </w:p>
    <w:p w14:paraId="6357687B">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根据本项目地层特征，以及地下水含水层特点和区域水资源开发利用情况，参照《环境影响评价技术导则 地下水环境》（HJ 610-2016），</w:t>
      </w:r>
      <w:r>
        <w:rPr>
          <w:rFonts w:ascii="Times New Roman" w:hAnsi="Times New Roman" w:cs="Times New Roman"/>
          <w:color w:val="auto"/>
          <w:highlight w:val="none"/>
        </w:rPr>
        <w:t>项目区域内共布设1</w:t>
      </w:r>
      <w:r>
        <w:rPr>
          <w:rFonts w:hint="eastAsia" w:ascii="Times New Roman" w:hAnsi="Times New Roman" w:cs="Times New Roman"/>
          <w:color w:val="auto"/>
          <w:highlight w:val="none"/>
        </w:rPr>
        <w:t>6</w:t>
      </w:r>
      <w:r>
        <w:rPr>
          <w:rFonts w:ascii="Times New Roman" w:hAnsi="Times New Roman" w:cs="Times New Roman"/>
          <w:color w:val="auto"/>
          <w:highlight w:val="none"/>
        </w:rPr>
        <w:t>个地下水水位监测点，</w:t>
      </w:r>
      <w:r>
        <w:rPr>
          <w:rFonts w:ascii="Times New Roman" w:hAnsi="Times New Roman" w:cs="Times New Roman" w:eastAsiaTheme="minorEastAsia"/>
          <w:color w:val="auto"/>
          <w:highlight w:val="none"/>
        </w:rPr>
        <w:t>其中，潜水水位监测点1</w:t>
      </w:r>
      <w:r>
        <w:rPr>
          <w:rFonts w:hint="eastAsia" w:ascii="Times New Roman" w:hAnsi="Times New Roman" w:cs="Times New Roman" w:eastAsiaTheme="minorEastAsia"/>
          <w:color w:val="auto"/>
          <w:highlight w:val="none"/>
        </w:rPr>
        <w:t>1</w:t>
      </w:r>
      <w:r>
        <w:rPr>
          <w:rFonts w:ascii="Times New Roman" w:hAnsi="Times New Roman" w:cs="Times New Roman" w:eastAsiaTheme="minorEastAsia"/>
          <w:color w:val="auto"/>
          <w:highlight w:val="none"/>
        </w:rPr>
        <w:t>个，承压水水位监测点5个，具体</w:t>
      </w:r>
      <w:r>
        <w:rPr>
          <w:rFonts w:ascii="Times New Roman" w:hAnsi="Times New Roman" w:cs="Times New Roman"/>
          <w:color w:val="auto"/>
          <w:highlight w:val="none"/>
        </w:rPr>
        <w:t>见下表</w:t>
      </w:r>
      <w:r>
        <w:rPr>
          <w:rFonts w:ascii="Times New Roman" w:hAnsi="Times New Roman" w:cs="Times New Roman"/>
          <w:caps w:val="0"/>
          <w:smallCaps w:val="0"/>
          <w:color w:val="auto"/>
          <w:spacing w:val="0"/>
          <w:w w:val="100"/>
          <w:position w:val="0"/>
          <w:highlight w:val="none"/>
        </w:rPr>
        <w:t>。</w:t>
      </w:r>
    </w:p>
    <w:p w14:paraId="7C47E4E5">
      <w:pPr>
        <w:widowControl w:val="0"/>
        <w:spacing w:line="440" w:lineRule="exact"/>
        <w:ind w:firstLine="482" w:firstLineChars="200"/>
        <w:jc w:val="both"/>
        <w:rPr>
          <w:rFonts w:ascii="Times New Roman" w:hAnsi="Times New Roman" w:cs="Times New Roman"/>
          <w:b/>
          <w:caps w:val="0"/>
          <w:smallCaps w:val="0"/>
          <w:color w:val="auto"/>
          <w:spacing w:val="0"/>
          <w:w w:val="100"/>
          <w:kern w:val="21"/>
          <w:position w:val="0"/>
          <w:szCs w:val="20"/>
          <w:highlight w:val="none"/>
        </w:rPr>
      </w:pPr>
      <w:r>
        <w:rPr>
          <w:rFonts w:ascii="Times New Roman" w:hAnsi="Times New Roman" w:cs="Times New Roman"/>
          <w:b/>
          <w:caps w:val="0"/>
          <w:smallCaps w:val="0"/>
          <w:color w:val="auto"/>
          <w:spacing w:val="0"/>
          <w:w w:val="100"/>
          <w:kern w:val="21"/>
          <w:position w:val="0"/>
          <w:szCs w:val="20"/>
          <w:highlight w:val="none"/>
        </w:rPr>
        <w:t>表4.3-5    地下水水位监测点基本情况表</w:t>
      </w:r>
    </w:p>
    <w:tbl>
      <w:tblPr>
        <w:tblStyle w:val="80"/>
        <w:tblW w:w="4996" w:type="pct"/>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108" w:type="dxa"/>
          <w:bottom w:w="0" w:type="dxa"/>
          <w:right w:w="108" w:type="dxa"/>
        </w:tblCellMar>
      </w:tblPr>
      <w:tblGrid>
        <w:gridCol w:w="717"/>
        <w:gridCol w:w="1723"/>
        <w:gridCol w:w="1537"/>
        <w:gridCol w:w="3810"/>
        <w:gridCol w:w="1493"/>
      </w:tblGrid>
      <w:tr w14:paraId="311C203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A80218D">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序号</w:t>
            </w:r>
          </w:p>
        </w:tc>
        <w:tc>
          <w:tcPr>
            <w:tcW w:w="928" w:type="pct"/>
            <w:tcBorders>
              <w:right w:val="single" w:color="auto" w:sz="4" w:space="0"/>
            </w:tcBorders>
            <w:vAlign w:val="center"/>
          </w:tcPr>
          <w:p w14:paraId="008AB69C">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监测点位</w:t>
            </w:r>
          </w:p>
        </w:tc>
        <w:tc>
          <w:tcPr>
            <w:tcW w:w="828" w:type="pct"/>
            <w:tcBorders>
              <w:left w:val="single" w:color="auto" w:sz="4" w:space="0"/>
              <w:right w:val="single" w:color="auto" w:sz="4" w:space="0"/>
            </w:tcBorders>
            <w:vAlign w:val="center"/>
          </w:tcPr>
          <w:p w14:paraId="2472F0C9">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监测层位</w:t>
            </w:r>
          </w:p>
        </w:tc>
        <w:tc>
          <w:tcPr>
            <w:tcW w:w="2052" w:type="pct"/>
            <w:tcBorders>
              <w:left w:val="single" w:color="auto" w:sz="4" w:space="0"/>
              <w:right w:val="single" w:color="auto" w:sz="4" w:space="0"/>
            </w:tcBorders>
            <w:vAlign w:val="center"/>
          </w:tcPr>
          <w:p w14:paraId="310CF11A">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坐标</w:t>
            </w:r>
          </w:p>
        </w:tc>
        <w:tc>
          <w:tcPr>
            <w:tcW w:w="804" w:type="pct"/>
            <w:tcBorders>
              <w:left w:val="single" w:color="auto" w:sz="4" w:space="0"/>
              <w:right w:val="single" w:color="auto" w:sz="4" w:space="0"/>
            </w:tcBorders>
            <w:vAlign w:val="center"/>
          </w:tcPr>
          <w:p w14:paraId="75C5BBD1">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水位</w:t>
            </w:r>
          </w:p>
        </w:tc>
      </w:tr>
      <w:tr w14:paraId="7B6D54B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B345137">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D1</w:t>
            </w:r>
          </w:p>
        </w:tc>
        <w:tc>
          <w:tcPr>
            <w:tcW w:w="928" w:type="pct"/>
            <w:vAlign w:val="center"/>
          </w:tcPr>
          <w:p w14:paraId="1468E54C">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阎大岗屯</w:t>
            </w:r>
          </w:p>
        </w:tc>
        <w:tc>
          <w:tcPr>
            <w:tcW w:w="828" w:type="pct"/>
            <w:tcBorders>
              <w:left w:val="single" w:color="auto" w:sz="4" w:space="0"/>
              <w:right w:val="single" w:color="auto" w:sz="4" w:space="0"/>
            </w:tcBorders>
            <w:vAlign w:val="center"/>
          </w:tcPr>
          <w:p w14:paraId="02E1003A">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left w:val="single" w:color="auto" w:sz="4" w:space="0"/>
              <w:right w:val="single" w:color="auto" w:sz="4" w:space="0"/>
            </w:tcBorders>
            <w:vAlign w:val="center"/>
          </w:tcPr>
          <w:p w14:paraId="6AD2791C">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46.17742</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124.94964</w:t>
            </w:r>
          </w:p>
        </w:tc>
        <w:tc>
          <w:tcPr>
            <w:tcW w:w="804" w:type="pct"/>
            <w:tcBorders>
              <w:left w:val="single" w:color="auto" w:sz="4" w:space="0"/>
              <w:right w:val="single" w:color="auto" w:sz="4" w:space="0"/>
            </w:tcBorders>
            <w:vAlign w:val="center"/>
          </w:tcPr>
          <w:p w14:paraId="5C515825">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145.4</w:t>
            </w:r>
          </w:p>
        </w:tc>
      </w:tr>
      <w:tr w14:paraId="647E95E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16E1C5D8">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D2</w:t>
            </w:r>
          </w:p>
        </w:tc>
        <w:tc>
          <w:tcPr>
            <w:tcW w:w="928" w:type="pct"/>
            <w:vAlign w:val="center"/>
          </w:tcPr>
          <w:p w14:paraId="4FB29630">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前五家子</w:t>
            </w:r>
          </w:p>
        </w:tc>
        <w:tc>
          <w:tcPr>
            <w:tcW w:w="828" w:type="pct"/>
            <w:tcBorders>
              <w:left w:val="single" w:color="auto" w:sz="4" w:space="0"/>
              <w:right w:val="single" w:color="auto" w:sz="4" w:space="0"/>
            </w:tcBorders>
            <w:vAlign w:val="center"/>
          </w:tcPr>
          <w:p w14:paraId="1BE19E4D">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left w:val="single" w:color="auto" w:sz="4" w:space="0"/>
              <w:right w:val="single" w:color="auto" w:sz="4" w:space="0"/>
            </w:tcBorders>
            <w:vAlign w:val="center"/>
          </w:tcPr>
          <w:p w14:paraId="4CD5A06D">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46.15949，125.03741</w:t>
            </w:r>
          </w:p>
        </w:tc>
        <w:tc>
          <w:tcPr>
            <w:tcW w:w="804" w:type="pct"/>
            <w:tcBorders>
              <w:left w:val="single" w:color="auto" w:sz="4" w:space="0"/>
              <w:right w:val="single" w:color="auto" w:sz="4" w:space="0"/>
            </w:tcBorders>
            <w:vAlign w:val="center"/>
          </w:tcPr>
          <w:p w14:paraId="5263AAE2">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142.5</w:t>
            </w:r>
          </w:p>
        </w:tc>
      </w:tr>
      <w:tr w14:paraId="4F5EF9F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703F14E8">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D3</w:t>
            </w:r>
          </w:p>
        </w:tc>
        <w:tc>
          <w:tcPr>
            <w:tcW w:w="928" w:type="pct"/>
            <w:vAlign w:val="center"/>
          </w:tcPr>
          <w:p w14:paraId="65B5599B">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新立屯</w:t>
            </w:r>
          </w:p>
        </w:tc>
        <w:tc>
          <w:tcPr>
            <w:tcW w:w="828" w:type="pct"/>
            <w:tcBorders>
              <w:left w:val="single" w:color="auto" w:sz="4" w:space="0"/>
              <w:right w:val="single" w:color="auto" w:sz="4" w:space="0"/>
            </w:tcBorders>
            <w:vAlign w:val="center"/>
          </w:tcPr>
          <w:p w14:paraId="25E5D4D5">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left w:val="single" w:color="auto" w:sz="4" w:space="0"/>
              <w:right w:val="single" w:color="auto" w:sz="4" w:space="0"/>
            </w:tcBorders>
            <w:vAlign w:val="center"/>
          </w:tcPr>
          <w:p w14:paraId="6A091715">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46.15447</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124.96993</w:t>
            </w:r>
          </w:p>
        </w:tc>
        <w:tc>
          <w:tcPr>
            <w:tcW w:w="804" w:type="pct"/>
            <w:tcBorders>
              <w:left w:val="single" w:color="auto" w:sz="4" w:space="0"/>
              <w:right w:val="single" w:color="auto" w:sz="4" w:space="0"/>
            </w:tcBorders>
            <w:vAlign w:val="center"/>
          </w:tcPr>
          <w:p w14:paraId="49ADBC14">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143.4</w:t>
            </w:r>
          </w:p>
        </w:tc>
      </w:tr>
      <w:tr w14:paraId="2EBBF04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15858374">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D4</w:t>
            </w:r>
          </w:p>
        </w:tc>
        <w:tc>
          <w:tcPr>
            <w:tcW w:w="928" w:type="pct"/>
            <w:vAlign w:val="center"/>
          </w:tcPr>
          <w:p w14:paraId="5AB4BD8A">
            <w:pPr>
              <w:widowControl w:val="0"/>
              <w:autoSpaceDE w:val="0"/>
              <w:autoSpaceDN w:val="0"/>
              <w:spacing w:line="360" w:lineRule="exact"/>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张家屯</w:t>
            </w:r>
          </w:p>
        </w:tc>
        <w:tc>
          <w:tcPr>
            <w:tcW w:w="828" w:type="pct"/>
            <w:tcBorders>
              <w:left w:val="single" w:color="auto" w:sz="4" w:space="0"/>
              <w:right w:val="single" w:color="auto" w:sz="4" w:space="0"/>
            </w:tcBorders>
            <w:vAlign w:val="center"/>
          </w:tcPr>
          <w:p w14:paraId="3429CF67">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left w:val="single" w:color="auto" w:sz="4" w:space="0"/>
              <w:right w:val="single" w:color="auto" w:sz="4" w:space="0"/>
            </w:tcBorders>
            <w:vAlign w:val="center"/>
          </w:tcPr>
          <w:p w14:paraId="74C8D6BF">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46.13721</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124.98897</w:t>
            </w:r>
          </w:p>
        </w:tc>
        <w:tc>
          <w:tcPr>
            <w:tcW w:w="804" w:type="pct"/>
            <w:tcBorders>
              <w:left w:val="single" w:color="auto" w:sz="4" w:space="0"/>
              <w:right w:val="single" w:color="auto" w:sz="4" w:space="0"/>
            </w:tcBorders>
            <w:vAlign w:val="center"/>
          </w:tcPr>
          <w:p w14:paraId="2453474E">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145.2</w:t>
            </w:r>
          </w:p>
        </w:tc>
      </w:tr>
      <w:tr w14:paraId="7EC0483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E56D6CF">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D5</w:t>
            </w:r>
          </w:p>
        </w:tc>
        <w:tc>
          <w:tcPr>
            <w:tcW w:w="928" w:type="pct"/>
            <w:vAlign w:val="center"/>
          </w:tcPr>
          <w:p w14:paraId="1BD04DC0">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昌德镇</w:t>
            </w:r>
          </w:p>
        </w:tc>
        <w:tc>
          <w:tcPr>
            <w:tcW w:w="828" w:type="pct"/>
            <w:tcBorders>
              <w:left w:val="single" w:color="auto" w:sz="4" w:space="0"/>
              <w:right w:val="single" w:color="auto" w:sz="4" w:space="0"/>
            </w:tcBorders>
            <w:vAlign w:val="center"/>
          </w:tcPr>
          <w:p w14:paraId="7120F88B">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承压水</w:t>
            </w:r>
          </w:p>
        </w:tc>
        <w:tc>
          <w:tcPr>
            <w:tcW w:w="2052" w:type="pct"/>
            <w:tcBorders>
              <w:left w:val="single" w:color="auto" w:sz="4" w:space="0"/>
              <w:right w:val="single" w:color="auto" w:sz="4" w:space="0"/>
            </w:tcBorders>
            <w:vAlign w:val="center"/>
          </w:tcPr>
          <w:p w14:paraId="52C17F07">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46.14073</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125.00579</w:t>
            </w:r>
          </w:p>
        </w:tc>
        <w:tc>
          <w:tcPr>
            <w:tcW w:w="804" w:type="pct"/>
            <w:tcBorders>
              <w:left w:val="single" w:color="auto" w:sz="4" w:space="0"/>
              <w:right w:val="single" w:color="auto" w:sz="4" w:space="0"/>
            </w:tcBorders>
            <w:vAlign w:val="center"/>
          </w:tcPr>
          <w:p w14:paraId="3F70AF44">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132.7</w:t>
            </w:r>
          </w:p>
        </w:tc>
      </w:tr>
      <w:tr w14:paraId="5EE0233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38160D96">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D6</w:t>
            </w:r>
          </w:p>
        </w:tc>
        <w:tc>
          <w:tcPr>
            <w:tcW w:w="928" w:type="pct"/>
            <w:vAlign w:val="center"/>
          </w:tcPr>
          <w:p w14:paraId="5D7E16DB">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昌德镇</w:t>
            </w:r>
          </w:p>
        </w:tc>
        <w:tc>
          <w:tcPr>
            <w:tcW w:w="828" w:type="pct"/>
            <w:tcBorders>
              <w:left w:val="single" w:color="auto" w:sz="4" w:space="0"/>
              <w:right w:val="single" w:color="auto" w:sz="4" w:space="0"/>
            </w:tcBorders>
            <w:vAlign w:val="center"/>
          </w:tcPr>
          <w:p w14:paraId="314AD312">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left w:val="single" w:color="auto" w:sz="4" w:space="0"/>
              <w:right w:val="single" w:color="auto" w:sz="4" w:space="0"/>
            </w:tcBorders>
            <w:vAlign w:val="center"/>
          </w:tcPr>
          <w:p w14:paraId="17E8A7CD">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46.14277</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125.01878</w:t>
            </w:r>
          </w:p>
        </w:tc>
        <w:tc>
          <w:tcPr>
            <w:tcW w:w="804" w:type="pct"/>
            <w:tcBorders>
              <w:left w:val="single" w:color="auto" w:sz="4" w:space="0"/>
              <w:right w:val="single" w:color="auto" w:sz="4" w:space="0"/>
            </w:tcBorders>
            <w:vAlign w:val="center"/>
          </w:tcPr>
          <w:p w14:paraId="553A0734">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140.1</w:t>
            </w:r>
          </w:p>
        </w:tc>
      </w:tr>
      <w:tr w14:paraId="2A5DE24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3D955E2D">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D7</w:t>
            </w:r>
          </w:p>
        </w:tc>
        <w:tc>
          <w:tcPr>
            <w:tcW w:w="928" w:type="pct"/>
            <w:vAlign w:val="center"/>
          </w:tcPr>
          <w:p w14:paraId="12D76B7F">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孙家屯</w:t>
            </w:r>
          </w:p>
        </w:tc>
        <w:tc>
          <w:tcPr>
            <w:tcW w:w="828" w:type="pct"/>
            <w:tcBorders>
              <w:left w:val="single" w:color="auto" w:sz="4" w:space="0"/>
              <w:right w:val="single" w:color="auto" w:sz="4" w:space="0"/>
            </w:tcBorders>
            <w:vAlign w:val="center"/>
          </w:tcPr>
          <w:p w14:paraId="70E11CF5">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承压水</w:t>
            </w:r>
          </w:p>
        </w:tc>
        <w:tc>
          <w:tcPr>
            <w:tcW w:w="2052" w:type="pct"/>
            <w:tcBorders>
              <w:left w:val="single" w:color="auto" w:sz="4" w:space="0"/>
              <w:right w:val="single" w:color="auto" w:sz="4" w:space="0"/>
            </w:tcBorders>
            <w:vAlign w:val="center"/>
          </w:tcPr>
          <w:p w14:paraId="069023C5">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46.14424</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125.02553</w:t>
            </w:r>
          </w:p>
        </w:tc>
        <w:tc>
          <w:tcPr>
            <w:tcW w:w="804" w:type="pct"/>
            <w:tcBorders>
              <w:left w:val="single" w:color="auto" w:sz="4" w:space="0"/>
              <w:right w:val="single" w:color="auto" w:sz="4" w:space="0"/>
            </w:tcBorders>
            <w:vAlign w:val="center"/>
          </w:tcPr>
          <w:p w14:paraId="560C82C6">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131.1</w:t>
            </w:r>
          </w:p>
        </w:tc>
      </w:tr>
      <w:tr w14:paraId="4803F25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20" w:hRule="atLeast"/>
          <w:jc w:val="center"/>
        </w:trPr>
        <w:tc>
          <w:tcPr>
            <w:tcW w:w="386" w:type="pct"/>
            <w:vAlign w:val="center"/>
          </w:tcPr>
          <w:p w14:paraId="4D5030C1">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D8</w:t>
            </w:r>
          </w:p>
        </w:tc>
        <w:tc>
          <w:tcPr>
            <w:tcW w:w="928" w:type="pct"/>
            <w:vAlign w:val="center"/>
          </w:tcPr>
          <w:p w14:paraId="78A16FC7">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卢家屯</w:t>
            </w:r>
          </w:p>
        </w:tc>
        <w:tc>
          <w:tcPr>
            <w:tcW w:w="828" w:type="pct"/>
            <w:tcBorders>
              <w:left w:val="single" w:color="auto" w:sz="4" w:space="0"/>
              <w:right w:val="single" w:color="auto" w:sz="4" w:space="0"/>
            </w:tcBorders>
            <w:vAlign w:val="center"/>
          </w:tcPr>
          <w:p w14:paraId="4930E9C5">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承压水</w:t>
            </w:r>
          </w:p>
        </w:tc>
        <w:tc>
          <w:tcPr>
            <w:tcW w:w="2052" w:type="pct"/>
            <w:tcBorders>
              <w:left w:val="single" w:color="auto" w:sz="4" w:space="0"/>
              <w:right w:val="single" w:color="auto" w:sz="4" w:space="0"/>
            </w:tcBorders>
            <w:vAlign w:val="center"/>
          </w:tcPr>
          <w:p w14:paraId="652A9C84">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46.13662</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125.02690</w:t>
            </w:r>
          </w:p>
        </w:tc>
        <w:tc>
          <w:tcPr>
            <w:tcW w:w="804" w:type="pct"/>
            <w:tcBorders>
              <w:left w:val="single" w:color="auto" w:sz="4" w:space="0"/>
              <w:right w:val="single" w:color="auto" w:sz="4" w:space="0"/>
            </w:tcBorders>
            <w:vAlign w:val="center"/>
          </w:tcPr>
          <w:p w14:paraId="447BBD1C">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126.9</w:t>
            </w:r>
          </w:p>
        </w:tc>
      </w:tr>
      <w:tr w14:paraId="4C6958D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4514A9E3">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D9</w:t>
            </w:r>
          </w:p>
        </w:tc>
        <w:tc>
          <w:tcPr>
            <w:tcW w:w="928" w:type="pct"/>
            <w:vAlign w:val="center"/>
          </w:tcPr>
          <w:p w14:paraId="373A9C60">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史家屯</w:t>
            </w:r>
          </w:p>
        </w:tc>
        <w:tc>
          <w:tcPr>
            <w:tcW w:w="828" w:type="pct"/>
            <w:tcBorders>
              <w:left w:val="single" w:color="auto" w:sz="4" w:space="0"/>
              <w:right w:val="single" w:color="auto" w:sz="4" w:space="0"/>
            </w:tcBorders>
            <w:vAlign w:val="center"/>
          </w:tcPr>
          <w:p w14:paraId="44213DE3">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left w:val="single" w:color="auto" w:sz="4" w:space="0"/>
              <w:right w:val="single" w:color="auto" w:sz="4" w:space="0"/>
            </w:tcBorders>
            <w:vAlign w:val="center"/>
          </w:tcPr>
          <w:p w14:paraId="4908E7B9">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46.14587</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125.03685</w:t>
            </w:r>
          </w:p>
        </w:tc>
        <w:tc>
          <w:tcPr>
            <w:tcW w:w="804" w:type="pct"/>
            <w:tcBorders>
              <w:left w:val="single" w:color="auto" w:sz="4" w:space="0"/>
              <w:right w:val="single" w:color="auto" w:sz="4" w:space="0"/>
            </w:tcBorders>
            <w:vAlign w:val="center"/>
          </w:tcPr>
          <w:p w14:paraId="60EED2A4">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139.1</w:t>
            </w:r>
          </w:p>
        </w:tc>
      </w:tr>
      <w:tr w14:paraId="6423A4A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65F6447">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D10</w:t>
            </w:r>
          </w:p>
        </w:tc>
        <w:tc>
          <w:tcPr>
            <w:tcW w:w="928" w:type="pct"/>
            <w:vAlign w:val="center"/>
          </w:tcPr>
          <w:p w14:paraId="6A42F0E7">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石宝珍屯</w:t>
            </w:r>
          </w:p>
        </w:tc>
        <w:tc>
          <w:tcPr>
            <w:tcW w:w="828" w:type="pct"/>
            <w:tcBorders>
              <w:left w:val="single" w:color="auto" w:sz="4" w:space="0"/>
              <w:right w:val="single" w:color="auto" w:sz="4" w:space="0"/>
            </w:tcBorders>
            <w:vAlign w:val="center"/>
          </w:tcPr>
          <w:p w14:paraId="38756775">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left w:val="single" w:color="auto" w:sz="4" w:space="0"/>
              <w:right w:val="single" w:color="auto" w:sz="4" w:space="0"/>
            </w:tcBorders>
            <w:vAlign w:val="center"/>
          </w:tcPr>
          <w:p w14:paraId="39BD4DF4">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46.16261，125.00468</w:t>
            </w:r>
          </w:p>
        </w:tc>
        <w:tc>
          <w:tcPr>
            <w:tcW w:w="804" w:type="pct"/>
            <w:tcBorders>
              <w:left w:val="single" w:color="auto" w:sz="4" w:space="0"/>
              <w:right w:val="single" w:color="auto" w:sz="4" w:space="0"/>
            </w:tcBorders>
            <w:vAlign w:val="center"/>
          </w:tcPr>
          <w:p w14:paraId="2646791B">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139.9</w:t>
            </w:r>
          </w:p>
        </w:tc>
      </w:tr>
      <w:tr w14:paraId="04D267D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5952AA0">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D11</w:t>
            </w:r>
          </w:p>
        </w:tc>
        <w:tc>
          <w:tcPr>
            <w:tcW w:w="928" w:type="pct"/>
            <w:vAlign w:val="center"/>
          </w:tcPr>
          <w:p w14:paraId="054CB2EF">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石宝珍屯</w:t>
            </w:r>
          </w:p>
        </w:tc>
        <w:tc>
          <w:tcPr>
            <w:tcW w:w="828" w:type="pct"/>
            <w:tcBorders>
              <w:top w:val="single" w:color="auto" w:sz="4" w:space="0"/>
              <w:left w:val="single" w:color="auto" w:sz="4" w:space="0"/>
              <w:bottom w:val="single" w:color="auto" w:sz="4" w:space="0"/>
              <w:right w:val="single" w:color="auto" w:sz="4" w:space="0"/>
            </w:tcBorders>
            <w:vAlign w:val="center"/>
          </w:tcPr>
          <w:p w14:paraId="74783478">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承压水</w:t>
            </w:r>
          </w:p>
        </w:tc>
        <w:tc>
          <w:tcPr>
            <w:tcW w:w="2052" w:type="pct"/>
            <w:tcBorders>
              <w:top w:val="single" w:color="auto" w:sz="4" w:space="0"/>
              <w:left w:val="single" w:color="auto" w:sz="4" w:space="0"/>
              <w:bottom w:val="single" w:color="auto" w:sz="4" w:space="0"/>
              <w:right w:val="single" w:color="auto" w:sz="4" w:space="0"/>
            </w:tcBorders>
            <w:vAlign w:val="center"/>
          </w:tcPr>
          <w:p w14:paraId="0AF1D6F5">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46.16274，125.00374</w:t>
            </w:r>
          </w:p>
        </w:tc>
        <w:tc>
          <w:tcPr>
            <w:tcW w:w="804" w:type="pct"/>
            <w:tcBorders>
              <w:top w:val="single" w:color="auto" w:sz="4" w:space="0"/>
              <w:left w:val="single" w:color="auto" w:sz="4" w:space="0"/>
              <w:bottom w:val="single" w:color="auto" w:sz="4" w:space="0"/>
              <w:right w:val="single" w:color="auto" w:sz="4" w:space="0"/>
            </w:tcBorders>
            <w:vAlign w:val="center"/>
          </w:tcPr>
          <w:p w14:paraId="615D2C67">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125.4</w:t>
            </w:r>
          </w:p>
        </w:tc>
      </w:tr>
      <w:tr w14:paraId="0D8BA25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230" w:hRule="atLeast"/>
          <w:jc w:val="center"/>
        </w:trPr>
        <w:tc>
          <w:tcPr>
            <w:tcW w:w="386" w:type="pct"/>
            <w:vAlign w:val="center"/>
          </w:tcPr>
          <w:p w14:paraId="5BDDF11B">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D12</w:t>
            </w:r>
          </w:p>
        </w:tc>
        <w:tc>
          <w:tcPr>
            <w:tcW w:w="928" w:type="pct"/>
            <w:vAlign w:val="center"/>
          </w:tcPr>
          <w:p w14:paraId="1C83FBF6">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姜家屯</w:t>
            </w:r>
          </w:p>
        </w:tc>
        <w:tc>
          <w:tcPr>
            <w:tcW w:w="828" w:type="pct"/>
            <w:tcBorders>
              <w:top w:val="single" w:color="auto" w:sz="4" w:space="0"/>
              <w:left w:val="single" w:color="auto" w:sz="4" w:space="0"/>
              <w:bottom w:val="single" w:color="auto" w:sz="4" w:space="0"/>
              <w:right w:val="single" w:color="auto" w:sz="4" w:space="0"/>
            </w:tcBorders>
            <w:vAlign w:val="center"/>
          </w:tcPr>
          <w:p w14:paraId="198291D2">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12DE09F9">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46.14690</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125.05443</w:t>
            </w:r>
          </w:p>
        </w:tc>
        <w:tc>
          <w:tcPr>
            <w:tcW w:w="804" w:type="pct"/>
            <w:tcBorders>
              <w:top w:val="single" w:color="auto" w:sz="4" w:space="0"/>
              <w:left w:val="single" w:color="auto" w:sz="4" w:space="0"/>
              <w:bottom w:val="single" w:color="auto" w:sz="4" w:space="0"/>
              <w:right w:val="single" w:color="auto" w:sz="4" w:space="0"/>
            </w:tcBorders>
            <w:vAlign w:val="center"/>
          </w:tcPr>
          <w:p w14:paraId="41CAE5FC">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140.1</w:t>
            </w:r>
          </w:p>
        </w:tc>
      </w:tr>
      <w:tr w14:paraId="4601F84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836F68B">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D13</w:t>
            </w:r>
          </w:p>
        </w:tc>
        <w:tc>
          <w:tcPr>
            <w:tcW w:w="928" w:type="pct"/>
            <w:vAlign w:val="center"/>
          </w:tcPr>
          <w:p w14:paraId="245E058A">
            <w:pPr>
              <w:widowControl w:val="0"/>
              <w:autoSpaceDE w:val="0"/>
              <w:autoSpaceDN w:val="0"/>
              <w:spacing w:line="360" w:lineRule="exact"/>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曲家屯</w:t>
            </w:r>
          </w:p>
        </w:tc>
        <w:tc>
          <w:tcPr>
            <w:tcW w:w="828" w:type="pct"/>
            <w:tcBorders>
              <w:top w:val="single" w:color="auto" w:sz="4" w:space="0"/>
              <w:left w:val="single" w:color="auto" w:sz="4" w:space="0"/>
              <w:bottom w:val="single" w:color="auto" w:sz="4" w:space="0"/>
              <w:right w:val="single" w:color="auto" w:sz="4" w:space="0"/>
            </w:tcBorders>
            <w:vAlign w:val="center"/>
          </w:tcPr>
          <w:p w14:paraId="7F62F4EF">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07355AF0">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46.13123</w:t>
            </w:r>
            <w:r>
              <w:rPr>
                <w:rFonts w:hint="eastAsia" w:ascii="Times New Roman" w:hAnsi="Times New Roman" w:cs="Times New Roman"/>
                <w:caps w:val="0"/>
                <w:smallCaps w:val="0"/>
                <w:color w:val="auto"/>
                <w:spacing w:val="0"/>
                <w:w w:val="100"/>
                <w:position w:val="0"/>
                <w:sz w:val="21"/>
                <w:szCs w:val="21"/>
                <w:highlight w:val="none"/>
                <w:lang w:eastAsia="zh-CN"/>
              </w:rPr>
              <w:t>，</w:t>
            </w:r>
            <w:r>
              <w:rPr>
                <w:rFonts w:hint="eastAsia" w:ascii="Times New Roman" w:hAnsi="Times New Roman" w:cs="Times New Roman"/>
                <w:caps w:val="0"/>
                <w:smallCaps w:val="0"/>
                <w:color w:val="auto"/>
                <w:spacing w:val="0"/>
                <w:w w:val="100"/>
                <w:position w:val="0"/>
                <w:sz w:val="21"/>
                <w:szCs w:val="21"/>
                <w:highlight w:val="none"/>
              </w:rPr>
              <w:t>125.05567</w:t>
            </w:r>
          </w:p>
        </w:tc>
        <w:tc>
          <w:tcPr>
            <w:tcW w:w="804" w:type="pct"/>
            <w:tcBorders>
              <w:top w:val="single" w:color="auto" w:sz="4" w:space="0"/>
              <w:left w:val="single" w:color="auto" w:sz="4" w:space="0"/>
              <w:bottom w:val="single" w:color="auto" w:sz="4" w:space="0"/>
              <w:right w:val="single" w:color="auto" w:sz="4" w:space="0"/>
            </w:tcBorders>
            <w:vAlign w:val="center"/>
          </w:tcPr>
          <w:p w14:paraId="6B40AE1C">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139.7</w:t>
            </w:r>
          </w:p>
        </w:tc>
      </w:tr>
      <w:tr w14:paraId="17FAB1A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966B268">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D14</w:t>
            </w:r>
          </w:p>
        </w:tc>
        <w:tc>
          <w:tcPr>
            <w:tcW w:w="928" w:type="pct"/>
            <w:vAlign w:val="center"/>
          </w:tcPr>
          <w:p w14:paraId="60A97882">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梁大草房</w:t>
            </w:r>
          </w:p>
        </w:tc>
        <w:tc>
          <w:tcPr>
            <w:tcW w:w="828" w:type="pct"/>
            <w:tcBorders>
              <w:top w:val="single" w:color="auto" w:sz="4" w:space="0"/>
              <w:left w:val="single" w:color="auto" w:sz="4" w:space="0"/>
              <w:bottom w:val="single" w:color="auto" w:sz="4" w:space="0"/>
              <w:right w:val="single" w:color="auto" w:sz="4" w:space="0"/>
            </w:tcBorders>
            <w:vAlign w:val="center"/>
          </w:tcPr>
          <w:p w14:paraId="1F46B4AF">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05A653B2">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46.18415，124.97948</w:t>
            </w:r>
          </w:p>
        </w:tc>
        <w:tc>
          <w:tcPr>
            <w:tcW w:w="804" w:type="pct"/>
            <w:tcBorders>
              <w:top w:val="single" w:color="auto" w:sz="4" w:space="0"/>
              <w:left w:val="single" w:color="auto" w:sz="4" w:space="0"/>
              <w:bottom w:val="single" w:color="auto" w:sz="4" w:space="0"/>
              <w:right w:val="single" w:color="auto" w:sz="4" w:space="0"/>
            </w:tcBorders>
            <w:vAlign w:val="center"/>
          </w:tcPr>
          <w:p w14:paraId="20CC6762">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139.2</w:t>
            </w:r>
          </w:p>
        </w:tc>
      </w:tr>
      <w:tr w14:paraId="790CA36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24FAC71E">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D15</w:t>
            </w:r>
          </w:p>
        </w:tc>
        <w:tc>
          <w:tcPr>
            <w:tcW w:w="928" w:type="pct"/>
            <w:vAlign w:val="center"/>
          </w:tcPr>
          <w:p w14:paraId="64EB6BA0">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兴隆岭村</w:t>
            </w:r>
          </w:p>
        </w:tc>
        <w:tc>
          <w:tcPr>
            <w:tcW w:w="828" w:type="pct"/>
            <w:tcBorders>
              <w:top w:val="single" w:color="auto" w:sz="4" w:space="0"/>
              <w:left w:val="single" w:color="auto" w:sz="4" w:space="0"/>
              <w:bottom w:val="single" w:color="auto" w:sz="4" w:space="0"/>
              <w:right w:val="single" w:color="auto" w:sz="4" w:space="0"/>
            </w:tcBorders>
            <w:vAlign w:val="center"/>
          </w:tcPr>
          <w:p w14:paraId="4C07D414">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1317F84F">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46.21952，124.94801</w:t>
            </w:r>
          </w:p>
        </w:tc>
        <w:tc>
          <w:tcPr>
            <w:tcW w:w="804" w:type="pct"/>
            <w:tcBorders>
              <w:top w:val="single" w:color="auto" w:sz="4" w:space="0"/>
              <w:left w:val="single" w:color="auto" w:sz="4" w:space="0"/>
              <w:bottom w:val="single" w:color="auto" w:sz="4" w:space="0"/>
              <w:right w:val="single" w:color="auto" w:sz="4" w:space="0"/>
            </w:tcBorders>
            <w:vAlign w:val="center"/>
          </w:tcPr>
          <w:p w14:paraId="6D166ABF">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130.8</w:t>
            </w:r>
          </w:p>
        </w:tc>
      </w:tr>
      <w:tr w14:paraId="386B62B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2EFDFDC7">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olor w:val="auto"/>
                <w:sz w:val="21"/>
                <w:szCs w:val="21"/>
                <w:highlight w:val="none"/>
              </w:rPr>
              <w:t>D16</w:t>
            </w:r>
          </w:p>
        </w:tc>
        <w:tc>
          <w:tcPr>
            <w:tcW w:w="928" w:type="pct"/>
            <w:vAlign w:val="center"/>
          </w:tcPr>
          <w:p w14:paraId="3BD968DB">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lang w:val="en-US" w:eastAsia="zh-CN"/>
              </w:rPr>
              <w:t>车家窝棚</w:t>
            </w:r>
          </w:p>
        </w:tc>
        <w:tc>
          <w:tcPr>
            <w:tcW w:w="828" w:type="pct"/>
            <w:tcBorders>
              <w:top w:val="single" w:color="auto" w:sz="4" w:space="0"/>
              <w:left w:val="single" w:color="auto" w:sz="4" w:space="0"/>
              <w:bottom w:val="single" w:color="auto" w:sz="4" w:space="0"/>
              <w:right w:val="single" w:color="auto" w:sz="4" w:space="0"/>
            </w:tcBorders>
            <w:vAlign w:val="center"/>
          </w:tcPr>
          <w:p w14:paraId="74DFD0D2">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承压水</w:t>
            </w:r>
          </w:p>
        </w:tc>
        <w:tc>
          <w:tcPr>
            <w:tcW w:w="2052" w:type="pct"/>
            <w:tcBorders>
              <w:top w:val="single" w:color="auto" w:sz="4" w:space="0"/>
              <w:left w:val="single" w:color="auto" w:sz="4" w:space="0"/>
              <w:bottom w:val="single" w:color="auto" w:sz="4" w:space="0"/>
              <w:right w:val="single" w:color="auto" w:sz="4" w:space="0"/>
            </w:tcBorders>
            <w:vAlign w:val="center"/>
          </w:tcPr>
          <w:p w14:paraId="42261D72">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46.13873</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124.95299</w:t>
            </w:r>
          </w:p>
        </w:tc>
        <w:tc>
          <w:tcPr>
            <w:tcW w:w="804" w:type="pct"/>
            <w:tcBorders>
              <w:top w:val="single" w:color="auto" w:sz="4" w:space="0"/>
              <w:left w:val="single" w:color="auto" w:sz="4" w:space="0"/>
              <w:bottom w:val="single" w:color="auto" w:sz="4" w:space="0"/>
              <w:right w:val="single" w:color="auto" w:sz="4" w:space="0"/>
            </w:tcBorders>
            <w:vAlign w:val="center"/>
          </w:tcPr>
          <w:p w14:paraId="1176A4FC">
            <w:pPr>
              <w:widowControl w:val="0"/>
              <w:autoSpaceDE w:val="0"/>
              <w:autoSpaceDN w:val="0"/>
              <w:spacing w:line="36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olor w:val="auto"/>
                <w:sz w:val="21"/>
                <w:szCs w:val="21"/>
                <w:highlight w:val="none"/>
              </w:rPr>
              <w:t>131.7</w:t>
            </w:r>
          </w:p>
        </w:tc>
      </w:tr>
      <w:tr w14:paraId="6D94A9E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43168894">
            <w:pPr>
              <w:widowControl w:val="0"/>
              <w:autoSpaceDE w:val="0"/>
              <w:autoSpaceDN w:val="0"/>
              <w:spacing w:line="3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D17</w:t>
            </w:r>
          </w:p>
        </w:tc>
        <w:tc>
          <w:tcPr>
            <w:tcW w:w="928" w:type="pct"/>
            <w:vAlign w:val="center"/>
          </w:tcPr>
          <w:p w14:paraId="20785D82">
            <w:pPr>
              <w:widowControl w:val="0"/>
              <w:autoSpaceDE w:val="0"/>
              <w:autoSpaceDN w:val="0"/>
              <w:spacing w:line="36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小烧锅屯</w:t>
            </w:r>
          </w:p>
        </w:tc>
        <w:tc>
          <w:tcPr>
            <w:tcW w:w="828" w:type="pct"/>
            <w:tcBorders>
              <w:top w:val="single" w:color="auto" w:sz="4" w:space="0"/>
              <w:left w:val="single" w:color="auto" w:sz="4" w:space="0"/>
              <w:bottom w:val="single" w:color="auto" w:sz="4" w:space="0"/>
              <w:right w:val="single" w:color="auto" w:sz="4" w:space="0"/>
            </w:tcBorders>
            <w:vAlign w:val="center"/>
          </w:tcPr>
          <w:p w14:paraId="6AAE3501">
            <w:pPr>
              <w:widowControl w:val="0"/>
              <w:autoSpaceDE w:val="0"/>
              <w:autoSpaceDN w:val="0"/>
              <w:spacing w:line="360" w:lineRule="exact"/>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3BE2CEEE">
            <w:pPr>
              <w:widowControl w:val="0"/>
              <w:autoSpaceDE w:val="0"/>
              <w:autoSpaceDN w:val="0"/>
              <w:spacing w:line="36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rPr>
              <w:t>46.13079</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124.9650</w:t>
            </w:r>
            <w:r>
              <w:rPr>
                <w:rFonts w:hint="eastAsia" w:ascii="Times New Roman" w:hAnsi="Times New Roman" w:cs="Times New Roman"/>
                <w:color w:val="auto"/>
                <w:sz w:val="21"/>
                <w:szCs w:val="21"/>
                <w:highlight w:val="none"/>
                <w:lang w:val="en-US" w:eastAsia="zh-CN"/>
              </w:rPr>
              <w:t>4</w:t>
            </w:r>
          </w:p>
        </w:tc>
        <w:tc>
          <w:tcPr>
            <w:tcW w:w="804" w:type="pct"/>
            <w:tcBorders>
              <w:top w:val="single" w:color="auto" w:sz="4" w:space="0"/>
              <w:left w:val="single" w:color="auto" w:sz="4" w:space="0"/>
              <w:bottom w:val="single" w:color="auto" w:sz="4" w:space="0"/>
              <w:right w:val="single" w:color="auto" w:sz="4" w:space="0"/>
            </w:tcBorders>
            <w:vAlign w:val="center"/>
          </w:tcPr>
          <w:p w14:paraId="1B9B8084">
            <w:pPr>
              <w:widowControl w:val="0"/>
              <w:autoSpaceDE w:val="0"/>
              <w:autoSpaceDN w:val="0"/>
              <w:spacing w:line="3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142.3</w:t>
            </w:r>
          </w:p>
        </w:tc>
      </w:tr>
      <w:tr w14:paraId="5EFFA30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40886F2C">
            <w:pPr>
              <w:widowControl w:val="0"/>
              <w:autoSpaceDE w:val="0"/>
              <w:autoSpaceDN w:val="0"/>
              <w:spacing w:line="3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D18</w:t>
            </w:r>
          </w:p>
        </w:tc>
        <w:tc>
          <w:tcPr>
            <w:tcW w:w="928" w:type="pct"/>
            <w:vAlign w:val="center"/>
          </w:tcPr>
          <w:p w14:paraId="166F6792">
            <w:pPr>
              <w:widowControl w:val="0"/>
              <w:autoSpaceDE w:val="0"/>
              <w:autoSpaceDN w:val="0"/>
              <w:spacing w:line="36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张家屯</w:t>
            </w:r>
          </w:p>
        </w:tc>
        <w:tc>
          <w:tcPr>
            <w:tcW w:w="828" w:type="pct"/>
            <w:tcBorders>
              <w:top w:val="single" w:color="auto" w:sz="4" w:space="0"/>
              <w:left w:val="single" w:color="auto" w:sz="4" w:space="0"/>
              <w:bottom w:val="single" w:color="auto" w:sz="4" w:space="0"/>
              <w:right w:val="single" w:color="auto" w:sz="4" w:space="0"/>
            </w:tcBorders>
            <w:vAlign w:val="center"/>
          </w:tcPr>
          <w:p w14:paraId="4D4A2E30">
            <w:pPr>
              <w:widowControl w:val="0"/>
              <w:autoSpaceDE w:val="0"/>
              <w:autoSpaceDN w:val="0"/>
              <w:spacing w:line="360" w:lineRule="exact"/>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27AF2994">
            <w:pPr>
              <w:widowControl w:val="0"/>
              <w:autoSpaceDE w:val="0"/>
              <w:autoSpaceDN w:val="0"/>
              <w:spacing w:line="360" w:lineRule="exact"/>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46.13668</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124.98581</w:t>
            </w:r>
          </w:p>
        </w:tc>
        <w:tc>
          <w:tcPr>
            <w:tcW w:w="804" w:type="pct"/>
            <w:tcBorders>
              <w:top w:val="single" w:color="auto" w:sz="4" w:space="0"/>
              <w:left w:val="single" w:color="auto" w:sz="4" w:space="0"/>
              <w:bottom w:val="single" w:color="auto" w:sz="4" w:space="0"/>
              <w:right w:val="single" w:color="auto" w:sz="4" w:space="0"/>
            </w:tcBorders>
            <w:vAlign w:val="center"/>
          </w:tcPr>
          <w:p w14:paraId="48BF879A">
            <w:pPr>
              <w:widowControl w:val="0"/>
              <w:autoSpaceDE w:val="0"/>
              <w:autoSpaceDN w:val="0"/>
              <w:spacing w:line="3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139.6</w:t>
            </w:r>
          </w:p>
        </w:tc>
      </w:tr>
    </w:tbl>
    <w:p w14:paraId="3225E871">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（2）监测频率</w:t>
      </w:r>
    </w:p>
    <w:p w14:paraId="3A36127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本项目位于松嫩平原区低平原区，依据《环境影响评价技术导则 地下水环境》（HJ 610-2016）中表4中的要求，本次地下水位监测频率为一期。</w:t>
      </w:r>
    </w:p>
    <w:p w14:paraId="24E44AE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（3）现状地下水流场</w:t>
      </w:r>
    </w:p>
    <w:p w14:paraId="4DE91F95">
      <w:pPr>
        <w:widowControl w:val="0"/>
        <w:autoSpaceDE w:val="0"/>
        <w:autoSpaceDN w:val="0"/>
        <w:spacing w:line="440" w:lineRule="exact"/>
        <w:ind w:firstLine="480" w:firstLineChars="200"/>
        <w:jc w:val="both"/>
        <w:rPr>
          <w:rFonts w:ascii="Times New Roman" w:hAnsi="Times New Roman" w:cs="Times New Roman"/>
          <w:color w:val="auto"/>
          <w:highlight w:val="none"/>
          <w:lang w:val="zh-CN" w:bidi="zh-CN"/>
        </w:rPr>
      </w:pPr>
      <w:r>
        <w:rPr>
          <w:rFonts w:hint="eastAsia" w:cs="Cambria Math"/>
          <w:color w:val="auto"/>
          <w:highlight w:val="none"/>
          <w:lang w:val="zh-CN" w:bidi="zh-CN"/>
        </w:rPr>
        <w:t>①</w:t>
      </w:r>
      <w:r>
        <w:rPr>
          <w:rFonts w:ascii="Times New Roman" w:hAnsi="Times New Roman" w:cs="Times New Roman"/>
          <w:color w:val="auto"/>
          <w:highlight w:val="none"/>
          <w:lang w:val="zh-CN" w:bidi="zh-CN"/>
        </w:rPr>
        <w:t>承压水流场</w:t>
      </w:r>
    </w:p>
    <w:p w14:paraId="036D825B">
      <w:pPr>
        <w:widowControl w:val="0"/>
        <w:autoSpaceDE w:val="0"/>
        <w:autoSpaceDN w:val="0"/>
        <w:spacing w:line="440" w:lineRule="exact"/>
        <w:ind w:firstLine="480" w:firstLineChars="200"/>
        <w:jc w:val="both"/>
        <w:rPr>
          <w:rFonts w:ascii="Times New Roman" w:hAnsi="Times New Roman" w:cs="Times New Roman"/>
          <w:color w:val="auto"/>
          <w:highlight w:val="none"/>
          <w:lang w:val="zh-CN" w:bidi="zh-CN"/>
        </w:rPr>
      </w:pPr>
      <w:r>
        <w:rPr>
          <w:rFonts w:ascii="Times New Roman" w:hAnsi="Times New Roman" w:cs="Times New Roman"/>
          <w:color w:val="auto"/>
          <w:highlight w:val="none"/>
          <w:lang w:bidi="zh-CN"/>
        </w:rPr>
        <w:t>区域地下水流总体上由</w:t>
      </w:r>
      <w:r>
        <w:rPr>
          <w:rFonts w:hint="eastAsia" w:ascii="Times New Roman" w:hAnsi="Times New Roman" w:cs="Times New Roman"/>
          <w:color w:val="auto"/>
          <w:highlight w:val="none"/>
          <w:lang w:bidi="zh-CN"/>
        </w:rPr>
        <w:t>东</w:t>
      </w:r>
      <w:r>
        <w:rPr>
          <w:rFonts w:ascii="Times New Roman" w:hAnsi="Times New Roman" w:cs="Times New Roman"/>
          <w:color w:val="auto"/>
          <w:highlight w:val="none"/>
          <w:lang w:bidi="zh-CN"/>
        </w:rPr>
        <w:t>向西，地下水水力坡度0.</w:t>
      </w:r>
      <w:r>
        <w:rPr>
          <w:rFonts w:hint="eastAsia" w:ascii="Times New Roman" w:hAnsi="Times New Roman" w:cs="Times New Roman"/>
          <w:color w:val="auto"/>
          <w:highlight w:val="none"/>
          <w:lang w:bidi="zh-CN"/>
        </w:rPr>
        <w:t>0003，</w:t>
      </w:r>
      <w:r>
        <w:rPr>
          <w:rFonts w:ascii="Times New Roman" w:hAnsi="Times New Roman" w:cs="Times New Roman"/>
          <w:color w:val="auto"/>
          <w:highlight w:val="none"/>
          <w:lang w:val="zh-CN" w:bidi="zh-CN"/>
        </w:rPr>
        <w:t>承压水等水位线图见附图</w:t>
      </w:r>
      <w:r>
        <w:rPr>
          <w:rFonts w:hint="eastAsia" w:ascii="Times New Roman" w:hAnsi="Times New Roman" w:cs="Times New Roman"/>
          <w:color w:val="auto"/>
          <w:highlight w:val="none"/>
          <w:lang w:val="zh-CN" w:bidi="zh-CN"/>
        </w:rPr>
        <w:t>9</w:t>
      </w:r>
      <w:r>
        <w:rPr>
          <w:rFonts w:ascii="Times New Roman" w:hAnsi="Times New Roman" w:cs="Times New Roman"/>
          <w:color w:val="auto"/>
          <w:highlight w:val="none"/>
          <w:lang w:val="zh-CN" w:bidi="zh-CN"/>
        </w:rPr>
        <w:t>。</w:t>
      </w:r>
    </w:p>
    <w:p w14:paraId="1B2E8DC4">
      <w:pPr>
        <w:widowControl w:val="0"/>
        <w:autoSpaceDE w:val="0"/>
        <w:autoSpaceDN w:val="0"/>
        <w:spacing w:line="440" w:lineRule="exact"/>
        <w:ind w:firstLine="480" w:firstLineChars="200"/>
        <w:jc w:val="both"/>
        <w:rPr>
          <w:rFonts w:ascii="Times New Roman" w:hAnsi="Times New Roman" w:cs="Times New Roman"/>
          <w:color w:val="auto"/>
          <w:highlight w:val="none"/>
          <w:lang w:val="zh-CN" w:bidi="zh-CN"/>
        </w:rPr>
      </w:pPr>
      <w:r>
        <w:rPr>
          <w:rFonts w:hint="eastAsia" w:cs="Cambria Math"/>
          <w:color w:val="auto"/>
          <w:highlight w:val="none"/>
          <w:lang w:val="zh-CN" w:bidi="zh-CN"/>
        </w:rPr>
        <w:t>②</w:t>
      </w:r>
      <w:r>
        <w:rPr>
          <w:rFonts w:ascii="Times New Roman" w:hAnsi="Times New Roman" w:cs="Times New Roman"/>
          <w:color w:val="auto"/>
          <w:highlight w:val="none"/>
          <w:lang w:val="zh-CN" w:bidi="zh-CN"/>
        </w:rPr>
        <w:t>第四系上更新统松散层孔隙潜水</w:t>
      </w:r>
    </w:p>
    <w:p w14:paraId="0B50319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color w:val="auto"/>
          <w:highlight w:val="none"/>
          <w:lang w:bidi="zh-CN"/>
        </w:rPr>
        <w:t>项目区内地下水流总体上由东向西，地下水水力坡度 0.0005</w:t>
      </w:r>
      <w:r>
        <w:rPr>
          <w:rFonts w:hint="eastAsia" w:ascii="Times New Roman" w:hAnsi="Times New Roman" w:cs="Times New Roman"/>
          <w:color w:val="auto"/>
          <w:highlight w:val="none"/>
          <w:lang w:bidi="zh-CN"/>
        </w:rPr>
        <w:t>，</w:t>
      </w:r>
      <w:r>
        <w:rPr>
          <w:rFonts w:ascii="Times New Roman" w:hAnsi="Times New Roman" w:cs="Times New Roman"/>
          <w:color w:val="auto"/>
          <w:highlight w:val="none"/>
          <w:lang w:val="zh-CN" w:bidi="zh-CN"/>
        </w:rPr>
        <w:t>潜水地下水等水位线图见附图</w:t>
      </w:r>
      <w:r>
        <w:rPr>
          <w:rFonts w:hint="eastAsia" w:ascii="Times New Roman" w:hAnsi="Times New Roman" w:cs="Times New Roman"/>
          <w:color w:val="auto"/>
          <w:highlight w:val="none"/>
          <w:lang w:val="zh-CN" w:bidi="zh-CN"/>
        </w:rPr>
        <w:t>10</w:t>
      </w:r>
      <w:r>
        <w:rPr>
          <w:rFonts w:ascii="Times New Roman" w:hAnsi="Times New Roman" w:cs="Times New Roman" w:eastAsiaTheme="minorEastAsia"/>
          <w:caps w:val="0"/>
          <w:smallCaps w:val="0"/>
          <w:color w:val="auto"/>
          <w:spacing w:val="0"/>
          <w:w w:val="100"/>
          <w:position w:val="0"/>
          <w:highlight w:val="none"/>
        </w:rPr>
        <w:t>。</w:t>
      </w:r>
    </w:p>
    <w:p w14:paraId="3777004E">
      <w:pPr>
        <w:widowControl w:val="0"/>
        <w:spacing w:line="440" w:lineRule="exact"/>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4.3.2.2地下水水质监测</w:t>
      </w:r>
    </w:p>
    <w:p w14:paraId="3CA7406C">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（1）地下水质监测因子</w:t>
      </w:r>
    </w:p>
    <w:p w14:paraId="0ABB8FDB">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监测因子：</w:t>
      </w:r>
      <w:r>
        <w:rPr>
          <w:rFonts w:ascii="Times New Roman" w:hAnsi="Times New Roman" w:cs="Times New Roman" w:eastAsiaTheme="minorEastAsia"/>
          <w:caps w:val="0"/>
          <w:smallCaps w:val="0"/>
          <w:color w:val="auto"/>
          <w:spacing w:val="0"/>
          <w:w w:val="100"/>
          <w:position w:val="0"/>
          <w:highlight w:val="none"/>
        </w:rPr>
        <w:t>K</w:t>
      </w:r>
      <w:r>
        <w:rPr>
          <w:rFonts w:ascii="Times New Roman" w:hAnsi="Times New Roman" w:cs="Times New Roman" w:eastAsiaTheme="minorEastAsia"/>
          <w:caps w:val="0"/>
          <w:smallCaps w:val="0"/>
          <w:color w:val="auto"/>
          <w:spacing w:val="0"/>
          <w:w w:val="100"/>
          <w:position w:val="0"/>
          <w:highlight w:val="none"/>
          <w:vertAlign w:val="superscript"/>
        </w:rPr>
        <w:t>+</w:t>
      </w:r>
      <w:r>
        <w:rPr>
          <w:rFonts w:ascii="Times New Roman" w:hAnsi="Times New Roman" w:cs="Times New Roman" w:eastAsiaTheme="minorEastAsia"/>
          <w:caps w:val="0"/>
          <w:smallCaps w:val="0"/>
          <w:color w:val="auto"/>
          <w:spacing w:val="0"/>
          <w:w w:val="100"/>
          <w:position w:val="0"/>
          <w:highlight w:val="none"/>
        </w:rPr>
        <w:t>、Na</w:t>
      </w:r>
      <w:r>
        <w:rPr>
          <w:rFonts w:ascii="Times New Roman" w:hAnsi="Times New Roman" w:cs="Times New Roman" w:eastAsiaTheme="minorEastAsia"/>
          <w:caps w:val="0"/>
          <w:smallCaps w:val="0"/>
          <w:color w:val="auto"/>
          <w:spacing w:val="0"/>
          <w:w w:val="100"/>
          <w:position w:val="0"/>
          <w:highlight w:val="none"/>
          <w:vertAlign w:val="superscript"/>
        </w:rPr>
        <w:t>+</w:t>
      </w:r>
      <w:r>
        <w:rPr>
          <w:rFonts w:ascii="Times New Roman" w:hAnsi="Times New Roman" w:cs="Times New Roman" w:eastAsiaTheme="minorEastAsia"/>
          <w:caps w:val="0"/>
          <w:smallCaps w:val="0"/>
          <w:color w:val="auto"/>
          <w:spacing w:val="0"/>
          <w:w w:val="100"/>
          <w:position w:val="0"/>
          <w:highlight w:val="none"/>
        </w:rPr>
        <w:t>、Ca</w:t>
      </w:r>
      <w:r>
        <w:rPr>
          <w:rFonts w:ascii="Times New Roman" w:hAnsi="Times New Roman" w:cs="Times New Roman" w:eastAsiaTheme="minorEastAsia"/>
          <w:caps w:val="0"/>
          <w:smallCaps w:val="0"/>
          <w:color w:val="auto"/>
          <w:spacing w:val="0"/>
          <w:w w:val="100"/>
          <w:position w:val="0"/>
          <w:highlight w:val="none"/>
          <w:vertAlign w:val="superscript"/>
        </w:rPr>
        <w:t>2+</w:t>
      </w:r>
      <w:r>
        <w:rPr>
          <w:rFonts w:ascii="Times New Roman" w:hAnsi="Times New Roman" w:cs="Times New Roman" w:eastAsiaTheme="minorEastAsia"/>
          <w:caps w:val="0"/>
          <w:smallCaps w:val="0"/>
          <w:color w:val="auto"/>
          <w:spacing w:val="0"/>
          <w:w w:val="100"/>
          <w:position w:val="0"/>
          <w:highlight w:val="none"/>
        </w:rPr>
        <w:t>、Mg</w:t>
      </w:r>
      <w:r>
        <w:rPr>
          <w:rFonts w:ascii="Times New Roman" w:hAnsi="Times New Roman" w:cs="Times New Roman" w:eastAsiaTheme="minorEastAsia"/>
          <w:caps w:val="0"/>
          <w:smallCaps w:val="0"/>
          <w:color w:val="auto"/>
          <w:spacing w:val="0"/>
          <w:w w:val="100"/>
          <w:position w:val="0"/>
          <w:highlight w:val="none"/>
          <w:vertAlign w:val="superscript"/>
        </w:rPr>
        <w:t>2+</w:t>
      </w:r>
      <w:r>
        <w:rPr>
          <w:rFonts w:ascii="Times New Roman" w:hAnsi="Times New Roman" w:cs="Times New Roman" w:eastAsiaTheme="minorEastAsia"/>
          <w:caps w:val="0"/>
          <w:smallCaps w:val="0"/>
          <w:color w:val="auto"/>
          <w:spacing w:val="0"/>
          <w:w w:val="100"/>
          <w:position w:val="0"/>
          <w:highlight w:val="none"/>
        </w:rPr>
        <w:t>、CO</w:t>
      </w:r>
      <w:r>
        <w:rPr>
          <w:rFonts w:ascii="Times New Roman" w:hAnsi="Times New Roman" w:cs="Times New Roman" w:eastAsiaTheme="minorEastAsia"/>
          <w:caps w:val="0"/>
          <w:smallCaps w:val="0"/>
          <w:color w:val="auto"/>
          <w:spacing w:val="0"/>
          <w:w w:val="100"/>
          <w:position w:val="0"/>
          <w:highlight w:val="none"/>
          <w:vertAlign w:val="subscript"/>
        </w:rPr>
        <w:t>3</w:t>
      </w:r>
      <w:r>
        <w:rPr>
          <w:rFonts w:ascii="Times New Roman" w:hAnsi="Times New Roman" w:cs="Times New Roman" w:eastAsiaTheme="minorEastAsia"/>
          <w:caps w:val="0"/>
          <w:smallCaps w:val="0"/>
          <w:color w:val="auto"/>
          <w:spacing w:val="0"/>
          <w:w w:val="100"/>
          <w:position w:val="0"/>
          <w:highlight w:val="none"/>
          <w:vertAlign w:val="superscript"/>
        </w:rPr>
        <w:t>2-</w:t>
      </w:r>
      <w:r>
        <w:rPr>
          <w:rFonts w:ascii="Times New Roman" w:hAnsi="Times New Roman" w:cs="Times New Roman" w:eastAsiaTheme="minorEastAsia"/>
          <w:caps w:val="0"/>
          <w:smallCaps w:val="0"/>
          <w:color w:val="auto"/>
          <w:spacing w:val="0"/>
          <w:w w:val="100"/>
          <w:position w:val="0"/>
          <w:highlight w:val="none"/>
        </w:rPr>
        <w:t>、HCO</w:t>
      </w:r>
      <w:r>
        <w:rPr>
          <w:rFonts w:ascii="Times New Roman" w:hAnsi="Times New Roman" w:cs="Times New Roman" w:eastAsiaTheme="minorEastAsia"/>
          <w:caps w:val="0"/>
          <w:smallCaps w:val="0"/>
          <w:color w:val="auto"/>
          <w:spacing w:val="0"/>
          <w:w w:val="100"/>
          <w:position w:val="0"/>
          <w:highlight w:val="none"/>
          <w:vertAlign w:val="subscript"/>
        </w:rPr>
        <w:t>3</w:t>
      </w:r>
      <w:r>
        <w:rPr>
          <w:rFonts w:ascii="Times New Roman" w:hAnsi="Times New Roman" w:cs="Times New Roman" w:eastAsiaTheme="minorEastAsia"/>
          <w:caps w:val="0"/>
          <w:smallCaps w:val="0"/>
          <w:color w:val="auto"/>
          <w:spacing w:val="0"/>
          <w:w w:val="100"/>
          <w:position w:val="0"/>
          <w:highlight w:val="none"/>
          <w:vertAlign w:val="superscript"/>
        </w:rPr>
        <w:t>-</w:t>
      </w:r>
      <w:r>
        <w:rPr>
          <w:rFonts w:ascii="Times New Roman" w:hAnsi="Times New Roman" w:cs="Times New Roman" w:eastAsiaTheme="minorEastAsia"/>
          <w:caps w:val="0"/>
          <w:smallCaps w:val="0"/>
          <w:color w:val="auto"/>
          <w:spacing w:val="0"/>
          <w:w w:val="100"/>
          <w:position w:val="0"/>
          <w:highlight w:val="none"/>
        </w:rPr>
        <w:t>、Cl</w:t>
      </w:r>
      <w:r>
        <w:rPr>
          <w:rFonts w:ascii="Times New Roman" w:hAnsi="Times New Roman" w:cs="Times New Roman" w:eastAsiaTheme="minorEastAsia"/>
          <w:caps w:val="0"/>
          <w:smallCaps w:val="0"/>
          <w:color w:val="auto"/>
          <w:spacing w:val="0"/>
          <w:w w:val="100"/>
          <w:position w:val="0"/>
          <w:highlight w:val="none"/>
          <w:vertAlign w:val="superscript"/>
        </w:rPr>
        <w:t>-</w:t>
      </w:r>
      <w:r>
        <w:rPr>
          <w:rFonts w:ascii="Times New Roman" w:hAnsi="Times New Roman" w:cs="Times New Roman" w:eastAsiaTheme="minorEastAsia"/>
          <w:caps w:val="0"/>
          <w:smallCaps w:val="0"/>
          <w:color w:val="auto"/>
          <w:spacing w:val="0"/>
          <w:w w:val="100"/>
          <w:position w:val="0"/>
          <w:highlight w:val="none"/>
        </w:rPr>
        <w:t>、SO</w:t>
      </w:r>
      <w:r>
        <w:rPr>
          <w:rFonts w:ascii="Times New Roman" w:hAnsi="Times New Roman" w:cs="Times New Roman" w:eastAsiaTheme="minorEastAsia"/>
          <w:caps w:val="0"/>
          <w:smallCaps w:val="0"/>
          <w:color w:val="auto"/>
          <w:spacing w:val="0"/>
          <w:w w:val="100"/>
          <w:position w:val="0"/>
          <w:highlight w:val="none"/>
          <w:vertAlign w:val="subscript"/>
        </w:rPr>
        <w:t>4</w:t>
      </w:r>
      <w:r>
        <w:rPr>
          <w:rFonts w:ascii="Times New Roman" w:hAnsi="Times New Roman" w:cs="Times New Roman" w:eastAsiaTheme="minorEastAsia"/>
          <w:caps w:val="0"/>
          <w:smallCaps w:val="0"/>
          <w:color w:val="auto"/>
          <w:spacing w:val="0"/>
          <w:w w:val="100"/>
          <w:position w:val="0"/>
          <w:highlight w:val="none"/>
          <w:vertAlign w:val="superscript"/>
        </w:rPr>
        <w:t>2-</w:t>
      </w:r>
      <w:r>
        <w:rPr>
          <w:rFonts w:ascii="Times New Roman" w:hAnsi="Times New Roman" w:cs="Times New Roman" w:eastAsiaTheme="minorEastAsia"/>
          <w:caps w:val="0"/>
          <w:smallCaps w:val="0"/>
          <w:color w:val="auto"/>
          <w:spacing w:val="0"/>
          <w:w w:val="100"/>
          <w:position w:val="0"/>
          <w:highlight w:val="none"/>
        </w:rPr>
        <w:t>、pH、氨氮、硝酸盐、亚硝酸盐、挥发性酚类、氰化物、砷、汞、铬（六价）、总硬度、铅、氟化物、镉、铁、锰、溶解性总固体、耗氧量、总大肠菌群、菌落总数、石油类、硫化物、钡</w:t>
      </w:r>
      <w:r>
        <w:rPr>
          <w:rFonts w:ascii="Times New Roman" w:hAnsi="Times New Roman" w:cs="Times New Roman"/>
          <w:caps w:val="0"/>
          <w:smallCaps w:val="0"/>
          <w:color w:val="auto"/>
          <w:spacing w:val="0"/>
          <w:w w:val="100"/>
          <w:position w:val="0"/>
          <w:highlight w:val="none"/>
        </w:rPr>
        <w:t>。</w:t>
      </w:r>
    </w:p>
    <w:p w14:paraId="36973402">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（2）水质监测布点</w:t>
      </w:r>
    </w:p>
    <w:p w14:paraId="143579DB">
      <w:pPr>
        <w:widowControl w:val="0"/>
        <w:spacing w:line="440" w:lineRule="exact"/>
        <w:ind w:firstLine="480" w:firstLineChars="200"/>
        <w:rPr>
          <w:rFonts w:ascii="Times New Roman" w:hAnsi="Times New Roman" w:cs="Times New Roman"/>
          <w:bCs/>
          <w:caps w:val="0"/>
          <w:smallCaps w:val="0"/>
          <w:color w:val="auto"/>
          <w:spacing w:val="0"/>
          <w:w w:val="100"/>
          <w:kern w:val="21"/>
          <w:position w:val="0"/>
          <w:szCs w:val="20"/>
          <w:highlight w:val="none"/>
        </w:rPr>
      </w:pPr>
      <w:r>
        <w:rPr>
          <w:rFonts w:ascii="Times New Roman" w:hAnsi="Times New Roman" w:cs="Times New Roman"/>
          <w:bCs/>
          <w:caps w:val="0"/>
          <w:smallCaps w:val="0"/>
          <w:color w:val="auto"/>
          <w:spacing w:val="0"/>
          <w:w w:val="100"/>
          <w:kern w:val="21"/>
          <w:position w:val="0"/>
          <w:szCs w:val="20"/>
          <w:highlight w:val="none"/>
        </w:rPr>
        <w:t>根据本项目地层特征，以及地下水含水层特点和区域水资源开发利用情况，参照《环境影响评价技术导则 地下水环境》（HJ610-2016），本次共布设</w:t>
      </w:r>
      <w:r>
        <w:rPr>
          <w:rFonts w:hint="eastAsia" w:ascii="Times New Roman" w:hAnsi="Times New Roman" w:cs="Times New Roman"/>
          <w:bCs/>
          <w:caps w:val="0"/>
          <w:smallCaps w:val="0"/>
          <w:color w:val="auto"/>
          <w:spacing w:val="0"/>
          <w:w w:val="100"/>
          <w:kern w:val="21"/>
          <w:position w:val="0"/>
          <w:szCs w:val="20"/>
          <w:highlight w:val="none"/>
          <w:lang w:val="en-US" w:eastAsia="zh-CN"/>
        </w:rPr>
        <w:t>8</w:t>
      </w:r>
      <w:r>
        <w:rPr>
          <w:rFonts w:ascii="Times New Roman" w:hAnsi="Times New Roman" w:cs="Times New Roman"/>
          <w:bCs/>
          <w:caps w:val="0"/>
          <w:smallCaps w:val="0"/>
          <w:color w:val="auto"/>
          <w:spacing w:val="0"/>
          <w:w w:val="100"/>
          <w:kern w:val="21"/>
          <w:position w:val="0"/>
          <w:szCs w:val="20"/>
          <w:highlight w:val="none"/>
        </w:rPr>
        <w:t>个水质监测点。</w:t>
      </w:r>
      <w:r>
        <w:rPr>
          <w:rFonts w:ascii="Times New Roman" w:hAnsi="Times New Roman" w:cs="Times New Roman"/>
          <w:caps w:val="0"/>
          <w:smallCaps w:val="0"/>
          <w:color w:val="auto"/>
          <w:spacing w:val="0"/>
          <w:w w:val="100"/>
          <w:position w:val="0"/>
          <w:highlight w:val="none"/>
        </w:rPr>
        <w:t>地下水水质监测布点见附图16。</w:t>
      </w:r>
    </w:p>
    <w:p w14:paraId="65F4984C">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地下水水质监测布点信息见表4.3-6。</w:t>
      </w:r>
    </w:p>
    <w:p w14:paraId="14858B5D">
      <w:pPr>
        <w:widowControl w:val="0"/>
        <w:spacing w:line="440" w:lineRule="exact"/>
        <w:ind w:firstLine="482" w:firstLineChars="200"/>
        <w:rPr>
          <w:rFonts w:ascii="Times New Roman" w:hAnsi="Times New Roman" w:cs="Times New Roman"/>
          <w:b/>
          <w:bCs/>
          <w:caps w:val="0"/>
          <w:smallCaps w:val="0"/>
          <w:color w:val="auto"/>
          <w:spacing w:val="0"/>
          <w:w w:val="100"/>
          <w:position w:val="0"/>
          <w:highlight w:val="none"/>
        </w:rPr>
      </w:pPr>
      <w:r>
        <w:rPr>
          <w:rFonts w:ascii="Times New Roman" w:hAnsi="Times New Roman" w:cs="Times New Roman"/>
          <w:b/>
          <w:bCs/>
          <w:caps w:val="0"/>
          <w:smallCaps w:val="0"/>
          <w:color w:val="auto"/>
          <w:spacing w:val="0"/>
          <w:w w:val="100"/>
          <w:position w:val="0"/>
          <w:highlight w:val="none"/>
        </w:rPr>
        <w:t>表4.3-6  地下水水质监测布点信息表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87"/>
        <w:gridCol w:w="1738"/>
        <w:gridCol w:w="684"/>
        <w:gridCol w:w="1400"/>
        <w:gridCol w:w="2232"/>
        <w:gridCol w:w="870"/>
        <w:gridCol w:w="1162"/>
        <w:gridCol w:w="714"/>
      </w:tblGrid>
      <w:tr w14:paraId="0E509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3C19467E">
            <w:pPr>
              <w:widowControl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编号</w:t>
            </w:r>
          </w:p>
        </w:tc>
        <w:tc>
          <w:tcPr>
            <w:tcW w:w="935" w:type="pct"/>
            <w:vAlign w:val="center"/>
          </w:tcPr>
          <w:p w14:paraId="6B6B2B08">
            <w:pPr>
              <w:widowControl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监测点位</w:t>
            </w:r>
          </w:p>
        </w:tc>
        <w:tc>
          <w:tcPr>
            <w:tcW w:w="368" w:type="pct"/>
            <w:vAlign w:val="center"/>
          </w:tcPr>
          <w:p w14:paraId="71C2400E">
            <w:pPr>
              <w:widowControl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监测层位</w:t>
            </w:r>
          </w:p>
        </w:tc>
        <w:tc>
          <w:tcPr>
            <w:tcW w:w="753" w:type="pct"/>
            <w:vAlign w:val="center"/>
          </w:tcPr>
          <w:p w14:paraId="7C9BED09">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坐标</w:t>
            </w:r>
          </w:p>
        </w:tc>
        <w:tc>
          <w:tcPr>
            <w:tcW w:w="1201" w:type="pct"/>
            <w:vAlign w:val="center"/>
          </w:tcPr>
          <w:p w14:paraId="4D145FC3">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相对位置及距离</w:t>
            </w:r>
          </w:p>
        </w:tc>
        <w:tc>
          <w:tcPr>
            <w:tcW w:w="468" w:type="pct"/>
            <w:vAlign w:val="center"/>
          </w:tcPr>
          <w:p w14:paraId="0A890FAB">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井深（m）</w:t>
            </w:r>
          </w:p>
        </w:tc>
        <w:tc>
          <w:tcPr>
            <w:tcW w:w="625" w:type="pct"/>
            <w:vAlign w:val="center"/>
          </w:tcPr>
          <w:p w14:paraId="67F9AA3E">
            <w:pPr>
              <w:widowControl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与地下水流向关系</w:t>
            </w:r>
          </w:p>
        </w:tc>
        <w:tc>
          <w:tcPr>
            <w:tcW w:w="384" w:type="pct"/>
            <w:vAlign w:val="center"/>
          </w:tcPr>
          <w:p w14:paraId="26FA7C10">
            <w:pPr>
              <w:widowControl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水井功能</w:t>
            </w:r>
          </w:p>
        </w:tc>
      </w:tr>
      <w:tr w14:paraId="10CC4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4E6D5341">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1</w:t>
            </w:r>
          </w:p>
        </w:tc>
        <w:tc>
          <w:tcPr>
            <w:tcW w:w="935" w:type="pct"/>
            <w:vAlign w:val="center"/>
          </w:tcPr>
          <w:p w14:paraId="60EC8AB5">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卫一转油站内监测水井</w:t>
            </w:r>
          </w:p>
        </w:tc>
        <w:tc>
          <w:tcPr>
            <w:tcW w:w="368" w:type="pct"/>
            <w:vAlign w:val="center"/>
          </w:tcPr>
          <w:p w14:paraId="33137980">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潜水</w:t>
            </w:r>
          </w:p>
        </w:tc>
        <w:tc>
          <w:tcPr>
            <w:tcW w:w="753" w:type="pct"/>
            <w:vAlign w:val="center"/>
          </w:tcPr>
          <w:p w14:paraId="1A7E835D">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46.15583</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rPr>
              <w:t>125.01134</w:t>
            </w:r>
          </w:p>
        </w:tc>
        <w:tc>
          <w:tcPr>
            <w:tcW w:w="1201" w:type="pct"/>
            <w:vAlign w:val="center"/>
          </w:tcPr>
          <w:p w14:paraId="0B1FF6FC">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w:t>
            </w:r>
          </w:p>
        </w:tc>
        <w:tc>
          <w:tcPr>
            <w:tcW w:w="468" w:type="pct"/>
            <w:vAlign w:val="center"/>
          </w:tcPr>
          <w:p w14:paraId="3B0C4A99">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8</w:t>
            </w:r>
          </w:p>
        </w:tc>
        <w:tc>
          <w:tcPr>
            <w:tcW w:w="625" w:type="pct"/>
            <w:vAlign w:val="center"/>
          </w:tcPr>
          <w:p w14:paraId="64178E40">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区域上游</w:t>
            </w:r>
          </w:p>
        </w:tc>
        <w:tc>
          <w:tcPr>
            <w:tcW w:w="384" w:type="pct"/>
            <w:vAlign w:val="center"/>
          </w:tcPr>
          <w:p w14:paraId="55D9A9E3">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灌溉</w:t>
            </w:r>
          </w:p>
        </w:tc>
      </w:tr>
      <w:tr w14:paraId="639B8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752D7534">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2</w:t>
            </w:r>
          </w:p>
        </w:tc>
        <w:tc>
          <w:tcPr>
            <w:tcW w:w="935" w:type="pct"/>
            <w:vAlign w:val="center"/>
          </w:tcPr>
          <w:p w14:paraId="6DCCC44E">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qx-10监测水井</w:t>
            </w:r>
          </w:p>
        </w:tc>
        <w:tc>
          <w:tcPr>
            <w:tcW w:w="368" w:type="pct"/>
            <w:vAlign w:val="center"/>
          </w:tcPr>
          <w:p w14:paraId="6FD9C6C9">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潜水</w:t>
            </w:r>
          </w:p>
        </w:tc>
        <w:tc>
          <w:tcPr>
            <w:tcW w:w="753" w:type="pct"/>
            <w:vAlign w:val="center"/>
          </w:tcPr>
          <w:p w14:paraId="17B518ED">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46.16773</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rPr>
              <w:t>124.97875</w:t>
            </w:r>
          </w:p>
        </w:tc>
        <w:tc>
          <w:tcPr>
            <w:tcW w:w="1201" w:type="pct"/>
            <w:vAlign w:val="center"/>
          </w:tcPr>
          <w:p w14:paraId="47AFB43A">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拟建管线东北侧560m</w:t>
            </w:r>
          </w:p>
        </w:tc>
        <w:tc>
          <w:tcPr>
            <w:tcW w:w="468" w:type="pct"/>
            <w:vAlign w:val="center"/>
          </w:tcPr>
          <w:p w14:paraId="03140576">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11</w:t>
            </w:r>
          </w:p>
        </w:tc>
        <w:tc>
          <w:tcPr>
            <w:tcW w:w="625" w:type="pct"/>
            <w:vAlign w:val="center"/>
          </w:tcPr>
          <w:p w14:paraId="29220E62">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区域内</w:t>
            </w:r>
          </w:p>
        </w:tc>
        <w:tc>
          <w:tcPr>
            <w:tcW w:w="384" w:type="pct"/>
            <w:vAlign w:val="center"/>
          </w:tcPr>
          <w:p w14:paraId="2D6015AE">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灌溉</w:t>
            </w:r>
          </w:p>
        </w:tc>
      </w:tr>
      <w:tr w14:paraId="5E1F3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1FF101B4">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3</w:t>
            </w:r>
          </w:p>
        </w:tc>
        <w:tc>
          <w:tcPr>
            <w:tcW w:w="935" w:type="pct"/>
            <w:vAlign w:val="center"/>
          </w:tcPr>
          <w:p w14:paraId="097947E8">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新立屯潜水井</w:t>
            </w:r>
          </w:p>
        </w:tc>
        <w:tc>
          <w:tcPr>
            <w:tcW w:w="368" w:type="pct"/>
            <w:vAlign w:val="center"/>
          </w:tcPr>
          <w:p w14:paraId="7EC88B96">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潜水</w:t>
            </w:r>
          </w:p>
        </w:tc>
        <w:tc>
          <w:tcPr>
            <w:tcW w:w="753" w:type="pct"/>
            <w:vAlign w:val="center"/>
          </w:tcPr>
          <w:p w14:paraId="1929F7A7">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46.15404</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rPr>
              <w:t>124.96820</w:t>
            </w:r>
          </w:p>
        </w:tc>
        <w:tc>
          <w:tcPr>
            <w:tcW w:w="1201" w:type="pct"/>
            <w:vAlign w:val="center"/>
          </w:tcPr>
          <w:p w14:paraId="5E7E41E8">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拟建管线南侧900m</w:t>
            </w:r>
          </w:p>
        </w:tc>
        <w:tc>
          <w:tcPr>
            <w:tcW w:w="468" w:type="pct"/>
            <w:vAlign w:val="center"/>
          </w:tcPr>
          <w:p w14:paraId="2C476E08">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15</w:t>
            </w:r>
          </w:p>
        </w:tc>
        <w:tc>
          <w:tcPr>
            <w:tcW w:w="625" w:type="pct"/>
            <w:vAlign w:val="center"/>
          </w:tcPr>
          <w:p w14:paraId="120D35F2">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区域内</w:t>
            </w:r>
          </w:p>
        </w:tc>
        <w:tc>
          <w:tcPr>
            <w:tcW w:w="384" w:type="pct"/>
            <w:vAlign w:val="center"/>
          </w:tcPr>
          <w:p w14:paraId="59DFB565">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灌溉</w:t>
            </w:r>
          </w:p>
        </w:tc>
      </w:tr>
      <w:tr w14:paraId="5BAE5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5124A995">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w:t>
            </w:r>
          </w:p>
        </w:tc>
        <w:tc>
          <w:tcPr>
            <w:tcW w:w="935" w:type="pct"/>
            <w:vAlign w:val="center"/>
          </w:tcPr>
          <w:p w14:paraId="41AD0529">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小烧锅屯潜水井</w:t>
            </w:r>
          </w:p>
        </w:tc>
        <w:tc>
          <w:tcPr>
            <w:tcW w:w="368" w:type="pct"/>
            <w:vAlign w:val="center"/>
          </w:tcPr>
          <w:p w14:paraId="757EE0FE">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潜水</w:t>
            </w:r>
          </w:p>
        </w:tc>
        <w:tc>
          <w:tcPr>
            <w:tcW w:w="753" w:type="pct"/>
            <w:vAlign w:val="center"/>
          </w:tcPr>
          <w:p w14:paraId="4C730588">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46.13044</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rPr>
              <w:t>124.96350</w:t>
            </w:r>
          </w:p>
        </w:tc>
        <w:tc>
          <w:tcPr>
            <w:tcW w:w="1201" w:type="pct"/>
            <w:vAlign w:val="center"/>
          </w:tcPr>
          <w:p w14:paraId="7C73A593">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拟建管线南侧500m</w:t>
            </w:r>
          </w:p>
        </w:tc>
        <w:tc>
          <w:tcPr>
            <w:tcW w:w="468" w:type="pct"/>
            <w:vAlign w:val="center"/>
          </w:tcPr>
          <w:p w14:paraId="48014D27">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20</w:t>
            </w:r>
          </w:p>
        </w:tc>
        <w:tc>
          <w:tcPr>
            <w:tcW w:w="625" w:type="pct"/>
            <w:vAlign w:val="center"/>
          </w:tcPr>
          <w:p w14:paraId="4A65ED76">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区域</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下游</w:t>
            </w:r>
          </w:p>
        </w:tc>
        <w:tc>
          <w:tcPr>
            <w:tcW w:w="384" w:type="pct"/>
            <w:vAlign w:val="center"/>
          </w:tcPr>
          <w:p w14:paraId="57ECB036">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灌溉</w:t>
            </w:r>
          </w:p>
        </w:tc>
      </w:tr>
      <w:tr w14:paraId="08B18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0463FCA1">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5</w:t>
            </w:r>
          </w:p>
        </w:tc>
        <w:tc>
          <w:tcPr>
            <w:tcW w:w="935" w:type="pct"/>
            <w:vAlign w:val="center"/>
          </w:tcPr>
          <w:p w14:paraId="51CB7468">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史家屯潜水井</w:t>
            </w:r>
          </w:p>
        </w:tc>
        <w:tc>
          <w:tcPr>
            <w:tcW w:w="368" w:type="pct"/>
            <w:vAlign w:val="center"/>
          </w:tcPr>
          <w:p w14:paraId="0AEA1F29">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潜水</w:t>
            </w:r>
          </w:p>
        </w:tc>
        <w:tc>
          <w:tcPr>
            <w:tcW w:w="753" w:type="pct"/>
            <w:vAlign w:val="center"/>
          </w:tcPr>
          <w:p w14:paraId="4A429D8C">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46.14450</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rPr>
              <w:t>125.03668</w:t>
            </w:r>
          </w:p>
        </w:tc>
        <w:tc>
          <w:tcPr>
            <w:tcW w:w="1201" w:type="pct"/>
            <w:vAlign w:val="center"/>
          </w:tcPr>
          <w:p w14:paraId="75EEAAAE">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拟建管线南侧90m</w:t>
            </w:r>
          </w:p>
        </w:tc>
        <w:tc>
          <w:tcPr>
            <w:tcW w:w="468" w:type="pct"/>
            <w:vAlign w:val="center"/>
          </w:tcPr>
          <w:p w14:paraId="7F41A1CC">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18</w:t>
            </w:r>
          </w:p>
        </w:tc>
        <w:tc>
          <w:tcPr>
            <w:tcW w:w="625" w:type="pct"/>
            <w:vAlign w:val="center"/>
          </w:tcPr>
          <w:p w14:paraId="1E3DA8F9">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区域内</w:t>
            </w:r>
          </w:p>
        </w:tc>
        <w:tc>
          <w:tcPr>
            <w:tcW w:w="384" w:type="pct"/>
            <w:vAlign w:val="center"/>
          </w:tcPr>
          <w:p w14:paraId="445DBDC6">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灌溉</w:t>
            </w:r>
          </w:p>
        </w:tc>
      </w:tr>
      <w:tr w14:paraId="1BD4A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7B174A4A">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6</w:t>
            </w:r>
          </w:p>
        </w:tc>
        <w:tc>
          <w:tcPr>
            <w:tcW w:w="935" w:type="pct"/>
            <w:vAlign w:val="center"/>
          </w:tcPr>
          <w:p w14:paraId="53290AD3">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qx-11监测水井</w:t>
            </w:r>
          </w:p>
        </w:tc>
        <w:tc>
          <w:tcPr>
            <w:tcW w:w="368" w:type="pct"/>
            <w:vAlign w:val="center"/>
          </w:tcPr>
          <w:p w14:paraId="38EC7020">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潜水</w:t>
            </w:r>
          </w:p>
        </w:tc>
        <w:tc>
          <w:tcPr>
            <w:tcW w:w="753" w:type="pct"/>
            <w:vAlign w:val="center"/>
          </w:tcPr>
          <w:p w14:paraId="46EE0795">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46.15375</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rPr>
              <w:t>125.01429</w:t>
            </w:r>
          </w:p>
        </w:tc>
        <w:tc>
          <w:tcPr>
            <w:tcW w:w="1201" w:type="pct"/>
            <w:vAlign w:val="center"/>
          </w:tcPr>
          <w:p w14:paraId="46D72E2A">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拟建管线南侧10m</w:t>
            </w:r>
          </w:p>
        </w:tc>
        <w:tc>
          <w:tcPr>
            <w:tcW w:w="468" w:type="pct"/>
            <w:vAlign w:val="center"/>
          </w:tcPr>
          <w:p w14:paraId="036BA9E2">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11</w:t>
            </w:r>
          </w:p>
        </w:tc>
        <w:tc>
          <w:tcPr>
            <w:tcW w:w="625" w:type="pct"/>
            <w:vAlign w:val="center"/>
          </w:tcPr>
          <w:p w14:paraId="15677847">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区域内</w:t>
            </w:r>
          </w:p>
        </w:tc>
        <w:tc>
          <w:tcPr>
            <w:tcW w:w="384" w:type="pct"/>
            <w:vAlign w:val="center"/>
          </w:tcPr>
          <w:p w14:paraId="7041EC38">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灌溉</w:t>
            </w:r>
          </w:p>
        </w:tc>
      </w:tr>
      <w:tr w14:paraId="2941F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00812C32">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7</w:t>
            </w:r>
          </w:p>
        </w:tc>
        <w:tc>
          <w:tcPr>
            <w:tcW w:w="935" w:type="pct"/>
            <w:vAlign w:val="center"/>
          </w:tcPr>
          <w:p w14:paraId="2FBC1AAC">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昌德镇承压水井</w:t>
            </w:r>
          </w:p>
        </w:tc>
        <w:tc>
          <w:tcPr>
            <w:tcW w:w="368" w:type="pct"/>
            <w:vAlign w:val="center"/>
          </w:tcPr>
          <w:p w14:paraId="03BE4009">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承压水</w:t>
            </w:r>
          </w:p>
        </w:tc>
        <w:tc>
          <w:tcPr>
            <w:tcW w:w="753" w:type="pct"/>
            <w:vAlign w:val="center"/>
          </w:tcPr>
          <w:p w14:paraId="1A7E2EE2">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46.13983</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rPr>
              <w:t>125.00579</w:t>
            </w:r>
          </w:p>
        </w:tc>
        <w:tc>
          <w:tcPr>
            <w:tcW w:w="1201" w:type="pct"/>
            <w:vAlign w:val="center"/>
          </w:tcPr>
          <w:p w14:paraId="184AF83E">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拟建管线西侧500m</w:t>
            </w:r>
          </w:p>
        </w:tc>
        <w:tc>
          <w:tcPr>
            <w:tcW w:w="468" w:type="pct"/>
            <w:vAlign w:val="center"/>
          </w:tcPr>
          <w:p w14:paraId="59597BC7">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65</w:t>
            </w:r>
          </w:p>
        </w:tc>
        <w:tc>
          <w:tcPr>
            <w:tcW w:w="625" w:type="pct"/>
            <w:vAlign w:val="center"/>
          </w:tcPr>
          <w:p w14:paraId="6244756E">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区域内</w:t>
            </w:r>
          </w:p>
        </w:tc>
        <w:tc>
          <w:tcPr>
            <w:tcW w:w="384" w:type="pct"/>
            <w:vAlign w:val="center"/>
          </w:tcPr>
          <w:p w14:paraId="5EE07D94">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灌溉</w:t>
            </w:r>
          </w:p>
        </w:tc>
      </w:tr>
      <w:tr w14:paraId="4D01D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58FD64C2">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8</w:t>
            </w:r>
          </w:p>
        </w:tc>
        <w:tc>
          <w:tcPr>
            <w:tcW w:w="935" w:type="pct"/>
            <w:vAlign w:val="center"/>
          </w:tcPr>
          <w:p w14:paraId="2B7285D0">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曲家屯承压水井</w:t>
            </w:r>
          </w:p>
        </w:tc>
        <w:tc>
          <w:tcPr>
            <w:tcW w:w="368" w:type="pct"/>
            <w:vAlign w:val="center"/>
          </w:tcPr>
          <w:p w14:paraId="01DECC8B">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承压水</w:t>
            </w:r>
          </w:p>
        </w:tc>
        <w:tc>
          <w:tcPr>
            <w:tcW w:w="753" w:type="pct"/>
            <w:vAlign w:val="center"/>
          </w:tcPr>
          <w:p w14:paraId="08DF0CE1">
            <w:pPr>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46.13143</w:t>
            </w:r>
            <w: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kern w:val="2"/>
                <w:position w:val="0"/>
                <w:sz w:val="21"/>
                <w:szCs w:val="21"/>
                <w:highlight w:val="none"/>
              </w:rPr>
              <w:t>125.05576</w:t>
            </w:r>
          </w:p>
        </w:tc>
        <w:tc>
          <w:tcPr>
            <w:tcW w:w="1201" w:type="pct"/>
            <w:vAlign w:val="center"/>
          </w:tcPr>
          <w:p w14:paraId="073F5C17">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拟建管线东南侧1400m</w:t>
            </w:r>
          </w:p>
        </w:tc>
        <w:tc>
          <w:tcPr>
            <w:tcW w:w="468" w:type="pct"/>
            <w:vAlign w:val="center"/>
          </w:tcPr>
          <w:p w14:paraId="6126E158">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80</w:t>
            </w:r>
          </w:p>
        </w:tc>
        <w:tc>
          <w:tcPr>
            <w:tcW w:w="625" w:type="pct"/>
            <w:vAlign w:val="center"/>
          </w:tcPr>
          <w:p w14:paraId="6872E198">
            <w:pPr>
              <w:spacing w:line="320" w:lineRule="exact"/>
              <w:jc w:val="center"/>
              <w:rPr>
                <w:rFonts w:hint="default" w:ascii="Times New Roman" w:hAnsi="Times New Roman" w:cs="Times New Roman" w:eastAsiaTheme="minorEastAsia"/>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区域侧向</w:t>
            </w:r>
          </w:p>
        </w:tc>
        <w:tc>
          <w:tcPr>
            <w:tcW w:w="384" w:type="pct"/>
            <w:vAlign w:val="center"/>
          </w:tcPr>
          <w:p w14:paraId="2089C69D">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灌溉</w:t>
            </w:r>
          </w:p>
        </w:tc>
      </w:tr>
    </w:tbl>
    <w:p w14:paraId="2BD6E680">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（3）监测时间及频次</w:t>
      </w:r>
    </w:p>
    <w:p w14:paraId="12CF0120">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2026年</w:t>
      </w:r>
      <w:r>
        <w:rPr>
          <w:rFonts w:hint="eastAsia" w:ascii="Times New Roman" w:hAnsi="Times New Roman" w:cs="Times New Roman"/>
          <w:caps w:val="0"/>
          <w:smallCaps w:val="0"/>
          <w:color w:val="auto"/>
          <w:spacing w:val="0"/>
          <w:w w:val="100"/>
          <w:position w:val="0"/>
          <w:highlight w:val="none"/>
          <w:lang w:val="en-US" w:eastAsia="zh-CN"/>
        </w:rPr>
        <w:t>5</w:t>
      </w:r>
      <w:r>
        <w:rPr>
          <w:rFonts w:ascii="Times New Roman" w:hAnsi="Times New Roman" w:cs="Times New Roman"/>
          <w:caps w:val="0"/>
          <w:smallCaps w:val="0"/>
          <w:color w:val="auto"/>
          <w:spacing w:val="0"/>
          <w:w w:val="100"/>
          <w:position w:val="0"/>
          <w:highlight w:val="none"/>
        </w:rPr>
        <w:t>月</w:t>
      </w:r>
      <w:r>
        <w:rPr>
          <w:rFonts w:hint="eastAsia" w:ascii="Times New Roman" w:hAnsi="Times New Roman" w:cs="Times New Roman"/>
          <w:caps w:val="0"/>
          <w:smallCaps w:val="0"/>
          <w:color w:val="auto"/>
          <w:spacing w:val="0"/>
          <w:w w:val="100"/>
          <w:position w:val="0"/>
          <w:highlight w:val="none"/>
          <w:lang w:val="en-US" w:eastAsia="zh-CN"/>
        </w:rPr>
        <w:t>27</w:t>
      </w:r>
      <w:r>
        <w:rPr>
          <w:rFonts w:ascii="Times New Roman" w:hAnsi="Times New Roman" w:cs="Times New Roman"/>
          <w:caps w:val="0"/>
          <w:smallCaps w:val="0"/>
          <w:color w:val="auto"/>
          <w:spacing w:val="0"/>
          <w:w w:val="100"/>
          <w:position w:val="0"/>
          <w:highlight w:val="none"/>
        </w:rPr>
        <w:t>日取样并进行水质分析。</w:t>
      </w:r>
    </w:p>
    <w:p w14:paraId="71CBC521">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（4）分析方法</w:t>
      </w:r>
    </w:p>
    <w:p w14:paraId="3A5A87C7">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地下水各监测因子分析方法见表4.3-7。</w:t>
      </w:r>
    </w:p>
    <w:p w14:paraId="1DBC4A58">
      <w:pPr>
        <w:widowControl w:val="0"/>
        <w:kinsoku w:val="0"/>
        <w:overflowPunct w:val="0"/>
        <w:spacing w:line="440" w:lineRule="exact"/>
        <w:ind w:left="480" w:leftChars="200"/>
        <w:rPr>
          <w:rFonts w:ascii="Times New Roman" w:hAnsi="Times New Roman" w:cs="Times New Roman"/>
          <w:b/>
          <w:bCs/>
          <w:caps w:val="0"/>
          <w:smallCaps w:val="0"/>
          <w:color w:val="auto"/>
          <w:spacing w:val="0"/>
          <w:w w:val="100"/>
          <w:position w:val="0"/>
          <w:highlight w:val="none"/>
        </w:rPr>
      </w:pPr>
      <w:bookmarkStart w:id="714" w:name="_Toc18042"/>
      <w:bookmarkStart w:id="715" w:name="_Toc21808"/>
      <w:bookmarkStart w:id="716" w:name="_Toc25506"/>
      <w:bookmarkStart w:id="717" w:name="_Toc31911"/>
      <w:bookmarkStart w:id="718" w:name="_Toc7544"/>
      <w:bookmarkStart w:id="719" w:name="_Toc19563"/>
      <w:bookmarkStart w:id="720" w:name="_Toc9096"/>
      <w:bookmarkStart w:id="721" w:name="_Toc22902"/>
      <w:r>
        <w:rPr>
          <w:rFonts w:ascii="Times New Roman" w:hAnsi="Times New Roman" w:cs="Times New Roman"/>
          <w:b/>
          <w:bCs/>
          <w:caps w:val="0"/>
          <w:smallCaps w:val="0"/>
          <w:color w:val="auto"/>
          <w:spacing w:val="0"/>
          <w:w w:val="100"/>
          <w:position w:val="0"/>
          <w:highlight w:val="none"/>
        </w:rPr>
        <w:t>表4.3-7  地下水监测分析方法</w:t>
      </w:r>
      <w:bookmarkEnd w:id="714"/>
      <w:bookmarkEnd w:id="715"/>
      <w:bookmarkEnd w:id="716"/>
      <w:bookmarkEnd w:id="717"/>
      <w:bookmarkEnd w:id="718"/>
      <w:bookmarkEnd w:id="719"/>
      <w:bookmarkEnd w:id="720"/>
      <w:bookmarkEnd w:id="721"/>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2766"/>
        <w:gridCol w:w="1598"/>
        <w:gridCol w:w="1742"/>
        <w:gridCol w:w="1306"/>
        <w:gridCol w:w="1014"/>
      </w:tblGrid>
      <w:tr w14:paraId="190C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BB45C87">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监测</w:t>
            </w:r>
          </w:p>
          <w:p w14:paraId="499E9C57">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项目</w:t>
            </w:r>
          </w:p>
        </w:tc>
        <w:tc>
          <w:tcPr>
            <w:tcW w:w="1489" w:type="pct"/>
            <w:vAlign w:val="center"/>
          </w:tcPr>
          <w:p w14:paraId="260425FB">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分析方法名称</w:t>
            </w:r>
          </w:p>
        </w:tc>
        <w:tc>
          <w:tcPr>
            <w:tcW w:w="860" w:type="pct"/>
            <w:vAlign w:val="center"/>
          </w:tcPr>
          <w:p w14:paraId="7D550A7F">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方法来源及标准号</w:t>
            </w:r>
          </w:p>
        </w:tc>
        <w:tc>
          <w:tcPr>
            <w:tcW w:w="938" w:type="pct"/>
            <w:vAlign w:val="center"/>
          </w:tcPr>
          <w:p w14:paraId="4BC40B2D">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分析仪器及型号</w:t>
            </w:r>
          </w:p>
        </w:tc>
        <w:tc>
          <w:tcPr>
            <w:tcW w:w="703" w:type="pct"/>
            <w:vAlign w:val="center"/>
          </w:tcPr>
          <w:p w14:paraId="63A90D9B">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仪器编号</w:t>
            </w:r>
          </w:p>
        </w:tc>
        <w:tc>
          <w:tcPr>
            <w:tcW w:w="546" w:type="pct"/>
            <w:vAlign w:val="center"/>
          </w:tcPr>
          <w:p w14:paraId="1E7F7BCB">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方法检出限</w:t>
            </w:r>
          </w:p>
        </w:tc>
      </w:tr>
      <w:tr w14:paraId="49A1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1466DC9">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lang w:bidi="ar"/>
              </w:rPr>
              <w:t>K</w:t>
            </w:r>
            <w:r>
              <w:rPr>
                <w:rFonts w:ascii="Times New Roman" w:hAnsi="Times New Roman" w:cs="Times New Roman" w:eastAsiaTheme="minorEastAsia"/>
                <w:caps w:val="0"/>
                <w:smallCaps w:val="0"/>
                <w:color w:val="auto"/>
                <w:spacing w:val="0"/>
                <w:w w:val="100"/>
                <w:kern w:val="24"/>
                <w:position w:val="0"/>
                <w:sz w:val="21"/>
                <w:szCs w:val="21"/>
                <w:highlight w:val="none"/>
                <w:vertAlign w:val="superscript"/>
                <w:lang w:bidi="ar"/>
              </w:rPr>
              <w:t>+</w:t>
            </w:r>
          </w:p>
        </w:tc>
        <w:tc>
          <w:tcPr>
            <w:tcW w:w="1489" w:type="pct"/>
            <w:vAlign w:val="center"/>
          </w:tcPr>
          <w:p w14:paraId="158583E9">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lang w:val="zh-CN"/>
              </w:rPr>
              <w:t>水质 钾和钠的测定</w:t>
            </w:r>
            <w:r>
              <w:rPr>
                <w:rFonts w:ascii="Times New Roman" w:hAnsi="Times New Roman" w:cs="Times New Roman" w:eastAsiaTheme="minorEastAsia"/>
                <w:caps w:val="0"/>
                <w:smallCaps w:val="0"/>
                <w:color w:val="auto"/>
                <w:spacing w:val="0"/>
                <w:w w:val="100"/>
                <w:kern w:val="2"/>
                <w:position w:val="0"/>
                <w:sz w:val="21"/>
                <w:szCs w:val="21"/>
                <w:highlight w:val="none"/>
              </w:rPr>
              <w:t xml:space="preserve">                  </w:t>
            </w:r>
            <w:r>
              <w:rPr>
                <w:rFonts w:ascii="Times New Roman" w:hAnsi="Times New Roman" w:cs="Times New Roman" w:eastAsiaTheme="minorEastAsia"/>
                <w:caps w:val="0"/>
                <w:smallCaps w:val="0"/>
                <w:color w:val="auto"/>
                <w:spacing w:val="0"/>
                <w:w w:val="100"/>
                <w:kern w:val="2"/>
                <w:position w:val="0"/>
                <w:sz w:val="21"/>
                <w:szCs w:val="21"/>
                <w:highlight w:val="none"/>
                <w:lang w:val="zh-CN"/>
              </w:rPr>
              <w:t>火焰原子吸收分光光度法</w:t>
            </w:r>
          </w:p>
        </w:tc>
        <w:tc>
          <w:tcPr>
            <w:tcW w:w="860" w:type="pct"/>
            <w:vAlign w:val="center"/>
          </w:tcPr>
          <w:p w14:paraId="21BCDDD4">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lang w:val="zh-CN"/>
              </w:rPr>
              <w:t>GB</w:t>
            </w:r>
            <w:r>
              <w:rPr>
                <w:rFonts w:ascii="Times New Roman" w:hAnsi="Times New Roman" w:cs="Times New Roman" w:eastAsiaTheme="minorEastAsia"/>
                <w:caps w:val="0"/>
                <w:smallCaps w:val="0"/>
                <w:color w:val="auto"/>
                <w:spacing w:val="0"/>
                <w:w w:val="100"/>
                <w:kern w:val="2"/>
                <w:position w:val="0"/>
                <w:sz w:val="21"/>
                <w:szCs w:val="21"/>
                <w:highlight w:val="none"/>
              </w:rPr>
              <w:t xml:space="preserve">/T </w:t>
            </w:r>
            <w:r>
              <w:rPr>
                <w:rFonts w:ascii="Times New Roman" w:hAnsi="Times New Roman" w:cs="Times New Roman" w:eastAsiaTheme="minorEastAsia"/>
                <w:caps w:val="0"/>
                <w:smallCaps w:val="0"/>
                <w:color w:val="auto"/>
                <w:spacing w:val="0"/>
                <w:w w:val="100"/>
                <w:kern w:val="2"/>
                <w:position w:val="0"/>
                <w:sz w:val="21"/>
                <w:szCs w:val="21"/>
                <w:highlight w:val="none"/>
                <w:lang w:val="zh-CN"/>
              </w:rPr>
              <w:t>11904-1989</w:t>
            </w:r>
          </w:p>
        </w:tc>
        <w:tc>
          <w:tcPr>
            <w:tcW w:w="938" w:type="pct"/>
            <w:vAlign w:val="center"/>
          </w:tcPr>
          <w:p w14:paraId="4F15FF1C">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原子吸收分光光度计 AA320N</w:t>
            </w:r>
          </w:p>
        </w:tc>
        <w:tc>
          <w:tcPr>
            <w:tcW w:w="703" w:type="pct"/>
            <w:vAlign w:val="center"/>
          </w:tcPr>
          <w:p w14:paraId="414B2DAD">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030916020216050002</w:t>
            </w:r>
          </w:p>
        </w:tc>
        <w:tc>
          <w:tcPr>
            <w:tcW w:w="546" w:type="pct"/>
            <w:vAlign w:val="center"/>
          </w:tcPr>
          <w:p w14:paraId="25A8BCBC">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0.03mg/L</w:t>
            </w:r>
          </w:p>
        </w:tc>
      </w:tr>
      <w:tr w14:paraId="71D1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6698379">
            <w:pPr>
              <w:widowControl w:val="0"/>
              <w:kinsoku w:val="0"/>
              <w:overflowPunct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lang w:bidi="ar"/>
              </w:rPr>
              <w:t>Na</w:t>
            </w:r>
            <w:r>
              <w:rPr>
                <w:rFonts w:ascii="Times New Roman" w:hAnsi="Times New Roman" w:cs="Times New Roman" w:eastAsiaTheme="minorEastAsia"/>
                <w:caps w:val="0"/>
                <w:smallCaps w:val="0"/>
                <w:color w:val="auto"/>
                <w:spacing w:val="0"/>
                <w:w w:val="100"/>
                <w:kern w:val="24"/>
                <w:position w:val="0"/>
                <w:sz w:val="21"/>
                <w:szCs w:val="21"/>
                <w:highlight w:val="none"/>
                <w:vertAlign w:val="superscript"/>
                <w:lang w:bidi="ar"/>
              </w:rPr>
              <w:t>+</w:t>
            </w:r>
          </w:p>
        </w:tc>
        <w:tc>
          <w:tcPr>
            <w:tcW w:w="1489" w:type="pct"/>
            <w:vAlign w:val="center"/>
          </w:tcPr>
          <w:p w14:paraId="320D3191">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水质 钾和钠的测定</w:t>
            </w:r>
          </w:p>
          <w:p w14:paraId="5CB1C323">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rPr>
              <w:t>火焰原子吸收分光光度法</w:t>
            </w:r>
          </w:p>
        </w:tc>
        <w:tc>
          <w:tcPr>
            <w:tcW w:w="860" w:type="pct"/>
            <w:vAlign w:val="center"/>
          </w:tcPr>
          <w:p w14:paraId="4BCB0FE9">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rPr>
              <w:t>GB/T 11904-1989</w:t>
            </w:r>
          </w:p>
        </w:tc>
        <w:tc>
          <w:tcPr>
            <w:tcW w:w="938" w:type="pct"/>
            <w:vAlign w:val="center"/>
          </w:tcPr>
          <w:p w14:paraId="4F850AEC">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原子吸收分光光度计 AA320N</w:t>
            </w:r>
          </w:p>
        </w:tc>
        <w:tc>
          <w:tcPr>
            <w:tcW w:w="703" w:type="pct"/>
            <w:vAlign w:val="center"/>
          </w:tcPr>
          <w:p w14:paraId="2F7738E2">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030916020216050002</w:t>
            </w:r>
          </w:p>
        </w:tc>
        <w:tc>
          <w:tcPr>
            <w:tcW w:w="546" w:type="pct"/>
            <w:vAlign w:val="center"/>
          </w:tcPr>
          <w:p w14:paraId="6F286C2A">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0.010</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23BF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6453C5B">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lang w:bidi="ar"/>
              </w:rPr>
              <w:t>Ca</w:t>
            </w:r>
            <w:r>
              <w:rPr>
                <w:rFonts w:ascii="Times New Roman" w:hAnsi="Times New Roman" w:cs="Times New Roman" w:eastAsiaTheme="minorEastAsia"/>
                <w:caps w:val="0"/>
                <w:smallCaps w:val="0"/>
                <w:color w:val="auto"/>
                <w:spacing w:val="0"/>
                <w:w w:val="100"/>
                <w:kern w:val="24"/>
                <w:position w:val="0"/>
                <w:sz w:val="21"/>
                <w:szCs w:val="21"/>
                <w:highlight w:val="none"/>
                <w:vertAlign w:val="superscript"/>
                <w:lang w:bidi="ar"/>
              </w:rPr>
              <w:t>2+</w:t>
            </w:r>
          </w:p>
        </w:tc>
        <w:tc>
          <w:tcPr>
            <w:tcW w:w="1489" w:type="pct"/>
            <w:vAlign w:val="center"/>
          </w:tcPr>
          <w:p w14:paraId="6B68366F">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lang w:val="zh-CN"/>
              </w:rPr>
            </w:pPr>
            <w:r>
              <w:rPr>
                <w:rFonts w:ascii="Times New Roman" w:hAnsi="Times New Roman" w:cs="Times New Roman" w:eastAsiaTheme="minorEastAsia"/>
                <w:caps w:val="0"/>
                <w:smallCaps w:val="0"/>
                <w:color w:val="auto"/>
                <w:spacing w:val="0"/>
                <w:w w:val="100"/>
                <w:kern w:val="2"/>
                <w:position w:val="0"/>
                <w:sz w:val="21"/>
                <w:szCs w:val="21"/>
                <w:highlight w:val="none"/>
                <w:lang w:val="zh-CN"/>
              </w:rPr>
              <w:t>水质 钙和镁的测定</w:t>
            </w:r>
          </w:p>
          <w:p w14:paraId="463FEEBA">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lang w:val="zh-CN"/>
              </w:rPr>
              <w:t>原子吸收分光光度法</w:t>
            </w:r>
          </w:p>
        </w:tc>
        <w:tc>
          <w:tcPr>
            <w:tcW w:w="860" w:type="pct"/>
            <w:vAlign w:val="center"/>
          </w:tcPr>
          <w:p w14:paraId="5C3599F3">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lang w:val="zh-CN"/>
              </w:rPr>
              <w:t>GB</w:t>
            </w:r>
            <w:r>
              <w:rPr>
                <w:rFonts w:ascii="Times New Roman" w:hAnsi="Times New Roman" w:cs="Times New Roman" w:eastAsiaTheme="minorEastAsia"/>
                <w:caps w:val="0"/>
                <w:smallCaps w:val="0"/>
                <w:color w:val="auto"/>
                <w:spacing w:val="0"/>
                <w:w w:val="100"/>
                <w:kern w:val="2"/>
                <w:position w:val="0"/>
                <w:sz w:val="21"/>
                <w:szCs w:val="21"/>
                <w:highlight w:val="none"/>
              </w:rPr>
              <w:t>/T</w:t>
            </w:r>
            <w:r>
              <w:rPr>
                <w:rFonts w:ascii="Times New Roman" w:hAnsi="Times New Roman" w:cs="Times New Roman" w:eastAsiaTheme="minorEastAsia"/>
                <w:caps w:val="0"/>
                <w:smallCaps w:val="0"/>
                <w:color w:val="auto"/>
                <w:spacing w:val="0"/>
                <w:w w:val="100"/>
                <w:kern w:val="2"/>
                <w:position w:val="0"/>
                <w:sz w:val="21"/>
                <w:szCs w:val="21"/>
                <w:highlight w:val="none"/>
                <w:lang w:val="zh-CN"/>
              </w:rPr>
              <w:t xml:space="preserve"> 11905-1989</w:t>
            </w:r>
          </w:p>
        </w:tc>
        <w:tc>
          <w:tcPr>
            <w:tcW w:w="938" w:type="pct"/>
            <w:vAlign w:val="center"/>
          </w:tcPr>
          <w:p w14:paraId="168A7CCD">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原子吸收分光光度计 AA320N</w:t>
            </w:r>
          </w:p>
        </w:tc>
        <w:tc>
          <w:tcPr>
            <w:tcW w:w="703" w:type="pct"/>
            <w:vAlign w:val="center"/>
          </w:tcPr>
          <w:p w14:paraId="6A915DE7">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030916020216050002</w:t>
            </w:r>
          </w:p>
        </w:tc>
        <w:tc>
          <w:tcPr>
            <w:tcW w:w="546" w:type="pct"/>
            <w:vAlign w:val="center"/>
          </w:tcPr>
          <w:p w14:paraId="24CF1C0E">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0.02mg/L</w:t>
            </w:r>
          </w:p>
        </w:tc>
      </w:tr>
      <w:tr w14:paraId="4AC6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A9AA6B8">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lang w:bidi="ar"/>
              </w:rPr>
              <w:t>Mg</w:t>
            </w:r>
            <w:r>
              <w:rPr>
                <w:rFonts w:ascii="Times New Roman" w:hAnsi="Times New Roman" w:cs="Times New Roman" w:eastAsiaTheme="minorEastAsia"/>
                <w:caps w:val="0"/>
                <w:smallCaps w:val="0"/>
                <w:color w:val="auto"/>
                <w:spacing w:val="0"/>
                <w:w w:val="100"/>
                <w:kern w:val="24"/>
                <w:position w:val="0"/>
                <w:sz w:val="21"/>
                <w:szCs w:val="21"/>
                <w:highlight w:val="none"/>
                <w:vertAlign w:val="superscript"/>
                <w:lang w:bidi="ar"/>
              </w:rPr>
              <w:t>2+</w:t>
            </w:r>
          </w:p>
        </w:tc>
        <w:tc>
          <w:tcPr>
            <w:tcW w:w="1489" w:type="pct"/>
            <w:vAlign w:val="center"/>
          </w:tcPr>
          <w:p w14:paraId="0A31199F">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lang w:val="zh-CN"/>
              </w:rPr>
            </w:pPr>
            <w:r>
              <w:rPr>
                <w:rFonts w:ascii="Times New Roman" w:hAnsi="Times New Roman" w:cs="Times New Roman" w:eastAsiaTheme="minorEastAsia"/>
                <w:caps w:val="0"/>
                <w:smallCaps w:val="0"/>
                <w:color w:val="auto"/>
                <w:spacing w:val="0"/>
                <w:w w:val="100"/>
                <w:kern w:val="2"/>
                <w:position w:val="0"/>
                <w:sz w:val="21"/>
                <w:szCs w:val="21"/>
                <w:highlight w:val="none"/>
                <w:lang w:val="zh-CN"/>
              </w:rPr>
              <w:t>水质 钙和镁的测定</w:t>
            </w:r>
          </w:p>
          <w:p w14:paraId="50E27985">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lang w:val="zh-CN"/>
              </w:rPr>
              <w:t>原子吸收分光光度法</w:t>
            </w:r>
          </w:p>
        </w:tc>
        <w:tc>
          <w:tcPr>
            <w:tcW w:w="860" w:type="pct"/>
            <w:vAlign w:val="center"/>
          </w:tcPr>
          <w:p w14:paraId="5051800D">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lang w:val="zh-CN"/>
              </w:rPr>
              <w:t>GB</w:t>
            </w:r>
            <w:r>
              <w:rPr>
                <w:rFonts w:ascii="Times New Roman" w:hAnsi="Times New Roman" w:cs="Times New Roman" w:eastAsiaTheme="minorEastAsia"/>
                <w:caps w:val="0"/>
                <w:smallCaps w:val="0"/>
                <w:color w:val="auto"/>
                <w:spacing w:val="0"/>
                <w:w w:val="100"/>
                <w:kern w:val="2"/>
                <w:position w:val="0"/>
                <w:sz w:val="21"/>
                <w:szCs w:val="21"/>
                <w:highlight w:val="none"/>
              </w:rPr>
              <w:t>/T</w:t>
            </w:r>
            <w:r>
              <w:rPr>
                <w:rFonts w:ascii="Times New Roman" w:hAnsi="Times New Roman" w:cs="Times New Roman" w:eastAsiaTheme="minorEastAsia"/>
                <w:caps w:val="0"/>
                <w:smallCaps w:val="0"/>
                <w:color w:val="auto"/>
                <w:spacing w:val="0"/>
                <w:w w:val="100"/>
                <w:kern w:val="2"/>
                <w:position w:val="0"/>
                <w:sz w:val="21"/>
                <w:szCs w:val="21"/>
                <w:highlight w:val="none"/>
                <w:lang w:val="zh-CN"/>
              </w:rPr>
              <w:t xml:space="preserve"> 11905-1989</w:t>
            </w:r>
          </w:p>
        </w:tc>
        <w:tc>
          <w:tcPr>
            <w:tcW w:w="938" w:type="pct"/>
            <w:vAlign w:val="center"/>
          </w:tcPr>
          <w:p w14:paraId="311D62A1">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原子吸收分光光度计 AA320N</w:t>
            </w:r>
          </w:p>
        </w:tc>
        <w:tc>
          <w:tcPr>
            <w:tcW w:w="703" w:type="pct"/>
            <w:vAlign w:val="center"/>
          </w:tcPr>
          <w:p w14:paraId="3B42D744">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030916020216050002</w:t>
            </w:r>
          </w:p>
        </w:tc>
        <w:tc>
          <w:tcPr>
            <w:tcW w:w="546" w:type="pct"/>
            <w:vAlign w:val="center"/>
          </w:tcPr>
          <w:p w14:paraId="5D877327">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0.002mg/L</w:t>
            </w:r>
          </w:p>
        </w:tc>
      </w:tr>
      <w:tr w14:paraId="6D04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7DB4B52">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CO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c>
          <w:tcPr>
            <w:tcW w:w="1489" w:type="pct"/>
            <w:vAlign w:val="center"/>
          </w:tcPr>
          <w:p w14:paraId="2498E044">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rPr>
              <w:t>地下水质分析方法 第49部分：碳酸根、重碳酸根和氢氧根离子的测定 滴定法</w:t>
            </w:r>
          </w:p>
        </w:tc>
        <w:tc>
          <w:tcPr>
            <w:tcW w:w="860" w:type="pct"/>
            <w:vAlign w:val="center"/>
          </w:tcPr>
          <w:p w14:paraId="2567966D">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DZ/T 0064.49-2021 </w:t>
            </w:r>
          </w:p>
        </w:tc>
        <w:tc>
          <w:tcPr>
            <w:tcW w:w="938" w:type="pct"/>
            <w:vAlign w:val="center"/>
          </w:tcPr>
          <w:p w14:paraId="6CE52202">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滴定管</w:t>
            </w:r>
          </w:p>
        </w:tc>
        <w:tc>
          <w:tcPr>
            <w:tcW w:w="703" w:type="pct"/>
            <w:vAlign w:val="center"/>
          </w:tcPr>
          <w:p w14:paraId="52CD6C54">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T011</w:t>
            </w:r>
          </w:p>
        </w:tc>
        <w:tc>
          <w:tcPr>
            <w:tcW w:w="546" w:type="pct"/>
            <w:vAlign w:val="center"/>
          </w:tcPr>
          <w:p w14:paraId="66945DD1">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5mg/L</w:t>
            </w:r>
          </w:p>
        </w:tc>
      </w:tr>
      <w:tr w14:paraId="7649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111DDC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HCO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p>
        </w:tc>
        <w:tc>
          <w:tcPr>
            <w:tcW w:w="1489" w:type="pct"/>
            <w:vAlign w:val="center"/>
          </w:tcPr>
          <w:p w14:paraId="694C501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rPr>
              <w:t>地下水质分析方法 第49部分：碳酸根、重碳酸根和氢氧根离子的测定 滴定法</w:t>
            </w:r>
          </w:p>
        </w:tc>
        <w:tc>
          <w:tcPr>
            <w:tcW w:w="860" w:type="pct"/>
            <w:vAlign w:val="center"/>
          </w:tcPr>
          <w:p w14:paraId="22EB02E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DZ/T 0064.49-2021 </w:t>
            </w:r>
          </w:p>
        </w:tc>
        <w:tc>
          <w:tcPr>
            <w:tcW w:w="938" w:type="pct"/>
            <w:vAlign w:val="center"/>
          </w:tcPr>
          <w:p w14:paraId="28C3AC6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滴定管</w:t>
            </w:r>
          </w:p>
        </w:tc>
        <w:tc>
          <w:tcPr>
            <w:tcW w:w="703" w:type="pct"/>
            <w:vAlign w:val="center"/>
          </w:tcPr>
          <w:p w14:paraId="5E9FFDC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T011</w:t>
            </w:r>
          </w:p>
        </w:tc>
        <w:tc>
          <w:tcPr>
            <w:tcW w:w="546" w:type="pct"/>
            <w:vAlign w:val="center"/>
          </w:tcPr>
          <w:p w14:paraId="1C6C892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5mg/L</w:t>
            </w:r>
          </w:p>
        </w:tc>
      </w:tr>
      <w:tr w14:paraId="3FC4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AD819B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c>
          <w:tcPr>
            <w:tcW w:w="1489" w:type="pct"/>
            <w:vAlign w:val="center"/>
          </w:tcPr>
          <w:p w14:paraId="6A56BD9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rPr>
              <w:t>水质 无机阴离子（F</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、Cl</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、Br</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、PO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kern w:val="2"/>
                <w:position w:val="0"/>
                <w:sz w:val="21"/>
                <w:szCs w:val="21"/>
                <w:highlight w:val="none"/>
              </w:rPr>
              <w:t>）的测定 离子色谱法</w:t>
            </w:r>
          </w:p>
        </w:tc>
        <w:tc>
          <w:tcPr>
            <w:tcW w:w="860" w:type="pct"/>
            <w:vAlign w:val="center"/>
          </w:tcPr>
          <w:p w14:paraId="176DB7D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rPr>
              <w:t>HJ 84-2016</w:t>
            </w:r>
          </w:p>
        </w:tc>
        <w:tc>
          <w:tcPr>
            <w:tcW w:w="938" w:type="pct"/>
            <w:vAlign w:val="center"/>
          </w:tcPr>
          <w:p w14:paraId="3EA2360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离子色谱仪</w:t>
            </w:r>
          </w:p>
          <w:p w14:paraId="3B4AB2D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CIC-200</w:t>
            </w:r>
          </w:p>
        </w:tc>
        <w:tc>
          <w:tcPr>
            <w:tcW w:w="703" w:type="pct"/>
            <w:vAlign w:val="center"/>
          </w:tcPr>
          <w:p w14:paraId="3679B651">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12185</w:t>
            </w:r>
          </w:p>
        </w:tc>
        <w:tc>
          <w:tcPr>
            <w:tcW w:w="546" w:type="pct"/>
            <w:vAlign w:val="center"/>
          </w:tcPr>
          <w:p w14:paraId="152BD4D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0.018mg/L</w:t>
            </w:r>
          </w:p>
        </w:tc>
      </w:tr>
      <w:tr w14:paraId="33F4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D1DF18D">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Cl</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p>
        </w:tc>
        <w:tc>
          <w:tcPr>
            <w:tcW w:w="1489" w:type="pct"/>
            <w:vAlign w:val="center"/>
          </w:tcPr>
          <w:p w14:paraId="6FE6336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rPr>
              <w:t>水质 无机阴离子（F</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、Cl</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、Br</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、PO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kern w:val="2"/>
                <w:position w:val="0"/>
                <w:sz w:val="21"/>
                <w:szCs w:val="21"/>
                <w:highlight w:val="none"/>
              </w:rPr>
              <w:t>）的测定 离子色谱法</w:t>
            </w:r>
          </w:p>
        </w:tc>
        <w:tc>
          <w:tcPr>
            <w:tcW w:w="860" w:type="pct"/>
            <w:vAlign w:val="center"/>
          </w:tcPr>
          <w:p w14:paraId="40027CD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rPr>
              <w:t>HJ 84-2016</w:t>
            </w:r>
          </w:p>
        </w:tc>
        <w:tc>
          <w:tcPr>
            <w:tcW w:w="938" w:type="pct"/>
            <w:vAlign w:val="center"/>
          </w:tcPr>
          <w:p w14:paraId="2C898EA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离子色谱仪</w:t>
            </w:r>
          </w:p>
          <w:p w14:paraId="3CADAC5C">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CIC-200</w:t>
            </w:r>
          </w:p>
        </w:tc>
        <w:tc>
          <w:tcPr>
            <w:tcW w:w="703" w:type="pct"/>
            <w:vAlign w:val="center"/>
          </w:tcPr>
          <w:p w14:paraId="2A72A753">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12185</w:t>
            </w:r>
          </w:p>
        </w:tc>
        <w:tc>
          <w:tcPr>
            <w:tcW w:w="546" w:type="pct"/>
            <w:vAlign w:val="center"/>
          </w:tcPr>
          <w:p w14:paraId="0FA9DE33">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0.007</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1372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E1E086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pH</w:t>
            </w:r>
          </w:p>
        </w:tc>
        <w:tc>
          <w:tcPr>
            <w:tcW w:w="1489" w:type="pct"/>
            <w:vAlign w:val="center"/>
          </w:tcPr>
          <w:p w14:paraId="5C417FD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水质 pH的测定</w:t>
            </w:r>
          </w:p>
          <w:p w14:paraId="2389CB3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 xml:space="preserve"> 电极法</w:t>
            </w:r>
          </w:p>
        </w:tc>
        <w:tc>
          <w:tcPr>
            <w:tcW w:w="860" w:type="pct"/>
            <w:vAlign w:val="center"/>
          </w:tcPr>
          <w:p w14:paraId="7AF9FF7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HJ 1147-2020</w:t>
            </w:r>
          </w:p>
        </w:tc>
        <w:tc>
          <w:tcPr>
            <w:tcW w:w="938" w:type="pct"/>
            <w:vAlign w:val="center"/>
          </w:tcPr>
          <w:p w14:paraId="5ACD624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便携式水质检测仪 pH-03/618/K13</w:t>
            </w:r>
          </w:p>
        </w:tc>
        <w:tc>
          <w:tcPr>
            <w:tcW w:w="703" w:type="pct"/>
            <w:vAlign w:val="center"/>
          </w:tcPr>
          <w:p w14:paraId="01A10653">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c>
          <w:tcPr>
            <w:tcW w:w="546" w:type="pct"/>
            <w:vAlign w:val="center"/>
          </w:tcPr>
          <w:p w14:paraId="518A0578">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r w14:paraId="4E73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69067EC">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总硬度</w:t>
            </w:r>
          </w:p>
        </w:tc>
        <w:tc>
          <w:tcPr>
            <w:tcW w:w="1489" w:type="pct"/>
            <w:vAlign w:val="center"/>
          </w:tcPr>
          <w:p w14:paraId="6FC86FE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水质钙和镁的总量的测定EDTA滴定法</w:t>
            </w:r>
          </w:p>
        </w:tc>
        <w:tc>
          <w:tcPr>
            <w:tcW w:w="860" w:type="pct"/>
            <w:vAlign w:val="center"/>
          </w:tcPr>
          <w:p w14:paraId="3A2BC75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GB/T 7477-1987</w:t>
            </w:r>
          </w:p>
        </w:tc>
        <w:tc>
          <w:tcPr>
            <w:tcW w:w="938" w:type="pct"/>
            <w:vAlign w:val="center"/>
          </w:tcPr>
          <w:p w14:paraId="6344BE5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滴定管</w:t>
            </w:r>
          </w:p>
        </w:tc>
        <w:tc>
          <w:tcPr>
            <w:tcW w:w="703" w:type="pct"/>
            <w:vAlign w:val="center"/>
          </w:tcPr>
          <w:p w14:paraId="4A1E114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T015</w:t>
            </w:r>
          </w:p>
        </w:tc>
        <w:tc>
          <w:tcPr>
            <w:tcW w:w="546" w:type="pct"/>
            <w:vAlign w:val="center"/>
          </w:tcPr>
          <w:p w14:paraId="136DB9B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5.00</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410C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1F3D1D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溶解性总固体</w:t>
            </w:r>
          </w:p>
        </w:tc>
        <w:tc>
          <w:tcPr>
            <w:tcW w:w="1489" w:type="pct"/>
            <w:vAlign w:val="center"/>
          </w:tcPr>
          <w:p w14:paraId="7C06B2E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rPr>
              <w:t>地下水质分析方法第 9 部分：溶解性固体总量的测定  重量法</w:t>
            </w:r>
          </w:p>
        </w:tc>
        <w:tc>
          <w:tcPr>
            <w:tcW w:w="860" w:type="pct"/>
            <w:vAlign w:val="center"/>
          </w:tcPr>
          <w:p w14:paraId="1DA98DA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rPr>
              <w:t>DZ/T 0064.9-2021</w:t>
            </w:r>
          </w:p>
        </w:tc>
        <w:tc>
          <w:tcPr>
            <w:tcW w:w="938" w:type="pct"/>
            <w:vAlign w:val="center"/>
          </w:tcPr>
          <w:p w14:paraId="33E1EFC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精密电子天平FA2004</w:t>
            </w:r>
          </w:p>
        </w:tc>
        <w:tc>
          <w:tcPr>
            <w:tcW w:w="703" w:type="pct"/>
            <w:vAlign w:val="center"/>
          </w:tcPr>
          <w:p w14:paraId="4A83866C">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12011164</w:t>
            </w:r>
          </w:p>
        </w:tc>
        <w:tc>
          <w:tcPr>
            <w:tcW w:w="546" w:type="pct"/>
            <w:vAlign w:val="center"/>
          </w:tcPr>
          <w:p w14:paraId="0EAC94C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4mg/L</w:t>
            </w:r>
          </w:p>
        </w:tc>
      </w:tr>
      <w:tr w14:paraId="2083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5EF5DE8">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耗氧量</w:t>
            </w:r>
          </w:p>
          <w:p w14:paraId="11FDF40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（高锰酸盐指数）</w:t>
            </w:r>
          </w:p>
        </w:tc>
        <w:tc>
          <w:tcPr>
            <w:tcW w:w="1489" w:type="pct"/>
            <w:vAlign w:val="center"/>
          </w:tcPr>
          <w:p w14:paraId="7E9BF0B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水质 高锰酸盐指数测定</w:t>
            </w:r>
          </w:p>
        </w:tc>
        <w:tc>
          <w:tcPr>
            <w:tcW w:w="860" w:type="pct"/>
            <w:vAlign w:val="center"/>
          </w:tcPr>
          <w:p w14:paraId="2C9E68E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GB/T 11892-1989</w:t>
            </w:r>
          </w:p>
        </w:tc>
        <w:tc>
          <w:tcPr>
            <w:tcW w:w="938" w:type="pct"/>
            <w:vAlign w:val="center"/>
          </w:tcPr>
          <w:p w14:paraId="5A56D10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滴定管</w:t>
            </w:r>
          </w:p>
        </w:tc>
        <w:tc>
          <w:tcPr>
            <w:tcW w:w="703" w:type="pct"/>
            <w:vAlign w:val="center"/>
          </w:tcPr>
          <w:p w14:paraId="40E2842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T005</w:t>
            </w:r>
          </w:p>
        </w:tc>
        <w:tc>
          <w:tcPr>
            <w:tcW w:w="546" w:type="pct"/>
            <w:vAlign w:val="center"/>
          </w:tcPr>
          <w:p w14:paraId="1E209F6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0.5</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6348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49404F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挥发酚</w:t>
            </w:r>
          </w:p>
        </w:tc>
        <w:tc>
          <w:tcPr>
            <w:tcW w:w="1489" w:type="pct"/>
            <w:vAlign w:val="center"/>
          </w:tcPr>
          <w:p w14:paraId="27331A9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水质 挥发酚的测定</w:t>
            </w:r>
          </w:p>
          <w:p w14:paraId="71A2EAF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4-氨基安替比林分光光度法（方法1萃取分光光度法）</w:t>
            </w:r>
          </w:p>
        </w:tc>
        <w:tc>
          <w:tcPr>
            <w:tcW w:w="860" w:type="pct"/>
            <w:vAlign w:val="center"/>
          </w:tcPr>
          <w:p w14:paraId="4A043CE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HJ 503-2009</w:t>
            </w:r>
          </w:p>
        </w:tc>
        <w:tc>
          <w:tcPr>
            <w:tcW w:w="938" w:type="pct"/>
            <w:vAlign w:val="center"/>
          </w:tcPr>
          <w:p w14:paraId="44DB23EF">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 xml:space="preserve">可见分光光度计   </w:t>
            </w:r>
            <w:r>
              <w:rPr>
                <w:rFonts w:ascii="Times New Roman" w:hAnsi="Times New Roman" w:cs="Times New Roman" w:eastAsiaTheme="minorEastAsia"/>
                <w:caps w:val="0"/>
                <w:smallCaps w:val="0"/>
                <w:color w:val="auto"/>
                <w:spacing w:val="0"/>
                <w:w w:val="100"/>
                <w:kern w:val="2"/>
                <w:position w:val="0"/>
                <w:sz w:val="21"/>
                <w:szCs w:val="21"/>
                <w:highlight w:val="none"/>
              </w:rPr>
              <w:t>722N</w:t>
            </w:r>
          </w:p>
        </w:tc>
        <w:tc>
          <w:tcPr>
            <w:tcW w:w="703" w:type="pct"/>
            <w:vAlign w:val="center"/>
          </w:tcPr>
          <w:p w14:paraId="78464BB7">
            <w:pPr>
              <w:widowControl w:val="0"/>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070722020222020043</w:t>
            </w:r>
          </w:p>
        </w:tc>
        <w:tc>
          <w:tcPr>
            <w:tcW w:w="546" w:type="pct"/>
            <w:vAlign w:val="center"/>
          </w:tcPr>
          <w:p w14:paraId="2EF81CA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0.0003</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72E7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5C1060C">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氟化物</w:t>
            </w:r>
          </w:p>
        </w:tc>
        <w:tc>
          <w:tcPr>
            <w:tcW w:w="1489" w:type="pct"/>
            <w:vAlign w:val="center"/>
          </w:tcPr>
          <w:p w14:paraId="381F818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水质 无机阴离子（F</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、Cl</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、Br</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、PO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kern w:val="2"/>
                <w:position w:val="0"/>
                <w:sz w:val="21"/>
                <w:szCs w:val="21"/>
                <w:highlight w:val="none"/>
              </w:rPr>
              <w:t xml:space="preserve">）的测定 </w:t>
            </w:r>
            <w:r>
              <w:rPr>
                <w:rFonts w:ascii="Times New Roman" w:hAnsi="Times New Roman" w:cs="Times New Roman" w:eastAsiaTheme="minorEastAsia"/>
                <w:caps w:val="0"/>
                <w:smallCaps w:val="0"/>
                <w:color w:val="auto"/>
                <w:spacing w:val="0"/>
                <w:w w:val="100"/>
                <w:position w:val="0"/>
                <w:sz w:val="21"/>
                <w:szCs w:val="21"/>
                <w:highlight w:val="none"/>
              </w:rPr>
              <w:t>离子色谱法</w:t>
            </w:r>
          </w:p>
        </w:tc>
        <w:tc>
          <w:tcPr>
            <w:tcW w:w="860" w:type="pct"/>
            <w:vAlign w:val="center"/>
          </w:tcPr>
          <w:p w14:paraId="039A10C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HJ 84-2016</w:t>
            </w:r>
          </w:p>
        </w:tc>
        <w:tc>
          <w:tcPr>
            <w:tcW w:w="938" w:type="pct"/>
            <w:vAlign w:val="center"/>
          </w:tcPr>
          <w:p w14:paraId="691B18C9">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离子色谱仪</w:t>
            </w:r>
          </w:p>
          <w:p w14:paraId="720B143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CIC-200</w:t>
            </w:r>
          </w:p>
        </w:tc>
        <w:tc>
          <w:tcPr>
            <w:tcW w:w="703" w:type="pct"/>
            <w:vAlign w:val="center"/>
          </w:tcPr>
          <w:p w14:paraId="3AA7D8FE">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12185</w:t>
            </w:r>
          </w:p>
        </w:tc>
        <w:tc>
          <w:tcPr>
            <w:tcW w:w="546" w:type="pct"/>
            <w:vAlign w:val="center"/>
          </w:tcPr>
          <w:p w14:paraId="591C830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0.006</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0642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07D9C7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硝酸盐氮</w:t>
            </w:r>
          </w:p>
        </w:tc>
        <w:tc>
          <w:tcPr>
            <w:tcW w:w="1489" w:type="pct"/>
            <w:vAlign w:val="center"/>
          </w:tcPr>
          <w:p w14:paraId="7BAEAE0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水质 无机阴离子（F</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、Cl</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2</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、Br</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、NO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kern w:val="2"/>
                <w:position w:val="0"/>
                <w:sz w:val="21"/>
                <w:szCs w:val="21"/>
                <w:highlight w:val="none"/>
              </w:rPr>
              <w:t>、PO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3-</w:t>
            </w: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kern w:val="2"/>
                <w:position w:val="0"/>
                <w:sz w:val="21"/>
                <w:szCs w:val="21"/>
                <w:highlight w:val="none"/>
              </w:rPr>
              <w:t>、SO</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kern w:val="2"/>
                <w:position w:val="0"/>
                <w:sz w:val="21"/>
                <w:szCs w:val="21"/>
                <w:highlight w:val="none"/>
              </w:rPr>
              <w:t xml:space="preserve">）的测定 </w:t>
            </w:r>
            <w:r>
              <w:rPr>
                <w:rFonts w:ascii="Times New Roman" w:hAnsi="Times New Roman" w:cs="Times New Roman" w:eastAsiaTheme="minorEastAsia"/>
                <w:caps w:val="0"/>
                <w:smallCaps w:val="0"/>
                <w:color w:val="auto"/>
                <w:spacing w:val="0"/>
                <w:w w:val="100"/>
                <w:position w:val="0"/>
                <w:sz w:val="21"/>
                <w:szCs w:val="21"/>
                <w:highlight w:val="none"/>
              </w:rPr>
              <w:t>离子色谱法</w:t>
            </w:r>
          </w:p>
        </w:tc>
        <w:tc>
          <w:tcPr>
            <w:tcW w:w="860" w:type="pct"/>
            <w:vAlign w:val="center"/>
          </w:tcPr>
          <w:p w14:paraId="5AA8963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HJ 84-2016</w:t>
            </w:r>
          </w:p>
        </w:tc>
        <w:tc>
          <w:tcPr>
            <w:tcW w:w="938" w:type="pct"/>
            <w:vAlign w:val="center"/>
          </w:tcPr>
          <w:p w14:paraId="1F3574D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离子色谱仪</w:t>
            </w:r>
          </w:p>
          <w:p w14:paraId="2659CC2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CIC-200</w:t>
            </w:r>
          </w:p>
        </w:tc>
        <w:tc>
          <w:tcPr>
            <w:tcW w:w="703" w:type="pct"/>
            <w:vAlign w:val="center"/>
          </w:tcPr>
          <w:p w14:paraId="75D6C672">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12185</w:t>
            </w:r>
          </w:p>
        </w:tc>
        <w:tc>
          <w:tcPr>
            <w:tcW w:w="546" w:type="pct"/>
            <w:vAlign w:val="center"/>
          </w:tcPr>
          <w:p w14:paraId="0FB9E64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0.004</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1980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1AF525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亚硝酸盐（氮）</w:t>
            </w:r>
          </w:p>
        </w:tc>
        <w:tc>
          <w:tcPr>
            <w:tcW w:w="1489" w:type="pct"/>
            <w:vAlign w:val="center"/>
          </w:tcPr>
          <w:p w14:paraId="3BDAF488">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水质 亚硝酸盐氮的测定</w:t>
            </w:r>
          </w:p>
          <w:p w14:paraId="330D03D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分光光度法</w:t>
            </w:r>
          </w:p>
        </w:tc>
        <w:tc>
          <w:tcPr>
            <w:tcW w:w="860" w:type="pct"/>
            <w:vAlign w:val="center"/>
          </w:tcPr>
          <w:p w14:paraId="424D8ED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GB/T 7493-1987</w:t>
            </w:r>
          </w:p>
        </w:tc>
        <w:tc>
          <w:tcPr>
            <w:tcW w:w="938" w:type="pct"/>
            <w:vAlign w:val="center"/>
          </w:tcPr>
          <w:p w14:paraId="1B5F628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紫外可见分光光度752N</w:t>
            </w:r>
          </w:p>
        </w:tc>
        <w:tc>
          <w:tcPr>
            <w:tcW w:w="703" w:type="pct"/>
            <w:vAlign w:val="center"/>
          </w:tcPr>
          <w:p w14:paraId="5A83D06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7521712023N</w:t>
            </w:r>
          </w:p>
        </w:tc>
        <w:tc>
          <w:tcPr>
            <w:tcW w:w="546" w:type="pct"/>
            <w:vAlign w:val="center"/>
          </w:tcPr>
          <w:p w14:paraId="62943883">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0.003</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74DD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16D48F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氨氮</w:t>
            </w:r>
          </w:p>
        </w:tc>
        <w:tc>
          <w:tcPr>
            <w:tcW w:w="1489" w:type="pct"/>
            <w:vAlign w:val="center"/>
          </w:tcPr>
          <w:p w14:paraId="4EAB46B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水质 氨</w:t>
            </w:r>
            <w:r>
              <w:rPr>
                <w:rFonts w:ascii="Times New Roman" w:hAnsi="Times New Roman" w:cs="Times New Roman" w:eastAsiaTheme="minorEastAsia"/>
                <w:caps w:val="0"/>
                <w:smallCaps w:val="0"/>
                <w:color w:val="auto"/>
                <w:spacing w:val="0"/>
                <w:w w:val="100"/>
                <w:kern w:val="2"/>
                <w:position w:val="0"/>
                <w:sz w:val="21"/>
                <w:szCs w:val="21"/>
                <w:highlight w:val="none"/>
              </w:rPr>
              <w:t>氮</w:t>
            </w: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 xml:space="preserve">的测定    </w:t>
            </w:r>
          </w:p>
          <w:p w14:paraId="7390C1A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纳氏试剂分光光度法 </w:t>
            </w:r>
          </w:p>
        </w:tc>
        <w:tc>
          <w:tcPr>
            <w:tcW w:w="860" w:type="pct"/>
            <w:vAlign w:val="center"/>
          </w:tcPr>
          <w:p w14:paraId="4AC71508">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HJ 535-2009 </w:t>
            </w:r>
          </w:p>
        </w:tc>
        <w:tc>
          <w:tcPr>
            <w:tcW w:w="938" w:type="pct"/>
            <w:vAlign w:val="center"/>
          </w:tcPr>
          <w:p w14:paraId="275646B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可见分光光度计722N</w:t>
            </w:r>
          </w:p>
        </w:tc>
        <w:tc>
          <w:tcPr>
            <w:tcW w:w="703" w:type="pct"/>
            <w:vAlign w:val="center"/>
          </w:tcPr>
          <w:p w14:paraId="07C3F95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070722020222020043</w:t>
            </w:r>
          </w:p>
        </w:tc>
        <w:tc>
          <w:tcPr>
            <w:tcW w:w="546" w:type="pct"/>
            <w:vAlign w:val="center"/>
          </w:tcPr>
          <w:p w14:paraId="221FF98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0.025</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7D58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CB501F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六价铬</w:t>
            </w:r>
          </w:p>
        </w:tc>
        <w:tc>
          <w:tcPr>
            <w:tcW w:w="1489" w:type="pct"/>
            <w:vAlign w:val="center"/>
          </w:tcPr>
          <w:p w14:paraId="5E0D944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水质 六价铬的测定</w:t>
            </w:r>
          </w:p>
          <w:p w14:paraId="71FC6A1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二苯碳酰二肼分光光度法</w:t>
            </w:r>
          </w:p>
        </w:tc>
        <w:tc>
          <w:tcPr>
            <w:tcW w:w="860" w:type="pct"/>
            <w:vAlign w:val="center"/>
          </w:tcPr>
          <w:p w14:paraId="4E985798">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GB/T 7467-1987</w:t>
            </w:r>
          </w:p>
        </w:tc>
        <w:tc>
          <w:tcPr>
            <w:tcW w:w="938" w:type="pct"/>
            <w:vAlign w:val="center"/>
          </w:tcPr>
          <w:p w14:paraId="55D2C77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 xml:space="preserve">可见分光光度计   </w:t>
            </w:r>
            <w:r>
              <w:rPr>
                <w:rFonts w:ascii="Times New Roman" w:hAnsi="Times New Roman" w:cs="Times New Roman" w:eastAsiaTheme="minorEastAsia"/>
                <w:caps w:val="0"/>
                <w:smallCaps w:val="0"/>
                <w:color w:val="auto"/>
                <w:spacing w:val="0"/>
                <w:w w:val="100"/>
                <w:kern w:val="2"/>
                <w:position w:val="0"/>
                <w:sz w:val="21"/>
                <w:szCs w:val="21"/>
                <w:highlight w:val="none"/>
              </w:rPr>
              <w:t>722N</w:t>
            </w:r>
          </w:p>
        </w:tc>
        <w:tc>
          <w:tcPr>
            <w:tcW w:w="703" w:type="pct"/>
            <w:vAlign w:val="center"/>
          </w:tcPr>
          <w:p w14:paraId="657615AD">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070722020222020043</w:t>
            </w:r>
          </w:p>
        </w:tc>
        <w:tc>
          <w:tcPr>
            <w:tcW w:w="546" w:type="pct"/>
            <w:vAlign w:val="center"/>
          </w:tcPr>
          <w:p w14:paraId="488AF32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0.004</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3925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3A5049C">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砷</w:t>
            </w:r>
          </w:p>
        </w:tc>
        <w:tc>
          <w:tcPr>
            <w:tcW w:w="1489" w:type="pct"/>
            <w:vAlign w:val="center"/>
          </w:tcPr>
          <w:p w14:paraId="67D5C0B5">
            <w:pPr>
              <w:widowControl w:val="0"/>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水质 汞、砷、硒、铋和锑的测定 原子荧光法</w:t>
            </w:r>
          </w:p>
        </w:tc>
        <w:tc>
          <w:tcPr>
            <w:tcW w:w="860" w:type="pct"/>
            <w:vAlign w:val="center"/>
          </w:tcPr>
          <w:p w14:paraId="5261BB77">
            <w:pPr>
              <w:widowControl w:val="0"/>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HJ 694-2014</w:t>
            </w:r>
          </w:p>
        </w:tc>
        <w:tc>
          <w:tcPr>
            <w:tcW w:w="938" w:type="pct"/>
            <w:vAlign w:val="center"/>
          </w:tcPr>
          <w:p w14:paraId="360189A8">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双道原子荧光光度计 AFS-230E</w:t>
            </w:r>
          </w:p>
        </w:tc>
        <w:tc>
          <w:tcPr>
            <w:tcW w:w="703" w:type="pct"/>
            <w:vAlign w:val="center"/>
          </w:tcPr>
          <w:p w14:paraId="010EECAA">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230E/2111565</w:t>
            </w:r>
          </w:p>
        </w:tc>
        <w:tc>
          <w:tcPr>
            <w:tcW w:w="546" w:type="pct"/>
            <w:vAlign w:val="center"/>
          </w:tcPr>
          <w:p w14:paraId="29938B4A">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0.0003</w:t>
            </w:r>
            <w:r>
              <w:rPr>
                <w:rFonts w:ascii="Times New Roman" w:hAnsi="Times New Roman" w:cs="Times New Roman" w:eastAsiaTheme="minorEastAsia"/>
                <w:bCs/>
                <w:caps w:val="0"/>
                <w:smallCaps w:val="0"/>
                <w:color w:val="auto"/>
                <w:spacing w:val="0"/>
                <w:w w:val="100"/>
                <w:kern w:val="2"/>
                <w:position w:val="0"/>
                <w:sz w:val="21"/>
                <w:szCs w:val="21"/>
                <w:highlight w:val="none"/>
              </w:rPr>
              <w:t>mg/L</w:t>
            </w:r>
          </w:p>
        </w:tc>
      </w:tr>
      <w:tr w14:paraId="55E2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C46268A">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铅</w:t>
            </w:r>
          </w:p>
        </w:tc>
        <w:tc>
          <w:tcPr>
            <w:tcW w:w="1489" w:type="pct"/>
            <w:vAlign w:val="center"/>
          </w:tcPr>
          <w:p w14:paraId="70F679D8">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铜、铅、镉 </w:t>
            </w: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lang w:bidi="ar"/>
              </w:rPr>
              <w:t xml:space="preserve">石墨炉原子吸收法 </w:t>
            </w:r>
          </w:p>
        </w:tc>
        <w:tc>
          <w:tcPr>
            <w:tcW w:w="860" w:type="pct"/>
            <w:vAlign w:val="center"/>
          </w:tcPr>
          <w:p w14:paraId="7D3E01A0">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《水和废水监测分析方法》（第四版）国家环境保护总（2002年）</w:t>
            </w:r>
          </w:p>
        </w:tc>
        <w:tc>
          <w:tcPr>
            <w:tcW w:w="938" w:type="pct"/>
            <w:vAlign w:val="center"/>
          </w:tcPr>
          <w:p w14:paraId="29968EF4">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lang w:bidi="ar"/>
              </w:rPr>
              <w:t>石墨炉</w:t>
            </w:r>
            <w:r>
              <w:rPr>
                <w:rFonts w:ascii="Times New Roman" w:hAnsi="Times New Roman" w:cs="Times New Roman" w:eastAsiaTheme="minorEastAsia"/>
                <w:caps w:val="0"/>
                <w:smallCaps w:val="0"/>
                <w:color w:val="auto"/>
                <w:spacing w:val="0"/>
                <w:w w:val="100"/>
                <w:kern w:val="21"/>
                <w:position w:val="0"/>
                <w:sz w:val="21"/>
                <w:szCs w:val="21"/>
                <w:highlight w:val="none"/>
              </w:rPr>
              <w:t xml:space="preserve">原子吸收分光光度计 </w:t>
            </w:r>
          </w:p>
          <w:p w14:paraId="74ABEDE2">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GA3202</w:t>
            </w:r>
          </w:p>
        </w:tc>
        <w:tc>
          <w:tcPr>
            <w:tcW w:w="703" w:type="pct"/>
            <w:vAlign w:val="center"/>
          </w:tcPr>
          <w:p w14:paraId="0584AB58">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030716010116050008</w:t>
            </w:r>
          </w:p>
        </w:tc>
        <w:tc>
          <w:tcPr>
            <w:tcW w:w="546" w:type="pct"/>
            <w:vAlign w:val="center"/>
          </w:tcPr>
          <w:p w14:paraId="1CBFA46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1.0</w:t>
            </w:r>
            <w:r>
              <w:rPr>
                <w:rFonts w:ascii="Times New Roman" w:hAnsi="Times New Roman" w:cs="Times New Roman" w:eastAsiaTheme="minorEastAsia"/>
                <w:caps w:val="0"/>
                <w:smallCaps w:val="0"/>
                <w:color w:val="auto"/>
                <w:spacing w:val="0"/>
                <w:w w:val="100"/>
                <w:kern w:val="2"/>
                <w:position w:val="0"/>
                <w:sz w:val="21"/>
                <w:szCs w:val="21"/>
                <w:highlight w:val="none"/>
              </w:rPr>
              <w:t>μg/L</w:t>
            </w:r>
          </w:p>
        </w:tc>
      </w:tr>
      <w:tr w14:paraId="749C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2EF02C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铁</w:t>
            </w:r>
          </w:p>
        </w:tc>
        <w:tc>
          <w:tcPr>
            <w:tcW w:w="1489" w:type="pct"/>
            <w:vAlign w:val="center"/>
          </w:tcPr>
          <w:p w14:paraId="060ABDD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水质 铁、锰的测定</w:t>
            </w:r>
          </w:p>
          <w:p w14:paraId="4FCE3D15">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火焰原子吸收分光光度法</w:t>
            </w:r>
          </w:p>
        </w:tc>
        <w:tc>
          <w:tcPr>
            <w:tcW w:w="860" w:type="pct"/>
            <w:vAlign w:val="center"/>
          </w:tcPr>
          <w:p w14:paraId="05CAEBC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GB/T 11911-1989</w:t>
            </w:r>
          </w:p>
        </w:tc>
        <w:tc>
          <w:tcPr>
            <w:tcW w:w="938" w:type="pct"/>
            <w:vAlign w:val="center"/>
          </w:tcPr>
          <w:p w14:paraId="107A20C7">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原子吸收分光光度计 AA320N</w:t>
            </w:r>
          </w:p>
        </w:tc>
        <w:tc>
          <w:tcPr>
            <w:tcW w:w="703" w:type="pct"/>
            <w:vAlign w:val="center"/>
          </w:tcPr>
          <w:p w14:paraId="45735F9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030916020216050002</w:t>
            </w:r>
          </w:p>
        </w:tc>
        <w:tc>
          <w:tcPr>
            <w:tcW w:w="546" w:type="pct"/>
            <w:vAlign w:val="center"/>
          </w:tcPr>
          <w:p w14:paraId="556BDF8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0.03</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4B17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18830E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锰</w:t>
            </w:r>
          </w:p>
        </w:tc>
        <w:tc>
          <w:tcPr>
            <w:tcW w:w="1489" w:type="pct"/>
            <w:vAlign w:val="center"/>
          </w:tcPr>
          <w:p w14:paraId="49FCDC13">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水质 铁、锰的测定</w:t>
            </w:r>
          </w:p>
          <w:p w14:paraId="3C25091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火焰原子吸收分光光度法</w:t>
            </w:r>
          </w:p>
        </w:tc>
        <w:tc>
          <w:tcPr>
            <w:tcW w:w="860" w:type="pct"/>
            <w:vAlign w:val="center"/>
          </w:tcPr>
          <w:p w14:paraId="33BDF62E">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GB/T 11911-1989</w:t>
            </w:r>
          </w:p>
        </w:tc>
        <w:tc>
          <w:tcPr>
            <w:tcW w:w="938" w:type="pct"/>
            <w:vAlign w:val="center"/>
          </w:tcPr>
          <w:p w14:paraId="6DDAA3C0">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原子吸收分光光度计 AA320N</w:t>
            </w:r>
          </w:p>
        </w:tc>
        <w:tc>
          <w:tcPr>
            <w:tcW w:w="703" w:type="pct"/>
            <w:vAlign w:val="center"/>
          </w:tcPr>
          <w:p w14:paraId="7B4A0161">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30916020216050002</w:t>
            </w:r>
          </w:p>
        </w:tc>
        <w:tc>
          <w:tcPr>
            <w:tcW w:w="546" w:type="pct"/>
            <w:vAlign w:val="center"/>
          </w:tcPr>
          <w:p w14:paraId="4E74704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0.01</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3FB6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E71FF6D">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汞</w:t>
            </w:r>
          </w:p>
        </w:tc>
        <w:tc>
          <w:tcPr>
            <w:tcW w:w="1489" w:type="pct"/>
            <w:vAlign w:val="center"/>
          </w:tcPr>
          <w:p w14:paraId="55D65347">
            <w:pPr>
              <w:widowControl w:val="0"/>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水质 汞、砷、硒、铋和锑的测定 原子荧光法</w:t>
            </w:r>
          </w:p>
        </w:tc>
        <w:tc>
          <w:tcPr>
            <w:tcW w:w="860" w:type="pct"/>
            <w:vAlign w:val="center"/>
          </w:tcPr>
          <w:p w14:paraId="4A818237">
            <w:pPr>
              <w:widowControl w:val="0"/>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HJ 694-2014</w:t>
            </w:r>
          </w:p>
        </w:tc>
        <w:tc>
          <w:tcPr>
            <w:tcW w:w="938" w:type="pct"/>
            <w:vAlign w:val="center"/>
          </w:tcPr>
          <w:p w14:paraId="0610D7B2">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bCs/>
                <w:caps w:val="0"/>
                <w:smallCaps w:val="0"/>
                <w:color w:val="auto"/>
                <w:spacing w:val="0"/>
                <w:w w:val="100"/>
                <w:kern w:val="21"/>
                <w:position w:val="0"/>
                <w:sz w:val="21"/>
                <w:szCs w:val="21"/>
                <w:highlight w:val="none"/>
              </w:rPr>
              <w:t>双道原子荧光光度计 AFS-230E</w:t>
            </w:r>
          </w:p>
        </w:tc>
        <w:tc>
          <w:tcPr>
            <w:tcW w:w="703" w:type="pct"/>
            <w:vAlign w:val="center"/>
          </w:tcPr>
          <w:p w14:paraId="081BF7E5">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230E/2111565</w:t>
            </w:r>
          </w:p>
        </w:tc>
        <w:tc>
          <w:tcPr>
            <w:tcW w:w="546" w:type="pct"/>
            <w:vAlign w:val="center"/>
          </w:tcPr>
          <w:p w14:paraId="15345E25">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0.00004</w:t>
            </w:r>
            <w:r>
              <w:rPr>
                <w:rFonts w:ascii="Times New Roman" w:hAnsi="Times New Roman" w:cs="Times New Roman" w:eastAsiaTheme="minorEastAsia"/>
                <w:bCs/>
                <w:caps w:val="0"/>
                <w:smallCaps w:val="0"/>
                <w:color w:val="auto"/>
                <w:spacing w:val="0"/>
                <w:w w:val="100"/>
                <w:kern w:val="2"/>
                <w:position w:val="0"/>
                <w:sz w:val="21"/>
                <w:szCs w:val="21"/>
                <w:highlight w:val="none"/>
              </w:rPr>
              <w:t>mg/L</w:t>
            </w:r>
          </w:p>
        </w:tc>
      </w:tr>
      <w:tr w14:paraId="5353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ED759FF">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菌落总数</w:t>
            </w:r>
          </w:p>
        </w:tc>
        <w:tc>
          <w:tcPr>
            <w:tcW w:w="1489" w:type="pct"/>
            <w:vAlign w:val="center"/>
          </w:tcPr>
          <w:p w14:paraId="243800EA">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 生活饮用水标准检验方法 微生物指标（4.1平皿计数法）</w:t>
            </w:r>
          </w:p>
        </w:tc>
        <w:tc>
          <w:tcPr>
            <w:tcW w:w="860" w:type="pct"/>
            <w:vAlign w:val="center"/>
          </w:tcPr>
          <w:p w14:paraId="3D927E63">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rPr>
              <w:t>GB/T5750.12-2023</w:t>
            </w:r>
          </w:p>
        </w:tc>
        <w:tc>
          <w:tcPr>
            <w:tcW w:w="938" w:type="pct"/>
            <w:vAlign w:val="center"/>
          </w:tcPr>
          <w:p w14:paraId="7C81487C">
            <w:pPr>
              <w:widowControl w:val="0"/>
              <w:adjustRightInd w:val="0"/>
              <w:snapToGrid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 xml:space="preserve">电热恒温培养箱 </w:t>
            </w:r>
            <w:r>
              <w:rPr>
                <w:rFonts w:ascii="Times New Roman" w:hAnsi="Times New Roman" w:cs="Times New Roman" w:eastAsiaTheme="minorEastAsia"/>
                <w:caps w:val="0"/>
                <w:smallCaps w:val="0"/>
                <w:color w:val="auto"/>
                <w:spacing w:val="0"/>
                <w:w w:val="100"/>
                <w:kern w:val="2"/>
                <w:position w:val="0"/>
                <w:sz w:val="21"/>
                <w:szCs w:val="21"/>
                <w:highlight w:val="none"/>
              </w:rPr>
              <w:t>DH-250A</w:t>
            </w:r>
          </w:p>
        </w:tc>
        <w:tc>
          <w:tcPr>
            <w:tcW w:w="703" w:type="pct"/>
            <w:vAlign w:val="center"/>
          </w:tcPr>
          <w:p w14:paraId="03308D8D">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GL-278</w:t>
            </w:r>
          </w:p>
        </w:tc>
        <w:tc>
          <w:tcPr>
            <w:tcW w:w="546" w:type="pct"/>
            <w:vAlign w:val="center"/>
          </w:tcPr>
          <w:p w14:paraId="332D2E16">
            <w:pPr>
              <w:widowControl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 xml:space="preserve">-  </w:t>
            </w:r>
          </w:p>
        </w:tc>
      </w:tr>
      <w:tr w14:paraId="1BDAB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5022D6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总大肠菌群</w:t>
            </w:r>
          </w:p>
        </w:tc>
        <w:tc>
          <w:tcPr>
            <w:tcW w:w="1489" w:type="pct"/>
            <w:vAlign w:val="center"/>
          </w:tcPr>
          <w:p w14:paraId="3FC9EFCE">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多管发酵法</w:t>
            </w:r>
          </w:p>
        </w:tc>
        <w:tc>
          <w:tcPr>
            <w:tcW w:w="860" w:type="pct"/>
            <w:vAlign w:val="center"/>
          </w:tcPr>
          <w:p w14:paraId="367D97A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《水和废水监测分析方法》（第四版）国家环境保护总局（2002年）</w:t>
            </w:r>
          </w:p>
        </w:tc>
        <w:tc>
          <w:tcPr>
            <w:tcW w:w="938" w:type="pct"/>
            <w:vAlign w:val="center"/>
          </w:tcPr>
          <w:p w14:paraId="104C3338">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电热恒温培养箱 DH-250A</w:t>
            </w:r>
          </w:p>
        </w:tc>
        <w:tc>
          <w:tcPr>
            <w:tcW w:w="703" w:type="pct"/>
            <w:vAlign w:val="center"/>
          </w:tcPr>
          <w:p w14:paraId="64A7A51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GL-278</w:t>
            </w:r>
          </w:p>
        </w:tc>
        <w:tc>
          <w:tcPr>
            <w:tcW w:w="546" w:type="pct"/>
            <w:vAlign w:val="center"/>
          </w:tcPr>
          <w:p w14:paraId="48AD2C5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2MPN/100mL</w:t>
            </w:r>
          </w:p>
        </w:tc>
      </w:tr>
      <w:tr w14:paraId="10C7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BBDA90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石油类</w:t>
            </w:r>
          </w:p>
        </w:tc>
        <w:tc>
          <w:tcPr>
            <w:tcW w:w="1489" w:type="pct"/>
            <w:vAlign w:val="center"/>
          </w:tcPr>
          <w:p w14:paraId="3914645D">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水质 石油类的测定 </w:t>
            </w:r>
          </w:p>
          <w:p w14:paraId="55CC6AF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紫外分光光度法（试行）</w:t>
            </w:r>
          </w:p>
        </w:tc>
        <w:tc>
          <w:tcPr>
            <w:tcW w:w="860" w:type="pct"/>
            <w:vAlign w:val="center"/>
          </w:tcPr>
          <w:p w14:paraId="3DAAE0D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 HJ 970-2018</w:t>
            </w:r>
          </w:p>
        </w:tc>
        <w:tc>
          <w:tcPr>
            <w:tcW w:w="938" w:type="pct"/>
            <w:vAlign w:val="center"/>
          </w:tcPr>
          <w:p w14:paraId="573A2EFF">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紫外可见分光光度计UV752</w:t>
            </w:r>
          </w:p>
        </w:tc>
        <w:tc>
          <w:tcPr>
            <w:tcW w:w="703" w:type="pct"/>
            <w:vAlign w:val="center"/>
          </w:tcPr>
          <w:p w14:paraId="746CF64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AE1104016</w:t>
            </w:r>
          </w:p>
        </w:tc>
        <w:tc>
          <w:tcPr>
            <w:tcW w:w="546" w:type="pct"/>
            <w:vAlign w:val="center"/>
          </w:tcPr>
          <w:p w14:paraId="37955B7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0.01</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48D5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AF50DEC">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氰化物</w:t>
            </w:r>
          </w:p>
        </w:tc>
        <w:tc>
          <w:tcPr>
            <w:tcW w:w="1489" w:type="pct"/>
            <w:vAlign w:val="center"/>
          </w:tcPr>
          <w:p w14:paraId="2AA773A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水质 氰化物的测定 容量法和分光光度法</w:t>
            </w: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t>（方法2异烟酸-吡唑啉酮分光光度法）</w:t>
            </w:r>
          </w:p>
        </w:tc>
        <w:tc>
          <w:tcPr>
            <w:tcW w:w="860" w:type="pct"/>
            <w:vAlign w:val="center"/>
          </w:tcPr>
          <w:p w14:paraId="4B8F693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 xml:space="preserve">HJ 484-2009 </w:t>
            </w:r>
          </w:p>
        </w:tc>
        <w:tc>
          <w:tcPr>
            <w:tcW w:w="938" w:type="pct"/>
            <w:vAlign w:val="center"/>
          </w:tcPr>
          <w:p w14:paraId="7706D726">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可见分光光度722N</w:t>
            </w:r>
          </w:p>
        </w:tc>
        <w:tc>
          <w:tcPr>
            <w:tcW w:w="703" w:type="pct"/>
            <w:vAlign w:val="center"/>
          </w:tcPr>
          <w:p w14:paraId="1C8BFC9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070722020222020043</w:t>
            </w:r>
          </w:p>
        </w:tc>
        <w:tc>
          <w:tcPr>
            <w:tcW w:w="546" w:type="pct"/>
            <w:vAlign w:val="center"/>
          </w:tcPr>
          <w:p w14:paraId="7BF46DEB">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0.004</w:t>
            </w:r>
            <w:r>
              <w:rPr>
                <w:rFonts w:ascii="Times New Roman" w:hAnsi="Times New Roman" w:cs="Times New Roman" w:eastAsiaTheme="minorEastAsia"/>
                <w:caps w:val="0"/>
                <w:smallCaps w:val="0"/>
                <w:color w:val="auto"/>
                <w:spacing w:val="0"/>
                <w:w w:val="100"/>
                <w:kern w:val="21"/>
                <w:position w:val="0"/>
                <w:sz w:val="21"/>
                <w:szCs w:val="21"/>
                <w:highlight w:val="none"/>
              </w:rPr>
              <w:t>mg/L</w:t>
            </w:r>
          </w:p>
        </w:tc>
      </w:tr>
      <w:tr w14:paraId="7F91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C7306E8">
            <w:pPr>
              <w:widowControl w:val="0"/>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lang w:bidi="ar"/>
              </w:rPr>
              <w:t>镉</w:t>
            </w:r>
          </w:p>
        </w:tc>
        <w:tc>
          <w:tcPr>
            <w:tcW w:w="1489" w:type="pct"/>
            <w:vAlign w:val="center"/>
          </w:tcPr>
          <w:p w14:paraId="005BA478">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 xml:space="preserve">铜、铅、镉 </w:t>
            </w: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lang w:bidi="ar"/>
              </w:rPr>
              <w:t xml:space="preserve">石墨炉原子吸收法 </w:t>
            </w:r>
          </w:p>
        </w:tc>
        <w:tc>
          <w:tcPr>
            <w:tcW w:w="860" w:type="pct"/>
            <w:vAlign w:val="center"/>
          </w:tcPr>
          <w:p w14:paraId="08E17C1A">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《水和废水监测分析方法》（第四版）国家环境保护总（2002年）</w:t>
            </w:r>
          </w:p>
        </w:tc>
        <w:tc>
          <w:tcPr>
            <w:tcW w:w="938" w:type="pct"/>
            <w:vAlign w:val="center"/>
          </w:tcPr>
          <w:p w14:paraId="5248D34C">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lang w:bidi="ar"/>
              </w:rPr>
              <w:t>石墨炉</w:t>
            </w:r>
            <w:r>
              <w:rPr>
                <w:rFonts w:ascii="Times New Roman" w:hAnsi="Times New Roman" w:cs="Times New Roman" w:eastAsiaTheme="minorEastAsia"/>
                <w:caps w:val="0"/>
                <w:smallCaps w:val="0"/>
                <w:color w:val="auto"/>
                <w:spacing w:val="0"/>
                <w:w w:val="100"/>
                <w:kern w:val="21"/>
                <w:position w:val="0"/>
                <w:sz w:val="21"/>
                <w:szCs w:val="21"/>
                <w:highlight w:val="none"/>
              </w:rPr>
              <w:t xml:space="preserve">原子吸收分光光度计 </w:t>
            </w:r>
          </w:p>
          <w:p w14:paraId="522DE7B5">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GA3202</w:t>
            </w:r>
          </w:p>
        </w:tc>
        <w:tc>
          <w:tcPr>
            <w:tcW w:w="703" w:type="pct"/>
            <w:vAlign w:val="center"/>
          </w:tcPr>
          <w:p w14:paraId="62C3BDFF">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030716010116050008</w:t>
            </w:r>
          </w:p>
        </w:tc>
        <w:tc>
          <w:tcPr>
            <w:tcW w:w="546" w:type="pct"/>
            <w:vAlign w:val="center"/>
          </w:tcPr>
          <w:p w14:paraId="356333EE">
            <w:pPr>
              <w:widowControl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0.10</w:t>
            </w:r>
            <w:r>
              <w:rPr>
                <w:rFonts w:ascii="Times New Roman" w:hAnsi="Times New Roman" w:cs="Times New Roman" w:eastAsiaTheme="minorEastAsia"/>
                <w:caps w:val="0"/>
                <w:smallCaps w:val="0"/>
                <w:color w:val="auto"/>
                <w:spacing w:val="0"/>
                <w:w w:val="100"/>
                <w:kern w:val="2"/>
                <w:position w:val="0"/>
                <w:sz w:val="21"/>
                <w:szCs w:val="21"/>
                <w:highlight w:val="none"/>
              </w:rPr>
              <w:t>μg/L</w:t>
            </w:r>
          </w:p>
        </w:tc>
      </w:tr>
      <w:tr w14:paraId="41DA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5E56E4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lang w:bidi="ar"/>
              </w:rPr>
            </w:pPr>
            <w:r>
              <w:rPr>
                <w:rFonts w:ascii="Times New Roman" w:hAnsi="Times New Roman" w:cs="Times New Roman" w:eastAsiaTheme="minorEastAsia"/>
                <w:bCs/>
                <w:caps w:val="0"/>
                <w:smallCaps w:val="0"/>
                <w:color w:val="auto"/>
                <w:spacing w:val="0"/>
                <w:w w:val="100"/>
                <w:kern w:val="2"/>
                <w:position w:val="0"/>
                <w:sz w:val="21"/>
                <w:szCs w:val="21"/>
                <w:highlight w:val="none"/>
              </w:rPr>
              <w:t>硫化物</w:t>
            </w:r>
          </w:p>
        </w:tc>
        <w:tc>
          <w:tcPr>
            <w:tcW w:w="1489" w:type="pct"/>
            <w:vAlign w:val="center"/>
          </w:tcPr>
          <w:p w14:paraId="203DB6DB">
            <w:pPr>
              <w:widowControl w:val="0"/>
              <w:spacing w:line="32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bCs/>
                <w:caps w:val="0"/>
                <w:smallCaps w:val="0"/>
                <w:color w:val="auto"/>
                <w:spacing w:val="0"/>
                <w:w w:val="100"/>
                <w:kern w:val="2"/>
                <w:position w:val="0"/>
                <w:sz w:val="21"/>
                <w:szCs w:val="21"/>
                <w:highlight w:val="none"/>
                <w:shd w:val="clear" w:color="auto" w:fill="FFFFFF"/>
              </w:rPr>
              <w:t>水质 硫化物的测定</w:t>
            </w:r>
          </w:p>
          <w:p w14:paraId="308DCBD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shd w:val="clear" w:color="auto" w:fill="FFFFFF"/>
              </w:rPr>
              <w:t>亚甲基蓝分光光度法</w:t>
            </w:r>
          </w:p>
        </w:tc>
        <w:tc>
          <w:tcPr>
            <w:tcW w:w="860" w:type="pct"/>
            <w:vAlign w:val="center"/>
          </w:tcPr>
          <w:p w14:paraId="7D4D8938">
            <w:pPr>
              <w:widowControl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shd w:val="clear" w:color="auto" w:fill="FFFFFF"/>
              </w:rPr>
              <w:t>HJ1226-2021</w:t>
            </w:r>
          </w:p>
        </w:tc>
        <w:tc>
          <w:tcPr>
            <w:tcW w:w="938" w:type="pct"/>
            <w:vAlign w:val="center"/>
          </w:tcPr>
          <w:p w14:paraId="17EE20C2">
            <w:pPr>
              <w:widowControl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lang w:bidi="ar"/>
              </w:rPr>
            </w:pPr>
            <w:r>
              <w:rPr>
                <w:rFonts w:ascii="Times New Roman" w:hAnsi="Times New Roman" w:cs="Times New Roman" w:eastAsiaTheme="minorEastAsia"/>
                <w:bCs/>
                <w:caps w:val="0"/>
                <w:smallCaps w:val="0"/>
                <w:color w:val="auto"/>
                <w:spacing w:val="0"/>
                <w:w w:val="100"/>
                <w:kern w:val="21"/>
                <w:position w:val="0"/>
                <w:sz w:val="21"/>
                <w:szCs w:val="21"/>
                <w:highlight w:val="none"/>
              </w:rPr>
              <w:t xml:space="preserve">可见分光光度计  </w:t>
            </w:r>
            <w:r>
              <w:rPr>
                <w:rFonts w:ascii="Times New Roman" w:hAnsi="Times New Roman" w:cs="Times New Roman" w:eastAsiaTheme="minorEastAsia"/>
                <w:bCs/>
                <w:caps w:val="0"/>
                <w:smallCaps w:val="0"/>
                <w:color w:val="auto"/>
                <w:spacing w:val="0"/>
                <w:w w:val="100"/>
                <w:kern w:val="2"/>
                <w:position w:val="0"/>
                <w:sz w:val="21"/>
                <w:szCs w:val="21"/>
                <w:highlight w:val="none"/>
              </w:rPr>
              <w:t>722N</w:t>
            </w:r>
          </w:p>
        </w:tc>
        <w:tc>
          <w:tcPr>
            <w:tcW w:w="703" w:type="pct"/>
            <w:vAlign w:val="center"/>
          </w:tcPr>
          <w:p w14:paraId="27192F2D">
            <w:pPr>
              <w:widowControl w:val="0"/>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lang w:bidi="ar"/>
              </w:rPr>
            </w:pPr>
            <w:r>
              <w:rPr>
                <w:rFonts w:ascii="Times New Roman" w:hAnsi="Times New Roman" w:cs="Times New Roman" w:eastAsiaTheme="minorEastAsia"/>
                <w:bCs/>
                <w:caps w:val="0"/>
                <w:smallCaps w:val="0"/>
                <w:color w:val="auto"/>
                <w:spacing w:val="0"/>
                <w:w w:val="100"/>
                <w:position w:val="0"/>
                <w:sz w:val="21"/>
                <w:szCs w:val="21"/>
                <w:highlight w:val="none"/>
                <w:lang w:bidi="ar"/>
              </w:rPr>
              <w:t>070722020222020043</w:t>
            </w:r>
          </w:p>
        </w:tc>
        <w:tc>
          <w:tcPr>
            <w:tcW w:w="546" w:type="pct"/>
            <w:vAlign w:val="center"/>
          </w:tcPr>
          <w:p w14:paraId="29E803F7">
            <w:pPr>
              <w:widowControl w:val="0"/>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0.01</w:t>
            </w:r>
            <w:r>
              <w:rPr>
                <w:rFonts w:ascii="Times New Roman" w:hAnsi="Times New Roman" w:cs="Times New Roman" w:eastAsiaTheme="minorEastAsia"/>
                <w:bCs/>
                <w:caps w:val="0"/>
                <w:smallCaps w:val="0"/>
                <w:color w:val="auto"/>
                <w:spacing w:val="0"/>
                <w:w w:val="100"/>
                <w:kern w:val="2"/>
                <w:position w:val="0"/>
                <w:sz w:val="21"/>
                <w:szCs w:val="21"/>
                <w:highlight w:val="none"/>
              </w:rPr>
              <w:t>mg/L</w:t>
            </w:r>
          </w:p>
        </w:tc>
      </w:tr>
      <w:tr w14:paraId="0BC1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F7FFBF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钡</w:t>
            </w:r>
          </w:p>
        </w:tc>
        <w:tc>
          <w:tcPr>
            <w:tcW w:w="1489" w:type="pct"/>
            <w:vAlign w:val="center"/>
          </w:tcPr>
          <w:p w14:paraId="47B97C4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shd w:val="clear" w:color="auto" w:fill="FFFFFF"/>
              </w:rPr>
              <w:t>水质 32种元素的测定 电感耦合等离子体发射光谱法</w:t>
            </w:r>
          </w:p>
        </w:tc>
        <w:tc>
          <w:tcPr>
            <w:tcW w:w="860" w:type="pct"/>
            <w:vAlign w:val="center"/>
          </w:tcPr>
          <w:p w14:paraId="0CBEA404">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shd w:val="clear" w:color="auto" w:fill="FFFFFF"/>
              </w:rPr>
            </w:pPr>
            <w:r>
              <w:rPr>
                <w:rFonts w:ascii="Times New Roman" w:hAnsi="Times New Roman" w:cs="Times New Roman" w:eastAsiaTheme="minorEastAsia"/>
                <w:caps w:val="0"/>
                <w:smallCaps w:val="0"/>
                <w:color w:val="auto"/>
                <w:spacing w:val="0"/>
                <w:w w:val="100"/>
                <w:position w:val="0"/>
                <w:sz w:val="21"/>
                <w:szCs w:val="21"/>
                <w:highlight w:val="none"/>
                <w:shd w:val="clear" w:color="auto" w:fill="FFFFFF"/>
              </w:rPr>
              <w:t>HJ 776-2015 </w:t>
            </w:r>
          </w:p>
        </w:tc>
        <w:tc>
          <w:tcPr>
            <w:tcW w:w="938" w:type="pct"/>
            <w:vAlign w:val="center"/>
          </w:tcPr>
          <w:p w14:paraId="0EF290D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电感耦合等离子体发射光谱仪</w:t>
            </w:r>
            <w:r>
              <w:rPr>
                <w:rFonts w:ascii="Times New Roman" w:hAnsi="Times New Roman" w:cs="Times New Roman" w:eastAsiaTheme="minorEastAsia"/>
                <w:caps w:val="0"/>
                <w:smallCaps w:val="0"/>
                <w:color w:val="auto"/>
                <w:spacing w:val="0"/>
                <w:w w:val="100"/>
                <w:position w:val="0"/>
                <w:sz w:val="21"/>
                <w:szCs w:val="21"/>
                <w:highlight w:val="none"/>
                <w:lang w:bidi="ar"/>
              </w:rPr>
              <w:t>ICP2100DV</w:t>
            </w:r>
          </w:p>
        </w:tc>
        <w:tc>
          <w:tcPr>
            <w:tcW w:w="703" w:type="pct"/>
            <w:vAlign w:val="center"/>
          </w:tcPr>
          <w:p w14:paraId="20F5AC12">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bidi="ar"/>
              </w:rPr>
              <w:t>N0800540</w:t>
            </w:r>
          </w:p>
        </w:tc>
        <w:tc>
          <w:tcPr>
            <w:tcW w:w="546" w:type="pct"/>
            <w:vAlign w:val="center"/>
          </w:tcPr>
          <w:p w14:paraId="3C13BEFA">
            <w:pPr>
              <w:widowControl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0.01mg/L</w:t>
            </w:r>
          </w:p>
        </w:tc>
      </w:tr>
    </w:tbl>
    <w:p w14:paraId="05AEAB3F">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（5）监测结果</w:t>
      </w:r>
    </w:p>
    <w:p w14:paraId="0DE4A0FD">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地下水水质现状监测结果见表4.3-8、表4.3-9。</w:t>
      </w:r>
    </w:p>
    <w:p w14:paraId="0C26A66C">
      <w:pPr>
        <w:widowControl w:val="0"/>
        <w:spacing w:line="440" w:lineRule="exact"/>
        <w:ind w:firstLine="482"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 xml:space="preserve">表4.3-8   </w:t>
      </w:r>
      <w:r>
        <w:rPr>
          <w:rFonts w:ascii="Times New Roman" w:hAnsi="Times New Roman" w:cs="Times New Roman" w:eastAsiaTheme="minorEastAsia"/>
          <w:b/>
          <w:caps w:val="0"/>
          <w:smallCaps w:val="0"/>
          <w:color w:val="auto"/>
          <w:spacing w:val="0"/>
          <w:w w:val="100"/>
          <w:position w:val="0"/>
          <w:szCs w:val="28"/>
          <w:highlight w:val="none"/>
        </w:rPr>
        <w:t>地下水</w:t>
      </w:r>
      <w:r>
        <w:rPr>
          <w:rFonts w:ascii="Times New Roman" w:hAnsi="Times New Roman" w:cs="Times New Roman" w:eastAsiaTheme="minorEastAsia"/>
          <w:b/>
          <w:caps w:val="0"/>
          <w:smallCaps w:val="0"/>
          <w:color w:val="auto"/>
          <w:spacing w:val="0"/>
          <w:w w:val="100"/>
          <w:position w:val="0"/>
          <w:highlight w:val="none"/>
        </w:rPr>
        <w:t xml:space="preserve">潜水水质现状监测结果 </w:t>
      </w:r>
    </w:p>
    <w:tbl>
      <w:tblPr>
        <w:tblStyle w:val="80"/>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67"/>
        <w:gridCol w:w="1789"/>
        <w:gridCol w:w="1605"/>
        <w:gridCol w:w="1486"/>
        <w:gridCol w:w="1116"/>
        <w:gridCol w:w="1118"/>
      </w:tblGrid>
      <w:tr w14:paraId="4E644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74144B6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监测项目</w:t>
            </w:r>
          </w:p>
        </w:tc>
        <w:tc>
          <w:tcPr>
            <w:tcW w:w="963" w:type="pct"/>
            <w:vAlign w:val="center"/>
          </w:tcPr>
          <w:p w14:paraId="58BF7CE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卫一转油站内监测井</w:t>
            </w:r>
          </w:p>
        </w:tc>
        <w:tc>
          <w:tcPr>
            <w:tcW w:w="864" w:type="pct"/>
            <w:vAlign w:val="center"/>
          </w:tcPr>
          <w:p w14:paraId="715DF97B">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qx-10潜水井</w:t>
            </w:r>
          </w:p>
        </w:tc>
        <w:tc>
          <w:tcPr>
            <w:tcW w:w="800" w:type="pct"/>
            <w:vAlign w:val="center"/>
          </w:tcPr>
          <w:p w14:paraId="02EED3F3">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新立屯潜水井</w:t>
            </w:r>
          </w:p>
        </w:tc>
        <w:tc>
          <w:tcPr>
            <w:tcW w:w="601" w:type="pct"/>
            <w:tcBorders>
              <w:left w:val="single" w:color="auto" w:sz="4" w:space="0"/>
            </w:tcBorders>
            <w:vAlign w:val="center"/>
          </w:tcPr>
          <w:p w14:paraId="2946C54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小烧锅屯潜水井</w:t>
            </w:r>
          </w:p>
        </w:tc>
        <w:tc>
          <w:tcPr>
            <w:tcW w:w="602" w:type="pct"/>
            <w:tcBorders>
              <w:left w:val="single" w:color="auto" w:sz="4" w:space="0"/>
            </w:tcBorders>
            <w:vAlign w:val="center"/>
          </w:tcPr>
          <w:p w14:paraId="62458C14">
            <w:pPr>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标准限值</w:t>
            </w:r>
          </w:p>
        </w:tc>
      </w:tr>
      <w:tr w14:paraId="7D6BF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9AD509F">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K</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38B9CE4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2.38</w:t>
            </w:r>
          </w:p>
        </w:tc>
        <w:tc>
          <w:tcPr>
            <w:tcW w:w="864" w:type="pct"/>
            <w:shd w:val="clear" w:color="auto" w:fill="auto"/>
            <w:vAlign w:val="center"/>
          </w:tcPr>
          <w:p w14:paraId="49D0B45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2.12</w:t>
            </w:r>
          </w:p>
        </w:tc>
        <w:tc>
          <w:tcPr>
            <w:tcW w:w="800" w:type="pct"/>
            <w:shd w:val="clear" w:color="auto" w:fill="auto"/>
            <w:vAlign w:val="center"/>
          </w:tcPr>
          <w:p w14:paraId="6CEC5F03">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3.02</w:t>
            </w:r>
          </w:p>
        </w:tc>
        <w:tc>
          <w:tcPr>
            <w:tcW w:w="601" w:type="pct"/>
            <w:shd w:val="clear" w:color="auto" w:fill="auto"/>
            <w:vAlign w:val="center"/>
          </w:tcPr>
          <w:p w14:paraId="4333877A">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1.96</w:t>
            </w:r>
          </w:p>
        </w:tc>
        <w:tc>
          <w:tcPr>
            <w:tcW w:w="602" w:type="pct"/>
            <w:vAlign w:val="center"/>
          </w:tcPr>
          <w:p w14:paraId="1E022634">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49E58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18360C4E">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Na</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07CE68F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53.5</w:t>
            </w:r>
          </w:p>
        </w:tc>
        <w:tc>
          <w:tcPr>
            <w:tcW w:w="864" w:type="pct"/>
            <w:shd w:val="clear" w:color="auto" w:fill="auto"/>
            <w:vAlign w:val="center"/>
          </w:tcPr>
          <w:p w14:paraId="26C4A79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51.5</w:t>
            </w:r>
          </w:p>
        </w:tc>
        <w:tc>
          <w:tcPr>
            <w:tcW w:w="800" w:type="pct"/>
            <w:shd w:val="clear" w:color="auto" w:fill="auto"/>
            <w:vAlign w:val="center"/>
          </w:tcPr>
          <w:p w14:paraId="673F73C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zh-CN"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62.2</w:t>
            </w:r>
          </w:p>
        </w:tc>
        <w:tc>
          <w:tcPr>
            <w:tcW w:w="601" w:type="pct"/>
            <w:shd w:val="clear" w:color="auto" w:fill="auto"/>
            <w:vAlign w:val="center"/>
          </w:tcPr>
          <w:p w14:paraId="3481BF7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53.1</w:t>
            </w:r>
          </w:p>
        </w:tc>
        <w:tc>
          <w:tcPr>
            <w:tcW w:w="602" w:type="pct"/>
            <w:vAlign w:val="center"/>
          </w:tcPr>
          <w:p w14:paraId="3D56C415">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≤200</w:t>
            </w:r>
          </w:p>
        </w:tc>
      </w:tr>
      <w:tr w14:paraId="3EE38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B82FD8B">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Ca</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1A8FBDA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47.8</w:t>
            </w:r>
          </w:p>
        </w:tc>
        <w:tc>
          <w:tcPr>
            <w:tcW w:w="864" w:type="pct"/>
            <w:shd w:val="clear" w:color="auto" w:fill="auto"/>
            <w:vAlign w:val="center"/>
          </w:tcPr>
          <w:p w14:paraId="708ED9A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41.3</w:t>
            </w:r>
          </w:p>
        </w:tc>
        <w:tc>
          <w:tcPr>
            <w:tcW w:w="800" w:type="pct"/>
            <w:shd w:val="clear" w:color="auto" w:fill="auto"/>
            <w:vAlign w:val="center"/>
          </w:tcPr>
          <w:p w14:paraId="77B8316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51.4</w:t>
            </w:r>
          </w:p>
        </w:tc>
        <w:tc>
          <w:tcPr>
            <w:tcW w:w="601" w:type="pct"/>
            <w:shd w:val="clear" w:color="auto" w:fill="auto"/>
            <w:vAlign w:val="center"/>
          </w:tcPr>
          <w:p w14:paraId="6421742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42.5</w:t>
            </w:r>
          </w:p>
        </w:tc>
        <w:tc>
          <w:tcPr>
            <w:tcW w:w="602" w:type="pct"/>
            <w:vAlign w:val="center"/>
          </w:tcPr>
          <w:p w14:paraId="2BEE7EBD">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72DE4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0A097D4">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Mg</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7A14056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9.02</w:t>
            </w:r>
          </w:p>
        </w:tc>
        <w:tc>
          <w:tcPr>
            <w:tcW w:w="864" w:type="pct"/>
            <w:shd w:val="clear" w:color="auto" w:fill="auto"/>
            <w:vAlign w:val="center"/>
          </w:tcPr>
          <w:p w14:paraId="50215EC4">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8.82</w:t>
            </w:r>
          </w:p>
        </w:tc>
        <w:tc>
          <w:tcPr>
            <w:tcW w:w="800" w:type="pct"/>
            <w:shd w:val="clear" w:color="auto" w:fill="auto"/>
            <w:vAlign w:val="center"/>
          </w:tcPr>
          <w:p w14:paraId="086D056B">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10.7</w:t>
            </w:r>
          </w:p>
        </w:tc>
        <w:tc>
          <w:tcPr>
            <w:tcW w:w="601" w:type="pct"/>
            <w:shd w:val="clear" w:color="auto" w:fill="auto"/>
            <w:vAlign w:val="center"/>
          </w:tcPr>
          <w:p w14:paraId="36FA3782">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9.11</w:t>
            </w:r>
          </w:p>
        </w:tc>
        <w:tc>
          <w:tcPr>
            <w:tcW w:w="602" w:type="pct"/>
            <w:vAlign w:val="center"/>
          </w:tcPr>
          <w:p w14:paraId="177D4E97">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2C71C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01065573">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HCO</w:t>
            </w:r>
            <w:r>
              <w:rPr>
                <w:rFonts w:ascii="Times New Roman" w:hAnsi="Times New Roman" w:cs="Times New Roman" w:eastAsiaTheme="minorEastAsia"/>
                <w:caps w:val="0"/>
                <w:smallCaps w:val="0"/>
                <w:color w:val="auto"/>
                <w:spacing w:val="0"/>
                <w:w w:val="100"/>
                <w:position w:val="0"/>
                <w:sz w:val="21"/>
                <w:szCs w:val="21"/>
                <w:highlight w:val="none"/>
                <w:vertAlign w:val="subscript"/>
              </w:rPr>
              <w:t>3</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5F735DF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219</w:t>
            </w:r>
          </w:p>
        </w:tc>
        <w:tc>
          <w:tcPr>
            <w:tcW w:w="864" w:type="pct"/>
            <w:shd w:val="clear" w:color="auto" w:fill="auto"/>
            <w:vAlign w:val="center"/>
          </w:tcPr>
          <w:p w14:paraId="458DB79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202</w:t>
            </w:r>
          </w:p>
        </w:tc>
        <w:tc>
          <w:tcPr>
            <w:tcW w:w="800" w:type="pct"/>
            <w:shd w:val="clear" w:color="auto" w:fill="auto"/>
            <w:vAlign w:val="center"/>
          </w:tcPr>
          <w:p w14:paraId="68DD221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242</w:t>
            </w:r>
          </w:p>
        </w:tc>
        <w:tc>
          <w:tcPr>
            <w:tcW w:w="601" w:type="pct"/>
            <w:shd w:val="clear" w:color="auto" w:fill="auto"/>
            <w:vAlign w:val="center"/>
          </w:tcPr>
          <w:p w14:paraId="3EAC5D6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207</w:t>
            </w:r>
          </w:p>
        </w:tc>
        <w:tc>
          <w:tcPr>
            <w:tcW w:w="602" w:type="pct"/>
            <w:vAlign w:val="center"/>
          </w:tcPr>
          <w:p w14:paraId="334E67F5">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3AB64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61F53259">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CO</w:t>
            </w:r>
            <w:r>
              <w:rPr>
                <w:rFonts w:ascii="Times New Roman" w:hAnsi="Times New Roman" w:cs="Times New Roman" w:eastAsiaTheme="minorEastAsia"/>
                <w:caps w:val="0"/>
                <w:smallCaps w:val="0"/>
                <w:color w:val="auto"/>
                <w:spacing w:val="0"/>
                <w:w w:val="100"/>
                <w:position w:val="0"/>
                <w:sz w:val="21"/>
                <w:szCs w:val="21"/>
                <w:highlight w:val="none"/>
                <w:vertAlign w:val="subscript"/>
              </w:rPr>
              <w:t>3</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1500616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5L</w:t>
            </w:r>
          </w:p>
        </w:tc>
        <w:tc>
          <w:tcPr>
            <w:tcW w:w="864" w:type="pct"/>
            <w:shd w:val="clear" w:color="auto" w:fill="auto"/>
            <w:vAlign w:val="center"/>
          </w:tcPr>
          <w:p w14:paraId="179ACA7E">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5L</w:t>
            </w:r>
          </w:p>
        </w:tc>
        <w:tc>
          <w:tcPr>
            <w:tcW w:w="800" w:type="pct"/>
            <w:shd w:val="clear" w:color="auto" w:fill="auto"/>
            <w:vAlign w:val="center"/>
          </w:tcPr>
          <w:p w14:paraId="544789F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5L</w:t>
            </w:r>
          </w:p>
        </w:tc>
        <w:tc>
          <w:tcPr>
            <w:tcW w:w="601" w:type="pct"/>
            <w:shd w:val="clear" w:color="auto" w:fill="auto"/>
            <w:vAlign w:val="center"/>
          </w:tcPr>
          <w:p w14:paraId="6F4293CA">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5L</w:t>
            </w:r>
          </w:p>
        </w:tc>
        <w:tc>
          <w:tcPr>
            <w:tcW w:w="602" w:type="pct"/>
            <w:vAlign w:val="center"/>
          </w:tcPr>
          <w:p w14:paraId="7697439B">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51603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F3BF82E">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Cl</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47A1EB9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48</w:t>
            </w:r>
          </w:p>
        </w:tc>
        <w:tc>
          <w:tcPr>
            <w:tcW w:w="864" w:type="pct"/>
            <w:shd w:val="clear" w:color="auto" w:fill="auto"/>
            <w:vAlign w:val="center"/>
          </w:tcPr>
          <w:p w14:paraId="765B7149">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41</w:t>
            </w:r>
          </w:p>
        </w:tc>
        <w:tc>
          <w:tcPr>
            <w:tcW w:w="800" w:type="pct"/>
            <w:shd w:val="clear" w:color="auto" w:fill="auto"/>
            <w:vAlign w:val="center"/>
          </w:tcPr>
          <w:p w14:paraId="72F1E73F">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52</w:t>
            </w:r>
          </w:p>
        </w:tc>
        <w:tc>
          <w:tcPr>
            <w:tcW w:w="601" w:type="pct"/>
            <w:shd w:val="clear" w:color="auto" w:fill="auto"/>
            <w:vAlign w:val="center"/>
          </w:tcPr>
          <w:p w14:paraId="3BA84DFE">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45</w:t>
            </w:r>
          </w:p>
        </w:tc>
        <w:tc>
          <w:tcPr>
            <w:tcW w:w="602" w:type="pct"/>
            <w:vAlign w:val="center"/>
          </w:tcPr>
          <w:p w14:paraId="537A3E5A">
            <w:pPr>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≤250</w:t>
            </w:r>
          </w:p>
        </w:tc>
      </w:tr>
      <w:tr w14:paraId="0C8E3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BB21A18">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SO</w:t>
            </w:r>
            <w:r>
              <w:rPr>
                <w:rFonts w:ascii="Times New Roman" w:hAnsi="Times New Roman" w:cs="Times New Roman" w:eastAsiaTheme="minorEastAsia"/>
                <w:caps w:val="0"/>
                <w:smallCaps w:val="0"/>
                <w:color w:val="auto"/>
                <w:spacing w:val="0"/>
                <w:w w:val="100"/>
                <w:position w:val="0"/>
                <w:sz w:val="21"/>
                <w:szCs w:val="21"/>
                <w:highlight w:val="none"/>
                <w:vertAlign w:val="subscript"/>
              </w:rPr>
              <w:t>4</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5289B5B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31</w:t>
            </w:r>
          </w:p>
        </w:tc>
        <w:tc>
          <w:tcPr>
            <w:tcW w:w="864" w:type="pct"/>
            <w:shd w:val="clear" w:color="auto" w:fill="auto"/>
            <w:vAlign w:val="center"/>
          </w:tcPr>
          <w:p w14:paraId="1129133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31</w:t>
            </w:r>
          </w:p>
        </w:tc>
        <w:tc>
          <w:tcPr>
            <w:tcW w:w="800" w:type="pct"/>
            <w:shd w:val="clear" w:color="auto" w:fill="auto"/>
            <w:vAlign w:val="center"/>
          </w:tcPr>
          <w:p w14:paraId="1426A3E9">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46</w:t>
            </w:r>
          </w:p>
        </w:tc>
        <w:tc>
          <w:tcPr>
            <w:tcW w:w="601" w:type="pct"/>
            <w:shd w:val="clear" w:color="auto" w:fill="auto"/>
            <w:vAlign w:val="center"/>
          </w:tcPr>
          <w:p w14:paraId="00AC170D">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37</w:t>
            </w:r>
          </w:p>
        </w:tc>
        <w:tc>
          <w:tcPr>
            <w:tcW w:w="602" w:type="pct"/>
            <w:vAlign w:val="center"/>
          </w:tcPr>
          <w:p w14:paraId="344C9C6D">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≤250</w:t>
            </w:r>
          </w:p>
        </w:tc>
      </w:tr>
      <w:tr w14:paraId="571D7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EE43C0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pH</w:t>
            </w:r>
            <w:r>
              <w:rPr>
                <w:rFonts w:ascii="Times New Roman" w:hAnsi="Times New Roman" w:cs="Times New Roman" w:eastAsiaTheme="minorEastAsia"/>
                <w:caps w:val="0"/>
                <w:smallCaps w:val="0"/>
                <w:color w:val="auto"/>
                <w:spacing w:val="0"/>
                <w:w w:val="100"/>
                <w:position w:val="0"/>
                <w:sz w:val="21"/>
                <w:szCs w:val="21"/>
                <w:highlight w:val="none"/>
                <w:lang w:val="zh-CN"/>
              </w:rPr>
              <w:t>（无量纲）</w:t>
            </w:r>
          </w:p>
        </w:tc>
        <w:tc>
          <w:tcPr>
            <w:tcW w:w="1777" w:type="dxa"/>
            <w:vAlign w:val="center"/>
          </w:tcPr>
          <w:p w14:paraId="2774B01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7.8</w:t>
            </w:r>
          </w:p>
        </w:tc>
        <w:tc>
          <w:tcPr>
            <w:tcW w:w="864" w:type="pct"/>
            <w:shd w:val="clear" w:color="auto" w:fill="auto"/>
            <w:vAlign w:val="bottom"/>
          </w:tcPr>
          <w:p w14:paraId="7D5E30E0">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7.7</w:t>
            </w:r>
          </w:p>
        </w:tc>
        <w:tc>
          <w:tcPr>
            <w:tcW w:w="800" w:type="pct"/>
            <w:shd w:val="clear" w:color="auto" w:fill="auto"/>
            <w:vAlign w:val="bottom"/>
          </w:tcPr>
          <w:p w14:paraId="46AA9537">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7.7</w:t>
            </w:r>
          </w:p>
        </w:tc>
        <w:tc>
          <w:tcPr>
            <w:tcW w:w="601" w:type="pct"/>
            <w:shd w:val="clear" w:color="auto" w:fill="auto"/>
            <w:vAlign w:val="center"/>
          </w:tcPr>
          <w:p w14:paraId="1E6D5C67">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7.8</w:t>
            </w:r>
          </w:p>
        </w:tc>
        <w:tc>
          <w:tcPr>
            <w:tcW w:w="602" w:type="pct"/>
            <w:vAlign w:val="center"/>
          </w:tcPr>
          <w:p w14:paraId="404F19EC">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6.5～8.5</w:t>
            </w:r>
          </w:p>
        </w:tc>
      </w:tr>
      <w:tr w14:paraId="63197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2832E7B">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总硬度</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6B643E6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157</w:t>
            </w:r>
          </w:p>
        </w:tc>
        <w:tc>
          <w:tcPr>
            <w:tcW w:w="864" w:type="pct"/>
            <w:shd w:val="clear" w:color="auto" w:fill="auto"/>
            <w:vAlign w:val="center"/>
          </w:tcPr>
          <w:p w14:paraId="4A21F679">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140</w:t>
            </w:r>
          </w:p>
        </w:tc>
        <w:tc>
          <w:tcPr>
            <w:tcW w:w="800" w:type="pct"/>
            <w:shd w:val="clear" w:color="auto" w:fill="auto"/>
            <w:vAlign w:val="center"/>
          </w:tcPr>
          <w:p w14:paraId="28B9FFF8">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173</w:t>
            </w:r>
          </w:p>
        </w:tc>
        <w:tc>
          <w:tcPr>
            <w:tcW w:w="601" w:type="pct"/>
            <w:shd w:val="clear" w:color="auto" w:fill="auto"/>
            <w:vAlign w:val="center"/>
          </w:tcPr>
          <w:p w14:paraId="098378D0">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144</w:t>
            </w:r>
          </w:p>
        </w:tc>
        <w:tc>
          <w:tcPr>
            <w:tcW w:w="602" w:type="pct"/>
            <w:vAlign w:val="center"/>
          </w:tcPr>
          <w:p w14:paraId="764B9F00">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1"/>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≤450</w:t>
            </w:r>
          </w:p>
        </w:tc>
      </w:tr>
      <w:tr w14:paraId="63BE6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6F14EBCF">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溶解性总固体</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14CB30E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489</w:t>
            </w:r>
          </w:p>
        </w:tc>
        <w:tc>
          <w:tcPr>
            <w:tcW w:w="864" w:type="pct"/>
            <w:shd w:val="clear" w:color="auto" w:fill="auto"/>
            <w:vAlign w:val="bottom"/>
          </w:tcPr>
          <w:p w14:paraId="5F0000A8">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448</w:t>
            </w:r>
          </w:p>
        </w:tc>
        <w:tc>
          <w:tcPr>
            <w:tcW w:w="800" w:type="pct"/>
            <w:shd w:val="clear" w:color="auto" w:fill="auto"/>
            <w:vAlign w:val="bottom"/>
          </w:tcPr>
          <w:p w14:paraId="0F2A6288">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554</w:t>
            </w:r>
          </w:p>
        </w:tc>
        <w:tc>
          <w:tcPr>
            <w:tcW w:w="601" w:type="pct"/>
            <w:shd w:val="clear" w:color="auto" w:fill="auto"/>
            <w:vAlign w:val="center"/>
          </w:tcPr>
          <w:p w14:paraId="0EC6FA98">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468</w:t>
            </w:r>
          </w:p>
        </w:tc>
        <w:tc>
          <w:tcPr>
            <w:tcW w:w="602" w:type="pct"/>
            <w:vAlign w:val="center"/>
          </w:tcPr>
          <w:p w14:paraId="4564B253">
            <w:pPr>
              <w:spacing w:line="320" w:lineRule="exact"/>
              <w:jc w:val="center"/>
              <w:textAlignment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≤1000</w:t>
            </w:r>
          </w:p>
        </w:tc>
      </w:tr>
      <w:tr w14:paraId="7C9FC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04FFAF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耗氧量</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213CC1F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2.3</w:t>
            </w:r>
          </w:p>
        </w:tc>
        <w:tc>
          <w:tcPr>
            <w:tcW w:w="864" w:type="pct"/>
            <w:shd w:val="clear" w:color="auto" w:fill="auto"/>
            <w:vAlign w:val="bottom"/>
          </w:tcPr>
          <w:p w14:paraId="75C69D18">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2.2</w:t>
            </w:r>
          </w:p>
        </w:tc>
        <w:tc>
          <w:tcPr>
            <w:tcW w:w="800" w:type="pct"/>
            <w:shd w:val="clear" w:color="auto" w:fill="auto"/>
            <w:vAlign w:val="bottom"/>
          </w:tcPr>
          <w:p w14:paraId="4E5257A4">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w:t>
            </w:r>
          </w:p>
        </w:tc>
        <w:tc>
          <w:tcPr>
            <w:tcW w:w="601" w:type="pct"/>
            <w:shd w:val="clear" w:color="auto" w:fill="auto"/>
            <w:vAlign w:val="center"/>
          </w:tcPr>
          <w:p w14:paraId="7C9F668E">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2.2</w:t>
            </w:r>
          </w:p>
        </w:tc>
        <w:tc>
          <w:tcPr>
            <w:tcW w:w="602" w:type="pct"/>
            <w:vAlign w:val="center"/>
          </w:tcPr>
          <w:p w14:paraId="22405600">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≤3.0</w:t>
            </w:r>
          </w:p>
        </w:tc>
      </w:tr>
      <w:tr w14:paraId="06C34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3EAA18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挥发性酚类</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5E25B52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864" w:type="pct"/>
            <w:shd w:val="clear" w:color="auto" w:fill="auto"/>
            <w:vAlign w:val="center"/>
          </w:tcPr>
          <w:p w14:paraId="36051A9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800" w:type="pct"/>
            <w:shd w:val="clear" w:color="auto" w:fill="auto"/>
            <w:vAlign w:val="center"/>
          </w:tcPr>
          <w:p w14:paraId="6F9412C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601" w:type="pct"/>
            <w:shd w:val="clear" w:color="auto" w:fill="auto"/>
            <w:vAlign w:val="center"/>
          </w:tcPr>
          <w:p w14:paraId="005FF39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602" w:type="pct"/>
            <w:vAlign w:val="center"/>
          </w:tcPr>
          <w:p w14:paraId="6C077EBF">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1"/>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≤0.002</w:t>
            </w:r>
          </w:p>
        </w:tc>
      </w:tr>
      <w:tr w14:paraId="0A847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9ED0540">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氰化物</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42FEF93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0.002L</w:t>
            </w:r>
          </w:p>
        </w:tc>
        <w:tc>
          <w:tcPr>
            <w:tcW w:w="864" w:type="pct"/>
            <w:shd w:val="clear" w:color="auto" w:fill="auto"/>
            <w:vAlign w:val="center"/>
          </w:tcPr>
          <w:p w14:paraId="2752FD1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0.002L</w:t>
            </w:r>
          </w:p>
        </w:tc>
        <w:tc>
          <w:tcPr>
            <w:tcW w:w="800" w:type="pct"/>
            <w:shd w:val="clear" w:color="auto" w:fill="auto"/>
            <w:vAlign w:val="center"/>
          </w:tcPr>
          <w:p w14:paraId="4B221E6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0.002L</w:t>
            </w:r>
          </w:p>
        </w:tc>
        <w:tc>
          <w:tcPr>
            <w:tcW w:w="601" w:type="pct"/>
            <w:shd w:val="clear" w:color="auto" w:fill="auto"/>
            <w:vAlign w:val="center"/>
          </w:tcPr>
          <w:p w14:paraId="608575B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0.002L</w:t>
            </w:r>
          </w:p>
        </w:tc>
        <w:tc>
          <w:tcPr>
            <w:tcW w:w="602" w:type="pct"/>
            <w:vAlign w:val="center"/>
          </w:tcPr>
          <w:p w14:paraId="0139BA78">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1"/>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≤0.05</w:t>
            </w:r>
          </w:p>
        </w:tc>
      </w:tr>
      <w:tr w14:paraId="59C32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2184493">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氟化物</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6179765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0.27</w:t>
            </w:r>
          </w:p>
        </w:tc>
        <w:tc>
          <w:tcPr>
            <w:tcW w:w="864" w:type="pct"/>
            <w:shd w:val="clear" w:color="auto" w:fill="auto"/>
            <w:vAlign w:val="center"/>
          </w:tcPr>
          <w:p w14:paraId="0EFAF32C">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0.34</w:t>
            </w:r>
          </w:p>
        </w:tc>
        <w:tc>
          <w:tcPr>
            <w:tcW w:w="800" w:type="pct"/>
            <w:shd w:val="clear" w:color="auto" w:fill="auto"/>
            <w:vAlign w:val="center"/>
          </w:tcPr>
          <w:p w14:paraId="039A21E9">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0.37</w:t>
            </w:r>
          </w:p>
        </w:tc>
        <w:tc>
          <w:tcPr>
            <w:tcW w:w="601" w:type="pct"/>
            <w:shd w:val="clear" w:color="auto" w:fill="auto"/>
            <w:vAlign w:val="center"/>
          </w:tcPr>
          <w:p w14:paraId="0F605BF5">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0.40</w:t>
            </w:r>
          </w:p>
        </w:tc>
        <w:tc>
          <w:tcPr>
            <w:tcW w:w="602" w:type="pct"/>
            <w:vAlign w:val="center"/>
          </w:tcPr>
          <w:p w14:paraId="1733254E">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1"/>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≤1.0</w:t>
            </w:r>
          </w:p>
        </w:tc>
      </w:tr>
      <w:tr w14:paraId="3A72F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065C0FB">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硝酸盐</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051FE2B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1.89</w:t>
            </w:r>
          </w:p>
        </w:tc>
        <w:tc>
          <w:tcPr>
            <w:tcW w:w="864" w:type="pct"/>
            <w:shd w:val="clear" w:color="auto" w:fill="auto"/>
            <w:vAlign w:val="center"/>
          </w:tcPr>
          <w:p w14:paraId="3EC429BC">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2.25</w:t>
            </w:r>
          </w:p>
        </w:tc>
        <w:tc>
          <w:tcPr>
            <w:tcW w:w="800" w:type="pct"/>
            <w:shd w:val="clear" w:color="auto" w:fill="auto"/>
            <w:vAlign w:val="center"/>
          </w:tcPr>
          <w:p w14:paraId="20865C52">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1.68</w:t>
            </w:r>
          </w:p>
        </w:tc>
        <w:tc>
          <w:tcPr>
            <w:tcW w:w="601" w:type="pct"/>
            <w:shd w:val="clear" w:color="auto" w:fill="auto"/>
            <w:vAlign w:val="center"/>
          </w:tcPr>
          <w:p w14:paraId="735ACDEB">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2.07</w:t>
            </w:r>
          </w:p>
        </w:tc>
        <w:tc>
          <w:tcPr>
            <w:tcW w:w="602" w:type="pct"/>
            <w:vAlign w:val="center"/>
          </w:tcPr>
          <w:p w14:paraId="0C74FE45">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≤20</w:t>
            </w:r>
          </w:p>
        </w:tc>
      </w:tr>
      <w:tr w14:paraId="16D39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B6A8A8C">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亚硝酸盐</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518B350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864" w:type="pct"/>
            <w:shd w:val="clear" w:color="auto" w:fill="auto"/>
            <w:vAlign w:val="center"/>
          </w:tcPr>
          <w:p w14:paraId="62C33EA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800" w:type="pct"/>
            <w:shd w:val="clear" w:color="auto" w:fill="auto"/>
            <w:vAlign w:val="center"/>
          </w:tcPr>
          <w:p w14:paraId="3B57380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601" w:type="pct"/>
            <w:shd w:val="clear" w:color="auto" w:fill="auto"/>
            <w:vAlign w:val="center"/>
          </w:tcPr>
          <w:p w14:paraId="61FE0F7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602" w:type="pct"/>
            <w:vAlign w:val="center"/>
          </w:tcPr>
          <w:p w14:paraId="153DB536">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≤1.0</w:t>
            </w:r>
          </w:p>
        </w:tc>
      </w:tr>
      <w:tr w14:paraId="149F0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63CE318">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氨氮</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71CC4A5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0.311</w:t>
            </w:r>
          </w:p>
        </w:tc>
        <w:tc>
          <w:tcPr>
            <w:tcW w:w="864" w:type="pct"/>
            <w:shd w:val="clear" w:color="auto" w:fill="auto"/>
            <w:vAlign w:val="center"/>
          </w:tcPr>
          <w:p w14:paraId="5900B513">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0.304</w:t>
            </w:r>
          </w:p>
        </w:tc>
        <w:tc>
          <w:tcPr>
            <w:tcW w:w="800" w:type="pct"/>
            <w:shd w:val="clear" w:color="auto" w:fill="auto"/>
            <w:vAlign w:val="center"/>
          </w:tcPr>
          <w:p w14:paraId="5387EE8A">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0.296</w:t>
            </w:r>
          </w:p>
        </w:tc>
        <w:tc>
          <w:tcPr>
            <w:tcW w:w="601" w:type="pct"/>
            <w:shd w:val="clear" w:color="auto" w:fill="auto"/>
            <w:vAlign w:val="center"/>
          </w:tcPr>
          <w:p w14:paraId="1D57802F">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0.239</w:t>
            </w:r>
          </w:p>
        </w:tc>
        <w:tc>
          <w:tcPr>
            <w:tcW w:w="602" w:type="pct"/>
            <w:vAlign w:val="center"/>
          </w:tcPr>
          <w:p w14:paraId="160FD0B1">
            <w:pPr>
              <w:spacing w:line="320" w:lineRule="exact"/>
              <w:jc w:val="center"/>
              <w:textAlignment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≤0.5</w:t>
            </w:r>
          </w:p>
        </w:tc>
      </w:tr>
      <w:tr w14:paraId="5CA5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2C3C4C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六价铬</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02DE8C8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0.004L</w:t>
            </w:r>
          </w:p>
        </w:tc>
        <w:tc>
          <w:tcPr>
            <w:tcW w:w="864" w:type="pct"/>
            <w:shd w:val="clear" w:color="auto" w:fill="auto"/>
            <w:vAlign w:val="center"/>
          </w:tcPr>
          <w:p w14:paraId="733CA6E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0.004L</w:t>
            </w:r>
          </w:p>
        </w:tc>
        <w:tc>
          <w:tcPr>
            <w:tcW w:w="800" w:type="pct"/>
            <w:shd w:val="clear" w:color="auto" w:fill="auto"/>
            <w:vAlign w:val="center"/>
          </w:tcPr>
          <w:p w14:paraId="4A47C0F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0.004L</w:t>
            </w:r>
          </w:p>
        </w:tc>
        <w:tc>
          <w:tcPr>
            <w:tcW w:w="601" w:type="pct"/>
            <w:shd w:val="clear" w:color="auto" w:fill="auto"/>
            <w:vAlign w:val="center"/>
          </w:tcPr>
          <w:p w14:paraId="65CBDB2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0.004L</w:t>
            </w:r>
          </w:p>
        </w:tc>
        <w:tc>
          <w:tcPr>
            <w:tcW w:w="602" w:type="pct"/>
            <w:vAlign w:val="center"/>
          </w:tcPr>
          <w:p w14:paraId="25D23C8D">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≤0.05</w:t>
            </w:r>
          </w:p>
        </w:tc>
      </w:tr>
      <w:tr w14:paraId="613FC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ECE3A5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砷</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5046452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864" w:type="pct"/>
            <w:shd w:val="clear" w:color="auto" w:fill="auto"/>
            <w:vAlign w:val="center"/>
          </w:tcPr>
          <w:p w14:paraId="0CA527D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800" w:type="pct"/>
            <w:shd w:val="clear" w:color="auto" w:fill="auto"/>
            <w:vAlign w:val="center"/>
          </w:tcPr>
          <w:p w14:paraId="481B000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601" w:type="pct"/>
            <w:shd w:val="clear" w:color="auto" w:fill="auto"/>
            <w:vAlign w:val="center"/>
          </w:tcPr>
          <w:p w14:paraId="3EFF010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602" w:type="pct"/>
            <w:vAlign w:val="center"/>
          </w:tcPr>
          <w:p w14:paraId="649CDE0F">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≤0.01</w:t>
            </w:r>
          </w:p>
        </w:tc>
      </w:tr>
      <w:tr w14:paraId="59A13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756CCE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铅</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7877F8E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0.001L</w:t>
            </w:r>
          </w:p>
        </w:tc>
        <w:tc>
          <w:tcPr>
            <w:tcW w:w="864" w:type="pct"/>
            <w:shd w:val="clear" w:color="auto" w:fill="auto"/>
            <w:vAlign w:val="center"/>
          </w:tcPr>
          <w:p w14:paraId="199DB49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0.001L</w:t>
            </w:r>
          </w:p>
        </w:tc>
        <w:tc>
          <w:tcPr>
            <w:tcW w:w="800" w:type="pct"/>
            <w:shd w:val="clear" w:color="auto" w:fill="auto"/>
            <w:vAlign w:val="center"/>
          </w:tcPr>
          <w:p w14:paraId="741C844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0.001L</w:t>
            </w:r>
          </w:p>
        </w:tc>
        <w:tc>
          <w:tcPr>
            <w:tcW w:w="601" w:type="pct"/>
            <w:shd w:val="clear" w:color="auto" w:fill="auto"/>
            <w:vAlign w:val="center"/>
          </w:tcPr>
          <w:p w14:paraId="2184444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0.001L</w:t>
            </w:r>
          </w:p>
        </w:tc>
        <w:tc>
          <w:tcPr>
            <w:tcW w:w="602" w:type="pct"/>
            <w:vAlign w:val="center"/>
          </w:tcPr>
          <w:p w14:paraId="71C2AE3C">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≤0.01</w:t>
            </w:r>
          </w:p>
        </w:tc>
      </w:tr>
      <w:tr w14:paraId="51237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1FC8D29F">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铁</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349BCF5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0.29</w:t>
            </w:r>
          </w:p>
        </w:tc>
        <w:tc>
          <w:tcPr>
            <w:tcW w:w="864" w:type="pct"/>
            <w:shd w:val="clear" w:color="auto" w:fill="auto"/>
            <w:vAlign w:val="center"/>
          </w:tcPr>
          <w:p w14:paraId="5E58CC7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0.28</w:t>
            </w:r>
          </w:p>
        </w:tc>
        <w:tc>
          <w:tcPr>
            <w:tcW w:w="800" w:type="pct"/>
            <w:shd w:val="clear" w:color="auto" w:fill="auto"/>
            <w:vAlign w:val="center"/>
          </w:tcPr>
          <w:p w14:paraId="5FDBEB3C">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0.28</w:t>
            </w:r>
          </w:p>
        </w:tc>
        <w:tc>
          <w:tcPr>
            <w:tcW w:w="601" w:type="pct"/>
            <w:shd w:val="clear" w:color="auto" w:fill="auto"/>
            <w:vAlign w:val="center"/>
          </w:tcPr>
          <w:p w14:paraId="2A1D73D0">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0.29</w:t>
            </w:r>
          </w:p>
        </w:tc>
        <w:tc>
          <w:tcPr>
            <w:tcW w:w="602" w:type="pct"/>
            <w:vAlign w:val="center"/>
          </w:tcPr>
          <w:p w14:paraId="7C4491BD">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≤0.3</w:t>
            </w:r>
          </w:p>
        </w:tc>
      </w:tr>
      <w:tr w14:paraId="0B848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EB95DE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汞</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2E816E3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0.00004L</w:t>
            </w:r>
          </w:p>
        </w:tc>
        <w:tc>
          <w:tcPr>
            <w:tcW w:w="864" w:type="pct"/>
            <w:shd w:val="clear" w:color="auto" w:fill="auto"/>
            <w:vAlign w:val="center"/>
          </w:tcPr>
          <w:p w14:paraId="2B43A4D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0.00004L</w:t>
            </w:r>
          </w:p>
        </w:tc>
        <w:tc>
          <w:tcPr>
            <w:tcW w:w="800" w:type="pct"/>
            <w:shd w:val="clear" w:color="auto" w:fill="auto"/>
            <w:vAlign w:val="center"/>
          </w:tcPr>
          <w:p w14:paraId="3913CEF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0.00004L</w:t>
            </w:r>
          </w:p>
        </w:tc>
        <w:tc>
          <w:tcPr>
            <w:tcW w:w="601" w:type="pct"/>
            <w:shd w:val="clear" w:color="auto" w:fill="auto"/>
            <w:vAlign w:val="center"/>
          </w:tcPr>
          <w:p w14:paraId="5190B39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0.00004L</w:t>
            </w:r>
          </w:p>
        </w:tc>
        <w:tc>
          <w:tcPr>
            <w:tcW w:w="602" w:type="pct"/>
            <w:vAlign w:val="center"/>
          </w:tcPr>
          <w:p w14:paraId="5B73024A">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≤0.001</w:t>
            </w:r>
          </w:p>
        </w:tc>
      </w:tr>
      <w:tr w14:paraId="49385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9613F0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锰</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22C09DC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0.09</w:t>
            </w:r>
          </w:p>
        </w:tc>
        <w:tc>
          <w:tcPr>
            <w:tcW w:w="864" w:type="pct"/>
            <w:shd w:val="clear" w:color="auto" w:fill="auto"/>
            <w:vAlign w:val="center"/>
          </w:tcPr>
          <w:p w14:paraId="2306B417">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0.11</w:t>
            </w:r>
          </w:p>
        </w:tc>
        <w:tc>
          <w:tcPr>
            <w:tcW w:w="800" w:type="pct"/>
            <w:shd w:val="clear" w:color="auto" w:fill="auto"/>
            <w:vAlign w:val="center"/>
          </w:tcPr>
          <w:p w14:paraId="381C99A7">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0.12</w:t>
            </w:r>
          </w:p>
        </w:tc>
        <w:tc>
          <w:tcPr>
            <w:tcW w:w="601" w:type="pct"/>
            <w:shd w:val="clear" w:color="auto" w:fill="auto"/>
            <w:vAlign w:val="center"/>
          </w:tcPr>
          <w:p w14:paraId="219339E2">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0.09</w:t>
            </w:r>
          </w:p>
        </w:tc>
        <w:tc>
          <w:tcPr>
            <w:tcW w:w="602" w:type="pct"/>
            <w:vAlign w:val="center"/>
          </w:tcPr>
          <w:p w14:paraId="3FAA4115">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≤0.1</w:t>
            </w:r>
          </w:p>
        </w:tc>
      </w:tr>
      <w:tr w14:paraId="0EAE1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8B3B45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镉</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2D682F0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0.0001L</w:t>
            </w:r>
          </w:p>
        </w:tc>
        <w:tc>
          <w:tcPr>
            <w:tcW w:w="864" w:type="pct"/>
            <w:shd w:val="clear" w:color="auto" w:fill="auto"/>
            <w:vAlign w:val="center"/>
          </w:tcPr>
          <w:p w14:paraId="21C5E3B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0.0001L</w:t>
            </w:r>
          </w:p>
        </w:tc>
        <w:tc>
          <w:tcPr>
            <w:tcW w:w="800" w:type="pct"/>
            <w:shd w:val="clear" w:color="auto" w:fill="auto"/>
            <w:vAlign w:val="center"/>
          </w:tcPr>
          <w:p w14:paraId="3D2BE39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0.0001L</w:t>
            </w:r>
          </w:p>
        </w:tc>
        <w:tc>
          <w:tcPr>
            <w:tcW w:w="601" w:type="pct"/>
            <w:shd w:val="clear" w:color="auto" w:fill="auto"/>
            <w:vAlign w:val="center"/>
          </w:tcPr>
          <w:p w14:paraId="39563A1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0.0001L</w:t>
            </w:r>
          </w:p>
        </w:tc>
        <w:tc>
          <w:tcPr>
            <w:tcW w:w="602" w:type="pct"/>
            <w:vAlign w:val="center"/>
          </w:tcPr>
          <w:p w14:paraId="14B98E90">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≤0.005</w:t>
            </w:r>
          </w:p>
        </w:tc>
      </w:tr>
      <w:tr w14:paraId="416BE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3D1317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石油类</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1777" w:type="dxa"/>
            <w:vAlign w:val="center"/>
          </w:tcPr>
          <w:p w14:paraId="22F81AD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864" w:type="pct"/>
            <w:shd w:val="clear" w:color="auto" w:fill="auto"/>
            <w:vAlign w:val="center"/>
          </w:tcPr>
          <w:p w14:paraId="55ED91A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800" w:type="pct"/>
            <w:shd w:val="clear" w:color="auto" w:fill="auto"/>
            <w:vAlign w:val="center"/>
          </w:tcPr>
          <w:p w14:paraId="7022202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601" w:type="pct"/>
            <w:shd w:val="clear" w:color="auto" w:fill="auto"/>
            <w:vAlign w:val="center"/>
          </w:tcPr>
          <w:p w14:paraId="3E210F4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602" w:type="pct"/>
            <w:vAlign w:val="center"/>
          </w:tcPr>
          <w:p w14:paraId="23D7EC29">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≤0.05</w:t>
            </w:r>
          </w:p>
        </w:tc>
      </w:tr>
      <w:tr w14:paraId="204F7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1F66DFC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总大肠菌群（MPN/100mL）</w:t>
            </w:r>
          </w:p>
        </w:tc>
        <w:tc>
          <w:tcPr>
            <w:tcW w:w="1777" w:type="dxa"/>
            <w:vAlign w:val="center"/>
          </w:tcPr>
          <w:p w14:paraId="0B81058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2L</w:t>
            </w:r>
          </w:p>
        </w:tc>
        <w:tc>
          <w:tcPr>
            <w:tcW w:w="864" w:type="pct"/>
            <w:shd w:val="clear" w:color="auto" w:fill="auto"/>
            <w:vAlign w:val="center"/>
          </w:tcPr>
          <w:p w14:paraId="09948B5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2L</w:t>
            </w:r>
          </w:p>
        </w:tc>
        <w:tc>
          <w:tcPr>
            <w:tcW w:w="800" w:type="pct"/>
            <w:shd w:val="clear" w:color="auto" w:fill="auto"/>
            <w:vAlign w:val="center"/>
          </w:tcPr>
          <w:p w14:paraId="7524247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2L</w:t>
            </w:r>
          </w:p>
        </w:tc>
        <w:tc>
          <w:tcPr>
            <w:tcW w:w="601" w:type="pct"/>
            <w:shd w:val="clear" w:color="auto" w:fill="auto"/>
            <w:vAlign w:val="center"/>
          </w:tcPr>
          <w:p w14:paraId="3700F70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2L</w:t>
            </w:r>
          </w:p>
        </w:tc>
        <w:tc>
          <w:tcPr>
            <w:tcW w:w="602" w:type="pct"/>
            <w:vAlign w:val="center"/>
          </w:tcPr>
          <w:p w14:paraId="2E916FAF">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≤3.0</w:t>
            </w:r>
          </w:p>
        </w:tc>
      </w:tr>
      <w:tr w14:paraId="6406A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7BEA01D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菌落总数（CFU/mL）</w:t>
            </w:r>
          </w:p>
        </w:tc>
        <w:tc>
          <w:tcPr>
            <w:tcW w:w="1777" w:type="dxa"/>
            <w:vAlign w:val="center"/>
          </w:tcPr>
          <w:p w14:paraId="02EF503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11</w:t>
            </w:r>
          </w:p>
        </w:tc>
        <w:tc>
          <w:tcPr>
            <w:tcW w:w="864" w:type="pct"/>
            <w:shd w:val="clear" w:color="auto" w:fill="auto"/>
            <w:vAlign w:val="center"/>
          </w:tcPr>
          <w:p w14:paraId="3143996A">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12</w:t>
            </w:r>
          </w:p>
        </w:tc>
        <w:tc>
          <w:tcPr>
            <w:tcW w:w="800" w:type="pct"/>
            <w:shd w:val="clear" w:color="auto" w:fill="auto"/>
            <w:vAlign w:val="center"/>
          </w:tcPr>
          <w:p w14:paraId="4C98C62A">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10</w:t>
            </w:r>
          </w:p>
        </w:tc>
        <w:tc>
          <w:tcPr>
            <w:tcW w:w="601" w:type="pct"/>
            <w:shd w:val="clear" w:color="auto" w:fill="auto"/>
            <w:vAlign w:val="center"/>
          </w:tcPr>
          <w:p w14:paraId="324FF974">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9</w:t>
            </w:r>
          </w:p>
        </w:tc>
        <w:tc>
          <w:tcPr>
            <w:tcW w:w="602" w:type="pct"/>
            <w:vAlign w:val="center"/>
          </w:tcPr>
          <w:p w14:paraId="41C74B36">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≤100</w:t>
            </w:r>
          </w:p>
        </w:tc>
      </w:tr>
      <w:tr w14:paraId="735B6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FEE7A4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硫化物（mg/L）</w:t>
            </w:r>
          </w:p>
        </w:tc>
        <w:tc>
          <w:tcPr>
            <w:tcW w:w="1777" w:type="dxa"/>
            <w:vAlign w:val="center"/>
          </w:tcPr>
          <w:p w14:paraId="649255D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864" w:type="pct"/>
            <w:shd w:val="clear" w:color="auto" w:fill="auto"/>
            <w:vAlign w:val="center"/>
          </w:tcPr>
          <w:p w14:paraId="01A6E23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800" w:type="pct"/>
            <w:shd w:val="clear" w:color="auto" w:fill="auto"/>
            <w:vAlign w:val="center"/>
          </w:tcPr>
          <w:p w14:paraId="19D1A3F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601" w:type="pct"/>
            <w:shd w:val="clear" w:color="auto" w:fill="auto"/>
            <w:vAlign w:val="center"/>
          </w:tcPr>
          <w:p w14:paraId="05A23A5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602" w:type="pct"/>
            <w:vAlign w:val="center"/>
          </w:tcPr>
          <w:p w14:paraId="2D5E6838">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rPr>
              <w:t>≤0.02</w:t>
            </w:r>
          </w:p>
        </w:tc>
      </w:tr>
      <w:tr w14:paraId="7AD76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F5F5D6D">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钡（mg/L）</w:t>
            </w:r>
          </w:p>
        </w:tc>
        <w:tc>
          <w:tcPr>
            <w:tcW w:w="1777" w:type="dxa"/>
            <w:vAlign w:val="center"/>
          </w:tcPr>
          <w:p w14:paraId="639E728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864" w:type="pct"/>
            <w:shd w:val="clear" w:color="auto" w:fill="auto"/>
            <w:vAlign w:val="center"/>
          </w:tcPr>
          <w:p w14:paraId="19CD9AA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800" w:type="pct"/>
            <w:shd w:val="clear" w:color="auto" w:fill="auto"/>
            <w:vAlign w:val="center"/>
          </w:tcPr>
          <w:p w14:paraId="3F4BCEC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601" w:type="pct"/>
            <w:shd w:val="clear" w:color="auto" w:fill="auto"/>
            <w:vAlign w:val="center"/>
          </w:tcPr>
          <w:p w14:paraId="6184E0E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602" w:type="pct"/>
            <w:vAlign w:val="center"/>
          </w:tcPr>
          <w:p w14:paraId="19A1943E">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≤0.70</w:t>
            </w:r>
          </w:p>
        </w:tc>
      </w:tr>
    </w:tbl>
    <w:p w14:paraId="15624E47">
      <w:pPr>
        <w:widowControl w:val="0"/>
        <w:spacing w:line="440" w:lineRule="exact"/>
        <w:ind w:firstLine="482" w:firstLineChars="200"/>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 xml:space="preserve">表4.3-9    </w:t>
      </w:r>
      <w:r>
        <w:rPr>
          <w:rFonts w:ascii="Times New Roman" w:hAnsi="Times New Roman" w:cs="Times New Roman" w:eastAsiaTheme="minorEastAsia"/>
          <w:b/>
          <w:caps w:val="0"/>
          <w:smallCaps w:val="0"/>
          <w:color w:val="auto"/>
          <w:spacing w:val="0"/>
          <w:w w:val="100"/>
          <w:position w:val="0"/>
          <w:szCs w:val="28"/>
          <w:highlight w:val="none"/>
        </w:rPr>
        <w:t>地下水</w:t>
      </w:r>
      <w:r>
        <w:rPr>
          <w:rFonts w:ascii="Times New Roman" w:hAnsi="Times New Roman" w:cs="Times New Roman" w:eastAsiaTheme="minorEastAsia"/>
          <w:b/>
          <w:caps w:val="0"/>
          <w:smallCaps w:val="0"/>
          <w:color w:val="auto"/>
          <w:spacing w:val="0"/>
          <w:w w:val="100"/>
          <w:position w:val="0"/>
          <w:highlight w:val="none"/>
        </w:rPr>
        <w:t>承压水水质现状监测结果</w:t>
      </w:r>
    </w:p>
    <w:tbl>
      <w:tblPr>
        <w:tblStyle w:val="80"/>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57"/>
        <w:gridCol w:w="1467"/>
        <w:gridCol w:w="1463"/>
        <w:gridCol w:w="1463"/>
        <w:gridCol w:w="1465"/>
        <w:gridCol w:w="1466"/>
      </w:tblGrid>
      <w:tr w14:paraId="51B86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45B5A393">
            <w:pPr>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监测项目</w:t>
            </w:r>
          </w:p>
        </w:tc>
        <w:tc>
          <w:tcPr>
            <w:tcW w:w="790" w:type="pct"/>
            <w:tcBorders>
              <w:left w:val="single" w:color="auto" w:sz="4" w:space="0"/>
              <w:right w:val="single" w:color="auto" w:sz="4" w:space="0"/>
            </w:tcBorders>
            <w:vAlign w:val="center"/>
          </w:tcPr>
          <w:p w14:paraId="55C6C319">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史家屯潜水井</w:t>
            </w:r>
          </w:p>
        </w:tc>
        <w:tc>
          <w:tcPr>
            <w:tcW w:w="788" w:type="pct"/>
            <w:tcBorders>
              <w:left w:val="single" w:color="auto" w:sz="4" w:space="0"/>
            </w:tcBorders>
            <w:vAlign w:val="center"/>
          </w:tcPr>
          <w:p w14:paraId="27855E3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kern w:val="24"/>
                <w:position w:val="0"/>
                <w:sz w:val="21"/>
                <w:szCs w:val="21"/>
                <w:highlight w:val="none"/>
                <w:lang w:val="en-US" w:eastAsia="zh-CN" w:bidi="ar-SA"/>
              </w:rPr>
              <w:t>qx-11</w:t>
            </w:r>
            <w:r>
              <w:rPr>
                <w:rFonts w:hint="eastAsia" w:ascii="Times New Roman" w:hAnsi="Times New Roman" w:cs="Times New Roman"/>
                <w:caps w:val="0"/>
                <w:smallCaps w:val="0"/>
                <w:color w:val="auto"/>
                <w:spacing w:val="0"/>
                <w:w w:val="100"/>
                <w:kern w:val="24"/>
                <w:position w:val="0"/>
                <w:szCs w:val="21"/>
                <w:highlight w:val="none"/>
                <w:lang w:val="en-US" w:eastAsia="zh-CN"/>
              </w:rPr>
              <w:t>潜水井</w:t>
            </w:r>
          </w:p>
        </w:tc>
        <w:tc>
          <w:tcPr>
            <w:tcW w:w="788" w:type="pct"/>
            <w:tcBorders>
              <w:left w:val="single" w:color="auto" w:sz="4" w:space="0"/>
            </w:tcBorders>
            <w:vAlign w:val="center"/>
          </w:tcPr>
          <w:p w14:paraId="2ECE3B4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kern w:val="24"/>
                <w:position w:val="0"/>
                <w:szCs w:val="21"/>
                <w:highlight w:val="none"/>
                <w:lang w:val="en-US" w:eastAsia="zh-CN"/>
              </w:rPr>
              <w:t>昌德镇承压水井</w:t>
            </w:r>
          </w:p>
        </w:tc>
        <w:tc>
          <w:tcPr>
            <w:tcW w:w="789" w:type="pct"/>
            <w:tcBorders>
              <w:left w:val="single" w:color="auto" w:sz="4" w:space="0"/>
            </w:tcBorders>
            <w:vAlign w:val="center"/>
          </w:tcPr>
          <w:p w14:paraId="6196087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kern w:val="24"/>
                <w:position w:val="0"/>
                <w:sz w:val="21"/>
                <w:szCs w:val="21"/>
                <w:highlight w:val="none"/>
                <w:lang w:val="en-US" w:eastAsia="zh-CN" w:bidi="ar-SA"/>
              </w:rPr>
              <w:t>曲家屯承压水井</w:t>
            </w:r>
          </w:p>
        </w:tc>
        <w:tc>
          <w:tcPr>
            <w:tcW w:w="789" w:type="pct"/>
            <w:tcBorders>
              <w:left w:val="single" w:color="auto" w:sz="4" w:space="0"/>
            </w:tcBorders>
            <w:vAlign w:val="center"/>
          </w:tcPr>
          <w:p w14:paraId="46B4C30B">
            <w:pPr>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标准限值</w:t>
            </w:r>
          </w:p>
        </w:tc>
      </w:tr>
      <w:tr w14:paraId="08086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1532DB44">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bookmarkStart w:id="722" w:name="_Hlk218845974"/>
            <w:r>
              <w:rPr>
                <w:rFonts w:ascii="Times New Roman" w:hAnsi="Times New Roman" w:cs="Times New Roman" w:eastAsiaTheme="minorEastAsia"/>
                <w:caps w:val="0"/>
                <w:smallCaps w:val="0"/>
                <w:color w:val="auto"/>
                <w:spacing w:val="0"/>
                <w:w w:val="100"/>
                <w:position w:val="0"/>
                <w:sz w:val="21"/>
                <w:szCs w:val="21"/>
                <w:highlight w:val="none"/>
              </w:rPr>
              <w:t>K</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5DA33FEE">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2.55</w:t>
            </w:r>
          </w:p>
        </w:tc>
        <w:tc>
          <w:tcPr>
            <w:tcW w:w="788" w:type="pct"/>
            <w:shd w:val="clear" w:color="auto" w:fill="auto"/>
            <w:vAlign w:val="center"/>
          </w:tcPr>
          <w:p w14:paraId="3A1315A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2.42</w:t>
            </w:r>
          </w:p>
        </w:tc>
        <w:tc>
          <w:tcPr>
            <w:tcW w:w="788" w:type="pct"/>
            <w:shd w:val="clear" w:color="auto" w:fill="auto"/>
            <w:vAlign w:val="center"/>
          </w:tcPr>
          <w:p w14:paraId="2270DB4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1.22</w:t>
            </w:r>
          </w:p>
        </w:tc>
        <w:tc>
          <w:tcPr>
            <w:tcW w:w="789" w:type="pct"/>
            <w:shd w:val="clear" w:color="auto" w:fill="auto"/>
            <w:vAlign w:val="center"/>
          </w:tcPr>
          <w:p w14:paraId="04FE0A3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1.12</w:t>
            </w:r>
          </w:p>
        </w:tc>
        <w:tc>
          <w:tcPr>
            <w:tcW w:w="789" w:type="pct"/>
            <w:vAlign w:val="center"/>
          </w:tcPr>
          <w:p w14:paraId="508A23BD">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35472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742D1C7B">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Na</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56A3B02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zh-CN"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55.7</w:t>
            </w:r>
          </w:p>
        </w:tc>
        <w:tc>
          <w:tcPr>
            <w:tcW w:w="788" w:type="pct"/>
            <w:shd w:val="clear" w:color="auto" w:fill="auto"/>
            <w:vAlign w:val="center"/>
          </w:tcPr>
          <w:p w14:paraId="6F531F3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59.3</w:t>
            </w:r>
          </w:p>
        </w:tc>
        <w:tc>
          <w:tcPr>
            <w:tcW w:w="788" w:type="pct"/>
            <w:shd w:val="clear" w:color="auto" w:fill="auto"/>
            <w:vAlign w:val="center"/>
          </w:tcPr>
          <w:p w14:paraId="2B16FDF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zh-CN"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41.2</w:t>
            </w:r>
          </w:p>
        </w:tc>
        <w:tc>
          <w:tcPr>
            <w:tcW w:w="789" w:type="pct"/>
            <w:shd w:val="clear" w:color="auto" w:fill="auto"/>
            <w:vAlign w:val="center"/>
          </w:tcPr>
          <w:p w14:paraId="34052AD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43.3</w:t>
            </w:r>
          </w:p>
        </w:tc>
        <w:tc>
          <w:tcPr>
            <w:tcW w:w="789" w:type="pct"/>
            <w:vAlign w:val="center"/>
          </w:tcPr>
          <w:p w14:paraId="41B21E6A">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≤200</w:t>
            </w:r>
          </w:p>
        </w:tc>
      </w:tr>
      <w:tr w14:paraId="58D0A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664BD7B1">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Ca</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67C0351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45.8</w:t>
            </w:r>
          </w:p>
        </w:tc>
        <w:tc>
          <w:tcPr>
            <w:tcW w:w="788" w:type="pct"/>
            <w:shd w:val="clear" w:color="auto" w:fill="auto"/>
            <w:vAlign w:val="center"/>
          </w:tcPr>
          <w:p w14:paraId="42BA133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42.7</w:t>
            </w:r>
          </w:p>
        </w:tc>
        <w:tc>
          <w:tcPr>
            <w:tcW w:w="788" w:type="pct"/>
            <w:shd w:val="clear" w:color="auto" w:fill="auto"/>
            <w:vAlign w:val="center"/>
          </w:tcPr>
          <w:p w14:paraId="3CE7081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31.7</w:t>
            </w:r>
          </w:p>
        </w:tc>
        <w:tc>
          <w:tcPr>
            <w:tcW w:w="789" w:type="pct"/>
            <w:shd w:val="clear" w:color="auto" w:fill="auto"/>
            <w:vAlign w:val="center"/>
          </w:tcPr>
          <w:p w14:paraId="7F765BB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33.2</w:t>
            </w:r>
          </w:p>
        </w:tc>
        <w:tc>
          <w:tcPr>
            <w:tcW w:w="789" w:type="pct"/>
            <w:vAlign w:val="center"/>
          </w:tcPr>
          <w:p w14:paraId="2773A9D3">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0D0D0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1196530">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Mg</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79141348">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10.1</w:t>
            </w:r>
          </w:p>
        </w:tc>
        <w:tc>
          <w:tcPr>
            <w:tcW w:w="788" w:type="pct"/>
            <w:shd w:val="clear" w:color="auto" w:fill="auto"/>
            <w:vAlign w:val="center"/>
          </w:tcPr>
          <w:p w14:paraId="44082FA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9.79</w:t>
            </w:r>
          </w:p>
        </w:tc>
        <w:tc>
          <w:tcPr>
            <w:tcW w:w="788" w:type="pct"/>
            <w:shd w:val="clear" w:color="auto" w:fill="auto"/>
            <w:vAlign w:val="center"/>
          </w:tcPr>
          <w:p w14:paraId="160CA3E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6.42</w:t>
            </w:r>
          </w:p>
        </w:tc>
        <w:tc>
          <w:tcPr>
            <w:tcW w:w="789" w:type="pct"/>
            <w:shd w:val="clear" w:color="auto" w:fill="auto"/>
            <w:vAlign w:val="center"/>
          </w:tcPr>
          <w:p w14:paraId="4A24787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6.56</w:t>
            </w:r>
          </w:p>
        </w:tc>
        <w:tc>
          <w:tcPr>
            <w:tcW w:w="789" w:type="pct"/>
            <w:vAlign w:val="center"/>
          </w:tcPr>
          <w:p w14:paraId="7EC48E81">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08FA8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2F7A26ED">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HCO</w:t>
            </w:r>
            <w:r>
              <w:rPr>
                <w:rFonts w:ascii="Times New Roman" w:hAnsi="Times New Roman" w:cs="Times New Roman" w:eastAsiaTheme="minorEastAsia"/>
                <w:caps w:val="0"/>
                <w:smallCaps w:val="0"/>
                <w:color w:val="auto"/>
                <w:spacing w:val="0"/>
                <w:w w:val="100"/>
                <w:position w:val="0"/>
                <w:sz w:val="21"/>
                <w:szCs w:val="21"/>
                <w:highlight w:val="none"/>
                <w:vertAlign w:val="subscript"/>
              </w:rPr>
              <w:t>3</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61C8841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232</w:t>
            </w:r>
          </w:p>
        </w:tc>
        <w:tc>
          <w:tcPr>
            <w:tcW w:w="788" w:type="pct"/>
            <w:shd w:val="clear" w:color="auto" w:fill="auto"/>
            <w:vAlign w:val="center"/>
          </w:tcPr>
          <w:p w14:paraId="682CC3B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221</w:t>
            </w:r>
          </w:p>
        </w:tc>
        <w:tc>
          <w:tcPr>
            <w:tcW w:w="788" w:type="pct"/>
            <w:shd w:val="clear" w:color="auto" w:fill="auto"/>
            <w:vAlign w:val="center"/>
          </w:tcPr>
          <w:p w14:paraId="7BEC5F1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166</w:t>
            </w:r>
          </w:p>
        </w:tc>
        <w:tc>
          <w:tcPr>
            <w:tcW w:w="789" w:type="pct"/>
            <w:shd w:val="clear" w:color="auto" w:fill="auto"/>
            <w:vAlign w:val="center"/>
          </w:tcPr>
          <w:p w14:paraId="5EB1FD5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162</w:t>
            </w:r>
          </w:p>
        </w:tc>
        <w:tc>
          <w:tcPr>
            <w:tcW w:w="789" w:type="pct"/>
            <w:vAlign w:val="center"/>
          </w:tcPr>
          <w:p w14:paraId="7310B040">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6EE02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443BC5E">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CO</w:t>
            </w:r>
            <w:r>
              <w:rPr>
                <w:rFonts w:ascii="Times New Roman" w:hAnsi="Times New Roman" w:cs="Times New Roman" w:eastAsiaTheme="minorEastAsia"/>
                <w:caps w:val="0"/>
                <w:smallCaps w:val="0"/>
                <w:color w:val="auto"/>
                <w:spacing w:val="0"/>
                <w:w w:val="100"/>
                <w:position w:val="0"/>
                <w:sz w:val="21"/>
                <w:szCs w:val="21"/>
                <w:highlight w:val="none"/>
                <w:vertAlign w:val="subscript"/>
              </w:rPr>
              <w:t>3</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2EEC625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5L</w:t>
            </w:r>
          </w:p>
        </w:tc>
        <w:tc>
          <w:tcPr>
            <w:tcW w:w="788" w:type="pct"/>
            <w:shd w:val="clear" w:color="auto" w:fill="auto"/>
            <w:vAlign w:val="center"/>
          </w:tcPr>
          <w:p w14:paraId="63C1D95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5L</w:t>
            </w:r>
          </w:p>
        </w:tc>
        <w:tc>
          <w:tcPr>
            <w:tcW w:w="788" w:type="pct"/>
            <w:shd w:val="clear" w:color="auto" w:fill="auto"/>
            <w:vAlign w:val="center"/>
          </w:tcPr>
          <w:p w14:paraId="06CA44F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5L</w:t>
            </w:r>
          </w:p>
        </w:tc>
        <w:tc>
          <w:tcPr>
            <w:tcW w:w="789" w:type="pct"/>
            <w:shd w:val="clear" w:color="auto" w:fill="auto"/>
            <w:vAlign w:val="center"/>
          </w:tcPr>
          <w:p w14:paraId="46773A3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5L</w:t>
            </w:r>
          </w:p>
        </w:tc>
        <w:tc>
          <w:tcPr>
            <w:tcW w:w="789" w:type="pct"/>
            <w:vAlign w:val="center"/>
          </w:tcPr>
          <w:p w14:paraId="2B0FE723">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561A1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487DE12">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Cl</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0439FEB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48</w:t>
            </w:r>
          </w:p>
        </w:tc>
        <w:tc>
          <w:tcPr>
            <w:tcW w:w="788" w:type="pct"/>
            <w:shd w:val="clear" w:color="auto" w:fill="auto"/>
            <w:vAlign w:val="center"/>
          </w:tcPr>
          <w:p w14:paraId="4E5C4DA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49</w:t>
            </w:r>
          </w:p>
        </w:tc>
        <w:tc>
          <w:tcPr>
            <w:tcW w:w="788" w:type="pct"/>
            <w:shd w:val="clear" w:color="auto" w:fill="auto"/>
            <w:vAlign w:val="center"/>
          </w:tcPr>
          <w:p w14:paraId="1F9CCC2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33</w:t>
            </w:r>
          </w:p>
        </w:tc>
        <w:tc>
          <w:tcPr>
            <w:tcW w:w="789" w:type="pct"/>
            <w:shd w:val="clear" w:color="auto" w:fill="auto"/>
            <w:vAlign w:val="center"/>
          </w:tcPr>
          <w:p w14:paraId="328C62C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36</w:t>
            </w:r>
          </w:p>
        </w:tc>
        <w:tc>
          <w:tcPr>
            <w:tcW w:w="789" w:type="pct"/>
            <w:vAlign w:val="center"/>
          </w:tcPr>
          <w:p w14:paraId="08D58180">
            <w:pPr>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≤250</w:t>
            </w:r>
          </w:p>
        </w:tc>
      </w:tr>
      <w:tr w14:paraId="06EF2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735034D7">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SO</w:t>
            </w:r>
            <w:r>
              <w:rPr>
                <w:rFonts w:ascii="Times New Roman" w:hAnsi="Times New Roman" w:cs="Times New Roman" w:eastAsiaTheme="minorEastAsia"/>
                <w:caps w:val="0"/>
                <w:smallCaps w:val="0"/>
                <w:color w:val="auto"/>
                <w:spacing w:val="0"/>
                <w:w w:val="100"/>
                <w:position w:val="0"/>
                <w:sz w:val="21"/>
                <w:szCs w:val="21"/>
                <w:highlight w:val="none"/>
                <w:vertAlign w:val="subscript"/>
              </w:rPr>
              <w:t>4</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40B7C22E">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36</w:t>
            </w:r>
          </w:p>
        </w:tc>
        <w:tc>
          <w:tcPr>
            <w:tcW w:w="788" w:type="pct"/>
            <w:shd w:val="clear" w:color="auto" w:fill="auto"/>
            <w:vAlign w:val="center"/>
          </w:tcPr>
          <w:p w14:paraId="6129D2C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38</w:t>
            </w:r>
          </w:p>
        </w:tc>
        <w:tc>
          <w:tcPr>
            <w:tcW w:w="788" w:type="pct"/>
            <w:shd w:val="clear" w:color="auto" w:fill="auto"/>
            <w:vAlign w:val="center"/>
          </w:tcPr>
          <w:p w14:paraId="76FED6B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24</w:t>
            </w:r>
          </w:p>
        </w:tc>
        <w:tc>
          <w:tcPr>
            <w:tcW w:w="789" w:type="pct"/>
            <w:shd w:val="clear" w:color="auto" w:fill="auto"/>
            <w:vAlign w:val="center"/>
          </w:tcPr>
          <w:p w14:paraId="423B412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27</w:t>
            </w:r>
          </w:p>
        </w:tc>
        <w:tc>
          <w:tcPr>
            <w:tcW w:w="789" w:type="pct"/>
            <w:vAlign w:val="center"/>
          </w:tcPr>
          <w:p w14:paraId="1A058BEF">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≤250</w:t>
            </w:r>
          </w:p>
        </w:tc>
      </w:tr>
      <w:bookmarkEnd w:id="722"/>
      <w:tr w14:paraId="0B6BE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4E309C5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pH</w:t>
            </w:r>
            <w:r>
              <w:rPr>
                <w:rFonts w:ascii="Times New Roman" w:hAnsi="Times New Roman" w:cs="Times New Roman" w:eastAsiaTheme="minorEastAsia"/>
                <w:caps w:val="0"/>
                <w:smallCaps w:val="0"/>
                <w:color w:val="auto"/>
                <w:spacing w:val="0"/>
                <w:w w:val="100"/>
                <w:position w:val="0"/>
                <w:sz w:val="21"/>
                <w:szCs w:val="21"/>
                <w:highlight w:val="none"/>
                <w:lang w:val="zh-CN"/>
              </w:rPr>
              <w:t>（无量纲）</w:t>
            </w:r>
          </w:p>
        </w:tc>
        <w:tc>
          <w:tcPr>
            <w:tcW w:w="790" w:type="pct"/>
            <w:shd w:val="clear" w:color="auto" w:fill="auto"/>
            <w:vAlign w:val="bottom"/>
          </w:tcPr>
          <w:p w14:paraId="5A2EE87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7.7</w:t>
            </w:r>
          </w:p>
        </w:tc>
        <w:tc>
          <w:tcPr>
            <w:tcW w:w="788" w:type="pct"/>
            <w:shd w:val="clear" w:color="auto" w:fill="auto"/>
            <w:vAlign w:val="center"/>
          </w:tcPr>
          <w:p w14:paraId="62632C9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7.8</w:t>
            </w:r>
          </w:p>
        </w:tc>
        <w:tc>
          <w:tcPr>
            <w:tcW w:w="788" w:type="pct"/>
            <w:shd w:val="clear" w:color="auto" w:fill="auto"/>
            <w:vAlign w:val="bottom"/>
          </w:tcPr>
          <w:p w14:paraId="4DDD369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7.6</w:t>
            </w:r>
          </w:p>
        </w:tc>
        <w:tc>
          <w:tcPr>
            <w:tcW w:w="789" w:type="pct"/>
            <w:shd w:val="clear" w:color="auto" w:fill="auto"/>
            <w:vAlign w:val="center"/>
          </w:tcPr>
          <w:p w14:paraId="6F72C2B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7.5</w:t>
            </w:r>
          </w:p>
        </w:tc>
        <w:tc>
          <w:tcPr>
            <w:tcW w:w="789" w:type="pct"/>
            <w:vAlign w:val="center"/>
          </w:tcPr>
          <w:p w14:paraId="65CB521A">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6.5～8.5</w:t>
            </w:r>
          </w:p>
        </w:tc>
      </w:tr>
      <w:tr w14:paraId="24EE6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2118018D">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总硬度</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6F5D9B99">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157</w:t>
            </w:r>
          </w:p>
        </w:tc>
        <w:tc>
          <w:tcPr>
            <w:tcW w:w="788" w:type="pct"/>
            <w:shd w:val="clear" w:color="auto" w:fill="auto"/>
            <w:vAlign w:val="center"/>
          </w:tcPr>
          <w:p w14:paraId="03EB574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148</w:t>
            </w:r>
          </w:p>
        </w:tc>
        <w:tc>
          <w:tcPr>
            <w:tcW w:w="788" w:type="pct"/>
            <w:shd w:val="clear" w:color="auto" w:fill="auto"/>
            <w:vAlign w:val="center"/>
          </w:tcPr>
          <w:p w14:paraId="31114A1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106</w:t>
            </w:r>
          </w:p>
        </w:tc>
        <w:tc>
          <w:tcPr>
            <w:tcW w:w="789" w:type="pct"/>
            <w:shd w:val="clear" w:color="auto" w:fill="auto"/>
            <w:vAlign w:val="center"/>
          </w:tcPr>
          <w:p w14:paraId="349AC4D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110</w:t>
            </w:r>
          </w:p>
        </w:tc>
        <w:tc>
          <w:tcPr>
            <w:tcW w:w="789" w:type="pct"/>
            <w:vAlign w:val="center"/>
          </w:tcPr>
          <w:p w14:paraId="06BAC62B">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1"/>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≤450</w:t>
            </w:r>
          </w:p>
        </w:tc>
      </w:tr>
      <w:tr w14:paraId="28BF1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6DE137F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溶解性总固体</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bottom"/>
          </w:tcPr>
          <w:p w14:paraId="18D4052E">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508</w:t>
            </w:r>
          </w:p>
        </w:tc>
        <w:tc>
          <w:tcPr>
            <w:tcW w:w="788" w:type="pct"/>
            <w:shd w:val="clear" w:color="auto" w:fill="auto"/>
            <w:vAlign w:val="center"/>
          </w:tcPr>
          <w:p w14:paraId="55A6D1A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496</w:t>
            </w:r>
          </w:p>
        </w:tc>
        <w:tc>
          <w:tcPr>
            <w:tcW w:w="788" w:type="pct"/>
            <w:shd w:val="clear" w:color="auto" w:fill="auto"/>
            <w:vAlign w:val="bottom"/>
          </w:tcPr>
          <w:p w14:paraId="1A823DC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357</w:t>
            </w:r>
          </w:p>
        </w:tc>
        <w:tc>
          <w:tcPr>
            <w:tcW w:w="789" w:type="pct"/>
            <w:shd w:val="clear" w:color="auto" w:fill="auto"/>
            <w:vAlign w:val="center"/>
          </w:tcPr>
          <w:p w14:paraId="006DC4A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364</w:t>
            </w:r>
          </w:p>
        </w:tc>
        <w:tc>
          <w:tcPr>
            <w:tcW w:w="789" w:type="pct"/>
            <w:vAlign w:val="center"/>
          </w:tcPr>
          <w:p w14:paraId="015C0F55">
            <w:pPr>
              <w:spacing w:line="320" w:lineRule="exact"/>
              <w:jc w:val="center"/>
              <w:textAlignment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≤1000</w:t>
            </w:r>
          </w:p>
        </w:tc>
      </w:tr>
      <w:tr w14:paraId="211CE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D09877E">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耗氧量</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bottom"/>
          </w:tcPr>
          <w:p w14:paraId="286D6FC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1.9</w:t>
            </w:r>
          </w:p>
        </w:tc>
        <w:tc>
          <w:tcPr>
            <w:tcW w:w="788" w:type="pct"/>
            <w:shd w:val="clear" w:color="auto" w:fill="auto"/>
            <w:vAlign w:val="center"/>
          </w:tcPr>
          <w:p w14:paraId="0BC2F74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2.1</w:t>
            </w:r>
          </w:p>
        </w:tc>
        <w:tc>
          <w:tcPr>
            <w:tcW w:w="788" w:type="pct"/>
            <w:shd w:val="clear" w:color="auto" w:fill="auto"/>
            <w:vAlign w:val="bottom"/>
          </w:tcPr>
          <w:p w14:paraId="1F99C10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1.7</w:t>
            </w:r>
          </w:p>
        </w:tc>
        <w:tc>
          <w:tcPr>
            <w:tcW w:w="789" w:type="pct"/>
            <w:shd w:val="clear" w:color="auto" w:fill="auto"/>
            <w:vAlign w:val="center"/>
          </w:tcPr>
          <w:p w14:paraId="55ED2D8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1.6</w:t>
            </w:r>
          </w:p>
        </w:tc>
        <w:tc>
          <w:tcPr>
            <w:tcW w:w="789" w:type="pct"/>
            <w:vAlign w:val="center"/>
          </w:tcPr>
          <w:p w14:paraId="79C30D81">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≤3.0</w:t>
            </w:r>
          </w:p>
        </w:tc>
      </w:tr>
      <w:tr w14:paraId="7E9CC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53D9A57B">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挥发性酚类</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0ABA83B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788" w:type="pct"/>
            <w:shd w:val="clear" w:color="auto" w:fill="auto"/>
            <w:vAlign w:val="center"/>
          </w:tcPr>
          <w:p w14:paraId="0409FAF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788" w:type="pct"/>
            <w:shd w:val="clear" w:color="auto" w:fill="auto"/>
            <w:vAlign w:val="center"/>
          </w:tcPr>
          <w:p w14:paraId="648C21B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789" w:type="pct"/>
            <w:shd w:val="clear" w:color="auto" w:fill="auto"/>
            <w:vAlign w:val="center"/>
          </w:tcPr>
          <w:p w14:paraId="324508B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789" w:type="pct"/>
            <w:vAlign w:val="center"/>
          </w:tcPr>
          <w:p w14:paraId="6E4F343A">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1"/>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≤0.002</w:t>
            </w:r>
          </w:p>
        </w:tc>
      </w:tr>
      <w:tr w14:paraId="6BB1F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7061F12B">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氰化物</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053BC39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0.002L</w:t>
            </w:r>
          </w:p>
        </w:tc>
        <w:tc>
          <w:tcPr>
            <w:tcW w:w="788" w:type="pct"/>
            <w:shd w:val="clear" w:color="auto" w:fill="auto"/>
            <w:vAlign w:val="center"/>
          </w:tcPr>
          <w:p w14:paraId="5D80F73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0.002L</w:t>
            </w:r>
          </w:p>
        </w:tc>
        <w:tc>
          <w:tcPr>
            <w:tcW w:w="788" w:type="pct"/>
            <w:shd w:val="clear" w:color="auto" w:fill="auto"/>
            <w:vAlign w:val="center"/>
          </w:tcPr>
          <w:p w14:paraId="53BABB4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0.002L</w:t>
            </w:r>
          </w:p>
        </w:tc>
        <w:tc>
          <w:tcPr>
            <w:tcW w:w="789" w:type="pct"/>
            <w:shd w:val="clear" w:color="auto" w:fill="auto"/>
            <w:vAlign w:val="center"/>
          </w:tcPr>
          <w:p w14:paraId="5D1225D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0.002L</w:t>
            </w:r>
          </w:p>
        </w:tc>
        <w:tc>
          <w:tcPr>
            <w:tcW w:w="789" w:type="pct"/>
            <w:vAlign w:val="center"/>
          </w:tcPr>
          <w:p w14:paraId="3B915981">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1"/>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≤0.05</w:t>
            </w:r>
          </w:p>
        </w:tc>
      </w:tr>
      <w:tr w14:paraId="60E7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B01551B">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氟化物</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3CE125A2">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0.31</w:t>
            </w:r>
          </w:p>
        </w:tc>
        <w:tc>
          <w:tcPr>
            <w:tcW w:w="788" w:type="pct"/>
            <w:shd w:val="clear" w:color="auto" w:fill="auto"/>
            <w:vAlign w:val="center"/>
          </w:tcPr>
          <w:p w14:paraId="3804B88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0.33</w:t>
            </w:r>
          </w:p>
        </w:tc>
        <w:tc>
          <w:tcPr>
            <w:tcW w:w="788" w:type="pct"/>
            <w:shd w:val="clear" w:color="auto" w:fill="auto"/>
            <w:vAlign w:val="center"/>
          </w:tcPr>
          <w:p w14:paraId="6647272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0.20</w:t>
            </w:r>
          </w:p>
        </w:tc>
        <w:tc>
          <w:tcPr>
            <w:tcW w:w="789" w:type="pct"/>
            <w:shd w:val="clear" w:color="auto" w:fill="auto"/>
            <w:vAlign w:val="center"/>
          </w:tcPr>
          <w:p w14:paraId="753492C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0.18</w:t>
            </w:r>
          </w:p>
        </w:tc>
        <w:tc>
          <w:tcPr>
            <w:tcW w:w="789" w:type="pct"/>
            <w:vAlign w:val="center"/>
          </w:tcPr>
          <w:p w14:paraId="7E17DB44">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1"/>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≤1.0</w:t>
            </w:r>
          </w:p>
        </w:tc>
      </w:tr>
      <w:tr w14:paraId="60FC6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4E0B48A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硝酸盐</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7952147D">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2.55</w:t>
            </w:r>
          </w:p>
        </w:tc>
        <w:tc>
          <w:tcPr>
            <w:tcW w:w="788" w:type="pct"/>
            <w:shd w:val="clear" w:color="auto" w:fill="auto"/>
            <w:vAlign w:val="center"/>
          </w:tcPr>
          <w:p w14:paraId="6F24AF5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2.06</w:t>
            </w:r>
          </w:p>
        </w:tc>
        <w:tc>
          <w:tcPr>
            <w:tcW w:w="788" w:type="pct"/>
            <w:shd w:val="clear" w:color="auto" w:fill="auto"/>
            <w:vAlign w:val="center"/>
          </w:tcPr>
          <w:p w14:paraId="4398CA0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1.42</w:t>
            </w:r>
          </w:p>
        </w:tc>
        <w:tc>
          <w:tcPr>
            <w:tcW w:w="789" w:type="pct"/>
            <w:shd w:val="clear" w:color="auto" w:fill="auto"/>
            <w:vAlign w:val="center"/>
          </w:tcPr>
          <w:p w14:paraId="0381D0B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1.17</w:t>
            </w:r>
          </w:p>
        </w:tc>
        <w:tc>
          <w:tcPr>
            <w:tcW w:w="789" w:type="pct"/>
            <w:vAlign w:val="center"/>
          </w:tcPr>
          <w:p w14:paraId="4BA5DDFD">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≤20</w:t>
            </w:r>
          </w:p>
        </w:tc>
      </w:tr>
      <w:tr w14:paraId="5F361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498994B">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亚硝酸盐</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79EDD7D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788" w:type="pct"/>
            <w:shd w:val="clear" w:color="auto" w:fill="auto"/>
            <w:vAlign w:val="center"/>
          </w:tcPr>
          <w:p w14:paraId="7872BAD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788" w:type="pct"/>
            <w:shd w:val="clear" w:color="auto" w:fill="auto"/>
            <w:vAlign w:val="center"/>
          </w:tcPr>
          <w:p w14:paraId="4365482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789" w:type="pct"/>
            <w:shd w:val="clear" w:color="auto" w:fill="auto"/>
            <w:vAlign w:val="center"/>
          </w:tcPr>
          <w:p w14:paraId="5DF6F52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789" w:type="pct"/>
            <w:vAlign w:val="center"/>
          </w:tcPr>
          <w:p w14:paraId="2DEEE1AC">
            <w:pPr>
              <w:spacing w:line="32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≤1.0</w:t>
            </w:r>
          </w:p>
        </w:tc>
      </w:tr>
      <w:tr w14:paraId="4E841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50FE0C4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氨氮</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7BCFF01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0.221</w:t>
            </w:r>
          </w:p>
        </w:tc>
        <w:tc>
          <w:tcPr>
            <w:tcW w:w="788" w:type="pct"/>
            <w:shd w:val="clear" w:color="auto" w:fill="auto"/>
            <w:vAlign w:val="center"/>
          </w:tcPr>
          <w:p w14:paraId="0DCEE87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0.296</w:t>
            </w:r>
          </w:p>
        </w:tc>
        <w:tc>
          <w:tcPr>
            <w:tcW w:w="788" w:type="pct"/>
            <w:shd w:val="clear" w:color="auto" w:fill="auto"/>
            <w:vAlign w:val="center"/>
          </w:tcPr>
          <w:p w14:paraId="0C9853F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0.156</w:t>
            </w:r>
          </w:p>
        </w:tc>
        <w:tc>
          <w:tcPr>
            <w:tcW w:w="789" w:type="pct"/>
            <w:shd w:val="clear" w:color="auto" w:fill="auto"/>
            <w:vAlign w:val="center"/>
          </w:tcPr>
          <w:p w14:paraId="1D6025A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0.144</w:t>
            </w:r>
          </w:p>
        </w:tc>
        <w:tc>
          <w:tcPr>
            <w:tcW w:w="789" w:type="pct"/>
            <w:vAlign w:val="center"/>
          </w:tcPr>
          <w:p w14:paraId="50906A39">
            <w:pPr>
              <w:spacing w:line="320" w:lineRule="exact"/>
              <w:jc w:val="center"/>
              <w:textAlignment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≤0.5</w:t>
            </w:r>
          </w:p>
        </w:tc>
      </w:tr>
      <w:tr w14:paraId="193F5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B085BAD">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六价铬</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4D26735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0.004L</w:t>
            </w:r>
          </w:p>
        </w:tc>
        <w:tc>
          <w:tcPr>
            <w:tcW w:w="788" w:type="pct"/>
            <w:shd w:val="clear" w:color="auto" w:fill="auto"/>
            <w:vAlign w:val="center"/>
          </w:tcPr>
          <w:p w14:paraId="6FE2B23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0.004L</w:t>
            </w:r>
          </w:p>
        </w:tc>
        <w:tc>
          <w:tcPr>
            <w:tcW w:w="788" w:type="pct"/>
            <w:shd w:val="clear" w:color="auto" w:fill="auto"/>
            <w:vAlign w:val="center"/>
          </w:tcPr>
          <w:p w14:paraId="15B3D7D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0.004L</w:t>
            </w:r>
          </w:p>
        </w:tc>
        <w:tc>
          <w:tcPr>
            <w:tcW w:w="789" w:type="pct"/>
            <w:shd w:val="clear" w:color="auto" w:fill="auto"/>
            <w:vAlign w:val="center"/>
          </w:tcPr>
          <w:p w14:paraId="2893AC4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0.004L</w:t>
            </w:r>
          </w:p>
        </w:tc>
        <w:tc>
          <w:tcPr>
            <w:tcW w:w="789" w:type="pct"/>
            <w:vAlign w:val="center"/>
          </w:tcPr>
          <w:p w14:paraId="6BFC2EBF">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≤0.05</w:t>
            </w:r>
          </w:p>
        </w:tc>
      </w:tr>
      <w:tr w14:paraId="68EF8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67B51D43">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砷</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1854D8F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788" w:type="pct"/>
            <w:shd w:val="clear" w:color="auto" w:fill="auto"/>
            <w:vAlign w:val="center"/>
          </w:tcPr>
          <w:p w14:paraId="6AF7EF1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788" w:type="pct"/>
            <w:shd w:val="clear" w:color="auto" w:fill="auto"/>
            <w:vAlign w:val="center"/>
          </w:tcPr>
          <w:p w14:paraId="60D54FD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789" w:type="pct"/>
            <w:shd w:val="clear" w:color="auto" w:fill="auto"/>
            <w:vAlign w:val="center"/>
          </w:tcPr>
          <w:p w14:paraId="016D42C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0.0003L</w:t>
            </w:r>
          </w:p>
        </w:tc>
        <w:tc>
          <w:tcPr>
            <w:tcW w:w="789" w:type="pct"/>
            <w:vAlign w:val="center"/>
          </w:tcPr>
          <w:p w14:paraId="205EB8A1">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≤0.01</w:t>
            </w:r>
          </w:p>
        </w:tc>
      </w:tr>
      <w:tr w14:paraId="07510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9F6B0A3">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铅</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7CE82CF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0.001L</w:t>
            </w:r>
          </w:p>
        </w:tc>
        <w:tc>
          <w:tcPr>
            <w:tcW w:w="788" w:type="pct"/>
            <w:shd w:val="clear" w:color="auto" w:fill="auto"/>
            <w:vAlign w:val="center"/>
          </w:tcPr>
          <w:p w14:paraId="1B962DF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0.001L</w:t>
            </w:r>
          </w:p>
        </w:tc>
        <w:tc>
          <w:tcPr>
            <w:tcW w:w="788" w:type="pct"/>
            <w:shd w:val="clear" w:color="auto" w:fill="auto"/>
            <w:vAlign w:val="center"/>
          </w:tcPr>
          <w:p w14:paraId="455F0E2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0.001L</w:t>
            </w:r>
          </w:p>
        </w:tc>
        <w:tc>
          <w:tcPr>
            <w:tcW w:w="789" w:type="pct"/>
            <w:shd w:val="clear" w:color="auto" w:fill="auto"/>
            <w:vAlign w:val="center"/>
          </w:tcPr>
          <w:p w14:paraId="5E8703A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0.001L</w:t>
            </w:r>
          </w:p>
        </w:tc>
        <w:tc>
          <w:tcPr>
            <w:tcW w:w="789" w:type="pct"/>
            <w:vAlign w:val="center"/>
          </w:tcPr>
          <w:p w14:paraId="245A8DC6">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≤0.01</w:t>
            </w:r>
          </w:p>
        </w:tc>
      </w:tr>
      <w:tr w14:paraId="79A5B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2204C66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铁</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0D38C3D4">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0.27</w:t>
            </w:r>
          </w:p>
        </w:tc>
        <w:tc>
          <w:tcPr>
            <w:tcW w:w="788" w:type="pct"/>
            <w:shd w:val="clear" w:color="auto" w:fill="auto"/>
            <w:vAlign w:val="center"/>
          </w:tcPr>
          <w:p w14:paraId="630C9FF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0.27</w:t>
            </w:r>
          </w:p>
        </w:tc>
        <w:tc>
          <w:tcPr>
            <w:tcW w:w="788" w:type="pct"/>
            <w:shd w:val="clear" w:color="auto" w:fill="auto"/>
            <w:vAlign w:val="center"/>
          </w:tcPr>
          <w:p w14:paraId="0CF9E81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0.21</w:t>
            </w:r>
          </w:p>
        </w:tc>
        <w:tc>
          <w:tcPr>
            <w:tcW w:w="789" w:type="pct"/>
            <w:shd w:val="clear" w:color="auto" w:fill="auto"/>
            <w:vAlign w:val="center"/>
          </w:tcPr>
          <w:p w14:paraId="0870D90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0.20</w:t>
            </w:r>
          </w:p>
        </w:tc>
        <w:tc>
          <w:tcPr>
            <w:tcW w:w="789" w:type="pct"/>
            <w:vAlign w:val="center"/>
          </w:tcPr>
          <w:p w14:paraId="1829FEE8">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≤0.3</w:t>
            </w:r>
          </w:p>
        </w:tc>
      </w:tr>
      <w:tr w14:paraId="7A99C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72A021C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汞</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5497C9F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0.00004L</w:t>
            </w:r>
          </w:p>
        </w:tc>
        <w:tc>
          <w:tcPr>
            <w:tcW w:w="788" w:type="pct"/>
            <w:shd w:val="clear" w:color="auto" w:fill="auto"/>
            <w:vAlign w:val="center"/>
          </w:tcPr>
          <w:p w14:paraId="146BE4D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0.00004L</w:t>
            </w:r>
          </w:p>
        </w:tc>
        <w:tc>
          <w:tcPr>
            <w:tcW w:w="788" w:type="pct"/>
            <w:shd w:val="clear" w:color="auto" w:fill="auto"/>
            <w:vAlign w:val="center"/>
          </w:tcPr>
          <w:p w14:paraId="4410BA7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0.00004L</w:t>
            </w:r>
          </w:p>
        </w:tc>
        <w:tc>
          <w:tcPr>
            <w:tcW w:w="789" w:type="pct"/>
            <w:shd w:val="clear" w:color="auto" w:fill="auto"/>
            <w:vAlign w:val="center"/>
          </w:tcPr>
          <w:p w14:paraId="35EB2F5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0.00004L</w:t>
            </w:r>
          </w:p>
        </w:tc>
        <w:tc>
          <w:tcPr>
            <w:tcW w:w="789" w:type="pct"/>
            <w:vAlign w:val="center"/>
          </w:tcPr>
          <w:p w14:paraId="7EDD52A1">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≤0.001</w:t>
            </w:r>
          </w:p>
        </w:tc>
      </w:tr>
      <w:tr w14:paraId="2027B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1606B435">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锰</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2F307E0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0.11</w:t>
            </w:r>
          </w:p>
        </w:tc>
        <w:tc>
          <w:tcPr>
            <w:tcW w:w="788" w:type="pct"/>
            <w:shd w:val="clear" w:color="auto" w:fill="auto"/>
            <w:vAlign w:val="center"/>
          </w:tcPr>
          <w:p w14:paraId="22EB60C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0.08</w:t>
            </w:r>
          </w:p>
        </w:tc>
        <w:tc>
          <w:tcPr>
            <w:tcW w:w="788" w:type="pct"/>
            <w:shd w:val="clear" w:color="auto" w:fill="auto"/>
            <w:vAlign w:val="center"/>
          </w:tcPr>
          <w:p w14:paraId="49CAF17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0.03</w:t>
            </w:r>
          </w:p>
        </w:tc>
        <w:tc>
          <w:tcPr>
            <w:tcW w:w="789" w:type="pct"/>
            <w:shd w:val="clear" w:color="auto" w:fill="auto"/>
            <w:vAlign w:val="center"/>
          </w:tcPr>
          <w:p w14:paraId="1F6B926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0.02</w:t>
            </w:r>
          </w:p>
        </w:tc>
        <w:tc>
          <w:tcPr>
            <w:tcW w:w="789" w:type="pct"/>
            <w:vAlign w:val="center"/>
          </w:tcPr>
          <w:p w14:paraId="301BC1A4">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≤0.1</w:t>
            </w:r>
          </w:p>
        </w:tc>
      </w:tr>
      <w:tr w14:paraId="7B17A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6BF4D420">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镉</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65824B6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0.0001L</w:t>
            </w:r>
          </w:p>
        </w:tc>
        <w:tc>
          <w:tcPr>
            <w:tcW w:w="788" w:type="pct"/>
            <w:shd w:val="clear" w:color="auto" w:fill="auto"/>
            <w:vAlign w:val="center"/>
          </w:tcPr>
          <w:p w14:paraId="08BE181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0.0001L</w:t>
            </w:r>
          </w:p>
        </w:tc>
        <w:tc>
          <w:tcPr>
            <w:tcW w:w="788" w:type="pct"/>
            <w:shd w:val="clear" w:color="auto" w:fill="auto"/>
            <w:vAlign w:val="center"/>
          </w:tcPr>
          <w:p w14:paraId="649C669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0.0001L</w:t>
            </w:r>
          </w:p>
        </w:tc>
        <w:tc>
          <w:tcPr>
            <w:tcW w:w="789" w:type="pct"/>
            <w:shd w:val="clear" w:color="auto" w:fill="auto"/>
            <w:vAlign w:val="center"/>
          </w:tcPr>
          <w:p w14:paraId="43EBF42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0.0001L</w:t>
            </w:r>
          </w:p>
        </w:tc>
        <w:tc>
          <w:tcPr>
            <w:tcW w:w="789" w:type="pct"/>
            <w:vAlign w:val="center"/>
          </w:tcPr>
          <w:p w14:paraId="297471A4">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≤0.005</w:t>
            </w:r>
          </w:p>
        </w:tc>
      </w:tr>
      <w:tr w14:paraId="38B71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3BA0038">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石油类</w:t>
            </w:r>
            <w:r>
              <w:rPr>
                <w:rFonts w:ascii="Times New Roman" w:hAnsi="Times New Roman" w:cs="Times New Roman" w:eastAsiaTheme="minorEastAsia"/>
                <w:caps w:val="0"/>
                <w:smallCaps w:val="0"/>
                <w:color w:val="auto"/>
                <w:spacing w:val="0"/>
                <w:w w:val="100"/>
                <w:position w:val="0"/>
                <w:sz w:val="21"/>
                <w:szCs w:val="21"/>
                <w:highlight w:val="none"/>
                <w:lang w:val="zh-CN"/>
              </w:rPr>
              <w:t>（</w:t>
            </w:r>
            <w:r>
              <w:rPr>
                <w:rFonts w:ascii="Times New Roman" w:hAnsi="Times New Roman" w:cs="Times New Roman" w:eastAsiaTheme="minorEastAsia"/>
                <w:caps w:val="0"/>
                <w:smallCaps w:val="0"/>
                <w:color w:val="auto"/>
                <w:spacing w:val="0"/>
                <w:w w:val="100"/>
                <w:position w:val="0"/>
                <w:sz w:val="21"/>
                <w:szCs w:val="21"/>
                <w:highlight w:val="none"/>
              </w:rPr>
              <w:t>mg/L）</w:t>
            </w:r>
          </w:p>
        </w:tc>
        <w:tc>
          <w:tcPr>
            <w:tcW w:w="790" w:type="pct"/>
            <w:shd w:val="clear" w:color="auto" w:fill="auto"/>
            <w:vAlign w:val="center"/>
          </w:tcPr>
          <w:p w14:paraId="07D6112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788" w:type="pct"/>
            <w:shd w:val="clear" w:color="auto" w:fill="auto"/>
            <w:vAlign w:val="center"/>
          </w:tcPr>
          <w:p w14:paraId="4A2246E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788" w:type="pct"/>
            <w:shd w:val="clear" w:color="auto" w:fill="auto"/>
            <w:vAlign w:val="center"/>
          </w:tcPr>
          <w:p w14:paraId="1158E9E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789" w:type="pct"/>
            <w:shd w:val="clear" w:color="auto" w:fill="auto"/>
            <w:vAlign w:val="center"/>
          </w:tcPr>
          <w:p w14:paraId="5B53B6A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789" w:type="pct"/>
            <w:vAlign w:val="center"/>
          </w:tcPr>
          <w:p w14:paraId="16910402">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≤0.05</w:t>
            </w:r>
          </w:p>
        </w:tc>
      </w:tr>
      <w:tr w14:paraId="7839B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1BB2D32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总大肠菌群（MPN/100mL）</w:t>
            </w:r>
          </w:p>
        </w:tc>
        <w:tc>
          <w:tcPr>
            <w:tcW w:w="790" w:type="pct"/>
            <w:shd w:val="clear" w:color="auto" w:fill="auto"/>
            <w:vAlign w:val="center"/>
          </w:tcPr>
          <w:p w14:paraId="2D756EA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2L</w:t>
            </w:r>
          </w:p>
        </w:tc>
        <w:tc>
          <w:tcPr>
            <w:tcW w:w="788" w:type="pct"/>
            <w:shd w:val="clear" w:color="auto" w:fill="auto"/>
            <w:vAlign w:val="center"/>
          </w:tcPr>
          <w:p w14:paraId="233AA06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2L</w:t>
            </w:r>
          </w:p>
        </w:tc>
        <w:tc>
          <w:tcPr>
            <w:tcW w:w="788" w:type="pct"/>
            <w:shd w:val="clear" w:color="auto" w:fill="auto"/>
            <w:vAlign w:val="center"/>
          </w:tcPr>
          <w:p w14:paraId="19CA824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2L</w:t>
            </w:r>
          </w:p>
        </w:tc>
        <w:tc>
          <w:tcPr>
            <w:tcW w:w="789" w:type="pct"/>
            <w:shd w:val="clear" w:color="auto" w:fill="auto"/>
            <w:vAlign w:val="center"/>
          </w:tcPr>
          <w:p w14:paraId="753F1E1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2L</w:t>
            </w:r>
          </w:p>
        </w:tc>
        <w:tc>
          <w:tcPr>
            <w:tcW w:w="789" w:type="pct"/>
            <w:vAlign w:val="center"/>
          </w:tcPr>
          <w:p w14:paraId="6507701D">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≤3.0</w:t>
            </w:r>
          </w:p>
        </w:tc>
      </w:tr>
      <w:tr w14:paraId="543F5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46E20BA2">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菌落总数（CFU/mL）</w:t>
            </w:r>
          </w:p>
        </w:tc>
        <w:tc>
          <w:tcPr>
            <w:tcW w:w="790" w:type="pct"/>
            <w:shd w:val="clear" w:color="auto" w:fill="auto"/>
            <w:vAlign w:val="center"/>
          </w:tcPr>
          <w:p w14:paraId="76CB4A0A">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10</w:t>
            </w:r>
          </w:p>
        </w:tc>
        <w:tc>
          <w:tcPr>
            <w:tcW w:w="788" w:type="pct"/>
            <w:shd w:val="clear" w:color="auto" w:fill="auto"/>
            <w:vAlign w:val="center"/>
          </w:tcPr>
          <w:p w14:paraId="40694E4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11</w:t>
            </w:r>
          </w:p>
        </w:tc>
        <w:tc>
          <w:tcPr>
            <w:tcW w:w="788" w:type="pct"/>
            <w:shd w:val="clear" w:color="auto" w:fill="auto"/>
            <w:vAlign w:val="center"/>
          </w:tcPr>
          <w:p w14:paraId="5CB7322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8</w:t>
            </w:r>
          </w:p>
        </w:tc>
        <w:tc>
          <w:tcPr>
            <w:tcW w:w="789" w:type="pct"/>
            <w:shd w:val="clear" w:color="auto" w:fill="auto"/>
            <w:vAlign w:val="center"/>
          </w:tcPr>
          <w:p w14:paraId="57AE14C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w:t>
            </w:r>
          </w:p>
        </w:tc>
        <w:tc>
          <w:tcPr>
            <w:tcW w:w="789" w:type="pct"/>
            <w:vAlign w:val="center"/>
          </w:tcPr>
          <w:p w14:paraId="36943E29">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lang w:val="en-GB"/>
              </w:rPr>
              <w:t>≤100</w:t>
            </w:r>
          </w:p>
        </w:tc>
      </w:tr>
      <w:tr w14:paraId="54716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0BB94A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硫化物（mg/L）</w:t>
            </w:r>
          </w:p>
        </w:tc>
        <w:tc>
          <w:tcPr>
            <w:tcW w:w="790" w:type="pct"/>
            <w:shd w:val="clear" w:color="auto" w:fill="auto"/>
            <w:vAlign w:val="center"/>
          </w:tcPr>
          <w:p w14:paraId="5B97440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788" w:type="pct"/>
            <w:shd w:val="clear" w:color="auto" w:fill="auto"/>
            <w:vAlign w:val="center"/>
          </w:tcPr>
          <w:p w14:paraId="01AC592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788" w:type="pct"/>
            <w:shd w:val="clear" w:color="auto" w:fill="auto"/>
            <w:vAlign w:val="center"/>
          </w:tcPr>
          <w:p w14:paraId="5D0CDFC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789" w:type="pct"/>
            <w:shd w:val="clear" w:color="auto" w:fill="auto"/>
            <w:vAlign w:val="center"/>
          </w:tcPr>
          <w:p w14:paraId="3D0B31D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0.003L</w:t>
            </w:r>
          </w:p>
        </w:tc>
        <w:tc>
          <w:tcPr>
            <w:tcW w:w="789" w:type="pct"/>
            <w:vAlign w:val="center"/>
          </w:tcPr>
          <w:p w14:paraId="03033A74">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lang w:val="en-GB"/>
              </w:rPr>
            </w:pPr>
            <w:r>
              <w:rPr>
                <w:rFonts w:ascii="Times New Roman" w:hAnsi="Times New Roman" w:cs="Times New Roman" w:eastAsiaTheme="minorEastAsia"/>
                <w:caps w:val="0"/>
                <w:smallCaps w:val="0"/>
                <w:color w:val="auto"/>
                <w:spacing w:val="0"/>
                <w:w w:val="100"/>
                <w:kern w:val="2"/>
                <w:position w:val="0"/>
                <w:sz w:val="21"/>
                <w:szCs w:val="21"/>
                <w:highlight w:val="none"/>
              </w:rPr>
              <w:t>≤0.02</w:t>
            </w:r>
          </w:p>
        </w:tc>
      </w:tr>
      <w:tr w14:paraId="794D3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5452FBD">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钡（mg/L）</w:t>
            </w:r>
          </w:p>
        </w:tc>
        <w:tc>
          <w:tcPr>
            <w:tcW w:w="790" w:type="pct"/>
            <w:shd w:val="clear" w:color="auto" w:fill="auto"/>
            <w:vAlign w:val="center"/>
          </w:tcPr>
          <w:p w14:paraId="38022E0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788" w:type="pct"/>
            <w:shd w:val="clear" w:color="auto" w:fill="auto"/>
            <w:vAlign w:val="center"/>
          </w:tcPr>
          <w:p w14:paraId="01EF1AA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788" w:type="pct"/>
            <w:shd w:val="clear" w:color="auto" w:fill="auto"/>
            <w:vAlign w:val="center"/>
          </w:tcPr>
          <w:p w14:paraId="3C2309F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789" w:type="pct"/>
            <w:shd w:val="clear" w:color="auto" w:fill="auto"/>
            <w:vAlign w:val="center"/>
          </w:tcPr>
          <w:p w14:paraId="4518665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0.01L</w:t>
            </w:r>
          </w:p>
        </w:tc>
        <w:tc>
          <w:tcPr>
            <w:tcW w:w="789" w:type="pct"/>
            <w:vAlign w:val="center"/>
          </w:tcPr>
          <w:p w14:paraId="7147AEF8">
            <w:pPr>
              <w:widowControl w:val="0"/>
              <w:adjustRightInd w:val="0"/>
              <w:spacing w:line="320" w:lineRule="exact"/>
              <w:jc w:val="center"/>
              <w:textAlignment w:val="baseline"/>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≤0.70</w:t>
            </w:r>
          </w:p>
        </w:tc>
      </w:tr>
    </w:tbl>
    <w:p w14:paraId="11097A11">
      <w:pPr>
        <w:widowControl w:val="0"/>
        <w:spacing w:line="440" w:lineRule="exact"/>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4.3.2.3地下水水质现状评价</w:t>
      </w:r>
    </w:p>
    <w:p w14:paraId="24DF1965">
      <w:pPr>
        <w:widowControl w:val="0"/>
        <w:spacing w:line="440" w:lineRule="exact"/>
        <w:ind w:firstLine="480" w:firstLineChars="200"/>
        <w:rPr>
          <w:rFonts w:ascii="Times New Roman" w:hAnsi="Times New Roman" w:cs="Times New Roman"/>
          <w:caps w:val="0"/>
          <w:smallCaps w:val="0"/>
          <w:color w:val="auto"/>
          <w:spacing w:val="0"/>
          <w:w w:val="100"/>
          <w:kern w:val="2"/>
          <w:position w:val="0"/>
          <w:szCs w:val="22"/>
          <w:highlight w:val="none"/>
        </w:rPr>
      </w:pPr>
      <w:r>
        <w:rPr>
          <w:rFonts w:ascii="Times New Roman" w:hAnsi="Times New Roman" w:cs="Times New Roman"/>
          <w:caps w:val="0"/>
          <w:smallCaps w:val="0"/>
          <w:color w:val="auto"/>
          <w:spacing w:val="0"/>
          <w:w w:val="100"/>
          <w:kern w:val="2"/>
          <w:position w:val="0"/>
          <w:szCs w:val="22"/>
          <w:highlight w:val="none"/>
        </w:rPr>
        <w:t>（1）评价标准</w:t>
      </w:r>
    </w:p>
    <w:p w14:paraId="2E5F5CD2">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采用《地下水质量标准》（GB/T14848-2017）中Ⅲ类标准，石油类参照《地表水环境质量标准》（GB3838-2002）中的Ⅱ类标准执行≤0.05mg/L。</w:t>
      </w:r>
    </w:p>
    <w:p w14:paraId="5AC621D8">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（2）评价方法</w:t>
      </w:r>
    </w:p>
    <w:p w14:paraId="653A5E3B">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采用单因子标准指数法对地下水水质现状监测结果进行评价，评价模式如下：</w:t>
      </w:r>
    </w:p>
    <w:p w14:paraId="712A6C25">
      <w:pPr>
        <w:jc w:val="center"/>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drawing>
          <wp:inline distT="0" distB="0" distL="0" distR="0">
            <wp:extent cx="762000" cy="333375"/>
            <wp:effectExtent l="0" t="0" r="0" b="9525"/>
            <wp:docPr id="4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762000" cy="333375"/>
                    </a:xfrm>
                    <a:prstGeom prst="rect">
                      <a:avLst/>
                    </a:prstGeom>
                    <a:noFill/>
                    <a:ln>
                      <a:noFill/>
                    </a:ln>
                  </pic:spPr>
                </pic:pic>
              </a:graphicData>
            </a:graphic>
          </wp:inline>
        </w:drawing>
      </w:r>
    </w:p>
    <w:p w14:paraId="33EB320D">
      <w:pPr>
        <w:widowControl w:val="0"/>
        <w:spacing w:line="440" w:lineRule="exact"/>
        <w:ind w:firstLine="473"/>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式中：S</w:t>
      </w:r>
      <w:r>
        <w:rPr>
          <w:rFonts w:ascii="Times New Roman" w:hAnsi="Times New Roman" w:cs="Times New Roman"/>
          <w:caps w:val="0"/>
          <w:smallCaps w:val="0"/>
          <w:color w:val="auto"/>
          <w:spacing w:val="0"/>
          <w:w w:val="100"/>
          <w:position w:val="0"/>
          <w:highlight w:val="none"/>
          <w:vertAlign w:val="subscript"/>
        </w:rPr>
        <w:t>i,j</w:t>
      </w:r>
      <w:r>
        <w:rPr>
          <w:rFonts w:ascii="Times New Roman" w:hAnsi="Times New Roman" w:cs="Times New Roman"/>
          <w:caps w:val="0"/>
          <w:smallCaps w:val="0"/>
          <w:color w:val="auto"/>
          <w:spacing w:val="0"/>
          <w:w w:val="100"/>
          <w:position w:val="0"/>
          <w:highlight w:val="none"/>
        </w:rPr>
        <w:t>——水质单因子i在第j点的标准指数；</w:t>
      </w:r>
    </w:p>
    <w:p w14:paraId="6F8F3F82">
      <w:pPr>
        <w:widowControl w:val="0"/>
        <w:spacing w:line="440" w:lineRule="exact"/>
        <w:ind w:firstLine="1200" w:firstLineChars="5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C</w:t>
      </w:r>
      <w:r>
        <w:rPr>
          <w:rFonts w:ascii="Times New Roman" w:hAnsi="Times New Roman" w:cs="Times New Roman"/>
          <w:caps w:val="0"/>
          <w:smallCaps w:val="0"/>
          <w:color w:val="auto"/>
          <w:spacing w:val="0"/>
          <w:w w:val="100"/>
          <w:position w:val="0"/>
          <w:highlight w:val="none"/>
          <w:vertAlign w:val="subscript"/>
        </w:rPr>
        <w:t>ij</w:t>
      </w:r>
      <w:r>
        <w:rPr>
          <w:rFonts w:ascii="Times New Roman" w:hAnsi="Times New Roman" w:cs="Times New Roman"/>
          <w:caps w:val="0"/>
          <w:smallCaps w:val="0"/>
          <w:color w:val="auto"/>
          <w:spacing w:val="0"/>
          <w:w w:val="100"/>
          <w:position w:val="0"/>
          <w:highlight w:val="none"/>
        </w:rPr>
        <w:t xml:space="preserve"> ——水质评价因子i在第j点的监测值，mg/L；</w:t>
      </w:r>
    </w:p>
    <w:p w14:paraId="5B2608DD">
      <w:pPr>
        <w:widowControl w:val="0"/>
        <w:spacing w:line="440" w:lineRule="exact"/>
        <w:ind w:firstLine="1200" w:firstLineChars="5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C</w:t>
      </w:r>
      <w:r>
        <w:rPr>
          <w:rFonts w:ascii="Times New Roman" w:hAnsi="Times New Roman" w:cs="Times New Roman"/>
          <w:caps w:val="0"/>
          <w:smallCaps w:val="0"/>
          <w:color w:val="auto"/>
          <w:spacing w:val="0"/>
          <w:w w:val="100"/>
          <w:position w:val="0"/>
          <w:highlight w:val="none"/>
          <w:vertAlign w:val="subscript"/>
        </w:rPr>
        <w:t>si</w:t>
      </w:r>
      <w:r>
        <w:rPr>
          <w:rFonts w:ascii="Times New Roman" w:hAnsi="Times New Roman" w:cs="Times New Roman"/>
          <w:caps w:val="0"/>
          <w:smallCaps w:val="0"/>
          <w:color w:val="auto"/>
          <w:spacing w:val="0"/>
          <w:w w:val="100"/>
          <w:position w:val="0"/>
          <w:highlight w:val="none"/>
        </w:rPr>
        <w:t>——i因子的评价标准，mg/L。</w:t>
      </w:r>
    </w:p>
    <w:p w14:paraId="7C8BBF29">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pH的标准指数公式：</w:t>
      </w:r>
    </w:p>
    <w:p w14:paraId="69762236">
      <w:pPr>
        <w:widowControl w:val="0"/>
        <w:spacing w:line="50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pH</w:t>
      </w:r>
      <w:r>
        <w:rPr>
          <w:rFonts w:ascii="Times New Roman" w:hAnsi="Times New Roman" w:cs="Times New Roman"/>
          <w:caps w:val="0"/>
          <w:smallCaps w:val="0"/>
          <w:color w:val="auto"/>
          <w:spacing w:val="0"/>
          <w:w w:val="100"/>
          <w:position w:val="0"/>
          <w:highlight w:val="none"/>
          <w:vertAlign w:val="subscript"/>
        </w:rPr>
        <w:t>j</w:t>
      </w:r>
      <w:r>
        <w:rPr>
          <w:rFonts w:ascii="Times New Roman" w:hAnsi="Times New Roman" w:cs="Times New Roman"/>
          <w:caps w:val="0"/>
          <w:smallCaps w:val="0"/>
          <w:color w:val="auto"/>
          <w:spacing w:val="0"/>
          <w:w w:val="100"/>
          <w:position w:val="0"/>
          <w:highlight w:val="none"/>
        </w:rPr>
        <w:t>≤7.0时</w:t>
      </w:r>
    </w:p>
    <w:p w14:paraId="6DCA87B3">
      <w:pPr>
        <w:spacing w:line="360" w:lineRule="auto"/>
        <w:ind w:firstLine="2520" w:firstLineChars="105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drawing>
          <wp:inline distT="0" distB="0" distL="0" distR="0">
            <wp:extent cx="1238250" cy="447675"/>
            <wp:effectExtent l="0" t="0" r="0" b="9525"/>
            <wp:docPr id="5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238250" cy="447675"/>
                    </a:xfrm>
                    <a:prstGeom prst="rect">
                      <a:avLst/>
                    </a:prstGeom>
                    <a:noFill/>
                    <a:ln>
                      <a:noFill/>
                    </a:ln>
                  </pic:spPr>
                </pic:pic>
              </a:graphicData>
            </a:graphic>
          </wp:inline>
        </w:drawing>
      </w:r>
    </w:p>
    <w:p w14:paraId="483DFFEE">
      <w:pPr>
        <w:widowControl w:val="0"/>
        <w:spacing w:line="500" w:lineRule="exact"/>
        <w:ind w:firstLine="471"/>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pH</w:t>
      </w:r>
      <w:r>
        <w:rPr>
          <w:rFonts w:ascii="Times New Roman" w:hAnsi="Times New Roman" w:cs="Times New Roman"/>
          <w:caps w:val="0"/>
          <w:smallCaps w:val="0"/>
          <w:color w:val="auto"/>
          <w:spacing w:val="0"/>
          <w:w w:val="100"/>
          <w:position w:val="0"/>
          <w:highlight w:val="none"/>
          <w:vertAlign w:val="subscript"/>
        </w:rPr>
        <w:t>j</w:t>
      </w:r>
      <w:r>
        <w:rPr>
          <w:rFonts w:ascii="Times New Roman" w:hAnsi="Times New Roman" w:cs="Times New Roman"/>
          <w:caps w:val="0"/>
          <w:smallCaps w:val="0"/>
          <w:color w:val="auto"/>
          <w:spacing w:val="0"/>
          <w:w w:val="100"/>
          <w:position w:val="0"/>
          <w:highlight w:val="none"/>
        </w:rPr>
        <w:t>＞7.0时</w:t>
      </w:r>
    </w:p>
    <w:p w14:paraId="73394067">
      <w:pPr>
        <w:spacing w:line="360" w:lineRule="auto"/>
        <w:ind w:firstLine="2520" w:firstLineChars="105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drawing>
          <wp:inline distT="0" distB="0" distL="0" distR="0">
            <wp:extent cx="1266825" cy="457200"/>
            <wp:effectExtent l="0" t="0" r="9525" b="0"/>
            <wp:docPr id="5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266825" cy="457200"/>
                    </a:xfrm>
                    <a:prstGeom prst="rect">
                      <a:avLst/>
                    </a:prstGeom>
                    <a:noFill/>
                    <a:ln>
                      <a:noFill/>
                    </a:ln>
                  </pic:spPr>
                </pic:pic>
              </a:graphicData>
            </a:graphic>
          </wp:inline>
        </w:drawing>
      </w:r>
    </w:p>
    <w:p w14:paraId="38A9E835">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式中：S</w:t>
      </w:r>
      <w:r>
        <w:rPr>
          <w:rFonts w:ascii="Times New Roman" w:hAnsi="Times New Roman" w:cs="Times New Roman"/>
          <w:caps w:val="0"/>
          <w:smallCaps w:val="0"/>
          <w:color w:val="auto"/>
          <w:spacing w:val="0"/>
          <w:w w:val="100"/>
          <w:position w:val="0"/>
          <w:highlight w:val="none"/>
          <w:vertAlign w:val="subscript"/>
        </w:rPr>
        <w:t>pH.j</w:t>
      </w:r>
      <w:r>
        <w:rPr>
          <w:rFonts w:ascii="Times New Roman" w:hAnsi="Times New Roman" w:cs="Times New Roman"/>
          <w:caps w:val="0"/>
          <w:smallCaps w:val="0"/>
          <w:color w:val="auto"/>
          <w:spacing w:val="0"/>
          <w:w w:val="100"/>
          <w:position w:val="0"/>
          <w:highlight w:val="none"/>
        </w:rPr>
        <w:t>——pH值的单项指数；</w:t>
      </w:r>
    </w:p>
    <w:p w14:paraId="41CDDFCF">
      <w:pPr>
        <w:widowControl w:val="0"/>
        <w:spacing w:line="440" w:lineRule="exact"/>
        <w:ind w:firstLine="1200" w:firstLineChars="5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pH</w:t>
      </w:r>
      <w:r>
        <w:rPr>
          <w:rFonts w:ascii="Times New Roman" w:hAnsi="Times New Roman" w:cs="Times New Roman"/>
          <w:caps w:val="0"/>
          <w:smallCaps w:val="0"/>
          <w:color w:val="auto"/>
          <w:spacing w:val="0"/>
          <w:w w:val="100"/>
          <w:position w:val="0"/>
          <w:highlight w:val="none"/>
          <w:vertAlign w:val="subscript"/>
        </w:rPr>
        <w:t>j</w:t>
      </w:r>
      <w:r>
        <w:rPr>
          <w:rFonts w:ascii="Times New Roman" w:hAnsi="Times New Roman" w:cs="Times New Roman"/>
          <w:caps w:val="0"/>
          <w:smallCaps w:val="0"/>
          <w:color w:val="auto"/>
          <w:spacing w:val="0"/>
          <w:w w:val="100"/>
          <w:position w:val="0"/>
          <w:highlight w:val="none"/>
        </w:rPr>
        <w:t>——j点pH值监测值；</w:t>
      </w:r>
    </w:p>
    <w:p w14:paraId="2ED29706">
      <w:pPr>
        <w:widowControl w:val="0"/>
        <w:spacing w:line="440" w:lineRule="exact"/>
        <w:ind w:firstLine="1200" w:firstLineChars="5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pH</w:t>
      </w:r>
      <w:r>
        <w:rPr>
          <w:rFonts w:ascii="Times New Roman" w:hAnsi="Times New Roman" w:cs="Times New Roman"/>
          <w:caps w:val="0"/>
          <w:smallCaps w:val="0"/>
          <w:color w:val="auto"/>
          <w:spacing w:val="0"/>
          <w:w w:val="100"/>
          <w:position w:val="0"/>
          <w:highlight w:val="none"/>
          <w:vertAlign w:val="subscript"/>
        </w:rPr>
        <w:t>su</w:t>
      </w:r>
      <w:r>
        <w:rPr>
          <w:rFonts w:ascii="Times New Roman" w:hAnsi="Times New Roman" w:cs="Times New Roman"/>
          <w:caps w:val="0"/>
          <w:smallCaps w:val="0"/>
          <w:color w:val="auto"/>
          <w:spacing w:val="0"/>
          <w:w w:val="100"/>
          <w:position w:val="0"/>
          <w:highlight w:val="none"/>
        </w:rPr>
        <w:t>——水质标准中pH值上限；</w:t>
      </w:r>
    </w:p>
    <w:p w14:paraId="15B68605">
      <w:pPr>
        <w:widowControl w:val="0"/>
        <w:spacing w:line="440" w:lineRule="exact"/>
        <w:ind w:firstLine="1200" w:firstLineChars="5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pH</w:t>
      </w:r>
      <w:r>
        <w:rPr>
          <w:rFonts w:ascii="Times New Roman" w:hAnsi="Times New Roman" w:cs="Times New Roman"/>
          <w:caps w:val="0"/>
          <w:smallCaps w:val="0"/>
          <w:color w:val="auto"/>
          <w:spacing w:val="0"/>
          <w:w w:val="100"/>
          <w:position w:val="0"/>
          <w:highlight w:val="none"/>
          <w:vertAlign w:val="subscript"/>
        </w:rPr>
        <w:t>sd</w:t>
      </w:r>
      <w:r>
        <w:rPr>
          <w:rFonts w:ascii="Times New Roman" w:hAnsi="Times New Roman" w:cs="Times New Roman"/>
          <w:caps w:val="0"/>
          <w:smallCaps w:val="0"/>
          <w:color w:val="auto"/>
          <w:spacing w:val="0"/>
          <w:w w:val="100"/>
          <w:position w:val="0"/>
          <w:highlight w:val="none"/>
        </w:rPr>
        <w:t>——水质标准中pH值下限。</w:t>
      </w:r>
    </w:p>
    <w:p w14:paraId="25407152">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当单因子标准指数＞1 时，表示该水质参数所表征的污染物已满足不了标准要求，水体已受到污染；反之，则满足标准要求。</w:t>
      </w:r>
    </w:p>
    <w:p w14:paraId="15DC7887">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（3）单因子标准指数</w:t>
      </w:r>
    </w:p>
    <w:p w14:paraId="75511832">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地下水单因子标准指数计算结果见表4.3-10、表4.3-11。</w:t>
      </w:r>
    </w:p>
    <w:p w14:paraId="302ABDA3">
      <w:pPr>
        <w:widowControl w:val="0"/>
        <w:spacing w:line="440" w:lineRule="exact"/>
        <w:ind w:firstLine="482"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 xml:space="preserve">表4.3-10    </w:t>
      </w:r>
      <w:r>
        <w:rPr>
          <w:rFonts w:ascii="Times New Roman" w:hAnsi="Times New Roman" w:cs="Times New Roman" w:eastAsiaTheme="minorEastAsia"/>
          <w:b/>
          <w:caps w:val="0"/>
          <w:smallCaps w:val="0"/>
          <w:color w:val="auto"/>
          <w:spacing w:val="0"/>
          <w:w w:val="100"/>
          <w:position w:val="0"/>
          <w:szCs w:val="28"/>
          <w:highlight w:val="none"/>
        </w:rPr>
        <w:t>地下水</w:t>
      </w:r>
      <w:r>
        <w:rPr>
          <w:rFonts w:ascii="Times New Roman" w:hAnsi="Times New Roman" w:cs="Times New Roman" w:eastAsiaTheme="minorEastAsia"/>
          <w:b/>
          <w:caps w:val="0"/>
          <w:smallCaps w:val="0"/>
          <w:color w:val="auto"/>
          <w:spacing w:val="0"/>
          <w:w w:val="100"/>
          <w:position w:val="0"/>
          <w:highlight w:val="none"/>
        </w:rPr>
        <w:t xml:space="preserve">潜水单因子标准指数计算结果 </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02"/>
        <w:gridCol w:w="1354"/>
        <w:gridCol w:w="1218"/>
        <w:gridCol w:w="1150"/>
        <w:gridCol w:w="1152"/>
        <w:gridCol w:w="1152"/>
        <w:gridCol w:w="1152"/>
      </w:tblGrid>
      <w:tr w14:paraId="36F15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D518A5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监测项目</w:t>
            </w:r>
          </w:p>
        </w:tc>
        <w:tc>
          <w:tcPr>
            <w:tcW w:w="729" w:type="pct"/>
            <w:vAlign w:val="center"/>
          </w:tcPr>
          <w:p w14:paraId="7946B80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卫一转油站内监测井</w:t>
            </w:r>
          </w:p>
        </w:tc>
        <w:tc>
          <w:tcPr>
            <w:tcW w:w="656" w:type="pct"/>
            <w:vAlign w:val="center"/>
          </w:tcPr>
          <w:p w14:paraId="7840862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qx-10潜水井</w:t>
            </w:r>
          </w:p>
        </w:tc>
        <w:tc>
          <w:tcPr>
            <w:tcW w:w="619" w:type="pct"/>
            <w:vAlign w:val="center"/>
          </w:tcPr>
          <w:p w14:paraId="4F95F9F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新立屯潜水井</w:t>
            </w:r>
          </w:p>
        </w:tc>
        <w:tc>
          <w:tcPr>
            <w:tcW w:w="620" w:type="pct"/>
            <w:vAlign w:val="center"/>
          </w:tcPr>
          <w:p w14:paraId="27F3BB7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小烧锅屯潜水井</w:t>
            </w:r>
          </w:p>
        </w:tc>
        <w:tc>
          <w:tcPr>
            <w:tcW w:w="620" w:type="pct"/>
            <w:vAlign w:val="center"/>
          </w:tcPr>
          <w:p w14:paraId="0C0278D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史家屯潜水井</w:t>
            </w:r>
          </w:p>
        </w:tc>
        <w:tc>
          <w:tcPr>
            <w:tcW w:w="620" w:type="pct"/>
            <w:vAlign w:val="center"/>
          </w:tcPr>
          <w:p w14:paraId="0E5917E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qx-11潜水井</w:t>
            </w:r>
          </w:p>
        </w:tc>
      </w:tr>
      <w:tr w14:paraId="2AC85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9F4768C">
            <w:pPr>
              <w:spacing w:line="36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Na</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p>
        </w:tc>
        <w:tc>
          <w:tcPr>
            <w:tcW w:w="1354" w:type="dxa"/>
            <w:vAlign w:val="center"/>
          </w:tcPr>
          <w:p w14:paraId="3860EB7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0.27</w:t>
            </w:r>
          </w:p>
        </w:tc>
        <w:tc>
          <w:tcPr>
            <w:tcW w:w="656" w:type="pct"/>
            <w:shd w:val="clear" w:color="auto" w:fill="auto"/>
            <w:vAlign w:val="center"/>
          </w:tcPr>
          <w:p w14:paraId="5656967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0.26</w:t>
            </w:r>
          </w:p>
        </w:tc>
        <w:tc>
          <w:tcPr>
            <w:tcW w:w="619" w:type="pct"/>
            <w:shd w:val="clear" w:color="auto" w:fill="auto"/>
            <w:vAlign w:val="center"/>
          </w:tcPr>
          <w:p w14:paraId="5DA30FC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0.31</w:t>
            </w:r>
          </w:p>
        </w:tc>
        <w:tc>
          <w:tcPr>
            <w:tcW w:w="620" w:type="pct"/>
            <w:shd w:val="clear" w:color="auto" w:fill="auto"/>
            <w:vAlign w:val="center"/>
          </w:tcPr>
          <w:p w14:paraId="6C69758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0.27</w:t>
            </w:r>
          </w:p>
        </w:tc>
        <w:tc>
          <w:tcPr>
            <w:tcW w:w="620" w:type="pct"/>
            <w:shd w:val="clear" w:color="auto" w:fill="auto"/>
            <w:vAlign w:val="center"/>
          </w:tcPr>
          <w:p w14:paraId="1AF3E6D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0.28</w:t>
            </w:r>
          </w:p>
        </w:tc>
        <w:tc>
          <w:tcPr>
            <w:tcW w:w="1152" w:type="dxa"/>
            <w:vAlign w:val="center"/>
          </w:tcPr>
          <w:p w14:paraId="6ABF220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0.30</w:t>
            </w:r>
          </w:p>
        </w:tc>
      </w:tr>
      <w:tr w14:paraId="4FFF4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81D0B0D">
            <w:pPr>
              <w:spacing w:line="36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Cl</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p>
        </w:tc>
        <w:tc>
          <w:tcPr>
            <w:tcW w:w="1354" w:type="dxa"/>
            <w:vAlign w:val="center"/>
          </w:tcPr>
          <w:p w14:paraId="7C4F027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0.19</w:t>
            </w:r>
          </w:p>
        </w:tc>
        <w:tc>
          <w:tcPr>
            <w:tcW w:w="656" w:type="pct"/>
            <w:shd w:val="clear" w:color="auto" w:fill="auto"/>
            <w:vAlign w:val="center"/>
          </w:tcPr>
          <w:p w14:paraId="45340B6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0.16</w:t>
            </w:r>
          </w:p>
        </w:tc>
        <w:tc>
          <w:tcPr>
            <w:tcW w:w="619" w:type="pct"/>
            <w:shd w:val="clear" w:color="auto" w:fill="auto"/>
            <w:vAlign w:val="center"/>
          </w:tcPr>
          <w:p w14:paraId="6707189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0.21</w:t>
            </w:r>
          </w:p>
        </w:tc>
        <w:tc>
          <w:tcPr>
            <w:tcW w:w="620" w:type="pct"/>
            <w:shd w:val="clear" w:color="auto" w:fill="auto"/>
            <w:vAlign w:val="center"/>
          </w:tcPr>
          <w:p w14:paraId="2C5401B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0.18</w:t>
            </w:r>
          </w:p>
        </w:tc>
        <w:tc>
          <w:tcPr>
            <w:tcW w:w="620" w:type="pct"/>
            <w:shd w:val="clear" w:color="auto" w:fill="auto"/>
            <w:vAlign w:val="center"/>
          </w:tcPr>
          <w:p w14:paraId="643642A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0.19</w:t>
            </w:r>
          </w:p>
        </w:tc>
        <w:tc>
          <w:tcPr>
            <w:tcW w:w="1152" w:type="dxa"/>
            <w:vAlign w:val="center"/>
          </w:tcPr>
          <w:p w14:paraId="5E87077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0.20</w:t>
            </w:r>
          </w:p>
        </w:tc>
      </w:tr>
      <w:tr w14:paraId="28098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09E7A0E">
            <w:pPr>
              <w:spacing w:line="36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SO</w:t>
            </w:r>
            <w:r>
              <w:rPr>
                <w:rFonts w:ascii="Times New Roman" w:hAnsi="Times New Roman" w:cs="Times New Roman" w:eastAsiaTheme="minorEastAsia"/>
                <w:caps w:val="0"/>
                <w:smallCaps w:val="0"/>
                <w:color w:val="auto"/>
                <w:spacing w:val="0"/>
                <w:w w:val="100"/>
                <w:position w:val="0"/>
                <w:sz w:val="21"/>
                <w:szCs w:val="21"/>
                <w:highlight w:val="none"/>
                <w:vertAlign w:val="subscript"/>
              </w:rPr>
              <w:t>4</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p>
        </w:tc>
        <w:tc>
          <w:tcPr>
            <w:tcW w:w="1354" w:type="dxa"/>
            <w:vAlign w:val="center"/>
          </w:tcPr>
          <w:p w14:paraId="58F920A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0.12</w:t>
            </w:r>
          </w:p>
        </w:tc>
        <w:tc>
          <w:tcPr>
            <w:tcW w:w="656" w:type="pct"/>
            <w:shd w:val="clear" w:color="auto" w:fill="auto"/>
            <w:vAlign w:val="center"/>
          </w:tcPr>
          <w:p w14:paraId="25B926A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0.12</w:t>
            </w:r>
          </w:p>
        </w:tc>
        <w:tc>
          <w:tcPr>
            <w:tcW w:w="619" w:type="pct"/>
            <w:shd w:val="clear" w:color="auto" w:fill="auto"/>
            <w:vAlign w:val="center"/>
          </w:tcPr>
          <w:p w14:paraId="27B9814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0.18</w:t>
            </w:r>
          </w:p>
        </w:tc>
        <w:tc>
          <w:tcPr>
            <w:tcW w:w="620" w:type="pct"/>
            <w:shd w:val="clear" w:color="auto" w:fill="auto"/>
            <w:vAlign w:val="center"/>
          </w:tcPr>
          <w:p w14:paraId="779741A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0.15</w:t>
            </w:r>
          </w:p>
        </w:tc>
        <w:tc>
          <w:tcPr>
            <w:tcW w:w="620" w:type="pct"/>
            <w:shd w:val="clear" w:color="auto" w:fill="auto"/>
            <w:vAlign w:val="center"/>
          </w:tcPr>
          <w:p w14:paraId="0646825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0.14</w:t>
            </w:r>
          </w:p>
        </w:tc>
        <w:tc>
          <w:tcPr>
            <w:tcW w:w="1152" w:type="dxa"/>
            <w:vAlign w:val="center"/>
          </w:tcPr>
          <w:p w14:paraId="7956D97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0.15</w:t>
            </w:r>
          </w:p>
        </w:tc>
      </w:tr>
      <w:tr w14:paraId="2C716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BF1D9FA">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pH</w:t>
            </w:r>
          </w:p>
        </w:tc>
        <w:tc>
          <w:tcPr>
            <w:tcW w:w="729" w:type="pct"/>
            <w:vAlign w:val="center"/>
          </w:tcPr>
          <w:p w14:paraId="0E807F1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0.53</w:t>
            </w:r>
          </w:p>
        </w:tc>
        <w:tc>
          <w:tcPr>
            <w:tcW w:w="656" w:type="pct"/>
            <w:shd w:val="clear" w:color="auto" w:fill="auto"/>
            <w:vAlign w:val="center"/>
          </w:tcPr>
          <w:p w14:paraId="7A920A83">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0.47</w:t>
            </w:r>
          </w:p>
        </w:tc>
        <w:tc>
          <w:tcPr>
            <w:tcW w:w="619" w:type="pct"/>
            <w:shd w:val="clear" w:color="auto" w:fill="auto"/>
            <w:vAlign w:val="center"/>
          </w:tcPr>
          <w:p w14:paraId="7A1CC06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0.47</w:t>
            </w:r>
          </w:p>
        </w:tc>
        <w:tc>
          <w:tcPr>
            <w:tcW w:w="620" w:type="pct"/>
            <w:shd w:val="clear" w:color="auto" w:fill="auto"/>
            <w:vAlign w:val="center"/>
          </w:tcPr>
          <w:p w14:paraId="4616C8F9">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0.53</w:t>
            </w:r>
          </w:p>
        </w:tc>
        <w:tc>
          <w:tcPr>
            <w:tcW w:w="620" w:type="pct"/>
            <w:shd w:val="clear" w:color="auto" w:fill="auto"/>
            <w:vAlign w:val="center"/>
          </w:tcPr>
          <w:p w14:paraId="6F0394CC">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0.47</w:t>
            </w:r>
          </w:p>
        </w:tc>
        <w:tc>
          <w:tcPr>
            <w:tcW w:w="620" w:type="pct"/>
            <w:vAlign w:val="center"/>
          </w:tcPr>
          <w:p w14:paraId="1DE39E2C">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0.53</w:t>
            </w:r>
          </w:p>
        </w:tc>
      </w:tr>
      <w:tr w14:paraId="63361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DFE280C">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总硬度</w:t>
            </w:r>
          </w:p>
        </w:tc>
        <w:tc>
          <w:tcPr>
            <w:tcW w:w="1354" w:type="dxa"/>
            <w:vAlign w:val="center"/>
          </w:tcPr>
          <w:p w14:paraId="0756B1B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0.35</w:t>
            </w:r>
          </w:p>
        </w:tc>
        <w:tc>
          <w:tcPr>
            <w:tcW w:w="656" w:type="pct"/>
            <w:shd w:val="clear" w:color="auto" w:fill="auto"/>
            <w:vAlign w:val="center"/>
          </w:tcPr>
          <w:p w14:paraId="3B3386C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0.31</w:t>
            </w:r>
          </w:p>
        </w:tc>
        <w:tc>
          <w:tcPr>
            <w:tcW w:w="619" w:type="pct"/>
            <w:shd w:val="clear" w:color="auto" w:fill="auto"/>
            <w:vAlign w:val="center"/>
          </w:tcPr>
          <w:p w14:paraId="23F448D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0.38</w:t>
            </w:r>
          </w:p>
        </w:tc>
        <w:tc>
          <w:tcPr>
            <w:tcW w:w="620" w:type="pct"/>
            <w:shd w:val="clear" w:color="auto" w:fill="auto"/>
            <w:vAlign w:val="center"/>
          </w:tcPr>
          <w:p w14:paraId="18D7E28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0.32</w:t>
            </w:r>
          </w:p>
        </w:tc>
        <w:tc>
          <w:tcPr>
            <w:tcW w:w="620" w:type="pct"/>
            <w:shd w:val="clear" w:color="auto" w:fill="auto"/>
            <w:vAlign w:val="center"/>
          </w:tcPr>
          <w:p w14:paraId="06FEC6F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0.35</w:t>
            </w:r>
          </w:p>
        </w:tc>
        <w:tc>
          <w:tcPr>
            <w:tcW w:w="1152" w:type="dxa"/>
            <w:vAlign w:val="center"/>
          </w:tcPr>
          <w:p w14:paraId="60CAB56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0.33</w:t>
            </w:r>
          </w:p>
        </w:tc>
      </w:tr>
      <w:tr w14:paraId="2FDB5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5C3CC7F3">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溶解性总固体</w:t>
            </w:r>
          </w:p>
        </w:tc>
        <w:tc>
          <w:tcPr>
            <w:tcW w:w="1354" w:type="dxa"/>
            <w:vAlign w:val="center"/>
          </w:tcPr>
          <w:p w14:paraId="4995710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0.49</w:t>
            </w:r>
          </w:p>
        </w:tc>
        <w:tc>
          <w:tcPr>
            <w:tcW w:w="656" w:type="pct"/>
            <w:shd w:val="clear" w:color="auto" w:fill="auto"/>
            <w:vAlign w:val="center"/>
          </w:tcPr>
          <w:p w14:paraId="0252F35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0.45</w:t>
            </w:r>
          </w:p>
        </w:tc>
        <w:tc>
          <w:tcPr>
            <w:tcW w:w="619" w:type="pct"/>
            <w:shd w:val="clear" w:color="auto" w:fill="auto"/>
            <w:vAlign w:val="center"/>
          </w:tcPr>
          <w:p w14:paraId="7FA1C5E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0.55</w:t>
            </w:r>
          </w:p>
        </w:tc>
        <w:tc>
          <w:tcPr>
            <w:tcW w:w="620" w:type="pct"/>
            <w:shd w:val="clear" w:color="auto" w:fill="auto"/>
            <w:vAlign w:val="center"/>
          </w:tcPr>
          <w:p w14:paraId="3921ADF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0.47</w:t>
            </w:r>
          </w:p>
        </w:tc>
        <w:tc>
          <w:tcPr>
            <w:tcW w:w="620" w:type="pct"/>
            <w:shd w:val="clear" w:color="auto" w:fill="auto"/>
            <w:vAlign w:val="center"/>
          </w:tcPr>
          <w:p w14:paraId="4AA063E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0.51</w:t>
            </w:r>
          </w:p>
        </w:tc>
        <w:tc>
          <w:tcPr>
            <w:tcW w:w="1152" w:type="dxa"/>
            <w:vAlign w:val="center"/>
          </w:tcPr>
          <w:p w14:paraId="5009268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0.50</w:t>
            </w:r>
          </w:p>
        </w:tc>
      </w:tr>
      <w:tr w14:paraId="77A43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trPr>
        <w:tc>
          <w:tcPr>
            <w:tcW w:w="1132" w:type="pct"/>
            <w:vAlign w:val="center"/>
          </w:tcPr>
          <w:p w14:paraId="727A1484">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耗氧量</w:t>
            </w:r>
          </w:p>
        </w:tc>
        <w:tc>
          <w:tcPr>
            <w:tcW w:w="1354" w:type="dxa"/>
            <w:vAlign w:val="center"/>
          </w:tcPr>
          <w:p w14:paraId="6C07FA8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0.77</w:t>
            </w:r>
          </w:p>
        </w:tc>
        <w:tc>
          <w:tcPr>
            <w:tcW w:w="656" w:type="pct"/>
            <w:shd w:val="clear" w:color="auto" w:fill="auto"/>
            <w:vAlign w:val="center"/>
          </w:tcPr>
          <w:p w14:paraId="519D49B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0.73</w:t>
            </w:r>
          </w:p>
        </w:tc>
        <w:tc>
          <w:tcPr>
            <w:tcW w:w="619" w:type="pct"/>
            <w:shd w:val="clear" w:color="auto" w:fill="auto"/>
            <w:vAlign w:val="center"/>
          </w:tcPr>
          <w:p w14:paraId="24F7CD5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0.67</w:t>
            </w:r>
          </w:p>
        </w:tc>
        <w:tc>
          <w:tcPr>
            <w:tcW w:w="620" w:type="pct"/>
            <w:shd w:val="clear" w:color="auto" w:fill="auto"/>
            <w:vAlign w:val="center"/>
          </w:tcPr>
          <w:p w14:paraId="37C7DE1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0.73</w:t>
            </w:r>
          </w:p>
        </w:tc>
        <w:tc>
          <w:tcPr>
            <w:tcW w:w="620" w:type="pct"/>
            <w:shd w:val="clear" w:color="auto" w:fill="auto"/>
            <w:vAlign w:val="center"/>
          </w:tcPr>
          <w:p w14:paraId="6AA75B1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0.63</w:t>
            </w:r>
          </w:p>
        </w:tc>
        <w:tc>
          <w:tcPr>
            <w:tcW w:w="1152" w:type="dxa"/>
            <w:vAlign w:val="center"/>
          </w:tcPr>
          <w:p w14:paraId="25D22DC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0.70</w:t>
            </w:r>
          </w:p>
        </w:tc>
      </w:tr>
      <w:tr w14:paraId="70358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3A34C31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挥发性酚类</w:t>
            </w:r>
          </w:p>
        </w:tc>
        <w:tc>
          <w:tcPr>
            <w:tcW w:w="729" w:type="pct"/>
            <w:vAlign w:val="center"/>
          </w:tcPr>
          <w:p w14:paraId="17E84BD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656" w:type="pct"/>
            <w:shd w:val="clear" w:color="auto" w:fill="auto"/>
            <w:vAlign w:val="center"/>
          </w:tcPr>
          <w:p w14:paraId="2E02B00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619" w:type="pct"/>
            <w:shd w:val="clear" w:color="auto" w:fill="auto"/>
            <w:vAlign w:val="center"/>
          </w:tcPr>
          <w:p w14:paraId="4D96B47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620" w:type="pct"/>
            <w:shd w:val="clear" w:color="auto" w:fill="auto"/>
            <w:vAlign w:val="center"/>
          </w:tcPr>
          <w:p w14:paraId="47AB950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620" w:type="pct"/>
            <w:shd w:val="clear" w:color="auto" w:fill="auto"/>
            <w:vAlign w:val="center"/>
          </w:tcPr>
          <w:p w14:paraId="00B6146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620" w:type="pct"/>
            <w:vAlign w:val="center"/>
          </w:tcPr>
          <w:p w14:paraId="26CE11C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2F2C5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6BAB69E">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氰化物</w:t>
            </w:r>
          </w:p>
        </w:tc>
        <w:tc>
          <w:tcPr>
            <w:tcW w:w="1354" w:type="dxa"/>
            <w:vAlign w:val="center"/>
          </w:tcPr>
          <w:p w14:paraId="06A2846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406C745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1EFFA59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5F0147B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52BB2F9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1691571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755EC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D11F86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氟化物</w:t>
            </w:r>
          </w:p>
        </w:tc>
        <w:tc>
          <w:tcPr>
            <w:tcW w:w="1354" w:type="dxa"/>
            <w:vAlign w:val="center"/>
          </w:tcPr>
          <w:p w14:paraId="5FA06E6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0.27</w:t>
            </w:r>
          </w:p>
        </w:tc>
        <w:tc>
          <w:tcPr>
            <w:tcW w:w="656" w:type="pct"/>
            <w:shd w:val="clear" w:color="auto" w:fill="auto"/>
            <w:vAlign w:val="center"/>
          </w:tcPr>
          <w:p w14:paraId="27E8DE1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0.34</w:t>
            </w:r>
          </w:p>
        </w:tc>
        <w:tc>
          <w:tcPr>
            <w:tcW w:w="619" w:type="pct"/>
            <w:shd w:val="clear" w:color="auto" w:fill="auto"/>
            <w:vAlign w:val="center"/>
          </w:tcPr>
          <w:p w14:paraId="602FFFA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0.37</w:t>
            </w:r>
          </w:p>
        </w:tc>
        <w:tc>
          <w:tcPr>
            <w:tcW w:w="620" w:type="pct"/>
            <w:shd w:val="clear" w:color="auto" w:fill="auto"/>
            <w:vAlign w:val="center"/>
          </w:tcPr>
          <w:p w14:paraId="3E85AF1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0.40</w:t>
            </w:r>
          </w:p>
        </w:tc>
        <w:tc>
          <w:tcPr>
            <w:tcW w:w="620" w:type="pct"/>
            <w:shd w:val="clear" w:color="auto" w:fill="auto"/>
            <w:vAlign w:val="center"/>
          </w:tcPr>
          <w:p w14:paraId="6DA0A34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0.31</w:t>
            </w:r>
          </w:p>
        </w:tc>
        <w:tc>
          <w:tcPr>
            <w:tcW w:w="1152" w:type="dxa"/>
            <w:vAlign w:val="center"/>
          </w:tcPr>
          <w:p w14:paraId="50B7DBA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0.33</w:t>
            </w:r>
          </w:p>
        </w:tc>
      </w:tr>
      <w:tr w14:paraId="195BF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5EA2058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硝酸盐</w:t>
            </w:r>
          </w:p>
        </w:tc>
        <w:tc>
          <w:tcPr>
            <w:tcW w:w="1354" w:type="dxa"/>
            <w:vAlign w:val="center"/>
          </w:tcPr>
          <w:p w14:paraId="60DDCB1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0.09</w:t>
            </w:r>
          </w:p>
        </w:tc>
        <w:tc>
          <w:tcPr>
            <w:tcW w:w="656" w:type="pct"/>
            <w:shd w:val="clear" w:color="auto" w:fill="auto"/>
            <w:vAlign w:val="center"/>
          </w:tcPr>
          <w:p w14:paraId="5E59C7F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0.11</w:t>
            </w:r>
          </w:p>
        </w:tc>
        <w:tc>
          <w:tcPr>
            <w:tcW w:w="619" w:type="pct"/>
            <w:shd w:val="clear" w:color="auto" w:fill="auto"/>
            <w:vAlign w:val="center"/>
          </w:tcPr>
          <w:p w14:paraId="00D7412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0.08</w:t>
            </w:r>
          </w:p>
        </w:tc>
        <w:tc>
          <w:tcPr>
            <w:tcW w:w="620" w:type="pct"/>
            <w:shd w:val="clear" w:color="auto" w:fill="auto"/>
            <w:vAlign w:val="center"/>
          </w:tcPr>
          <w:p w14:paraId="11EB2A2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0.10</w:t>
            </w:r>
          </w:p>
        </w:tc>
        <w:tc>
          <w:tcPr>
            <w:tcW w:w="620" w:type="pct"/>
            <w:shd w:val="clear" w:color="auto" w:fill="auto"/>
            <w:vAlign w:val="center"/>
          </w:tcPr>
          <w:p w14:paraId="42AFFF3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0.13</w:t>
            </w:r>
          </w:p>
        </w:tc>
        <w:tc>
          <w:tcPr>
            <w:tcW w:w="1152" w:type="dxa"/>
            <w:vAlign w:val="center"/>
          </w:tcPr>
          <w:p w14:paraId="237146B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0.10</w:t>
            </w:r>
          </w:p>
        </w:tc>
      </w:tr>
      <w:tr w14:paraId="1AB65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1C9727E3">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亚硝酸盐</w:t>
            </w:r>
          </w:p>
        </w:tc>
        <w:tc>
          <w:tcPr>
            <w:tcW w:w="1354" w:type="dxa"/>
            <w:vAlign w:val="center"/>
          </w:tcPr>
          <w:p w14:paraId="37C61A1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034CDD7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02A8D2F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061EF27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64845CD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3C6A074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14188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BF457D4">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氨氮</w:t>
            </w:r>
          </w:p>
        </w:tc>
        <w:tc>
          <w:tcPr>
            <w:tcW w:w="729" w:type="pct"/>
            <w:vAlign w:val="center"/>
          </w:tcPr>
          <w:p w14:paraId="18BA0DA5">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0.62</w:t>
            </w:r>
          </w:p>
        </w:tc>
        <w:tc>
          <w:tcPr>
            <w:tcW w:w="656" w:type="pct"/>
            <w:shd w:val="clear" w:color="auto" w:fill="auto"/>
            <w:vAlign w:val="center"/>
          </w:tcPr>
          <w:p w14:paraId="46E1259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0.61</w:t>
            </w:r>
          </w:p>
        </w:tc>
        <w:tc>
          <w:tcPr>
            <w:tcW w:w="619" w:type="pct"/>
            <w:shd w:val="clear" w:color="auto" w:fill="auto"/>
            <w:vAlign w:val="center"/>
          </w:tcPr>
          <w:p w14:paraId="5312381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0.59</w:t>
            </w:r>
          </w:p>
        </w:tc>
        <w:tc>
          <w:tcPr>
            <w:tcW w:w="620" w:type="pct"/>
            <w:shd w:val="clear" w:color="auto" w:fill="auto"/>
            <w:vAlign w:val="center"/>
          </w:tcPr>
          <w:p w14:paraId="46451B7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0.48</w:t>
            </w:r>
          </w:p>
        </w:tc>
        <w:tc>
          <w:tcPr>
            <w:tcW w:w="620" w:type="pct"/>
            <w:shd w:val="clear" w:color="auto" w:fill="auto"/>
            <w:vAlign w:val="center"/>
          </w:tcPr>
          <w:p w14:paraId="1F6B898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0.44</w:t>
            </w:r>
          </w:p>
        </w:tc>
        <w:tc>
          <w:tcPr>
            <w:tcW w:w="620" w:type="pct"/>
            <w:vAlign w:val="center"/>
          </w:tcPr>
          <w:p w14:paraId="38A51B0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0.59</w:t>
            </w:r>
          </w:p>
        </w:tc>
      </w:tr>
      <w:tr w14:paraId="3FAC6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10758CB8">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六价铬</w:t>
            </w:r>
          </w:p>
        </w:tc>
        <w:tc>
          <w:tcPr>
            <w:tcW w:w="1354" w:type="dxa"/>
            <w:vAlign w:val="center"/>
          </w:tcPr>
          <w:p w14:paraId="3C2E5C3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045A745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3C7ED81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09ACABF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6B0731C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2A3425A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26C40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7D652A2">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砷</w:t>
            </w:r>
          </w:p>
        </w:tc>
        <w:tc>
          <w:tcPr>
            <w:tcW w:w="1354" w:type="dxa"/>
            <w:vAlign w:val="center"/>
          </w:tcPr>
          <w:p w14:paraId="69AF144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2AC8C67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15BACEE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646EC9C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55B490D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7D6FB6C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3BF7F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221EAAB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铅</w:t>
            </w:r>
          </w:p>
        </w:tc>
        <w:tc>
          <w:tcPr>
            <w:tcW w:w="1354" w:type="dxa"/>
            <w:vAlign w:val="center"/>
          </w:tcPr>
          <w:p w14:paraId="7F46A3D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4700DF5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614B17F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5AD1DDE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30EBF37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768B611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12A6F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39A3A976">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铁</w:t>
            </w:r>
          </w:p>
        </w:tc>
        <w:tc>
          <w:tcPr>
            <w:tcW w:w="729" w:type="pct"/>
            <w:vAlign w:val="center"/>
          </w:tcPr>
          <w:p w14:paraId="6F7E7E4F">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0.97</w:t>
            </w:r>
          </w:p>
        </w:tc>
        <w:tc>
          <w:tcPr>
            <w:tcW w:w="656" w:type="pct"/>
            <w:shd w:val="clear" w:color="auto" w:fill="auto"/>
            <w:vAlign w:val="center"/>
          </w:tcPr>
          <w:p w14:paraId="7D20674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0.93</w:t>
            </w:r>
          </w:p>
        </w:tc>
        <w:tc>
          <w:tcPr>
            <w:tcW w:w="619" w:type="pct"/>
            <w:shd w:val="clear" w:color="auto" w:fill="auto"/>
            <w:vAlign w:val="center"/>
          </w:tcPr>
          <w:p w14:paraId="77258A8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0.93</w:t>
            </w:r>
          </w:p>
        </w:tc>
        <w:tc>
          <w:tcPr>
            <w:tcW w:w="620" w:type="pct"/>
            <w:shd w:val="clear" w:color="auto" w:fill="auto"/>
            <w:vAlign w:val="center"/>
          </w:tcPr>
          <w:p w14:paraId="2108824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0.97</w:t>
            </w:r>
          </w:p>
        </w:tc>
        <w:tc>
          <w:tcPr>
            <w:tcW w:w="620" w:type="pct"/>
            <w:shd w:val="clear" w:color="auto" w:fill="auto"/>
            <w:vAlign w:val="center"/>
          </w:tcPr>
          <w:p w14:paraId="1988285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0.90</w:t>
            </w:r>
          </w:p>
        </w:tc>
        <w:tc>
          <w:tcPr>
            <w:tcW w:w="620" w:type="pct"/>
            <w:vAlign w:val="center"/>
          </w:tcPr>
          <w:p w14:paraId="6F938D4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0.90</w:t>
            </w:r>
          </w:p>
        </w:tc>
      </w:tr>
      <w:tr w14:paraId="2E264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F24B74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汞</w:t>
            </w:r>
          </w:p>
        </w:tc>
        <w:tc>
          <w:tcPr>
            <w:tcW w:w="1354" w:type="dxa"/>
            <w:vAlign w:val="center"/>
          </w:tcPr>
          <w:p w14:paraId="09D6E49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7FC01CC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06621F5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6030BCE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0838084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1C934DA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0AD3B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38833EF4">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锰</w:t>
            </w:r>
          </w:p>
        </w:tc>
        <w:tc>
          <w:tcPr>
            <w:tcW w:w="729" w:type="pct"/>
            <w:vAlign w:val="center"/>
          </w:tcPr>
          <w:p w14:paraId="4CCBD93C">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0.90</w:t>
            </w:r>
          </w:p>
        </w:tc>
        <w:tc>
          <w:tcPr>
            <w:tcW w:w="656" w:type="pct"/>
            <w:shd w:val="clear" w:color="auto" w:fill="auto"/>
            <w:vAlign w:val="center"/>
          </w:tcPr>
          <w:p w14:paraId="186A165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1.10</w:t>
            </w:r>
          </w:p>
        </w:tc>
        <w:tc>
          <w:tcPr>
            <w:tcW w:w="619" w:type="pct"/>
            <w:shd w:val="clear" w:color="auto" w:fill="auto"/>
            <w:vAlign w:val="center"/>
          </w:tcPr>
          <w:p w14:paraId="5ECFA6A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1.20</w:t>
            </w:r>
          </w:p>
        </w:tc>
        <w:tc>
          <w:tcPr>
            <w:tcW w:w="620" w:type="pct"/>
            <w:shd w:val="clear" w:color="auto" w:fill="auto"/>
            <w:vAlign w:val="center"/>
          </w:tcPr>
          <w:p w14:paraId="25D4523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0.90</w:t>
            </w:r>
          </w:p>
        </w:tc>
        <w:tc>
          <w:tcPr>
            <w:tcW w:w="620" w:type="pct"/>
            <w:shd w:val="clear" w:color="auto" w:fill="auto"/>
            <w:vAlign w:val="center"/>
          </w:tcPr>
          <w:p w14:paraId="394AD34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1.10</w:t>
            </w:r>
          </w:p>
        </w:tc>
        <w:tc>
          <w:tcPr>
            <w:tcW w:w="620" w:type="pct"/>
            <w:vAlign w:val="center"/>
          </w:tcPr>
          <w:p w14:paraId="445A6FB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0.80</w:t>
            </w:r>
          </w:p>
        </w:tc>
      </w:tr>
      <w:tr w14:paraId="490F0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657C40F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镉</w:t>
            </w:r>
          </w:p>
        </w:tc>
        <w:tc>
          <w:tcPr>
            <w:tcW w:w="1354" w:type="dxa"/>
            <w:vAlign w:val="center"/>
          </w:tcPr>
          <w:p w14:paraId="1C52F81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18B133B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6E77BD1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2BD8893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77824A1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71FC5E4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39128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22D460C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石油类</w:t>
            </w:r>
          </w:p>
        </w:tc>
        <w:tc>
          <w:tcPr>
            <w:tcW w:w="1354" w:type="dxa"/>
            <w:vAlign w:val="center"/>
          </w:tcPr>
          <w:p w14:paraId="6023FDC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21CD4BB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24F59CA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7273F2F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5D14784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55F1B70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3E7EC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2F93D222">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总大肠菌群</w:t>
            </w:r>
          </w:p>
        </w:tc>
        <w:tc>
          <w:tcPr>
            <w:tcW w:w="1354" w:type="dxa"/>
            <w:vAlign w:val="center"/>
          </w:tcPr>
          <w:p w14:paraId="1356070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3522EB6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43AB2C0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3389F27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062EC98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7BFC97D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789D9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3DC13CEB">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菌落总数</w:t>
            </w:r>
          </w:p>
        </w:tc>
        <w:tc>
          <w:tcPr>
            <w:tcW w:w="729" w:type="pct"/>
            <w:vAlign w:val="center"/>
          </w:tcPr>
          <w:p w14:paraId="6817AA2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0.11</w:t>
            </w:r>
          </w:p>
        </w:tc>
        <w:tc>
          <w:tcPr>
            <w:tcW w:w="656" w:type="pct"/>
            <w:shd w:val="clear" w:color="auto" w:fill="auto"/>
            <w:vAlign w:val="center"/>
          </w:tcPr>
          <w:p w14:paraId="17CD2B6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0.12</w:t>
            </w:r>
          </w:p>
        </w:tc>
        <w:tc>
          <w:tcPr>
            <w:tcW w:w="619" w:type="pct"/>
            <w:shd w:val="clear" w:color="auto" w:fill="auto"/>
            <w:vAlign w:val="center"/>
          </w:tcPr>
          <w:p w14:paraId="008650A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0.10</w:t>
            </w:r>
          </w:p>
        </w:tc>
        <w:tc>
          <w:tcPr>
            <w:tcW w:w="620" w:type="pct"/>
            <w:shd w:val="clear" w:color="auto" w:fill="auto"/>
            <w:vAlign w:val="center"/>
          </w:tcPr>
          <w:p w14:paraId="776CBB0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0.09</w:t>
            </w:r>
          </w:p>
        </w:tc>
        <w:tc>
          <w:tcPr>
            <w:tcW w:w="620" w:type="pct"/>
            <w:shd w:val="clear" w:color="auto" w:fill="auto"/>
            <w:vAlign w:val="center"/>
          </w:tcPr>
          <w:p w14:paraId="734F192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0.10</w:t>
            </w:r>
          </w:p>
        </w:tc>
        <w:tc>
          <w:tcPr>
            <w:tcW w:w="620" w:type="pct"/>
            <w:vAlign w:val="center"/>
          </w:tcPr>
          <w:p w14:paraId="0A60C0F1">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0.11</w:t>
            </w:r>
          </w:p>
        </w:tc>
      </w:tr>
      <w:tr w14:paraId="358AE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15C11A2C">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硫化物</w:t>
            </w:r>
          </w:p>
        </w:tc>
        <w:tc>
          <w:tcPr>
            <w:tcW w:w="1354" w:type="dxa"/>
            <w:vAlign w:val="center"/>
          </w:tcPr>
          <w:p w14:paraId="7C0EF64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234D7F0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4B1EFB9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6325D7F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462BE45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35EA6B66">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72C3B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2A1EDA1E">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钡</w:t>
            </w:r>
          </w:p>
        </w:tc>
        <w:tc>
          <w:tcPr>
            <w:tcW w:w="1354" w:type="dxa"/>
            <w:vAlign w:val="center"/>
          </w:tcPr>
          <w:p w14:paraId="4FF9D02E">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218" w:type="dxa"/>
            <w:shd w:val="clear" w:color="auto" w:fill="auto"/>
            <w:vAlign w:val="center"/>
          </w:tcPr>
          <w:p w14:paraId="37F13AF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0" w:type="dxa"/>
            <w:shd w:val="clear" w:color="auto" w:fill="auto"/>
            <w:vAlign w:val="center"/>
          </w:tcPr>
          <w:p w14:paraId="31C0348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38A51E4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shd w:val="clear" w:color="auto" w:fill="auto"/>
            <w:vAlign w:val="center"/>
          </w:tcPr>
          <w:p w14:paraId="4608B33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152" w:type="dxa"/>
            <w:vAlign w:val="center"/>
          </w:tcPr>
          <w:p w14:paraId="2642138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bl>
    <w:p w14:paraId="3F73A2B4">
      <w:pPr>
        <w:widowControl w:val="0"/>
        <w:spacing w:line="440" w:lineRule="exact"/>
        <w:ind w:firstLine="482" w:firstLineChars="200"/>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表4.3-11    地下水承压水单因子标准指数计算结果</w:t>
      </w:r>
    </w:p>
    <w:tbl>
      <w:tblPr>
        <w:tblStyle w:val="80"/>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7"/>
        <w:gridCol w:w="3198"/>
        <w:gridCol w:w="3198"/>
      </w:tblGrid>
      <w:tr w14:paraId="44F87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6502575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监测项目</w:t>
            </w:r>
          </w:p>
        </w:tc>
        <w:tc>
          <w:tcPr>
            <w:tcW w:w="1722" w:type="pct"/>
            <w:tcBorders>
              <w:left w:val="single" w:color="auto" w:sz="4" w:space="0"/>
              <w:right w:val="single" w:color="auto" w:sz="4" w:space="0"/>
            </w:tcBorders>
            <w:vAlign w:val="center"/>
          </w:tcPr>
          <w:p w14:paraId="0AC1352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昌德镇</w:t>
            </w:r>
            <w:r>
              <w:rPr>
                <w:rFonts w:hint="eastAsia" w:ascii="Times New Roman" w:hAnsi="Times New Roman" w:cs="Times New Roman" w:eastAsiaTheme="minorEastAsia"/>
                <w:caps w:val="0"/>
                <w:smallCaps w:val="0"/>
                <w:color w:val="auto"/>
                <w:spacing w:val="0"/>
                <w:w w:val="100"/>
                <w:position w:val="0"/>
                <w:sz w:val="21"/>
                <w:szCs w:val="21"/>
                <w:highlight w:val="none"/>
              </w:rPr>
              <w:t>承压水井</w:t>
            </w:r>
          </w:p>
        </w:tc>
        <w:tc>
          <w:tcPr>
            <w:tcW w:w="1722" w:type="pct"/>
            <w:tcBorders>
              <w:left w:val="single" w:color="auto" w:sz="4" w:space="0"/>
              <w:right w:val="single" w:color="auto" w:sz="4" w:space="0"/>
            </w:tcBorders>
            <w:vAlign w:val="center"/>
          </w:tcPr>
          <w:p w14:paraId="056F8297">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曲家屯承压水井</w:t>
            </w:r>
          </w:p>
        </w:tc>
      </w:tr>
      <w:tr w14:paraId="135CE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D4B7AFB">
            <w:pPr>
              <w:spacing w:line="36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Na</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p>
        </w:tc>
        <w:tc>
          <w:tcPr>
            <w:tcW w:w="3198" w:type="dxa"/>
            <w:vAlign w:val="center"/>
          </w:tcPr>
          <w:p w14:paraId="412CBE0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0.21</w:t>
            </w:r>
          </w:p>
        </w:tc>
        <w:tc>
          <w:tcPr>
            <w:tcW w:w="3198" w:type="dxa"/>
            <w:vAlign w:val="center"/>
          </w:tcPr>
          <w:p w14:paraId="5853E50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0.22</w:t>
            </w:r>
          </w:p>
        </w:tc>
      </w:tr>
      <w:tr w14:paraId="6B90D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674A635B">
            <w:pPr>
              <w:spacing w:line="36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Cl</w:t>
            </w:r>
            <w:r>
              <w:rPr>
                <w:rFonts w:ascii="Times New Roman" w:hAnsi="Times New Roman" w:cs="Times New Roman" w:eastAsiaTheme="minorEastAsia"/>
                <w:caps w:val="0"/>
                <w:smallCaps w:val="0"/>
                <w:color w:val="auto"/>
                <w:spacing w:val="0"/>
                <w:w w:val="100"/>
                <w:position w:val="0"/>
                <w:sz w:val="21"/>
                <w:szCs w:val="21"/>
                <w:highlight w:val="none"/>
                <w:vertAlign w:val="superscript"/>
              </w:rPr>
              <w:t>-</w:t>
            </w:r>
          </w:p>
        </w:tc>
        <w:tc>
          <w:tcPr>
            <w:tcW w:w="3198" w:type="dxa"/>
            <w:vAlign w:val="center"/>
          </w:tcPr>
          <w:p w14:paraId="7938A71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0.13</w:t>
            </w:r>
          </w:p>
        </w:tc>
        <w:tc>
          <w:tcPr>
            <w:tcW w:w="3198" w:type="dxa"/>
            <w:vAlign w:val="center"/>
          </w:tcPr>
          <w:p w14:paraId="7E17BAD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0.14</w:t>
            </w:r>
          </w:p>
        </w:tc>
      </w:tr>
      <w:tr w14:paraId="5DE0A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5C66E98E">
            <w:pPr>
              <w:spacing w:line="360" w:lineRule="exact"/>
              <w:jc w:val="center"/>
              <w:textAlignment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SO</w:t>
            </w:r>
            <w:r>
              <w:rPr>
                <w:rFonts w:ascii="Times New Roman" w:hAnsi="Times New Roman" w:cs="Times New Roman" w:eastAsiaTheme="minorEastAsia"/>
                <w:caps w:val="0"/>
                <w:smallCaps w:val="0"/>
                <w:color w:val="auto"/>
                <w:spacing w:val="0"/>
                <w:w w:val="100"/>
                <w:position w:val="0"/>
                <w:sz w:val="21"/>
                <w:szCs w:val="21"/>
                <w:highlight w:val="none"/>
                <w:vertAlign w:val="subscript"/>
              </w:rPr>
              <w:t>4</w:t>
            </w:r>
            <w:r>
              <w:rPr>
                <w:rFonts w:ascii="Times New Roman" w:hAnsi="Times New Roman" w:cs="Times New Roman" w:eastAsiaTheme="minorEastAsia"/>
                <w:caps w:val="0"/>
                <w:smallCaps w:val="0"/>
                <w:color w:val="auto"/>
                <w:spacing w:val="0"/>
                <w:w w:val="100"/>
                <w:position w:val="0"/>
                <w:sz w:val="21"/>
                <w:szCs w:val="21"/>
                <w:highlight w:val="none"/>
                <w:vertAlign w:val="superscript"/>
              </w:rPr>
              <w:t>2-</w:t>
            </w:r>
          </w:p>
        </w:tc>
        <w:tc>
          <w:tcPr>
            <w:tcW w:w="3198" w:type="dxa"/>
            <w:vAlign w:val="center"/>
          </w:tcPr>
          <w:p w14:paraId="18C2AFB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0.10</w:t>
            </w:r>
          </w:p>
        </w:tc>
        <w:tc>
          <w:tcPr>
            <w:tcW w:w="3198" w:type="dxa"/>
            <w:vAlign w:val="center"/>
          </w:tcPr>
          <w:p w14:paraId="29129E5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0.11</w:t>
            </w:r>
          </w:p>
        </w:tc>
      </w:tr>
      <w:tr w14:paraId="5D020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5430BB8D">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pH</w:t>
            </w:r>
          </w:p>
        </w:tc>
        <w:tc>
          <w:tcPr>
            <w:tcW w:w="1722" w:type="pct"/>
            <w:vAlign w:val="center"/>
          </w:tcPr>
          <w:p w14:paraId="51F78F56">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0.40</w:t>
            </w:r>
          </w:p>
        </w:tc>
        <w:tc>
          <w:tcPr>
            <w:tcW w:w="1722" w:type="pct"/>
            <w:vAlign w:val="center"/>
          </w:tcPr>
          <w:p w14:paraId="4E62C2E2">
            <w:pPr>
              <w:spacing w:line="320" w:lineRule="exact"/>
              <w:jc w:val="center"/>
              <w:textAlignment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0.33</w:t>
            </w:r>
          </w:p>
        </w:tc>
      </w:tr>
      <w:tr w14:paraId="5945A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3E67659D">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总硬度</w:t>
            </w:r>
          </w:p>
        </w:tc>
        <w:tc>
          <w:tcPr>
            <w:tcW w:w="3198" w:type="dxa"/>
            <w:vAlign w:val="center"/>
          </w:tcPr>
          <w:p w14:paraId="3D302A2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0.24</w:t>
            </w:r>
          </w:p>
        </w:tc>
        <w:tc>
          <w:tcPr>
            <w:tcW w:w="3198" w:type="dxa"/>
            <w:vAlign w:val="center"/>
          </w:tcPr>
          <w:p w14:paraId="538DDAC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0.24</w:t>
            </w:r>
          </w:p>
        </w:tc>
      </w:tr>
      <w:tr w14:paraId="44937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521AD04D">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溶解性总固体</w:t>
            </w:r>
          </w:p>
        </w:tc>
        <w:tc>
          <w:tcPr>
            <w:tcW w:w="3198" w:type="dxa"/>
            <w:vAlign w:val="center"/>
          </w:tcPr>
          <w:p w14:paraId="7288AB8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0.36</w:t>
            </w:r>
          </w:p>
        </w:tc>
        <w:tc>
          <w:tcPr>
            <w:tcW w:w="3198" w:type="dxa"/>
            <w:vAlign w:val="center"/>
          </w:tcPr>
          <w:p w14:paraId="118EE2C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0.36</w:t>
            </w:r>
          </w:p>
        </w:tc>
      </w:tr>
      <w:tr w14:paraId="746F1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61FD223">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耗氧量</w:t>
            </w:r>
          </w:p>
        </w:tc>
        <w:tc>
          <w:tcPr>
            <w:tcW w:w="3198" w:type="dxa"/>
            <w:vAlign w:val="center"/>
          </w:tcPr>
          <w:p w14:paraId="719CA97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0.57</w:t>
            </w:r>
          </w:p>
        </w:tc>
        <w:tc>
          <w:tcPr>
            <w:tcW w:w="3198" w:type="dxa"/>
            <w:vAlign w:val="center"/>
          </w:tcPr>
          <w:p w14:paraId="233A176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0.53</w:t>
            </w:r>
          </w:p>
        </w:tc>
      </w:tr>
      <w:tr w14:paraId="131A1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21A4C017">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挥发性酚类</w:t>
            </w:r>
          </w:p>
        </w:tc>
        <w:tc>
          <w:tcPr>
            <w:tcW w:w="1722" w:type="pct"/>
            <w:vAlign w:val="center"/>
          </w:tcPr>
          <w:p w14:paraId="54201EAA">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37229F4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7768E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2CDC4570">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氰化物</w:t>
            </w:r>
          </w:p>
        </w:tc>
        <w:tc>
          <w:tcPr>
            <w:tcW w:w="1722" w:type="pct"/>
            <w:vAlign w:val="center"/>
          </w:tcPr>
          <w:p w14:paraId="78A4926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4E387CF1">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5D4F5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D3544CC">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氟化物</w:t>
            </w:r>
          </w:p>
        </w:tc>
        <w:tc>
          <w:tcPr>
            <w:tcW w:w="3198" w:type="dxa"/>
            <w:vAlign w:val="center"/>
          </w:tcPr>
          <w:p w14:paraId="571C421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0.20</w:t>
            </w:r>
          </w:p>
        </w:tc>
        <w:tc>
          <w:tcPr>
            <w:tcW w:w="3198" w:type="dxa"/>
            <w:vAlign w:val="center"/>
          </w:tcPr>
          <w:p w14:paraId="23726F4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0.18</w:t>
            </w:r>
          </w:p>
        </w:tc>
      </w:tr>
      <w:tr w14:paraId="7E3F7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67A4687">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硝酸盐</w:t>
            </w:r>
          </w:p>
        </w:tc>
        <w:tc>
          <w:tcPr>
            <w:tcW w:w="3198" w:type="dxa"/>
            <w:vAlign w:val="center"/>
          </w:tcPr>
          <w:p w14:paraId="673B7859">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0.07</w:t>
            </w:r>
          </w:p>
        </w:tc>
        <w:tc>
          <w:tcPr>
            <w:tcW w:w="3198" w:type="dxa"/>
            <w:vAlign w:val="center"/>
          </w:tcPr>
          <w:p w14:paraId="248AFF7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0.06</w:t>
            </w:r>
          </w:p>
        </w:tc>
      </w:tr>
      <w:tr w14:paraId="5F72E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44674AD8">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亚硝酸盐</w:t>
            </w:r>
          </w:p>
        </w:tc>
        <w:tc>
          <w:tcPr>
            <w:tcW w:w="1722" w:type="pct"/>
            <w:vAlign w:val="center"/>
          </w:tcPr>
          <w:p w14:paraId="0C14404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4AA9D97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4ED3F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BA843FD">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bCs/>
                <w:caps w:val="0"/>
                <w:smallCaps w:val="0"/>
                <w:color w:val="auto"/>
                <w:spacing w:val="0"/>
                <w:w w:val="100"/>
                <w:position w:val="0"/>
                <w:sz w:val="21"/>
                <w:szCs w:val="21"/>
                <w:highlight w:val="none"/>
              </w:rPr>
              <w:t>氨氮</w:t>
            </w:r>
          </w:p>
        </w:tc>
        <w:tc>
          <w:tcPr>
            <w:tcW w:w="3198" w:type="dxa"/>
            <w:vAlign w:val="center"/>
          </w:tcPr>
          <w:p w14:paraId="3D0D963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0.31</w:t>
            </w:r>
          </w:p>
        </w:tc>
        <w:tc>
          <w:tcPr>
            <w:tcW w:w="3198" w:type="dxa"/>
            <w:vAlign w:val="center"/>
          </w:tcPr>
          <w:p w14:paraId="54492E8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0.29</w:t>
            </w:r>
          </w:p>
        </w:tc>
      </w:tr>
      <w:tr w14:paraId="16428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1F91D895">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六价铬</w:t>
            </w:r>
          </w:p>
        </w:tc>
        <w:tc>
          <w:tcPr>
            <w:tcW w:w="1722" w:type="pct"/>
            <w:vAlign w:val="center"/>
          </w:tcPr>
          <w:p w14:paraId="500B036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644036D5">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12117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2366A87F">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砷</w:t>
            </w:r>
          </w:p>
        </w:tc>
        <w:tc>
          <w:tcPr>
            <w:tcW w:w="1722" w:type="pct"/>
            <w:vAlign w:val="center"/>
          </w:tcPr>
          <w:p w14:paraId="48E728ED">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35B295E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6CE85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9F44D18">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铅</w:t>
            </w:r>
          </w:p>
        </w:tc>
        <w:tc>
          <w:tcPr>
            <w:tcW w:w="1722" w:type="pct"/>
            <w:vAlign w:val="center"/>
          </w:tcPr>
          <w:p w14:paraId="4E1A1E9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15B7F3D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04D75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510F2D3">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铁</w:t>
            </w:r>
          </w:p>
        </w:tc>
        <w:tc>
          <w:tcPr>
            <w:tcW w:w="3198" w:type="dxa"/>
            <w:vAlign w:val="center"/>
          </w:tcPr>
          <w:p w14:paraId="7F783FC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0.70</w:t>
            </w:r>
          </w:p>
        </w:tc>
        <w:tc>
          <w:tcPr>
            <w:tcW w:w="3198" w:type="dxa"/>
            <w:vAlign w:val="center"/>
          </w:tcPr>
          <w:p w14:paraId="717D0ED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0.67</w:t>
            </w:r>
          </w:p>
        </w:tc>
      </w:tr>
      <w:tr w14:paraId="14D77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A74D872">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汞</w:t>
            </w:r>
          </w:p>
        </w:tc>
        <w:tc>
          <w:tcPr>
            <w:tcW w:w="1722" w:type="pct"/>
            <w:vAlign w:val="center"/>
          </w:tcPr>
          <w:p w14:paraId="07AEAA0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28AE338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2D843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41FB704C">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锰</w:t>
            </w:r>
          </w:p>
        </w:tc>
        <w:tc>
          <w:tcPr>
            <w:tcW w:w="3198" w:type="dxa"/>
            <w:vAlign w:val="center"/>
          </w:tcPr>
          <w:p w14:paraId="43827FB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0.30</w:t>
            </w:r>
          </w:p>
        </w:tc>
        <w:tc>
          <w:tcPr>
            <w:tcW w:w="3198" w:type="dxa"/>
            <w:vAlign w:val="center"/>
          </w:tcPr>
          <w:p w14:paraId="7E8EE9A7">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0.20</w:t>
            </w:r>
          </w:p>
        </w:tc>
      </w:tr>
      <w:tr w14:paraId="0E5D0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F7B3477">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镉</w:t>
            </w:r>
          </w:p>
        </w:tc>
        <w:tc>
          <w:tcPr>
            <w:tcW w:w="1722" w:type="pct"/>
            <w:vAlign w:val="center"/>
          </w:tcPr>
          <w:p w14:paraId="42B2EC7B">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5C355953">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64687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C4722E1">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石油类</w:t>
            </w:r>
          </w:p>
        </w:tc>
        <w:tc>
          <w:tcPr>
            <w:tcW w:w="1722" w:type="pct"/>
            <w:vAlign w:val="center"/>
          </w:tcPr>
          <w:p w14:paraId="21A3726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3541A8E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1B7B8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62EB6FDA">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总大肠菌群</w:t>
            </w:r>
          </w:p>
        </w:tc>
        <w:tc>
          <w:tcPr>
            <w:tcW w:w="1722" w:type="pct"/>
            <w:vAlign w:val="center"/>
          </w:tcPr>
          <w:p w14:paraId="57E44AFC">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09A4259F">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07EAA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F199A49">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菌落总数</w:t>
            </w:r>
          </w:p>
        </w:tc>
        <w:tc>
          <w:tcPr>
            <w:tcW w:w="3198" w:type="dxa"/>
            <w:vAlign w:val="center"/>
          </w:tcPr>
          <w:p w14:paraId="5C084D52">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0.08</w:t>
            </w:r>
          </w:p>
        </w:tc>
        <w:tc>
          <w:tcPr>
            <w:tcW w:w="3198" w:type="dxa"/>
            <w:vAlign w:val="center"/>
          </w:tcPr>
          <w:p w14:paraId="31A3885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0.07</w:t>
            </w:r>
          </w:p>
        </w:tc>
      </w:tr>
      <w:tr w14:paraId="3AB7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5D72E759">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硫化物</w:t>
            </w:r>
          </w:p>
        </w:tc>
        <w:tc>
          <w:tcPr>
            <w:tcW w:w="1722" w:type="pct"/>
            <w:vAlign w:val="center"/>
          </w:tcPr>
          <w:p w14:paraId="6B0B7D40">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71BE8A98">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r w14:paraId="38A44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4F056947">
            <w:pPr>
              <w:adjustRightInd w:val="0"/>
              <w:snapToGrid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钡</w:t>
            </w:r>
          </w:p>
        </w:tc>
        <w:tc>
          <w:tcPr>
            <w:tcW w:w="1722" w:type="pct"/>
            <w:vAlign w:val="center"/>
          </w:tcPr>
          <w:p w14:paraId="391ADC4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c>
          <w:tcPr>
            <w:tcW w:w="1722" w:type="pct"/>
            <w:vAlign w:val="center"/>
          </w:tcPr>
          <w:p w14:paraId="2D212784">
            <w:pPr>
              <w:spacing w:line="320" w:lineRule="exact"/>
              <w:jc w:val="center"/>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ND</w:t>
            </w:r>
          </w:p>
        </w:tc>
      </w:tr>
    </w:tbl>
    <w:p w14:paraId="79CB6C52">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由以上地下水单因子标准指数分析可知，评价区域地下水水质除潜水中锰外均满足《地下水质量标准》（GB/T148488-2017）中的Ⅲ类标准要求，石油类满足《地表水环境质量标准》（GB3838-2002）</w:t>
      </w:r>
      <w:r>
        <w:rPr>
          <w:rFonts w:ascii="Times New Roman" w:hAnsi="Times New Roman" w:cs="Times New Roman" w:eastAsiaTheme="minorEastAsia"/>
          <w:caps w:val="0"/>
          <w:smallCaps w:val="0"/>
          <w:color w:val="auto"/>
          <w:spacing w:val="0"/>
          <w:w w:val="100"/>
          <w:kern w:val="21"/>
          <w:position w:val="0"/>
          <w:highlight w:val="none"/>
        </w:rPr>
        <w:fldChar w:fldCharType="begin"/>
      </w:r>
      <w:r>
        <w:rPr>
          <w:rFonts w:ascii="Times New Roman" w:hAnsi="Times New Roman" w:cs="Times New Roman" w:eastAsiaTheme="minorEastAsia"/>
          <w:caps w:val="0"/>
          <w:smallCaps w:val="0"/>
          <w:color w:val="auto"/>
          <w:spacing w:val="0"/>
          <w:w w:val="100"/>
          <w:kern w:val="21"/>
          <w:position w:val="0"/>
          <w:highlight w:val="none"/>
        </w:rPr>
        <w:instrText xml:space="preserve"> = 2 \* ROMAN </w:instrText>
      </w:r>
      <w:r>
        <w:rPr>
          <w:rFonts w:ascii="Times New Roman" w:hAnsi="Times New Roman" w:cs="Times New Roman" w:eastAsiaTheme="minorEastAsia"/>
          <w:caps w:val="0"/>
          <w:smallCaps w:val="0"/>
          <w:color w:val="auto"/>
          <w:spacing w:val="0"/>
          <w:w w:val="100"/>
          <w:kern w:val="21"/>
          <w:position w:val="0"/>
          <w:highlight w:val="none"/>
        </w:rPr>
        <w:fldChar w:fldCharType="separate"/>
      </w:r>
      <w:r>
        <w:rPr>
          <w:rFonts w:ascii="Times New Roman" w:hAnsi="Times New Roman" w:cs="Times New Roman" w:eastAsiaTheme="minorEastAsia"/>
          <w:caps w:val="0"/>
          <w:smallCaps w:val="0"/>
          <w:color w:val="auto"/>
          <w:spacing w:val="0"/>
          <w:w w:val="100"/>
          <w:kern w:val="21"/>
          <w:position w:val="0"/>
          <w:highlight w:val="none"/>
        </w:rPr>
        <w:t>II</w:t>
      </w:r>
      <w:r>
        <w:rPr>
          <w:rFonts w:ascii="Times New Roman" w:hAnsi="Times New Roman" w:cs="Times New Roman" w:eastAsiaTheme="minorEastAsia"/>
          <w:caps w:val="0"/>
          <w:smallCaps w:val="0"/>
          <w:color w:val="auto"/>
          <w:spacing w:val="0"/>
          <w:w w:val="100"/>
          <w:kern w:val="21"/>
          <w:position w:val="0"/>
          <w:highlight w:val="none"/>
        </w:rPr>
        <w:fldChar w:fldCharType="end"/>
      </w:r>
      <w:r>
        <w:rPr>
          <w:rFonts w:ascii="Times New Roman" w:hAnsi="Times New Roman" w:cs="Times New Roman" w:eastAsiaTheme="minorEastAsia"/>
          <w:caps w:val="0"/>
          <w:smallCaps w:val="0"/>
          <w:color w:val="auto"/>
          <w:spacing w:val="0"/>
          <w:w w:val="100"/>
          <w:kern w:val="21"/>
          <w:position w:val="0"/>
          <w:highlight w:val="none"/>
        </w:rPr>
        <w:t>类标准。其中锰因子水质监测浓度占标率偏高，主要是由于评价区域地层中富含锰矿物，还原条件下转化的Mn</w:t>
      </w:r>
      <w:r>
        <w:rPr>
          <w:rFonts w:ascii="Times New Roman" w:hAnsi="Times New Roman" w:cs="Times New Roman" w:eastAsiaTheme="minorEastAsia"/>
          <w:caps w:val="0"/>
          <w:smallCaps w:val="0"/>
          <w:color w:val="auto"/>
          <w:spacing w:val="0"/>
          <w:w w:val="100"/>
          <w:kern w:val="21"/>
          <w:position w:val="0"/>
          <w:highlight w:val="none"/>
          <w:vertAlign w:val="superscript"/>
        </w:rPr>
        <w:t>2+</w:t>
      </w:r>
      <w:r>
        <w:rPr>
          <w:rFonts w:ascii="Times New Roman" w:hAnsi="Times New Roman" w:cs="Times New Roman" w:eastAsiaTheme="minorEastAsia"/>
          <w:caps w:val="0"/>
          <w:smallCaps w:val="0"/>
          <w:color w:val="auto"/>
          <w:spacing w:val="0"/>
          <w:w w:val="100"/>
          <w:kern w:val="21"/>
          <w:position w:val="0"/>
          <w:highlight w:val="none"/>
        </w:rPr>
        <w:t>在CO</w:t>
      </w:r>
      <w:r>
        <w:rPr>
          <w:rFonts w:ascii="Times New Roman" w:hAnsi="Times New Roman" w:cs="Times New Roman" w:eastAsiaTheme="minorEastAsia"/>
          <w:caps w:val="0"/>
          <w:smallCaps w:val="0"/>
          <w:color w:val="auto"/>
          <w:spacing w:val="0"/>
          <w:w w:val="100"/>
          <w:kern w:val="21"/>
          <w:position w:val="0"/>
          <w:highlight w:val="none"/>
          <w:vertAlign w:val="subscript"/>
        </w:rPr>
        <w:t>2</w:t>
      </w:r>
      <w:r>
        <w:rPr>
          <w:rFonts w:ascii="Times New Roman" w:hAnsi="Times New Roman" w:cs="Times New Roman" w:eastAsiaTheme="minorEastAsia"/>
          <w:caps w:val="0"/>
          <w:smallCaps w:val="0"/>
          <w:color w:val="auto"/>
          <w:spacing w:val="0"/>
          <w:w w:val="100"/>
          <w:kern w:val="21"/>
          <w:position w:val="0"/>
          <w:highlight w:val="none"/>
        </w:rPr>
        <w:t>作用下溶入地下水中，形成锰浓度偏高的水文地质化学环境。</w:t>
      </w:r>
    </w:p>
    <w:p w14:paraId="5CD4B88A">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（4）区域地下水化学类型分析</w:t>
      </w:r>
    </w:p>
    <w:p w14:paraId="3274D1E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0"/>
          <w:highlight w:val="none"/>
        </w:rPr>
      </w:pPr>
      <w:r>
        <w:rPr>
          <w:rFonts w:ascii="Times New Roman" w:hAnsi="Times New Roman" w:cs="Times New Roman" w:eastAsiaTheme="minorEastAsia"/>
          <w:caps w:val="0"/>
          <w:smallCaps w:val="0"/>
          <w:color w:val="auto"/>
          <w:spacing w:val="0"/>
          <w:w w:val="100"/>
          <w:position w:val="0"/>
          <w:szCs w:val="20"/>
          <w:highlight w:val="none"/>
        </w:rPr>
        <w:t>根据舒卡列夫分类法，按地下水中Ca</w:t>
      </w:r>
      <w:r>
        <w:rPr>
          <w:rFonts w:ascii="Times New Roman" w:hAnsi="Times New Roman" w:cs="Times New Roman" w:eastAsiaTheme="minorEastAsia"/>
          <w:caps w:val="0"/>
          <w:smallCaps w:val="0"/>
          <w:color w:val="auto"/>
          <w:spacing w:val="0"/>
          <w:w w:val="100"/>
          <w:position w:val="0"/>
          <w:szCs w:val="20"/>
          <w:highlight w:val="none"/>
          <w:vertAlign w:val="superscript"/>
        </w:rPr>
        <w:t>2+</w:t>
      </w:r>
      <w:r>
        <w:rPr>
          <w:rFonts w:ascii="Times New Roman" w:hAnsi="Times New Roman" w:cs="Times New Roman" w:eastAsiaTheme="minorEastAsia"/>
          <w:caps w:val="0"/>
          <w:smallCaps w:val="0"/>
          <w:color w:val="auto"/>
          <w:spacing w:val="0"/>
          <w:w w:val="100"/>
          <w:position w:val="0"/>
          <w:szCs w:val="20"/>
          <w:highlight w:val="none"/>
        </w:rPr>
        <w:t>、Mg</w:t>
      </w:r>
      <w:r>
        <w:rPr>
          <w:rFonts w:ascii="Times New Roman" w:hAnsi="Times New Roman" w:cs="Times New Roman" w:eastAsiaTheme="minorEastAsia"/>
          <w:caps w:val="0"/>
          <w:smallCaps w:val="0"/>
          <w:color w:val="auto"/>
          <w:spacing w:val="0"/>
          <w:w w:val="100"/>
          <w:position w:val="0"/>
          <w:szCs w:val="20"/>
          <w:highlight w:val="none"/>
          <w:vertAlign w:val="superscript"/>
        </w:rPr>
        <w:t>2+</w:t>
      </w:r>
      <w:r>
        <w:rPr>
          <w:rFonts w:ascii="Times New Roman" w:hAnsi="Times New Roman" w:cs="Times New Roman" w:eastAsiaTheme="minorEastAsia"/>
          <w:caps w:val="0"/>
          <w:smallCaps w:val="0"/>
          <w:color w:val="auto"/>
          <w:spacing w:val="0"/>
          <w:w w:val="100"/>
          <w:position w:val="0"/>
          <w:szCs w:val="20"/>
          <w:highlight w:val="none"/>
        </w:rPr>
        <w:t>、Na</w:t>
      </w:r>
      <w:r>
        <w:rPr>
          <w:rFonts w:ascii="Times New Roman" w:hAnsi="Times New Roman" w:cs="Times New Roman" w:eastAsiaTheme="minorEastAsia"/>
          <w:caps w:val="0"/>
          <w:smallCaps w:val="0"/>
          <w:color w:val="auto"/>
          <w:spacing w:val="0"/>
          <w:w w:val="100"/>
          <w:position w:val="0"/>
          <w:szCs w:val="20"/>
          <w:highlight w:val="none"/>
          <w:vertAlign w:val="superscript"/>
        </w:rPr>
        <w:t>+</w:t>
      </w:r>
      <w:r>
        <w:rPr>
          <w:rFonts w:ascii="Times New Roman" w:hAnsi="Times New Roman" w:cs="Times New Roman" w:eastAsiaTheme="minorEastAsia"/>
          <w:caps w:val="0"/>
          <w:smallCaps w:val="0"/>
          <w:color w:val="auto"/>
          <w:spacing w:val="0"/>
          <w:w w:val="100"/>
          <w:position w:val="0"/>
          <w:szCs w:val="20"/>
          <w:highlight w:val="none"/>
        </w:rPr>
        <w:t>、K</w:t>
      </w:r>
      <w:r>
        <w:rPr>
          <w:rFonts w:ascii="Times New Roman" w:hAnsi="Times New Roman" w:cs="Times New Roman" w:eastAsiaTheme="minorEastAsia"/>
          <w:caps w:val="0"/>
          <w:smallCaps w:val="0"/>
          <w:color w:val="auto"/>
          <w:spacing w:val="0"/>
          <w:w w:val="100"/>
          <w:position w:val="0"/>
          <w:szCs w:val="20"/>
          <w:highlight w:val="none"/>
          <w:vertAlign w:val="superscript"/>
        </w:rPr>
        <w:t>+</w:t>
      </w:r>
      <w:r>
        <w:rPr>
          <w:rFonts w:ascii="Times New Roman" w:hAnsi="Times New Roman" w:cs="Times New Roman" w:eastAsiaTheme="minorEastAsia"/>
          <w:caps w:val="0"/>
          <w:smallCaps w:val="0"/>
          <w:color w:val="auto"/>
          <w:spacing w:val="0"/>
          <w:w w:val="100"/>
          <w:position w:val="0"/>
          <w:szCs w:val="20"/>
          <w:highlight w:val="none"/>
        </w:rPr>
        <w:t>、Cl</w:t>
      </w:r>
      <w:r>
        <w:rPr>
          <w:rFonts w:ascii="Times New Roman" w:hAnsi="Times New Roman" w:cs="Times New Roman" w:eastAsiaTheme="minorEastAsia"/>
          <w:caps w:val="0"/>
          <w:smallCaps w:val="0"/>
          <w:color w:val="auto"/>
          <w:spacing w:val="0"/>
          <w:w w:val="100"/>
          <w:position w:val="0"/>
          <w:szCs w:val="20"/>
          <w:highlight w:val="none"/>
          <w:vertAlign w:val="superscript"/>
        </w:rPr>
        <w:t>-</w:t>
      </w:r>
      <w:r>
        <w:rPr>
          <w:rFonts w:ascii="Times New Roman" w:hAnsi="Times New Roman" w:cs="Times New Roman" w:eastAsiaTheme="minorEastAsia"/>
          <w:caps w:val="0"/>
          <w:smallCaps w:val="0"/>
          <w:color w:val="auto"/>
          <w:spacing w:val="0"/>
          <w:w w:val="100"/>
          <w:position w:val="0"/>
          <w:szCs w:val="20"/>
          <w:highlight w:val="none"/>
        </w:rPr>
        <w:t>、SO</w:t>
      </w:r>
      <w:r>
        <w:rPr>
          <w:rFonts w:ascii="Times New Roman" w:hAnsi="Times New Roman" w:cs="Times New Roman" w:eastAsiaTheme="minorEastAsia"/>
          <w:caps w:val="0"/>
          <w:smallCaps w:val="0"/>
          <w:color w:val="auto"/>
          <w:spacing w:val="0"/>
          <w:w w:val="100"/>
          <w:position w:val="0"/>
          <w:szCs w:val="20"/>
          <w:highlight w:val="none"/>
          <w:vertAlign w:val="subscript"/>
        </w:rPr>
        <w:t>4</w:t>
      </w:r>
      <w:r>
        <w:rPr>
          <w:rFonts w:ascii="Times New Roman" w:hAnsi="Times New Roman" w:cs="Times New Roman" w:eastAsiaTheme="minorEastAsia"/>
          <w:caps w:val="0"/>
          <w:smallCaps w:val="0"/>
          <w:color w:val="auto"/>
          <w:spacing w:val="0"/>
          <w:w w:val="100"/>
          <w:position w:val="0"/>
          <w:szCs w:val="20"/>
          <w:highlight w:val="none"/>
          <w:vertAlign w:val="superscript"/>
        </w:rPr>
        <w:t>2-</w:t>
      </w:r>
      <w:r>
        <w:rPr>
          <w:rFonts w:ascii="Times New Roman" w:hAnsi="Times New Roman" w:cs="Times New Roman" w:eastAsiaTheme="minorEastAsia"/>
          <w:caps w:val="0"/>
          <w:smallCaps w:val="0"/>
          <w:color w:val="auto"/>
          <w:spacing w:val="0"/>
          <w:w w:val="100"/>
          <w:position w:val="0"/>
          <w:szCs w:val="20"/>
          <w:highlight w:val="none"/>
        </w:rPr>
        <w:t>、HCO</w:t>
      </w:r>
      <w:r>
        <w:rPr>
          <w:rFonts w:ascii="Times New Roman" w:hAnsi="Times New Roman" w:cs="Times New Roman" w:eastAsiaTheme="minorEastAsia"/>
          <w:caps w:val="0"/>
          <w:smallCaps w:val="0"/>
          <w:color w:val="auto"/>
          <w:spacing w:val="0"/>
          <w:w w:val="100"/>
          <w:position w:val="0"/>
          <w:szCs w:val="20"/>
          <w:highlight w:val="none"/>
          <w:vertAlign w:val="subscript"/>
        </w:rPr>
        <w:t>3</w:t>
      </w:r>
      <w:r>
        <w:rPr>
          <w:rFonts w:ascii="Times New Roman" w:hAnsi="Times New Roman" w:cs="Times New Roman" w:eastAsiaTheme="minorEastAsia"/>
          <w:caps w:val="0"/>
          <w:smallCaps w:val="0"/>
          <w:color w:val="auto"/>
          <w:spacing w:val="0"/>
          <w:w w:val="100"/>
          <w:position w:val="0"/>
          <w:szCs w:val="20"/>
          <w:highlight w:val="none"/>
          <w:vertAlign w:val="superscript"/>
        </w:rPr>
        <w:t>-</w:t>
      </w:r>
      <w:r>
        <w:rPr>
          <w:rFonts w:ascii="Times New Roman" w:hAnsi="Times New Roman" w:cs="Times New Roman" w:eastAsiaTheme="minorEastAsia"/>
          <w:caps w:val="0"/>
          <w:smallCaps w:val="0"/>
          <w:color w:val="auto"/>
          <w:spacing w:val="0"/>
          <w:w w:val="100"/>
          <w:position w:val="0"/>
          <w:szCs w:val="20"/>
          <w:highlight w:val="none"/>
        </w:rPr>
        <w:t>含量，将Meq（毫克当量）百分数大于25% 的阴、阳离子进行组合，每种类型以阿拉伯数字为代号，共49类。舒卡列夫分类表见</w:t>
      </w:r>
      <w:r>
        <w:rPr>
          <w:rFonts w:ascii="Times New Roman" w:hAnsi="Times New Roman" w:cs="Times New Roman" w:eastAsiaTheme="minorEastAsia"/>
          <w:caps w:val="0"/>
          <w:smallCaps w:val="0"/>
          <w:color w:val="auto"/>
          <w:spacing w:val="0"/>
          <w:w w:val="100"/>
          <w:position w:val="0"/>
          <w:highlight w:val="none"/>
        </w:rPr>
        <w:t>表4.3-</w:t>
      </w:r>
      <w:r>
        <w:rPr>
          <w:rFonts w:ascii="Times New Roman" w:hAnsi="Times New Roman" w:cs="Times New Roman" w:eastAsiaTheme="minorEastAsia"/>
          <w:caps w:val="0"/>
          <w:smallCaps w:val="0"/>
          <w:color w:val="auto"/>
          <w:spacing w:val="0"/>
          <w:w w:val="100"/>
          <w:position w:val="0"/>
          <w:szCs w:val="20"/>
          <w:highlight w:val="none"/>
        </w:rPr>
        <w:t xml:space="preserve">12。 </w:t>
      </w:r>
    </w:p>
    <w:p w14:paraId="072E989D">
      <w:pPr>
        <w:widowControl w:val="0"/>
        <w:spacing w:line="440" w:lineRule="exact"/>
        <w:ind w:firstLine="482" w:firstLineChars="200"/>
        <w:rPr>
          <w:rFonts w:ascii="Times New Roman" w:hAnsi="Times New Roman" w:cs="Times New Roman" w:eastAsiaTheme="minorEastAsia"/>
          <w:b/>
          <w:caps w:val="0"/>
          <w:smallCaps w:val="0"/>
          <w:color w:val="auto"/>
          <w:spacing w:val="0"/>
          <w:w w:val="100"/>
          <w:position w:val="0"/>
          <w:szCs w:val="20"/>
          <w:highlight w:val="none"/>
        </w:rPr>
      </w:pPr>
      <w:r>
        <w:rPr>
          <w:rFonts w:ascii="Times New Roman" w:hAnsi="Times New Roman" w:cs="Times New Roman" w:eastAsiaTheme="minorEastAsia"/>
          <w:b/>
          <w:caps w:val="0"/>
          <w:smallCaps w:val="0"/>
          <w:color w:val="auto"/>
          <w:spacing w:val="0"/>
          <w:w w:val="100"/>
          <w:position w:val="0"/>
          <w:highlight w:val="none"/>
        </w:rPr>
        <w:t>表4.3-</w:t>
      </w:r>
      <w:r>
        <w:rPr>
          <w:rFonts w:ascii="Times New Roman" w:hAnsi="Times New Roman" w:cs="Times New Roman" w:eastAsiaTheme="minorEastAsia"/>
          <w:b/>
          <w:caps w:val="0"/>
          <w:smallCaps w:val="0"/>
          <w:color w:val="auto"/>
          <w:spacing w:val="0"/>
          <w:w w:val="100"/>
          <w:position w:val="0"/>
          <w:szCs w:val="20"/>
          <w:highlight w:val="none"/>
        </w:rPr>
        <w:t xml:space="preserve">12    </w:t>
      </w:r>
      <w:r>
        <w:rPr>
          <w:rFonts w:ascii="Times New Roman" w:hAnsi="Times New Roman" w:cs="Times New Roman" w:eastAsiaTheme="minorEastAsia"/>
          <w:b/>
          <w:caps w:val="0"/>
          <w:smallCaps w:val="0"/>
          <w:color w:val="auto"/>
          <w:spacing w:val="0"/>
          <w:w w:val="100"/>
          <w:position w:val="0"/>
          <w:highlight w:val="none"/>
        </w:rPr>
        <w:t>舒卡列夫</w:t>
      </w:r>
      <w:r>
        <w:rPr>
          <w:rFonts w:ascii="Times New Roman" w:hAnsi="Times New Roman" w:cs="Times New Roman" w:eastAsiaTheme="minorEastAsia"/>
          <w:b/>
          <w:caps w:val="0"/>
          <w:smallCaps w:val="0"/>
          <w:color w:val="auto"/>
          <w:spacing w:val="0"/>
          <w:w w:val="100"/>
          <w:position w:val="0"/>
          <w:szCs w:val="20"/>
          <w:highlight w:val="none"/>
        </w:rPr>
        <w:t>分类表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28"/>
        <w:gridCol w:w="855"/>
        <w:gridCol w:w="1183"/>
        <w:gridCol w:w="1542"/>
        <w:gridCol w:w="1061"/>
        <w:gridCol w:w="811"/>
        <w:gridCol w:w="885"/>
        <w:gridCol w:w="622"/>
      </w:tblGrid>
      <w:tr w14:paraId="21A59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4BD26DB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含量＞25%Meq的离子</w:t>
            </w:r>
          </w:p>
        </w:tc>
        <w:tc>
          <w:tcPr>
            <w:tcW w:w="461" w:type="pct"/>
            <w:vAlign w:val="center"/>
          </w:tcPr>
          <w:p w14:paraId="0C38EF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HCO</w:t>
            </w:r>
            <w:r>
              <w:rPr>
                <w:rFonts w:ascii="Times New Roman" w:hAnsi="Times New Roman" w:cs="Times New Roman" w:eastAsiaTheme="minorEastAsia"/>
                <w:caps w:val="0"/>
                <w:smallCaps w:val="0"/>
                <w:color w:val="auto"/>
                <w:spacing w:val="0"/>
                <w:w w:val="100"/>
                <w:position w:val="0"/>
                <w:sz w:val="21"/>
                <w:szCs w:val="21"/>
                <w:highlight w:val="none"/>
                <w:vertAlign w:val="subscript"/>
              </w:rPr>
              <w:t>3</w:t>
            </w:r>
          </w:p>
        </w:tc>
        <w:tc>
          <w:tcPr>
            <w:tcW w:w="633" w:type="pct"/>
            <w:vAlign w:val="center"/>
          </w:tcPr>
          <w:p w14:paraId="46D3937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HCO</w:t>
            </w:r>
            <w:r>
              <w:rPr>
                <w:rFonts w:ascii="Times New Roman" w:hAnsi="Times New Roman" w:cs="Times New Roman" w:eastAsiaTheme="minorEastAsia"/>
                <w:caps w:val="0"/>
                <w:smallCaps w:val="0"/>
                <w:color w:val="auto"/>
                <w:spacing w:val="0"/>
                <w:w w:val="100"/>
                <w:position w:val="0"/>
                <w:sz w:val="21"/>
                <w:szCs w:val="21"/>
                <w:highlight w:val="none"/>
                <w:vertAlign w:val="subscript"/>
              </w:rPr>
              <w:t>3</w:t>
            </w:r>
            <w:r>
              <w:rPr>
                <w:rFonts w:ascii="Times New Roman" w:hAnsi="Times New Roman" w:cs="Times New Roman" w:eastAsiaTheme="minorEastAsia"/>
                <w:caps w:val="0"/>
                <w:smallCaps w:val="0"/>
                <w:color w:val="auto"/>
                <w:spacing w:val="0"/>
                <w:w w:val="100"/>
                <w:position w:val="0"/>
                <w:sz w:val="21"/>
                <w:szCs w:val="21"/>
                <w:highlight w:val="none"/>
              </w:rPr>
              <w:t>+SO</w:t>
            </w:r>
            <w:r>
              <w:rPr>
                <w:rFonts w:ascii="Times New Roman" w:hAnsi="Times New Roman" w:cs="Times New Roman" w:eastAsiaTheme="minorEastAsia"/>
                <w:caps w:val="0"/>
                <w:smallCaps w:val="0"/>
                <w:color w:val="auto"/>
                <w:spacing w:val="0"/>
                <w:w w:val="100"/>
                <w:position w:val="0"/>
                <w:sz w:val="21"/>
                <w:szCs w:val="21"/>
                <w:highlight w:val="none"/>
                <w:vertAlign w:val="subscript"/>
              </w:rPr>
              <w:t>4</w:t>
            </w:r>
          </w:p>
        </w:tc>
        <w:tc>
          <w:tcPr>
            <w:tcW w:w="831" w:type="pct"/>
            <w:vAlign w:val="center"/>
          </w:tcPr>
          <w:p w14:paraId="19B3D8D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HCO</w:t>
            </w:r>
            <w:r>
              <w:rPr>
                <w:rFonts w:ascii="Times New Roman" w:hAnsi="Times New Roman" w:cs="Times New Roman" w:eastAsiaTheme="minorEastAsia"/>
                <w:caps w:val="0"/>
                <w:smallCaps w:val="0"/>
                <w:color w:val="auto"/>
                <w:spacing w:val="0"/>
                <w:w w:val="100"/>
                <w:position w:val="0"/>
                <w:sz w:val="21"/>
                <w:szCs w:val="21"/>
                <w:highlight w:val="none"/>
                <w:vertAlign w:val="subscript"/>
              </w:rPr>
              <w:t>3</w:t>
            </w:r>
            <w:r>
              <w:rPr>
                <w:rFonts w:ascii="Times New Roman" w:hAnsi="Times New Roman" w:cs="Times New Roman" w:eastAsiaTheme="minorEastAsia"/>
                <w:caps w:val="0"/>
                <w:smallCaps w:val="0"/>
                <w:color w:val="auto"/>
                <w:spacing w:val="0"/>
                <w:w w:val="100"/>
                <w:position w:val="0"/>
                <w:sz w:val="21"/>
                <w:szCs w:val="21"/>
                <w:highlight w:val="none"/>
              </w:rPr>
              <w:t>+SO</w:t>
            </w:r>
            <w:r>
              <w:rPr>
                <w:rFonts w:ascii="Times New Roman" w:hAnsi="Times New Roman" w:cs="Times New Roman" w:eastAsiaTheme="minorEastAsia"/>
                <w:caps w:val="0"/>
                <w:smallCaps w:val="0"/>
                <w:color w:val="auto"/>
                <w:spacing w:val="0"/>
                <w:w w:val="100"/>
                <w:position w:val="0"/>
                <w:sz w:val="21"/>
                <w:szCs w:val="21"/>
                <w:highlight w:val="none"/>
                <w:vertAlign w:val="subscript"/>
              </w:rPr>
              <w:t>4</w:t>
            </w:r>
            <w:r>
              <w:rPr>
                <w:rFonts w:ascii="Times New Roman" w:hAnsi="Times New Roman" w:cs="Times New Roman" w:eastAsiaTheme="minorEastAsia"/>
                <w:caps w:val="0"/>
                <w:smallCaps w:val="0"/>
                <w:color w:val="auto"/>
                <w:spacing w:val="0"/>
                <w:w w:val="100"/>
                <w:position w:val="0"/>
                <w:sz w:val="21"/>
                <w:szCs w:val="21"/>
                <w:highlight w:val="none"/>
              </w:rPr>
              <w:t>+Cl</w:t>
            </w:r>
          </w:p>
        </w:tc>
        <w:tc>
          <w:tcPr>
            <w:tcW w:w="572" w:type="pct"/>
            <w:vAlign w:val="center"/>
          </w:tcPr>
          <w:p w14:paraId="742B7A1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HCO</w:t>
            </w:r>
            <w:r>
              <w:rPr>
                <w:rFonts w:ascii="Times New Roman" w:hAnsi="Times New Roman" w:cs="Times New Roman" w:eastAsiaTheme="minorEastAsia"/>
                <w:caps w:val="0"/>
                <w:smallCaps w:val="0"/>
                <w:color w:val="auto"/>
                <w:spacing w:val="0"/>
                <w:w w:val="100"/>
                <w:position w:val="0"/>
                <w:sz w:val="21"/>
                <w:szCs w:val="21"/>
                <w:highlight w:val="none"/>
                <w:vertAlign w:val="subscript"/>
              </w:rPr>
              <w:t>3</w:t>
            </w:r>
            <w:r>
              <w:rPr>
                <w:rFonts w:ascii="Times New Roman" w:hAnsi="Times New Roman" w:cs="Times New Roman" w:eastAsiaTheme="minorEastAsia"/>
                <w:caps w:val="0"/>
                <w:smallCaps w:val="0"/>
                <w:color w:val="auto"/>
                <w:spacing w:val="0"/>
                <w:w w:val="100"/>
                <w:position w:val="0"/>
                <w:sz w:val="21"/>
                <w:szCs w:val="21"/>
                <w:highlight w:val="none"/>
              </w:rPr>
              <w:t>+Cl</w:t>
            </w:r>
          </w:p>
        </w:tc>
        <w:tc>
          <w:tcPr>
            <w:tcW w:w="437" w:type="pct"/>
            <w:vAlign w:val="center"/>
          </w:tcPr>
          <w:p w14:paraId="1624695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SO</w:t>
            </w:r>
            <w:r>
              <w:rPr>
                <w:rFonts w:ascii="Times New Roman" w:hAnsi="Times New Roman" w:cs="Times New Roman" w:eastAsiaTheme="minorEastAsia"/>
                <w:caps w:val="0"/>
                <w:smallCaps w:val="0"/>
                <w:color w:val="auto"/>
                <w:spacing w:val="0"/>
                <w:w w:val="100"/>
                <w:position w:val="0"/>
                <w:sz w:val="21"/>
                <w:szCs w:val="21"/>
                <w:highlight w:val="none"/>
                <w:vertAlign w:val="subscript"/>
              </w:rPr>
              <w:t>4</w:t>
            </w:r>
          </w:p>
        </w:tc>
        <w:tc>
          <w:tcPr>
            <w:tcW w:w="477" w:type="pct"/>
            <w:vAlign w:val="center"/>
          </w:tcPr>
          <w:p w14:paraId="5865FF3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SO</w:t>
            </w:r>
            <w:r>
              <w:rPr>
                <w:rFonts w:ascii="Times New Roman" w:hAnsi="Times New Roman" w:cs="Times New Roman" w:eastAsiaTheme="minorEastAsia"/>
                <w:caps w:val="0"/>
                <w:smallCaps w:val="0"/>
                <w:color w:val="auto"/>
                <w:spacing w:val="0"/>
                <w:w w:val="100"/>
                <w:position w:val="0"/>
                <w:sz w:val="21"/>
                <w:szCs w:val="21"/>
                <w:highlight w:val="none"/>
                <w:vertAlign w:val="subscript"/>
              </w:rPr>
              <w:t>4</w:t>
            </w:r>
            <w:r>
              <w:rPr>
                <w:rFonts w:ascii="Times New Roman" w:hAnsi="Times New Roman" w:cs="Times New Roman" w:eastAsiaTheme="minorEastAsia"/>
                <w:caps w:val="0"/>
                <w:smallCaps w:val="0"/>
                <w:color w:val="auto"/>
                <w:spacing w:val="0"/>
                <w:w w:val="100"/>
                <w:position w:val="0"/>
                <w:sz w:val="21"/>
                <w:szCs w:val="21"/>
                <w:highlight w:val="none"/>
              </w:rPr>
              <w:t>+Cl</w:t>
            </w:r>
          </w:p>
        </w:tc>
        <w:tc>
          <w:tcPr>
            <w:tcW w:w="335" w:type="pct"/>
            <w:vAlign w:val="center"/>
          </w:tcPr>
          <w:p w14:paraId="4FDF55D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Cl</w:t>
            </w:r>
          </w:p>
        </w:tc>
      </w:tr>
      <w:tr w14:paraId="741E6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1E4D640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Ca</w:t>
            </w:r>
          </w:p>
        </w:tc>
        <w:tc>
          <w:tcPr>
            <w:tcW w:w="461" w:type="pct"/>
            <w:vAlign w:val="center"/>
          </w:tcPr>
          <w:p w14:paraId="4E7FB15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w:t>
            </w:r>
          </w:p>
        </w:tc>
        <w:tc>
          <w:tcPr>
            <w:tcW w:w="633" w:type="pct"/>
            <w:vAlign w:val="center"/>
          </w:tcPr>
          <w:p w14:paraId="0D92D7D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8</w:t>
            </w:r>
          </w:p>
        </w:tc>
        <w:tc>
          <w:tcPr>
            <w:tcW w:w="831" w:type="pct"/>
            <w:vAlign w:val="center"/>
          </w:tcPr>
          <w:p w14:paraId="300A6F1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15</w:t>
            </w:r>
          </w:p>
        </w:tc>
        <w:tc>
          <w:tcPr>
            <w:tcW w:w="572" w:type="pct"/>
            <w:vAlign w:val="center"/>
          </w:tcPr>
          <w:p w14:paraId="20E897D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22</w:t>
            </w:r>
          </w:p>
        </w:tc>
        <w:tc>
          <w:tcPr>
            <w:tcW w:w="437" w:type="pct"/>
            <w:vAlign w:val="center"/>
          </w:tcPr>
          <w:p w14:paraId="6524E88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29</w:t>
            </w:r>
          </w:p>
        </w:tc>
        <w:tc>
          <w:tcPr>
            <w:tcW w:w="477" w:type="pct"/>
            <w:vAlign w:val="center"/>
          </w:tcPr>
          <w:p w14:paraId="7D96E7B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36</w:t>
            </w:r>
          </w:p>
        </w:tc>
        <w:tc>
          <w:tcPr>
            <w:tcW w:w="335" w:type="pct"/>
            <w:vAlign w:val="center"/>
          </w:tcPr>
          <w:p w14:paraId="6B4231E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43</w:t>
            </w:r>
          </w:p>
        </w:tc>
      </w:tr>
      <w:tr w14:paraId="2F6D1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097C04A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Ca+Mg</w:t>
            </w:r>
          </w:p>
        </w:tc>
        <w:tc>
          <w:tcPr>
            <w:tcW w:w="461" w:type="pct"/>
            <w:vAlign w:val="center"/>
          </w:tcPr>
          <w:p w14:paraId="5CC7CA4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w:t>
            </w:r>
          </w:p>
        </w:tc>
        <w:tc>
          <w:tcPr>
            <w:tcW w:w="633" w:type="pct"/>
            <w:vAlign w:val="center"/>
          </w:tcPr>
          <w:p w14:paraId="0CC5494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9</w:t>
            </w:r>
          </w:p>
        </w:tc>
        <w:tc>
          <w:tcPr>
            <w:tcW w:w="831" w:type="pct"/>
            <w:vAlign w:val="center"/>
          </w:tcPr>
          <w:p w14:paraId="2789165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16</w:t>
            </w:r>
          </w:p>
        </w:tc>
        <w:tc>
          <w:tcPr>
            <w:tcW w:w="572" w:type="pct"/>
            <w:vAlign w:val="center"/>
          </w:tcPr>
          <w:p w14:paraId="52A91E6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23</w:t>
            </w:r>
          </w:p>
        </w:tc>
        <w:tc>
          <w:tcPr>
            <w:tcW w:w="437" w:type="pct"/>
            <w:vAlign w:val="center"/>
          </w:tcPr>
          <w:p w14:paraId="1B8E5BD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30</w:t>
            </w:r>
          </w:p>
        </w:tc>
        <w:tc>
          <w:tcPr>
            <w:tcW w:w="477" w:type="pct"/>
            <w:vAlign w:val="center"/>
          </w:tcPr>
          <w:p w14:paraId="72CC1FC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37</w:t>
            </w:r>
          </w:p>
        </w:tc>
        <w:tc>
          <w:tcPr>
            <w:tcW w:w="335" w:type="pct"/>
            <w:vAlign w:val="center"/>
          </w:tcPr>
          <w:p w14:paraId="54FBFE6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44</w:t>
            </w:r>
          </w:p>
        </w:tc>
      </w:tr>
      <w:tr w14:paraId="0D3CD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3402E39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Mg</w:t>
            </w:r>
          </w:p>
        </w:tc>
        <w:tc>
          <w:tcPr>
            <w:tcW w:w="461" w:type="pct"/>
            <w:vAlign w:val="center"/>
          </w:tcPr>
          <w:p w14:paraId="43E4209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w:t>
            </w:r>
          </w:p>
        </w:tc>
        <w:tc>
          <w:tcPr>
            <w:tcW w:w="633" w:type="pct"/>
            <w:vAlign w:val="center"/>
          </w:tcPr>
          <w:p w14:paraId="41F2C99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10</w:t>
            </w:r>
          </w:p>
        </w:tc>
        <w:tc>
          <w:tcPr>
            <w:tcW w:w="831" w:type="pct"/>
            <w:vAlign w:val="center"/>
          </w:tcPr>
          <w:p w14:paraId="4612BE6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17</w:t>
            </w:r>
          </w:p>
        </w:tc>
        <w:tc>
          <w:tcPr>
            <w:tcW w:w="572" w:type="pct"/>
            <w:vAlign w:val="center"/>
          </w:tcPr>
          <w:p w14:paraId="1C80C8F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24</w:t>
            </w:r>
          </w:p>
        </w:tc>
        <w:tc>
          <w:tcPr>
            <w:tcW w:w="437" w:type="pct"/>
            <w:vAlign w:val="center"/>
          </w:tcPr>
          <w:p w14:paraId="5AEF24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31</w:t>
            </w:r>
          </w:p>
        </w:tc>
        <w:tc>
          <w:tcPr>
            <w:tcW w:w="477" w:type="pct"/>
            <w:vAlign w:val="center"/>
          </w:tcPr>
          <w:p w14:paraId="06BA5EA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38</w:t>
            </w:r>
          </w:p>
        </w:tc>
        <w:tc>
          <w:tcPr>
            <w:tcW w:w="335" w:type="pct"/>
            <w:vAlign w:val="center"/>
          </w:tcPr>
          <w:p w14:paraId="3F31264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45</w:t>
            </w:r>
          </w:p>
        </w:tc>
      </w:tr>
      <w:tr w14:paraId="26A31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788EFEE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Na+Ca</w:t>
            </w:r>
          </w:p>
        </w:tc>
        <w:tc>
          <w:tcPr>
            <w:tcW w:w="461" w:type="pct"/>
            <w:vAlign w:val="center"/>
          </w:tcPr>
          <w:p w14:paraId="5563BB8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w:t>
            </w:r>
          </w:p>
        </w:tc>
        <w:tc>
          <w:tcPr>
            <w:tcW w:w="633" w:type="pct"/>
            <w:vAlign w:val="center"/>
          </w:tcPr>
          <w:p w14:paraId="39A711F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11</w:t>
            </w:r>
          </w:p>
        </w:tc>
        <w:tc>
          <w:tcPr>
            <w:tcW w:w="831" w:type="pct"/>
            <w:vAlign w:val="center"/>
          </w:tcPr>
          <w:p w14:paraId="222A98D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18</w:t>
            </w:r>
          </w:p>
        </w:tc>
        <w:tc>
          <w:tcPr>
            <w:tcW w:w="572" w:type="pct"/>
            <w:vAlign w:val="center"/>
          </w:tcPr>
          <w:p w14:paraId="755FB45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25</w:t>
            </w:r>
          </w:p>
        </w:tc>
        <w:tc>
          <w:tcPr>
            <w:tcW w:w="437" w:type="pct"/>
            <w:vAlign w:val="center"/>
          </w:tcPr>
          <w:p w14:paraId="2B93B8D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32</w:t>
            </w:r>
          </w:p>
        </w:tc>
        <w:tc>
          <w:tcPr>
            <w:tcW w:w="477" w:type="pct"/>
            <w:vAlign w:val="center"/>
          </w:tcPr>
          <w:p w14:paraId="6EE78C3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39</w:t>
            </w:r>
          </w:p>
        </w:tc>
        <w:tc>
          <w:tcPr>
            <w:tcW w:w="335" w:type="pct"/>
            <w:vAlign w:val="center"/>
          </w:tcPr>
          <w:p w14:paraId="5702FC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46</w:t>
            </w:r>
          </w:p>
        </w:tc>
      </w:tr>
      <w:tr w14:paraId="58D74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27FDA3F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Na+Ca+Mg</w:t>
            </w:r>
          </w:p>
        </w:tc>
        <w:tc>
          <w:tcPr>
            <w:tcW w:w="461" w:type="pct"/>
            <w:vAlign w:val="center"/>
          </w:tcPr>
          <w:p w14:paraId="0D1CD83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5</w:t>
            </w:r>
          </w:p>
        </w:tc>
        <w:tc>
          <w:tcPr>
            <w:tcW w:w="633" w:type="pct"/>
            <w:vAlign w:val="center"/>
          </w:tcPr>
          <w:p w14:paraId="34B528C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12</w:t>
            </w:r>
          </w:p>
        </w:tc>
        <w:tc>
          <w:tcPr>
            <w:tcW w:w="831" w:type="pct"/>
            <w:vAlign w:val="center"/>
          </w:tcPr>
          <w:p w14:paraId="2D523A4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19</w:t>
            </w:r>
          </w:p>
        </w:tc>
        <w:tc>
          <w:tcPr>
            <w:tcW w:w="572" w:type="pct"/>
            <w:vAlign w:val="center"/>
          </w:tcPr>
          <w:p w14:paraId="5C25D87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26</w:t>
            </w:r>
          </w:p>
        </w:tc>
        <w:tc>
          <w:tcPr>
            <w:tcW w:w="437" w:type="pct"/>
            <w:vAlign w:val="center"/>
          </w:tcPr>
          <w:p w14:paraId="3C7CFCF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33</w:t>
            </w:r>
          </w:p>
        </w:tc>
        <w:tc>
          <w:tcPr>
            <w:tcW w:w="477" w:type="pct"/>
            <w:vAlign w:val="center"/>
          </w:tcPr>
          <w:p w14:paraId="5E9D0A8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40</w:t>
            </w:r>
          </w:p>
        </w:tc>
        <w:tc>
          <w:tcPr>
            <w:tcW w:w="335" w:type="pct"/>
            <w:vAlign w:val="center"/>
          </w:tcPr>
          <w:p w14:paraId="690D966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47</w:t>
            </w:r>
          </w:p>
        </w:tc>
      </w:tr>
      <w:tr w14:paraId="4F47C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402ADA1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Na+Mg</w:t>
            </w:r>
          </w:p>
        </w:tc>
        <w:tc>
          <w:tcPr>
            <w:tcW w:w="461" w:type="pct"/>
            <w:vAlign w:val="center"/>
          </w:tcPr>
          <w:p w14:paraId="232F8F7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6</w:t>
            </w:r>
          </w:p>
        </w:tc>
        <w:tc>
          <w:tcPr>
            <w:tcW w:w="633" w:type="pct"/>
            <w:vAlign w:val="center"/>
          </w:tcPr>
          <w:p w14:paraId="6BCA37C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13</w:t>
            </w:r>
          </w:p>
        </w:tc>
        <w:tc>
          <w:tcPr>
            <w:tcW w:w="831" w:type="pct"/>
            <w:vAlign w:val="center"/>
          </w:tcPr>
          <w:p w14:paraId="1F0A7F6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20</w:t>
            </w:r>
          </w:p>
        </w:tc>
        <w:tc>
          <w:tcPr>
            <w:tcW w:w="572" w:type="pct"/>
            <w:vAlign w:val="center"/>
          </w:tcPr>
          <w:p w14:paraId="2392CF9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27</w:t>
            </w:r>
          </w:p>
        </w:tc>
        <w:tc>
          <w:tcPr>
            <w:tcW w:w="437" w:type="pct"/>
            <w:vAlign w:val="center"/>
          </w:tcPr>
          <w:p w14:paraId="52E963D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34</w:t>
            </w:r>
          </w:p>
        </w:tc>
        <w:tc>
          <w:tcPr>
            <w:tcW w:w="477" w:type="pct"/>
            <w:vAlign w:val="center"/>
          </w:tcPr>
          <w:p w14:paraId="6F3C5D8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41</w:t>
            </w:r>
          </w:p>
        </w:tc>
        <w:tc>
          <w:tcPr>
            <w:tcW w:w="335" w:type="pct"/>
            <w:vAlign w:val="center"/>
          </w:tcPr>
          <w:p w14:paraId="66F17FB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48</w:t>
            </w:r>
          </w:p>
        </w:tc>
      </w:tr>
      <w:tr w14:paraId="6A738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6551794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Na</w:t>
            </w:r>
          </w:p>
        </w:tc>
        <w:tc>
          <w:tcPr>
            <w:tcW w:w="461" w:type="pct"/>
            <w:vAlign w:val="center"/>
          </w:tcPr>
          <w:p w14:paraId="550F93C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7</w:t>
            </w:r>
          </w:p>
        </w:tc>
        <w:tc>
          <w:tcPr>
            <w:tcW w:w="633" w:type="pct"/>
            <w:vAlign w:val="center"/>
          </w:tcPr>
          <w:p w14:paraId="401AD75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14</w:t>
            </w:r>
          </w:p>
        </w:tc>
        <w:tc>
          <w:tcPr>
            <w:tcW w:w="831" w:type="pct"/>
            <w:vAlign w:val="center"/>
          </w:tcPr>
          <w:p w14:paraId="795BB89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21</w:t>
            </w:r>
          </w:p>
        </w:tc>
        <w:tc>
          <w:tcPr>
            <w:tcW w:w="572" w:type="pct"/>
            <w:vAlign w:val="center"/>
          </w:tcPr>
          <w:p w14:paraId="72F2B1B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28</w:t>
            </w:r>
          </w:p>
        </w:tc>
        <w:tc>
          <w:tcPr>
            <w:tcW w:w="437" w:type="pct"/>
            <w:vAlign w:val="center"/>
          </w:tcPr>
          <w:p w14:paraId="1D58402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35</w:t>
            </w:r>
          </w:p>
        </w:tc>
        <w:tc>
          <w:tcPr>
            <w:tcW w:w="477" w:type="pct"/>
            <w:vAlign w:val="center"/>
          </w:tcPr>
          <w:p w14:paraId="48F62C3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42</w:t>
            </w:r>
          </w:p>
        </w:tc>
        <w:tc>
          <w:tcPr>
            <w:tcW w:w="335" w:type="pct"/>
            <w:vAlign w:val="center"/>
          </w:tcPr>
          <w:p w14:paraId="5B11348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49</w:t>
            </w:r>
          </w:p>
        </w:tc>
      </w:tr>
    </w:tbl>
    <w:p w14:paraId="10683E4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szCs w:val="20"/>
          <w:highlight w:val="none"/>
        </w:rPr>
      </w:pPr>
      <w:r>
        <w:rPr>
          <w:rFonts w:ascii="Times New Roman" w:hAnsi="Times New Roman" w:cs="Times New Roman" w:eastAsiaTheme="minorEastAsia"/>
          <w:caps w:val="0"/>
          <w:smallCaps w:val="0"/>
          <w:color w:val="auto"/>
          <w:spacing w:val="0"/>
          <w:w w:val="100"/>
          <w:position w:val="0"/>
          <w:szCs w:val="20"/>
          <w:highlight w:val="none"/>
        </w:rPr>
        <w:t>按矿化度又分为4组：A组矿化度&lt; 1.5g/L，B组1.5～10g/L，C组10～40g/L，D组&gt; 40g/L。命名时在数字与字母间加连接号，如1-A型：指的是M &lt; 1.5g/L，阴离子只有HCO</w:t>
      </w:r>
      <w:r>
        <w:rPr>
          <w:rFonts w:ascii="Times New Roman" w:hAnsi="Times New Roman" w:cs="Times New Roman" w:eastAsiaTheme="minorEastAsia"/>
          <w:caps w:val="0"/>
          <w:smallCaps w:val="0"/>
          <w:color w:val="auto"/>
          <w:spacing w:val="0"/>
          <w:w w:val="100"/>
          <w:position w:val="0"/>
          <w:szCs w:val="20"/>
          <w:highlight w:val="none"/>
          <w:vertAlign w:val="subscript"/>
        </w:rPr>
        <w:t>3</w:t>
      </w:r>
      <w:r>
        <w:rPr>
          <w:rFonts w:ascii="Times New Roman" w:hAnsi="Times New Roman" w:cs="Times New Roman" w:eastAsiaTheme="minorEastAsia"/>
          <w:caps w:val="0"/>
          <w:smallCaps w:val="0"/>
          <w:color w:val="auto"/>
          <w:spacing w:val="0"/>
          <w:w w:val="100"/>
          <w:position w:val="0"/>
          <w:szCs w:val="20"/>
          <w:highlight w:val="none"/>
        </w:rPr>
        <w:t xml:space="preserve"> &gt; 25％Meq，阳离子只有Ca大于25 %Meq。49-D型，表示矿化度大于40g/L的Cl-Na型水，该型水可能是于海水及海相沉积有关的地下水，或是大陆盐化潜水。</w:t>
      </w:r>
    </w:p>
    <w:p w14:paraId="683730B2">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32"/>
          <w:highlight w:val="none"/>
        </w:rPr>
      </w:pPr>
      <w:r>
        <w:rPr>
          <w:rFonts w:ascii="Times New Roman" w:hAnsi="Times New Roman" w:cs="Times New Roman" w:eastAsiaTheme="minorEastAsia"/>
          <w:caps w:val="0"/>
          <w:smallCaps w:val="0"/>
          <w:color w:val="auto"/>
          <w:spacing w:val="0"/>
          <w:w w:val="100"/>
          <w:position w:val="0"/>
          <w:szCs w:val="32"/>
          <w:highlight w:val="none"/>
        </w:rPr>
        <w:t>根据本项目地下水监测结果，分别计算承压水、潜水各监测点位中SO</w:t>
      </w:r>
      <w:r>
        <w:rPr>
          <w:rFonts w:ascii="Times New Roman" w:hAnsi="Times New Roman" w:cs="Times New Roman" w:eastAsiaTheme="minorEastAsia"/>
          <w:caps w:val="0"/>
          <w:smallCaps w:val="0"/>
          <w:color w:val="auto"/>
          <w:spacing w:val="0"/>
          <w:w w:val="100"/>
          <w:position w:val="0"/>
          <w:szCs w:val="32"/>
          <w:highlight w:val="none"/>
          <w:vertAlign w:val="subscript"/>
        </w:rPr>
        <w:t>4</w:t>
      </w:r>
      <w:r>
        <w:rPr>
          <w:rFonts w:ascii="Times New Roman" w:hAnsi="Times New Roman" w:cs="Times New Roman" w:eastAsiaTheme="minorEastAsia"/>
          <w:caps w:val="0"/>
          <w:smallCaps w:val="0"/>
          <w:color w:val="auto"/>
          <w:spacing w:val="0"/>
          <w:w w:val="100"/>
          <w:position w:val="0"/>
          <w:szCs w:val="32"/>
          <w:highlight w:val="none"/>
          <w:vertAlign w:val="superscript"/>
        </w:rPr>
        <w:t>2－</w:t>
      </w:r>
      <w:r>
        <w:rPr>
          <w:rFonts w:ascii="Times New Roman" w:hAnsi="Times New Roman" w:cs="Times New Roman" w:eastAsiaTheme="minorEastAsia"/>
          <w:caps w:val="0"/>
          <w:smallCaps w:val="0"/>
          <w:color w:val="auto"/>
          <w:spacing w:val="0"/>
          <w:w w:val="100"/>
          <w:position w:val="0"/>
          <w:szCs w:val="32"/>
          <w:highlight w:val="none"/>
        </w:rPr>
        <w:t>、Cl</w:t>
      </w:r>
      <w:r>
        <w:rPr>
          <w:rFonts w:ascii="Times New Roman" w:hAnsi="Times New Roman" w:cs="Times New Roman" w:eastAsiaTheme="minorEastAsia"/>
          <w:caps w:val="0"/>
          <w:smallCaps w:val="0"/>
          <w:color w:val="auto"/>
          <w:spacing w:val="0"/>
          <w:w w:val="100"/>
          <w:position w:val="0"/>
          <w:szCs w:val="32"/>
          <w:highlight w:val="none"/>
          <w:vertAlign w:val="superscript"/>
        </w:rPr>
        <w:t>－</w:t>
      </w:r>
      <w:r>
        <w:rPr>
          <w:rFonts w:ascii="Times New Roman" w:hAnsi="Times New Roman" w:cs="Times New Roman" w:eastAsiaTheme="minorEastAsia"/>
          <w:caps w:val="0"/>
          <w:smallCaps w:val="0"/>
          <w:color w:val="auto"/>
          <w:spacing w:val="0"/>
          <w:w w:val="100"/>
          <w:position w:val="0"/>
          <w:szCs w:val="32"/>
          <w:highlight w:val="none"/>
        </w:rPr>
        <w:t>、HCO</w:t>
      </w:r>
      <w:r>
        <w:rPr>
          <w:rFonts w:ascii="Times New Roman" w:hAnsi="Times New Roman" w:cs="Times New Roman" w:eastAsiaTheme="minorEastAsia"/>
          <w:caps w:val="0"/>
          <w:smallCaps w:val="0"/>
          <w:color w:val="auto"/>
          <w:spacing w:val="0"/>
          <w:w w:val="100"/>
          <w:position w:val="0"/>
          <w:szCs w:val="32"/>
          <w:highlight w:val="none"/>
          <w:vertAlign w:val="subscript"/>
        </w:rPr>
        <w:t>3</w:t>
      </w:r>
      <w:r>
        <w:rPr>
          <w:rFonts w:ascii="Times New Roman" w:hAnsi="Times New Roman" w:cs="Times New Roman" w:eastAsiaTheme="minorEastAsia"/>
          <w:caps w:val="0"/>
          <w:smallCaps w:val="0"/>
          <w:color w:val="auto"/>
          <w:spacing w:val="0"/>
          <w:w w:val="100"/>
          <w:position w:val="0"/>
          <w:szCs w:val="32"/>
          <w:highlight w:val="none"/>
          <w:vertAlign w:val="superscript"/>
        </w:rPr>
        <w:t>－</w:t>
      </w:r>
      <w:r>
        <w:rPr>
          <w:rFonts w:ascii="Times New Roman" w:hAnsi="Times New Roman" w:cs="Times New Roman" w:eastAsiaTheme="minorEastAsia"/>
          <w:caps w:val="0"/>
          <w:smallCaps w:val="0"/>
          <w:color w:val="auto"/>
          <w:spacing w:val="0"/>
          <w:w w:val="100"/>
          <w:position w:val="0"/>
          <w:szCs w:val="32"/>
          <w:highlight w:val="none"/>
        </w:rPr>
        <w:t>、CO</w:t>
      </w:r>
      <w:r>
        <w:rPr>
          <w:rFonts w:ascii="Times New Roman" w:hAnsi="Times New Roman" w:cs="Times New Roman" w:eastAsiaTheme="minorEastAsia"/>
          <w:caps w:val="0"/>
          <w:smallCaps w:val="0"/>
          <w:color w:val="auto"/>
          <w:spacing w:val="0"/>
          <w:w w:val="100"/>
          <w:position w:val="0"/>
          <w:szCs w:val="32"/>
          <w:highlight w:val="none"/>
          <w:vertAlign w:val="subscript"/>
        </w:rPr>
        <w:t>3</w:t>
      </w:r>
      <w:r>
        <w:rPr>
          <w:rFonts w:ascii="Times New Roman" w:hAnsi="Times New Roman" w:cs="Times New Roman" w:eastAsiaTheme="minorEastAsia"/>
          <w:caps w:val="0"/>
          <w:smallCaps w:val="0"/>
          <w:color w:val="auto"/>
          <w:spacing w:val="0"/>
          <w:w w:val="100"/>
          <w:position w:val="0"/>
          <w:szCs w:val="32"/>
          <w:highlight w:val="none"/>
          <w:vertAlign w:val="superscript"/>
        </w:rPr>
        <w:t>2－</w:t>
      </w:r>
      <w:r>
        <w:rPr>
          <w:rFonts w:ascii="Times New Roman" w:hAnsi="Times New Roman" w:cs="Times New Roman" w:eastAsiaTheme="minorEastAsia"/>
          <w:caps w:val="0"/>
          <w:smallCaps w:val="0"/>
          <w:color w:val="auto"/>
          <w:spacing w:val="0"/>
          <w:w w:val="100"/>
          <w:position w:val="0"/>
          <w:szCs w:val="32"/>
          <w:highlight w:val="none"/>
        </w:rPr>
        <w:t>、Ca</w:t>
      </w:r>
      <w:r>
        <w:rPr>
          <w:rFonts w:ascii="Times New Roman" w:hAnsi="Times New Roman" w:cs="Times New Roman" w:eastAsiaTheme="minorEastAsia"/>
          <w:caps w:val="0"/>
          <w:smallCaps w:val="0"/>
          <w:color w:val="auto"/>
          <w:spacing w:val="0"/>
          <w:w w:val="100"/>
          <w:position w:val="0"/>
          <w:szCs w:val="32"/>
          <w:highlight w:val="none"/>
          <w:vertAlign w:val="superscript"/>
        </w:rPr>
        <w:t>2＋</w:t>
      </w:r>
      <w:r>
        <w:rPr>
          <w:rFonts w:ascii="Times New Roman" w:hAnsi="Times New Roman" w:cs="Times New Roman" w:eastAsiaTheme="minorEastAsia"/>
          <w:caps w:val="0"/>
          <w:smallCaps w:val="0"/>
          <w:color w:val="auto"/>
          <w:spacing w:val="0"/>
          <w:w w:val="100"/>
          <w:position w:val="0"/>
          <w:szCs w:val="32"/>
          <w:highlight w:val="none"/>
        </w:rPr>
        <w:t>、Mg</w:t>
      </w:r>
      <w:r>
        <w:rPr>
          <w:rFonts w:ascii="Times New Roman" w:hAnsi="Times New Roman" w:cs="Times New Roman" w:eastAsiaTheme="minorEastAsia"/>
          <w:caps w:val="0"/>
          <w:smallCaps w:val="0"/>
          <w:color w:val="auto"/>
          <w:spacing w:val="0"/>
          <w:w w:val="100"/>
          <w:position w:val="0"/>
          <w:szCs w:val="32"/>
          <w:highlight w:val="none"/>
          <w:vertAlign w:val="superscript"/>
        </w:rPr>
        <w:t>2＋</w:t>
      </w:r>
      <w:r>
        <w:rPr>
          <w:rFonts w:ascii="Times New Roman" w:hAnsi="Times New Roman" w:cs="Times New Roman" w:eastAsiaTheme="minorEastAsia"/>
          <w:caps w:val="0"/>
          <w:smallCaps w:val="0"/>
          <w:color w:val="auto"/>
          <w:spacing w:val="0"/>
          <w:w w:val="100"/>
          <w:position w:val="0"/>
          <w:szCs w:val="32"/>
          <w:highlight w:val="none"/>
        </w:rPr>
        <w:t>、Na</w:t>
      </w:r>
      <w:r>
        <w:rPr>
          <w:rFonts w:ascii="Times New Roman" w:hAnsi="Times New Roman" w:cs="Times New Roman" w:eastAsiaTheme="minorEastAsia"/>
          <w:caps w:val="0"/>
          <w:smallCaps w:val="0"/>
          <w:color w:val="auto"/>
          <w:spacing w:val="0"/>
          <w:w w:val="100"/>
          <w:position w:val="0"/>
          <w:szCs w:val="32"/>
          <w:highlight w:val="none"/>
          <w:vertAlign w:val="superscript"/>
        </w:rPr>
        <w:t>＋</w:t>
      </w:r>
      <w:r>
        <w:rPr>
          <w:rFonts w:ascii="Times New Roman" w:hAnsi="Times New Roman" w:cs="Times New Roman" w:eastAsiaTheme="minorEastAsia"/>
          <w:caps w:val="0"/>
          <w:smallCaps w:val="0"/>
          <w:color w:val="auto"/>
          <w:spacing w:val="0"/>
          <w:w w:val="100"/>
          <w:position w:val="0"/>
          <w:szCs w:val="32"/>
          <w:highlight w:val="none"/>
        </w:rPr>
        <w:t>、 K</w:t>
      </w:r>
      <w:r>
        <w:rPr>
          <w:rFonts w:ascii="Times New Roman" w:hAnsi="Times New Roman" w:cs="Times New Roman" w:eastAsiaTheme="minorEastAsia"/>
          <w:caps w:val="0"/>
          <w:smallCaps w:val="0"/>
          <w:color w:val="auto"/>
          <w:spacing w:val="0"/>
          <w:w w:val="100"/>
          <w:position w:val="0"/>
          <w:szCs w:val="32"/>
          <w:highlight w:val="none"/>
          <w:vertAlign w:val="superscript"/>
        </w:rPr>
        <w:t>＋</w:t>
      </w:r>
      <w:r>
        <w:rPr>
          <w:rFonts w:ascii="Times New Roman" w:hAnsi="Times New Roman" w:cs="Times New Roman" w:eastAsiaTheme="minorEastAsia"/>
          <w:caps w:val="0"/>
          <w:smallCaps w:val="0"/>
          <w:color w:val="auto"/>
          <w:spacing w:val="0"/>
          <w:w w:val="100"/>
          <w:position w:val="0"/>
          <w:szCs w:val="32"/>
          <w:highlight w:val="none"/>
        </w:rPr>
        <w:t>浓度均值，进而计算各离子Meq（毫克当量）百分数及监测点位矿化度，从而对工程区域内承压水、潜水的水化学类型进行分类，</w:t>
      </w:r>
      <w:r>
        <w:rPr>
          <w:rFonts w:ascii="Times New Roman" w:hAnsi="Times New Roman" w:cs="Times New Roman" w:eastAsiaTheme="minorEastAsia"/>
          <w:caps w:val="0"/>
          <w:smallCaps w:val="0"/>
          <w:color w:val="auto"/>
          <w:spacing w:val="0"/>
          <w:w w:val="100"/>
          <w:kern w:val="2"/>
          <w:position w:val="0"/>
          <w:szCs w:val="32"/>
          <w:highlight w:val="none"/>
        </w:rPr>
        <w:t>工程所在地潜水水质八大离子浓度统计结果见表</w:t>
      </w:r>
      <w:r>
        <w:rPr>
          <w:rFonts w:ascii="Times New Roman" w:hAnsi="Times New Roman" w:cs="Times New Roman" w:eastAsiaTheme="minorEastAsia"/>
          <w:caps w:val="0"/>
          <w:smallCaps w:val="0"/>
          <w:color w:val="auto"/>
          <w:spacing w:val="0"/>
          <w:w w:val="100"/>
          <w:kern w:val="2"/>
          <w:position w:val="0"/>
          <w:szCs w:val="20"/>
          <w:highlight w:val="none"/>
        </w:rPr>
        <w:t>4.3-13</w:t>
      </w:r>
      <w:r>
        <w:rPr>
          <w:rFonts w:ascii="Times New Roman" w:hAnsi="Times New Roman" w:cs="Times New Roman" w:eastAsiaTheme="minorEastAsia"/>
          <w:caps w:val="0"/>
          <w:smallCaps w:val="0"/>
          <w:color w:val="auto"/>
          <w:spacing w:val="0"/>
          <w:w w:val="100"/>
          <w:kern w:val="2"/>
          <w:position w:val="0"/>
          <w:szCs w:val="32"/>
          <w:highlight w:val="none"/>
        </w:rPr>
        <w:t>，工程所在地承压水水质八大离子浓度统计结果见表</w:t>
      </w:r>
      <w:r>
        <w:rPr>
          <w:rFonts w:ascii="Times New Roman" w:hAnsi="Times New Roman" w:cs="Times New Roman" w:eastAsiaTheme="minorEastAsia"/>
          <w:caps w:val="0"/>
          <w:smallCaps w:val="0"/>
          <w:color w:val="auto"/>
          <w:spacing w:val="0"/>
          <w:w w:val="100"/>
          <w:kern w:val="2"/>
          <w:position w:val="0"/>
          <w:szCs w:val="20"/>
          <w:highlight w:val="none"/>
        </w:rPr>
        <w:t>4.3-14</w:t>
      </w:r>
      <w:r>
        <w:rPr>
          <w:rFonts w:ascii="Times New Roman" w:hAnsi="Times New Roman" w:cs="Times New Roman" w:eastAsiaTheme="minorEastAsia"/>
          <w:caps w:val="0"/>
          <w:smallCaps w:val="0"/>
          <w:color w:val="auto"/>
          <w:spacing w:val="0"/>
          <w:w w:val="100"/>
          <w:kern w:val="2"/>
          <w:position w:val="0"/>
          <w:szCs w:val="32"/>
          <w:highlight w:val="none"/>
        </w:rPr>
        <w:t>。</w:t>
      </w:r>
    </w:p>
    <w:p w14:paraId="1362985F">
      <w:pPr>
        <w:widowControl w:val="0"/>
        <w:spacing w:line="440" w:lineRule="exact"/>
        <w:ind w:firstLine="482" w:firstLineChars="200"/>
        <w:rPr>
          <w:rFonts w:ascii="Times New Roman" w:hAnsi="Times New Roman" w:cs="Times New Roman" w:eastAsiaTheme="minorEastAsia"/>
          <w:b/>
          <w:bCs/>
          <w:caps w:val="0"/>
          <w:smallCaps w:val="0"/>
          <w:color w:val="auto"/>
          <w:spacing w:val="0"/>
          <w:w w:val="100"/>
          <w:kern w:val="21"/>
          <w:position w:val="0"/>
          <w:szCs w:val="20"/>
          <w:highlight w:val="none"/>
        </w:rPr>
      </w:pPr>
      <w:r>
        <w:rPr>
          <w:rFonts w:ascii="Times New Roman" w:hAnsi="Times New Roman" w:cs="Times New Roman" w:eastAsiaTheme="minorEastAsia"/>
          <w:b/>
          <w:bCs/>
          <w:caps w:val="0"/>
          <w:smallCaps w:val="0"/>
          <w:color w:val="auto"/>
          <w:spacing w:val="0"/>
          <w:w w:val="100"/>
          <w:kern w:val="21"/>
          <w:position w:val="0"/>
          <w:szCs w:val="20"/>
          <w:highlight w:val="none"/>
        </w:rPr>
        <w:t>表</w:t>
      </w:r>
      <w:r>
        <w:rPr>
          <w:rFonts w:ascii="Times New Roman" w:hAnsi="Times New Roman" w:cs="Times New Roman" w:eastAsiaTheme="minorEastAsia"/>
          <w:b/>
          <w:caps w:val="0"/>
          <w:smallCaps w:val="0"/>
          <w:color w:val="auto"/>
          <w:spacing w:val="0"/>
          <w:w w:val="100"/>
          <w:kern w:val="2"/>
          <w:position w:val="0"/>
          <w:szCs w:val="20"/>
          <w:highlight w:val="none"/>
        </w:rPr>
        <w:t>4.3-13</w:t>
      </w:r>
      <w:r>
        <w:rPr>
          <w:rFonts w:ascii="Times New Roman" w:hAnsi="Times New Roman" w:cs="Times New Roman" w:eastAsiaTheme="minorEastAsia"/>
          <w:b/>
          <w:bCs/>
          <w:caps w:val="0"/>
          <w:smallCaps w:val="0"/>
          <w:color w:val="auto"/>
          <w:spacing w:val="0"/>
          <w:w w:val="100"/>
          <w:kern w:val="21"/>
          <w:position w:val="0"/>
          <w:szCs w:val="20"/>
          <w:highlight w:val="none"/>
        </w:rPr>
        <w:t xml:space="preserve">    </w:t>
      </w:r>
      <w:r>
        <w:rPr>
          <w:rFonts w:ascii="Times New Roman" w:hAnsi="Times New Roman" w:cs="Times New Roman" w:eastAsiaTheme="minorEastAsia"/>
          <w:b/>
          <w:caps w:val="0"/>
          <w:smallCaps w:val="0"/>
          <w:color w:val="auto"/>
          <w:spacing w:val="0"/>
          <w:w w:val="100"/>
          <w:position w:val="0"/>
          <w:highlight w:val="none"/>
        </w:rPr>
        <w:t>潜水</w:t>
      </w:r>
      <w:r>
        <w:rPr>
          <w:rFonts w:ascii="Times New Roman" w:hAnsi="Times New Roman" w:cs="Times New Roman" w:eastAsiaTheme="minorEastAsia"/>
          <w:b/>
          <w:bCs/>
          <w:caps w:val="0"/>
          <w:smallCaps w:val="0"/>
          <w:color w:val="auto"/>
          <w:spacing w:val="0"/>
          <w:w w:val="100"/>
          <w:kern w:val="21"/>
          <w:position w:val="0"/>
          <w:szCs w:val="20"/>
          <w:highlight w:val="none"/>
        </w:rPr>
        <w:t>水质八大离子水化学类型分析结果</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47"/>
        <w:gridCol w:w="1235"/>
        <w:gridCol w:w="1480"/>
        <w:gridCol w:w="1482"/>
        <w:gridCol w:w="1629"/>
        <w:gridCol w:w="1046"/>
        <w:gridCol w:w="861"/>
      </w:tblGrid>
      <w:tr w14:paraId="45399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Align w:val="center"/>
          </w:tcPr>
          <w:p w14:paraId="2960CE7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监测井点位</w:t>
            </w:r>
          </w:p>
        </w:tc>
        <w:tc>
          <w:tcPr>
            <w:tcW w:w="665" w:type="pct"/>
            <w:vAlign w:val="center"/>
          </w:tcPr>
          <w:p w14:paraId="20D5CBA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离子名称</w:t>
            </w:r>
          </w:p>
        </w:tc>
        <w:tc>
          <w:tcPr>
            <w:tcW w:w="797" w:type="pct"/>
            <w:vAlign w:val="center"/>
          </w:tcPr>
          <w:p w14:paraId="5A16483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毫克当量（mg/L）</w:t>
            </w:r>
          </w:p>
        </w:tc>
        <w:tc>
          <w:tcPr>
            <w:tcW w:w="798" w:type="pct"/>
            <w:vAlign w:val="center"/>
          </w:tcPr>
          <w:p w14:paraId="41F09CD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毫克当量百分比（%）</w:t>
            </w:r>
          </w:p>
        </w:tc>
        <w:tc>
          <w:tcPr>
            <w:tcW w:w="877" w:type="pct"/>
            <w:vAlign w:val="center"/>
          </w:tcPr>
          <w:p w14:paraId="10E7CD9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离子毫克当量合计（mg/L）</w:t>
            </w:r>
          </w:p>
        </w:tc>
        <w:tc>
          <w:tcPr>
            <w:tcW w:w="563" w:type="pct"/>
            <w:vAlign w:val="center"/>
          </w:tcPr>
          <w:p w14:paraId="37A29D5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相对误差%</w:t>
            </w:r>
          </w:p>
        </w:tc>
        <w:tc>
          <w:tcPr>
            <w:tcW w:w="463" w:type="pct"/>
            <w:vAlign w:val="center"/>
          </w:tcPr>
          <w:p w14:paraId="5075CED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矿化度</w:t>
            </w:r>
          </w:p>
        </w:tc>
      </w:tr>
      <w:tr w14:paraId="2B5D5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045613C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卫一转油站内</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监测</w:t>
            </w: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井</w:t>
            </w:r>
          </w:p>
        </w:tc>
        <w:tc>
          <w:tcPr>
            <w:tcW w:w="665" w:type="pct"/>
            <w:vAlign w:val="center"/>
          </w:tcPr>
          <w:p w14:paraId="2025E3B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K</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622EEEE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0.061 </w:t>
            </w:r>
          </w:p>
        </w:tc>
        <w:tc>
          <w:tcPr>
            <w:tcW w:w="1482" w:type="dxa"/>
            <w:vAlign w:val="center"/>
          </w:tcPr>
          <w:p w14:paraId="09D8DB3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1.104 </w:t>
            </w:r>
          </w:p>
        </w:tc>
        <w:tc>
          <w:tcPr>
            <w:tcW w:w="1629" w:type="dxa"/>
            <w:vMerge w:val="restart"/>
            <w:vAlign w:val="center"/>
          </w:tcPr>
          <w:p w14:paraId="1003072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5.529 </w:t>
            </w:r>
          </w:p>
        </w:tc>
        <w:tc>
          <w:tcPr>
            <w:tcW w:w="1046" w:type="dxa"/>
            <w:vMerge w:val="restart"/>
            <w:vAlign w:val="center"/>
          </w:tcPr>
          <w:p w14:paraId="718C21E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0.71 </w:t>
            </w:r>
          </w:p>
        </w:tc>
        <w:tc>
          <w:tcPr>
            <w:tcW w:w="861" w:type="dxa"/>
            <w:vMerge w:val="restart"/>
            <w:vAlign w:val="center"/>
          </w:tcPr>
          <w:p w14:paraId="7BA2959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0.41 </w:t>
            </w:r>
          </w:p>
        </w:tc>
      </w:tr>
      <w:tr w14:paraId="478F6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022215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24D4FE0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Na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1B63FF3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2.326 </w:t>
            </w:r>
          </w:p>
        </w:tc>
        <w:tc>
          <w:tcPr>
            <w:tcW w:w="1482" w:type="dxa"/>
            <w:vAlign w:val="center"/>
          </w:tcPr>
          <w:p w14:paraId="4030DF4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42.072 </w:t>
            </w:r>
          </w:p>
        </w:tc>
        <w:tc>
          <w:tcPr>
            <w:tcW w:w="1629" w:type="dxa"/>
            <w:vMerge w:val="continue"/>
            <w:vAlign w:val="center"/>
          </w:tcPr>
          <w:p w14:paraId="1897190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49BFDA2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3E89D77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377C1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FB4FAA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3DC2600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0C1B7E5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2.390 </w:t>
            </w:r>
          </w:p>
        </w:tc>
        <w:tc>
          <w:tcPr>
            <w:tcW w:w="1482" w:type="dxa"/>
            <w:vAlign w:val="center"/>
          </w:tcPr>
          <w:p w14:paraId="2064BE3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43.228 </w:t>
            </w:r>
          </w:p>
        </w:tc>
        <w:tc>
          <w:tcPr>
            <w:tcW w:w="1629" w:type="dxa"/>
            <w:vMerge w:val="continue"/>
            <w:vAlign w:val="center"/>
          </w:tcPr>
          <w:p w14:paraId="3EE4FE1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53238DA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796200B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25A6C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2576A3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30BFE64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Mg</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1155873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0.752 </w:t>
            </w:r>
          </w:p>
        </w:tc>
        <w:tc>
          <w:tcPr>
            <w:tcW w:w="1482" w:type="dxa"/>
            <w:vAlign w:val="center"/>
          </w:tcPr>
          <w:p w14:paraId="640DAFE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13.596 </w:t>
            </w:r>
          </w:p>
        </w:tc>
        <w:tc>
          <w:tcPr>
            <w:tcW w:w="1629" w:type="dxa"/>
            <w:vMerge w:val="continue"/>
            <w:vAlign w:val="center"/>
          </w:tcPr>
          <w:p w14:paraId="5882FF1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5563279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6D4A8AF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154D0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364BBF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75E5927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HCO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406C8C3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-3.590 </w:t>
            </w:r>
          </w:p>
        </w:tc>
        <w:tc>
          <w:tcPr>
            <w:tcW w:w="1482" w:type="dxa"/>
            <w:vAlign w:val="center"/>
          </w:tcPr>
          <w:p w14:paraId="670AF63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64.025 </w:t>
            </w:r>
          </w:p>
        </w:tc>
        <w:tc>
          <w:tcPr>
            <w:tcW w:w="1629" w:type="dxa"/>
            <w:vMerge w:val="restart"/>
            <w:vAlign w:val="center"/>
          </w:tcPr>
          <w:p w14:paraId="0883C00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5.607 </w:t>
            </w:r>
          </w:p>
        </w:tc>
        <w:tc>
          <w:tcPr>
            <w:tcW w:w="1046" w:type="dxa"/>
            <w:vMerge w:val="continue"/>
            <w:vAlign w:val="center"/>
          </w:tcPr>
          <w:p w14:paraId="1624157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25B08BA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3D73D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B6409A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08C3630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7628076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482" w:type="dxa"/>
            <w:vAlign w:val="center"/>
          </w:tcPr>
          <w:p w14:paraId="2AEE3F6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629" w:type="dxa"/>
            <w:vMerge w:val="continue"/>
            <w:vAlign w:val="center"/>
          </w:tcPr>
          <w:p w14:paraId="1AE7B70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51C3E10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1C12C51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6FB46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860C35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64B990D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Cl</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26D19F3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-1.371 </w:t>
            </w:r>
          </w:p>
        </w:tc>
        <w:tc>
          <w:tcPr>
            <w:tcW w:w="1482" w:type="dxa"/>
            <w:vAlign w:val="center"/>
          </w:tcPr>
          <w:p w14:paraId="46B65DD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24.457 </w:t>
            </w:r>
          </w:p>
        </w:tc>
        <w:tc>
          <w:tcPr>
            <w:tcW w:w="1629" w:type="dxa"/>
            <w:vMerge w:val="continue"/>
            <w:vAlign w:val="center"/>
          </w:tcPr>
          <w:p w14:paraId="007BB64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5BA6DD7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2E06C81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6A946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C330B1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5ED90BF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SO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6F168EF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-0.646 </w:t>
            </w:r>
          </w:p>
        </w:tc>
        <w:tc>
          <w:tcPr>
            <w:tcW w:w="1482" w:type="dxa"/>
            <w:vAlign w:val="center"/>
          </w:tcPr>
          <w:p w14:paraId="44ED1B0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11.517 </w:t>
            </w:r>
          </w:p>
        </w:tc>
        <w:tc>
          <w:tcPr>
            <w:tcW w:w="1629" w:type="dxa"/>
            <w:vMerge w:val="continue"/>
            <w:vAlign w:val="center"/>
          </w:tcPr>
          <w:p w14:paraId="02FD85C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3B4DFFF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68B39F7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0087C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080A247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rPr>
              <w:t>qx-10潜水井</w:t>
            </w:r>
          </w:p>
        </w:tc>
        <w:tc>
          <w:tcPr>
            <w:tcW w:w="665" w:type="pct"/>
            <w:vAlign w:val="center"/>
          </w:tcPr>
          <w:p w14:paraId="3A9D152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K</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19A35C0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0.054 </w:t>
            </w:r>
          </w:p>
        </w:tc>
        <w:tc>
          <w:tcPr>
            <w:tcW w:w="798" w:type="pct"/>
            <w:vAlign w:val="center"/>
          </w:tcPr>
          <w:p w14:paraId="2189697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1.067 </w:t>
            </w:r>
          </w:p>
        </w:tc>
        <w:tc>
          <w:tcPr>
            <w:tcW w:w="877" w:type="pct"/>
            <w:vMerge w:val="restart"/>
            <w:vAlign w:val="center"/>
          </w:tcPr>
          <w:p w14:paraId="2E5839B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5.093 </w:t>
            </w:r>
          </w:p>
        </w:tc>
        <w:tc>
          <w:tcPr>
            <w:tcW w:w="563" w:type="pct"/>
            <w:vMerge w:val="restart"/>
            <w:vAlign w:val="center"/>
          </w:tcPr>
          <w:p w14:paraId="487CA50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0.34 </w:t>
            </w:r>
          </w:p>
        </w:tc>
        <w:tc>
          <w:tcPr>
            <w:tcW w:w="463" w:type="pct"/>
            <w:vMerge w:val="restart"/>
            <w:vAlign w:val="center"/>
          </w:tcPr>
          <w:p w14:paraId="2D2E066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0.38 </w:t>
            </w:r>
          </w:p>
        </w:tc>
      </w:tr>
      <w:tr w14:paraId="0DBE9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734E46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7D59402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Na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7569CF2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2.239 </w:t>
            </w:r>
          </w:p>
        </w:tc>
        <w:tc>
          <w:tcPr>
            <w:tcW w:w="798" w:type="pct"/>
            <w:vAlign w:val="center"/>
          </w:tcPr>
          <w:p w14:paraId="2DE8CF5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43.961 </w:t>
            </w:r>
          </w:p>
        </w:tc>
        <w:tc>
          <w:tcPr>
            <w:tcW w:w="877" w:type="pct"/>
            <w:vMerge w:val="continue"/>
            <w:vAlign w:val="center"/>
          </w:tcPr>
          <w:p w14:paraId="29B8AA2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72B230F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545D426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67D12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3A933D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16B4E72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6783B10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2.065 </w:t>
            </w:r>
          </w:p>
        </w:tc>
        <w:tc>
          <w:tcPr>
            <w:tcW w:w="798" w:type="pct"/>
            <w:vAlign w:val="center"/>
          </w:tcPr>
          <w:p w14:paraId="649F12F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40.542 </w:t>
            </w:r>
          </w:p>
        </w:tc>
        <w:tc>
          <w:tcPr>
            <w:tcW w:w="877" w:type="pct"/>
            <w:vMerge w:val="continue"/>
            <w:vAlign w:val="center"/>
          </w:tcPr>
          <w:p w14:paraId="5AE913F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64C030B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2E68CA0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23C31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88EBB6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0239DC2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Mg</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3BE53F7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0.735 </w:t>
            </w:r>
          </w:p>
        </w:tc>
        <w:tc>
          <w:tcPr>
            <w:tcW w:w="798" w:type="pct"/>
            <w:vAlign w:val="center"/>
          </w:tcPr>
          <w:p w14:paraId="4C1CC45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14.430 </w:t>
            </w:r>
          </w:p>
        </w:tc>
        <w:tc>
          <w:tcPr>
            <w:tcW w:w="877" w:type="pct"/>
            <w:vMerge w:val="continue"/>
            <w:vAlign w:val="center"/>
          </w:tcPr>
          <w:p w14:paraId="222D616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14AFA31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4CFD693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1BF95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A3EC96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47D8D10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HCO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1554138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-3.311 </w:t>
            </w:r>
          </w:p>
        </w:tc>
        <w:tc>
          <w:tcPr>
            <w:tcW w:w="798" w:type="pct"/>
            <w:vAlign w:val="center"/>
          </w:tcPr>
          <w:p w14:paraId="25F2340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64.567 </w:t>
            </w:r>
          </w:p>
        </w:tc>
        <w:tc>
          <w:tcPr>
            <w:tcW w:w="877" w:type="pct"/>
            <w:vMerge w:val="restart"/>
            <w:vAlign w:val="center"/>
          </w:tcPr>
          <w:p w14:paraId="5709959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5.129 </w:t>
            </w:r>
          </w:p>
        </w:tc>
        <w:tc>
          <w:tcPr>
            <w:tcW w:w="563" w:type="pct"/>
            <w:vMerge w:val="continue"/>
            <w:vAlign w:val="center"/>
          </w:tcPr>
          <w:p w14:paraId="602FA95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5B628B7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06FC2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AA756C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49D7749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59CE83D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798" w:type="pct"/>
            <w:vAlign w:val="center"/>
          </w:tcPr>
          <w:p w14:paraId="4460867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877" w:type="pct"/>
            <w:vMerge w:val="continue"/>
            <w:vAlign w:val="center"/>
          </w:tcPr>
          <w:p w14:paraId="3A1FE57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2E6C375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250EFE6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708D2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490969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569E153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Cl</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7428D43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-1.171 </w:t>
            </w:r>
          </w:p>
        </w:tc>
        <w:tc>
          <w:tcPr>
            <w:tcW w:w="798" w:type="pct"/>
            <w:vAlign w:val="center"/>
          </w:tcPr>
          <w:p w14:paraId="3EE8670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22.840 </w:t>
            </w:r>
          </w:p>
        </w:tc>
        <w:tc>
          <w:tcPr>
            <w:tcW w:w="877" w:type="pct"/>
            <w:vMerge w:val="continue"/>
            <w:vAlign w:val="center"/>
          </w:tcPr>
          <w:p w14:paraId="42576F4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439E7D3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716B930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74987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A48544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470D8BA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SO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21ED4EB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-0.646 </w:t>
            </w:r>
          </w:p>
        </w:tc>
        <w:tc>
          <w:tcPr>
            <w:tcW w:w="798" w:type="pct"/>
            <w:vAlign w:val="center"/>
          </w:tcPr>
          <w:p w14:paraId="1F30227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12.592 </w:t>
            </w:r>
          </w:p>
        </w:tc>
        <w:tc>
          <w:tcPr>
            <w:tcW w:w="877" w:type="pct"/>
            <w:vMerge w:val="continue"/>
            <w:vAlign w:val="center"/>
          </w:tcPr>
          <w:p w14:paraId="1770174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7EBB1C7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7389584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6B773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2EE1397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新立屯潜水井</w:t>
            </w:r>
          </w:p>
        </w:tc>
        <w:tc>
          <w:tcPr>
            <w:tcW w:w="665" w:type="pct"/>
            <w:vAlign w:val="center"/>
          </w:tcPr>
          <w:p w14:paraId="2C0CCCC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K</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4CF619A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0.077 </w:t>
            </w:r>
          </w:p>
        </w:tc>
        <w:tc>
          <w:tcPr>
            <w:tcW w:w="798" w:type="pct"/>
            <w:vAlign w:val="center"/>
          </w:tcPr>
          <w:p w14:paraId="13A85B4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1.240 </w:t>
            </w:r>
          </w:p>
        </w:tc>
        <w:tc>
          <w:tcPr>
            <w:tcW w:w="877" w:type="pct"/>
            <w:vMerge w:val="restart"/>
            <w:vAlign w:val="center"/>
          </w:tcPr>
          <w:p w14:paraId="6AEF1EB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6.243 </w:t>
            </w:r>
          </w:p>
        </w:tc>
        <w:tc>
          <w:tcPr>
            <w:tcW w:w="563" w:type="pct"/>
            <w:vMerge w:val="restart"/>
            <w:vAlign w:val="center"/>
          </w:tcPr>
          <w:p w14:paraId="79BB476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1.33 </w:t>
            </w:r>
          </w:p>
        </w:tc>
        <w:tc>
          <w:tcPr>
            <w:tcW w:w="463" w:type="pct"/>
            <w:vMerge w:val="restart"/>
            <w:vAlign w:val="center"/>
          </w:tcPr>
          <w:p w14:paraId="689909D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0.47 </w:t>
            </w:r>
          </w:p>
        </w:tc>
      </w:tr>
      <w:tr w14:paraId="4A491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2C0AFE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7B10E34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Na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5C3B67A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2.704 </w:t>
            </w:r>
          </w:p>
        </w:tc>
        <w:tc>
          <w:tcPr>
            <w:tcW w:w="798" w:type="pct"/>
            <w:vAlign w:val="center"/>
          </w:tcPr>
          <w:p w14:paraId="5549CA4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43.315 </w:t>
            </w:r>
          </w:p>
        </w:tc>
        <w:tc>
          <w:tcPr>
            <w:tcW w:w="877" w:type="pct"/>
            <w:vMerge w:val="continue"/>
            <w:vAlign w:val="center"/>
          </w:tcPr>
          <w:p w14:paraId="7E0C7FE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68E72A8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30ACB0A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7E2CA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70DDC7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18798F2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340A349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2.570 </w:t>
            </w:r>
          </w:p>
        </w:tc>
        <w:tc>
          <w:tcPr>
            <w:tcW w:w="798" w:type="pct"/>
            <w:vAlign w:val="center"/>
          </w:tcPr>
          <w:p w14:paraId="781DEFD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41.163 </w:t>
            </w:r>
          </w:p>
        </w:tc>
        <w:tc>
          <w:tcPr>
            <w:tcW w:w="877" w:type="pct"/>
            <w:vMerge w:val="continue"/>
            <w:vAlign w:val="center"/>
          </w:tcPr>
          <w:p w14:paraId="56E3CAD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1A40C16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1997C8B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787ED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DE4329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112BCDD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Mg</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3956D35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0.892 </w:t>
            </w:r>
          </w:p>
        </w:tc>
        <w:tc>
          <w:tcPr>
            <w:tcW w:w="798" w:type="pct"/>
            <w:vAlign w:val="center"/>
          </w:tcPr>
          <w:p w14:paraId="183DDD6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14.282 </w:t>
            </w:r>
          </w:p>
        </w:tc>
        <w:tc>
          <w:tcPr>
            <w:tcW w:w="877" w:type="pct"/>
            <w:vMerge w:val="continue"/>
            <w:vAlign w:val="center"/>
          </w:tcPr>
          <w:p w14:paraId="3211C26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5EA84AA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0BB39A9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18F98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BC80BC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3CC6C4B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HCO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3E5D741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-3.967 </w:t>
            </w:r>
          </w:p>
        </w:tc>
        <w:tc>
          <w:tcPr>
            <w:tcW w:w="798" w:type="pct"/>
            <w:vAlign w:val="center"/>
          </w:tcPr>
          <w:p w14:paraId="43795C1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61.879 </w:t>
            </w:r>
          </w:p>
        </w:tc>
        <w:tc>
          <w:tcPr>
            <w:tcW w:w="877" w:type="pct"/>
            <w:vMerge w:val="restart"/>
            <w:vAlign w:val="center"/>
          </w:tcPr>
          <w:p w14:paraId="0F99477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6.411 </w:t>
            </w:r>
          </w:p>
        </w:tc>
        <w:tc>
          <w:tcPr>
            <w:tcW w:w="563" w:type="pct"/>
            <w:vMerge w:val="continue"/>
            <w:vAlign w:val="center"/>
          </w:tcPr>
          <w:p w14:paraId="253C468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673330F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2F45C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36E949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7D831A1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6585884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798" w:type="pct"/>
            <w:vAlign w:val="center"/>
          </w:tcPr>
          <w:p w14:paraId="71075CC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877" w:type="pct"/>
            <w:vMerge w:val="continue"/>
            <w:vAlign w:val="center"/>
          </w:tcPr>
          <w:p w14:paraId="21483E0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1AD3F2E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0751A2E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6309C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447C98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4D3D856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Cl</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23D0175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-1.486 </w:t>
            </w:r>
          </w:p>
        </w:tc>
        <w:tc>
          <w:tcPr>
            <w:tcW w:w="798" w:type="pct"/>
            <w:vAlign w:val="center"/>
          </w:tcPr>
          <w:p w14:paraId="39D0DB2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23.174 </w:t>
            </w:r>
          </w:p>
        </w:tc>
        <w:tc>
          <w:tcPr>
            <w:tcW w:w="877" w:type="pct"/>
            <w:vMerge w:val="continue"/>
            <w:vAlign w:val="center"/>
          </w:tcPr>
          <w:p w14:paraId="4185377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33D6E73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6F35213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07315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3BC189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vAlign w:val="center"/>
          </w:tcPr>
          <w:p w14:paraId="3A743D2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SO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2F2680E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-0.958 </w:t>
            </w:r>
          </w:p>
        </w:tc>
        <w:tc>
          <w:tcPr>
            <w:tcW w:w="798" w:type="pct"/>
            <w:vAlign w:val="center"/>
          </w:tcPr>
          <w:p w14:paraId="14E3B4A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14.948 </w:t>
            </w:r>
          </w:p>
        </w:tc>
        <w:tc>
          <w:tcPr>
            <w:tcW w:w="877" w:type="pct"/>
            <w:vMerge w:val="continue"/>
            <w:vAlign w:val="center"/>
          </w:tcPr>
          <w:p w14:paraId="1BDFFA9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5AF3C20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6E23207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5E8C4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100D665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小烧锅屯潜水井</w:t>
            </w:r>
          </w:p>
        </w:tc>
        <w:tc>
          <w:tcPr>
            <w:tcW w:w="665" w:type="pct"/>
            <w:shd w:val="clear" w:color="auto" w:fill="auto"/>
            <w:vAlign w:val="center"/>
          </w:tcPr>
          <w:p w14:paraId="0C6C6C9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K</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35A2A66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0.050 </w:t>
            </w:r>
          </w:p>
        </w:tc>
        <w:tc>
          <w:tcPr>
            <w:tcW w:w="798" w:type="pct"/>
            <w:vAlign w:val="center"/>
          </w:tcPr>
          <w:p w14:paraId="01C43E4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0.959 </w:t>
            </w:r>
          </w:p>
        </w:tc>
        <w:tc>
          <w:tcPr>
            <w:tcW w:w="877" w:type="pct"/>
            <w:vMerge w:val="restart"/>
            <w:vAlign w:val="center"/>
          </w:tcPr>
          <w:p w14:paraId="4222708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5.243 </w:t>
            </w:r>
          </w:p>
        </w:tc>
        <w:tc>
          <w:tcPr>
            <w:tcW w:w="563" w:type="pct"/>
            <w:vMerge w:val="restart"/>
            <w:vAlign w:val="center"/>
          </w:tcPr>
          <w:p w14:paraId="0C91745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1.93 </w:t>
            </w:r>
          </w:p>
        </w:tc>
        <w:tc>
          <w:tcPr>
            <w:tcW w:w="463" w:type="pct"/>
            <w:vMerge w:val="restart"/>
            <w:vAlign w:val="center"/>
          </w:tcPr>
          <w:p w14:paraId="18A96A7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0.40 </w:t>
            </w:r>
          </w:p>
        </w:tc>
      </w:tr>
      <w:tr w14:paraId="4F426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4F31FD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41632F4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Na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5CF670F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2.309 </w:t>
            </w:r>
          </w:p>
        </w:tc>
        <w:tc>
          <w:tcPr>
            <w:tcW w:w="798" w:type="pct"/>
            <w:vAlign w:val="center"/>
          </w:tcPr>
          <w:p w14:paraId="3C9EFB3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44.033 </w:t>
            </w:r>
          </w:p>
        </w:tc>
        <w:tc>
          <w:tcPr>
            <w:tcW w:w="877" w:type="pct"/>
            <w:vMerge w:val="continue"/>
            <w:vAlign w:val="center"/>
          </w:tcPr>
          <w:p w14:paraId="23FA1EE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4B7AD49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651AB04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12022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CDED64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6A98B97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299AB69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2.125 </w:t>
            </w:r>
          </w:p>
        </w:tc>
        <w:tc>
          <w:tcPr>
            <w:tcW w:w="798" w:type="pct"/>
            <w:vAlign w:val="center"/>
          </w:tcPr>
          <w:p w14:paraId="3D1DE6C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40.529 </w:t>
            </w:r>
          </w:p>
        </w:tc>
        <w:tc>
          <w:tcPr>
            <w:tcW w:w="877" w:type="pct"/>
            <w:vMerge w:val="continue"/>
            <w:vAlign w:val="center"/>
          </w:tcPr>
          <w:p w14:paraId="327B701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20D6F48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409424E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009A5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F68EB1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7421CD8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Mg</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52E1CAA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0.759 </w:t>
            </w:r>
          </w:p>
        </w:tc>
        <w:tc>
          <w:tcPr>
            <w:tcW w:w="798" w:type="pct"/>
            <w:vAlign w:val="center"/>
          </w:tcPr>
          <w:p w14:paraId="7DEF0F3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14.479 </w:t>
            </w:r>
          </w:p>
        </w:tc>
        <w:tc>
          <w:tcPr>
            <w:tcW w:w="877" w:type="pct"/>
            <w:vMerge w:val="continue"/>
            <w:vAlign w:val="center"/>
          </w:tcPr>
          <w:p w14:paraId="0509515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69F0998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0393A4C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48553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8D8968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2D7BDEF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HCO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3C9A56A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-3.393 </w:t>
            </w:r>
          </w:p>
        </w:tc>
        <w:tc>
          <w:tcPr>
            <w:tcW w:w="798" w:type="pct"/>
            <w:vAlign w:val="center"/>
          </w:tcPr>
          <w:p w14:paraId="7218122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62.265 </w:t>
            </w:r>
          </w:p>
        </w:tc>
        <w:tc>
          <w:tcPr>
            <w:tcW w:w="877" w:type="pct"/>
            <w:vMerge w:val="restart"/>
            <w:vAlign w:val="center"/>
          </w:tcPr>
          <w:p w14:paraId="76CDAE7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5.450 </w:t>
            </w:r>
          </w:p>
        </w:tc>
        <w:tc>
          <w:tcPr>
            <w:tcW w:w="563" w:type="pct"/>
            <w:vMerge w:val="continue"/>
            <w:vAlign w:val="center"/>
          </w:tcPr>
          <w:p w14:paraId="7647612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679CF3D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5D5FD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3952A1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7DBBBF5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6F14083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798" w:type="pct"/>
            <w:vAlign w:val="center"/>
          </w:tcPr>
          <w:p w14:paraId="7B2509C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877" w:type="pct"/>
            <w:vMerge w:val="continue"/>
            <w:vAlign w:val="center"/>
          </w:tcPr>
          <w:p w14:paraId="5913B5C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2301336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6BA4226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6BF76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DC9BDB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0124590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Cl</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797" w:type="pct"/>
            <w:vAlign w:val="center"/>
          </w:tcPr>
          <w:p w14:paraId="6600DE6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-1.286 </w:t>
            </w:r>
          </w:p>
        </w:tc>
        <w:tc>
          <w:tcPr>
            <w:tcW w:w="798" w:type="pct"/>
            <w:vAlign w:val="center"/>
          </w:tcPr>
          <w:p w14:paraId="329019B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23.591 </w:t>
            </w:r>
          </w:p>
        </w:tc>
        <w:tc>
          <w:tcPr>
            <w:tcW w:w="877" w:type="pct"/>
            <w:vMerge w:val="continue"/>
            <w:vAlign w:val="center"/>
          </w:tcPr>
          <w:p w14:paraId="3BEB28F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339B5CE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3EC671B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0EF84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0D11DE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2E12A12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SO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797" w:type="pct"/>
            <w:vAlign w:val="center"/>
          </w:tcPr>
          <w:p w14:paraId="155B07B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-0.771 </w:t>
            </w:r>
          </w:p>
        </w:tc>
        <w:tc>
          <w:tcPr>
            <w:tcW w:w="798" w:type="pct"/>
            <w:vAlign w:val="center"/>
          </w:tcPr>
          <w:p w14:paraId="55D431B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14.144 </w:t>
            </w:r>
          </w:p>
        </w:tc>
        <w:tc>
          <w:tcPr>
            <w:tcW w:w="877" w:type="pct"/>
            <w:vMerge w:val="continue"/>
            <w:vAlign w:val="center"/>
          </w:tcPr>
          <w:p w14:paraId="3245BD9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563" w:type="pct"/>
            <w:vMerge w:val="continue"/>
            <w:vAlign w:val="center"/>
          </w:tcPr>
          <w:p w14:paraId="4A43C46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463" w:type="pct"/>
            <w:vMerge w:val="continue"/>
            <w:vAlign w:val="center"/>
          </w:tcPr>
          <w:p w14:paraId="0724AA2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78D45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05259EA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史家屯潜水井</w:t>
            </w:r>
          </w:p>
        </w:tc>
        <w:tc>
          <w:tcPr>
            <w:tcW w:w="665" w:type="pct"/>
            <w:shd w:val="clear" w:color="auto" w:fill="auto"/>
            <w:vAlign w:val="center"/>
          </w:tcPr>
          <w:p w14:paraId="7E757B3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K</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07E2A53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0.065 </w:t>
            </w:r>
          </w:p>
        </w:tc>
        <w:tc>
          <w:tcPr>
            <w:tcW w:w="1482" w:type="dxa"/>
            <w:vAlign w:val="center"/>
          </w:tcPr>
          <w:p w14:paraId="2573B4B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1.164 </w:t>
            </w:r>
          </w:p>
        </w:tc>
        <w:tc>
          <w:tcPr>
            <w:tcW w:w="1629" w:type="dxa"/>
            <w:vMerge w:val="restart"/>
            <w:vAlign w:val="center"/>
          </w:tcPr>
          <w:p w14:paraId="6259FE0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5.619 </w:t>
            </w:r>
          </w:p>
        </w:tc>
        <w:tc>
          <w:tcPr>
            <w:tcW w:w="1046" w:type="dxa"/>
            <w:vMerge w:val="restart"/>
            <w:vAlign w:val="center"/>
          </w:tcPr>
          <w:p w14:paraId="600C9EF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2.65 </w:t>
            </w:r>
          </w:p>
        </w:tc>
        <w:tc>
          <w:tcPr>
            <w:tcW w:w="861" w:type="dxa"/>
            <w:vMerge w:val="restart"/>
            <w:vAlign w:val="center"/>
          </w:tcPr>
          <w:p w14:paraId="7CCB553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0.43 </w:t>
            </w:r>
          </w:p>
        </w:tc>
      </w:tr>
      <w:tr w14:paraId="10F19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9FE039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416F7C4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Na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4EB0677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2.422 </w:t>
            </w:r>
          </w:p>
        </w:tc>
        <w:tc>
          <w:tcPr>
            <w:tcW w:w="1482" w:type="dxa"/>
            <w:vAlign w:val="center"/>
          </w:tcPr>
          <w:p w14:paraId="2C738A9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43.101 </w:t>
            </w:r>
          </w:p>
        </w:tc>
        <w:tc>
          <w:tcPr>
            <w:tcW w:w="1629" w:type="dxa"/>
            <w:vMerge w:val="continue"/>
            <w:vAlign w:val="center"/>
          </w:tcPr>
          <w:p w14:paraId="115FB2D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728E781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3F633F7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51681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444012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4E6CE62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09C7235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2.290 </w:t>
            </w:r>
          </w:p>
        </w:tc>
        <w:tc>
          <w:tcPr>
            <w:tcW w:w="1482" w:type="dxa"/>
            <w:vAlign w:val="center"/>
          </w:tcPr>
          <w:p w14:paraId="53FBFC6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40.756 </w:t>
            </w:r>
          </w:p>
        </w:tc>
        <w:tc>
          <w:tcPr>
            <w:tcW w:w="1629" w:type="dxa"/>
            <w:vMerge w:val="continue"/>
            <w:vAlign w:val="center"/>
          </w:tcPr>
          <w:p w14:paraId="41965DE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29EFDFC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4AFC556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75951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45D0D8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7CE369B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Mg</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2BA9FB1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0.842 </w:t>
            </w:r>
          </w:p>
        </w:tc>
        <w:tc>
          <w:tcPr>
            <w:tcW w:w="1482" w:type="dxa"/>
            <w:vAlign w:val="center"/>
          </w:tcPr>
          <w:p w14:paraId="0D5639F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14.979 </w:t>
            </w:r>
          </w:p>
        </w:tc>
        <w:tc>
          <w:tcPr>
            <w:tcW w:w="1629" w:type="dxa"/>
            <w:vMerge w:val="continue"/>
            <w:vAlign w:val="center"/>
          </w:tcPr>
          <w:p w14:paraId="6FF4FB4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543496F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01585A0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33305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D81F41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6463541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HCO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5FBA35B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-3.803 </w:t>
            </w:r>
          </w:p>
        </w:tc>
        <w:tc>
          <w:tcPr>
            <w:tcW w:w="1482" w:type="dxa"/>
            <w:vAlign w:val="center"/>
          </w:tcPr>
          <w:p w14:paraId="6C354D7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64.194 </w:t>
            </w:r>
          </w:p>
        </w:tc>
        <w:tc>
          <w:tcPr>
            <w:tcW w:w="1629" w:type="dxa"/>
            <w:vMerge w:val="restart"/>
            <w:vAlign w:val="center"/>
          </w:tcPr>
          <w:p w14:paraId="68F1E22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5.925 </w:t>
            </w:r>
          </w:p>
        </w:tc>
        <w:tc>
          <w:tcPr>
            <w:tcW w:w="1046" w:type="dxa"/>
            <w:vMerge w:val="continue"/>
            <w:vAlign w:val="center"/>
          </w:tcPr>
          <w:p w14:paraId="3D1DCD1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6F294D8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30C0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0817DC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7CA6739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16DD203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482" w:type="dxa"/>
            <w:vAlign w:val="center"/>
          </w:tcPr>
          <w:p w14:paraId="773D1EC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629" w:type="dxa"/>
            <w:vMerge w:val="continue"/>
            <w:vAlign w:val="center"/>
          </w:tcPr>
          <w:p w14:paraId="6637501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680BA8B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31495E7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71F7F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405126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4A07013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Cl</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3CBF159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-1.371 </w:t>
            </w:r>
          </w:p>
        </w:tc>
        <w:tc>
          <w:tcPr>
            <w:tcW w:w="1482" w:type="dxa"/>
            <w:vAlign w:val="center"/>
          </w:tcPr>
          <w:p w14:paraId="5D7404B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23.148 </w:t>
            </w:r>
          </w:p>
        </w:tc>
        <w:tc>
          <w:tcPr>
            <w:tcW w:w="1629" w:type="dxa"/>
            <w:vMerge w:val="continue"/>
            <w:vAlign w:val="center"/>
          </w:tcPr>
          <w:p w14:paraId="41638F4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4AF7353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7D0AAFF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082B0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AC597A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5D5B8A8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SO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18D9599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-0.750 </w:t>
            </w:r>
          </w:p>
        </w:tc>
        <w:tc>
          <w:tcPr>
            <w:tcW w:w="1482" w:type="dxa"/>
            <w:vAlign w:val="center"/>
          </w:tcPr>
          <w:p w14:paraId="53A6A40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12.659 </w:t>
            </w:r>
          </w:p>
        </w:tc>
        <w:tc>
          <w:tcPr>
            <w:tcW w:w="1629" w:type="dxa"/>
            <w:vMerge w:val="continue"/>
            <w:vAlign w:val="center"/>
          </w:tcPr>
          <w:p w14:paraId="4507028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1364B7E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4467164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51654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30BA06BF">
            <w:pPr>
              <w:widowControl w:val="0"/>
              <w:spacing w:line="360" w:lineRule="exact"/>
              <w:jc w:val="center"/>
              <w:rPr>
                <w:rFonts w:hint="default" w:ascii="Times New Roman" w:hAnsi="Times New Roman" w:eastAsia="宋体" w:cs="Times New Roman"/>
                <w:i w:val="0"/>
                <w:iCs w:val="0"/>
                <w:caps w:val="0"/>
                <w:smallCaps w:val="0"/>
                <w:color w:val="auto"/>
                <w:spacing w:val="0"/>
                <w:w w:val="100"/>
                <w:position w:val="0"/>
                <w:sz w:val="21"/>
                <w:szCs w:val="21"/>
                <w:highlight w:val="none"/>
                <w:u w:val="none"/>
                <w:lang w:val="en-US" w:eastAsia="zh-CN" w:bidi="ar-SA"/>
              </w:rPr>
            </w:pPr>
            <w: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t>qx-11</w:t>
            </w: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潜水井</w:t>
            </w:r>
          </w:p>
        </w:tc>
        <w:tc>
          <w:tcPr>
            <w:tcW w:w="665" w:type="pct"/>
            <w:shd w:val="clear" w:color="auto" w:fill="auto"/>
            <w:vAlign w:val="center"/>
          </w:tcPr>
          <w:p w14:paraId="16C8B6E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K</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1486008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0.062 </w:t>
            </w:r>
          </w:p>
        </w:tc>
        <w:tc>
          <w:tcPr>
            <w:tcW w:w="1482" w:type="dxa"/>
            <w:vAlign w:val="center"/>
          </w:tcPr>
          <w:p w14:paraId="1F74408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1.110 </w:t>
            </w:r>
          </w:p>
        </w:tc>
        <w:tc>
          <w:tcPr>
            <w:tcW w:w="1629" w:type="dxa"/>
            <w:vMerge w:val="restart"/>
            <w:vAlign w:val="center"/>
          </w:tcPr>
          <w:p w14:paraId="030366B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5.591 </w:t>
            </w:r>
          </w:p>
        </w:tc>
        <w:tc>
          <w:tcPr>
            <w:tcW w:w="1046" w:type="dxa"/>
            <w:vMerge w:val="restart"/>
            <w:vAlign w:val="center"/>
          </w:tcPr>
          <w:p w14:paraId="205929D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1.96 </w:t>
            </w:r>
          </w:p>
        </w:tc>
        <w:tc>
          <w:tcPr>
            <w:tcW w:w="861" w:type="dxa"/>
            <w:vMerge w:val="restart"/>
            <w:vAlign w:val="center"/>
          </w:tcPr>
          <w:p w14:paraId="00AD92E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0.42 </w:t>
            </w:r>
          </w:p>
        </w:tc>
      </w:tr>
      <w:tr w14:paraId="5458B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836249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3E513F5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Na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45AFDD2A">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2.578 </w:t>
            </w:r>
          </w:p>
        </w:tc>
        <w:tc>
          <w:tcPr>
            <w:tcW w:w="1482" w:type="dxa"/>
            <w:vAlign w:val="center"/>
          </w:tcPr>
          <w:p w14:paraId="262AED07">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46.113 </w:t>
            </w:r>
          </w:p>
        </w:tc>
        <w:tc>
          <w:tcPr>
            <w:tcW w:w="1629" w:type="dxa"/>
            <w:vMerge w:val="continue"/>
            <w:vAlign w:val="center"/>
          </w:tcPr>
          <w:p w14:paraId="66BC801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04EF254B">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3B206EE3">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49F42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0DA2F2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0648BC5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36D3F274">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2.135 </w:t>
            </w:r>
          </w:p>
        </w:tc>
        <w:tc>
          <w:tcPr>
            <w:tcW w:w="1482" w:type="dxa"/>
            <w:vAlign w:val="center"/>
          </w:tcPr>
          <w:p w14:paraId="4C1CE56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38.185 </w:t>
            </w:r>
          </w:p>
        </w:tc>
        <w:tc>
          <w:tcPr>
            <w:tcW w:w="1629" w:type="dxa"/>
            <w:vMerge w:val="continue"/>
            <w:vAlign w:val="center"/>
          </w:tcPr>
          <w:p w14:paraId="10CCF17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4950F6C4">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7446E9C6">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390BE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031B41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75E3653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Mg</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5317B2C6">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0.816 </w:t>
            </w:r>
          </w:p>
        </w:tc>
        <w:tc>
          <w:tcPr>
            <w:tcW w:w="1482" w:type="dxa"/>
            <w:vAlign w:val="center"/>
          </w:tcPr>
          <w:p w14:paraId="4E182FB8">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14.592 </w:t>
            </w:r>
          </w:p>
        </w:tc>
        <w:tc>
          <w:tcPr>
            <w:tcW w:w="1629" w:type="dxa"/>
            <w:vMerge w:val="continue"/>
            <w:vAlign w:val="center"/>
          </w:tcPr>
          <w:p w14:paraId="27FCADCA">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48E51690">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35E82399">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69605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52AAE7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269F720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HCO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66555B54">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-3.623 </w:t>
            </w:r>
          </w:p>
        </w:tc>
        <w:tc>
          <w:tcPr>
            <w:tcW w:w="1482" w:type="dxa"/>
            <w:vAlign w:val="center"/>
          </w:tcPr>
          <w:p w14:paraId="6D276E9C">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62.308 </w:t>
            </w:r>
          </w:p>
        </w:tc>
        <w:tc>
          <w:tcPr>
            <w:tcW w:w="1629" w:type="dxa"/>
            <w:vMerge w:val="restart"/>
            <w:vAlign w:val="center"/>
          </w:tcPr>
          <w:p w14:paraId="07E291CC">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5.815 </w:t>
            </w:r>
          </w:p>
        </w:tc>
        <w:tc>
          <w:tcPr>
            <w:tcW w:w="1046" w:type="dxa"/>
            <w:vMerge w:val="continue"/>
            <w:vAlign w:val="center"/>
          </w:tcPr>
          <w:p w14:paraId="224A8420">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6E10A026">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5D9D1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15B3E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2C71438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074A1219">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482" w:type="dxa"/>
            <w:vAlign w:val="center"/>
          </w:tcPr>
          <w:p w14:paraId="01252474">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629" w:type="dxa"/>
            <w:vMerge w:val="continue"/>
            <w:vAlign w:val="center"/>
          </w:tcPr>
          <w:p w14:paraId="0730DF1F">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5FDBC6C8">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5FD8F602">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0D802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19E5918">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1A6E509F">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Cl</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4A4C414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-1.400 </w:t>
            </w:r>
          </w:p>
        </w:tc>
        <w:tc>
          <w:tcPr>
            <w:tcW w:w="1482" w:type="dxa"/>
            <w:vAlign w:val="center"/>
          </w:tcPr>
          <w:p w14:paraId="2190E5F4">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24.077 </w:t>
            </w:r>
          </w:p>
        </w:tc>
        <w:tc>
          <w:tcPr>
            <w:tcW w:w="1629" w:type="dxa"/>
            <w:vMerge w:val="continue"/>
            <w:vAlign w:val="center"/>
          </w:tcPr>
          <w:p w14:paraId="1B01AA0E">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4012CD26">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5DFD00CA">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r w14:paraId="386F0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3AA6DE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754CFEB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SO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7E87D27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-0.792 </w:t>
            </w:r>
          </w:p>
        </w:tc>
        <w:tc>
          <w:tcPr>
            <w:tcW w:w="1482" w:type="dxa"/>
            <w:vAlign w:val="center"/>
          </w:tcPr>
          <w:p w14:paraId="34266597">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13.615 </w:t>
            </w:r>
          </w:p>
        </w:tc>
        <w:tc>
          <w:tcPr>
            <w:tcW w:w="1629" w:type="dxa"/>
            <w:vMerge w:val="continue"/>
            <w:vAlign w:val="center"/>
          </w:tcPr>
          <w:p w14:paraId="2C085C0C">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1046" w:type="dxa"/>
            <w:vMerge w:val="continue"/>
            <w:vAlign w:val="center"/>
          </w:tcPr>
          <w:p w14:paraId="73D6FC78">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861" w:type="dxa"/>
            <w:vMerge w:val="continue"/>
            <w:vAlign w:val="center"/>
          </w:tcPr>
          <w:p w14:paraId="0313CE33">
            <w:pPr>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r>
    </w:tbl>
    <w:p w14:paraId="34623F0C">
      <w:pPr>
        <w:widowControl w:val="0"/>
        <w:spacing w:line="440" w:lineRule="exact"/>
        <w:ind w:firstLine="482" w:firstLineChars="200"/>
        <w:rPr>
          <w:rFonts w:ascii="Times New Roman" w:hAnsi="Times New Roman" w:cs="Times New Roman" w:eastAsiaTheme="minorEastAsia"/>
          <w:b/>
          <w:bCs/>
          <w:caps w:val="0"/>
          <w:smallCaps w:val="0"/>
          <w:color w:val="auto"/>
          <w:spacing w:val="0"/>
          <w:w w:val="100"/>
          <w:kern w:val="21"/>
          <w:position w:val="0"/>
          <w:szCs w:val="20"/>
          <w:highlight w:val="none"/>
        </w:rPr>
      </w:pPr>
      <w:r>
        <w:rPr>
          <w:rFonts w:ascii="Times New Roman" w:hAnsi="Times New Roman" w:cs="Times New Roman" w:eastAsiaTheme="minorEastAsia"/>
          <w:b/>
          <w:bCs/>
          <w:caps w:val="0"/>
          <w:smallCaps w:val="0"/>
          <w:color w:val="auto"/>
          <w:spacing w:val="0"/>
          <w:w w:val="100"/>
          <w:kern w:val="21"/>
          <w:position w:val="0"/>
          <w:szCs w:val="20"/>
          <w:highlight w:val="none"/>
        </w:rPr>
        <w:t>表</w:t>
      </w:r>
      <w:r>
        <w:rPr>
          <w:rFonts w:ascii="Times New Roman" w:hAnsi="Times New Roman" w:cs="Times New Roman" w:eastAsiaTheme="minorEastAsia"/>
          <w:b/>
          <w:caps w:val="0"/>
          <w:smallCaps w:val="0"/>
          <w:color w:val="auto"/>
          <w:spacing w:val="0"/>
          <w:w w:val="100"/>
          <w:kern w:val="2"/>
          <w:position w:val="0"/>
          <w:szCs w:val="20"/>
          <w:highlight w:val="none"/>
        </w:rPr>
        <w:t>4.3-14</w:t>
      </w:r>
      <w:r>
        <w:rPr>
          <w:rFonts w:ascii="Times New Roman" w:hAnsi="Times New Roman" w:cs="Times New Roman" w:eastAsiaTheme="minorEastAsia"/>
          <w:b/>
          <w:bCs/>
          <w:caps w:val="0"/>
          <w:smallCaps w:val="0"/>
          <w:color w:val="auto"/>
          <w:spacing w:val="0"/>
          <w:w w:val="100"/>
          <w:kern w:val="21"/>
          <w:position w:val="0"/>
          <w:szCs w:val="20"/>
          <w:highlight w:val="none"/>
        </w:rPr>
        <w:t xml:space="preserve">   承压水</w:t>
      </w:r>
      <w:r>
        <w:rPr>
          <w:rFonts w:ascii="Times New Roman" w:hAnsi="Times New Roman" w:cs="Times New Roman" w:eastAsiaTheme="minorEastAsia"/>
          <w:b/>
          <w:caps w:val="0"/>
          <w:smallCaps w:val="0"/>
          <w:color w:val="auto"/>
          <w:spacing w:val="0"/>
          <w:w w:val="100"/>
          <w:position w:val="0"/>
          <w:highlight w:val="none"/>
        </w:rPr>
        <w:t>水质</w:t>
      </w:r>
      <w:r>
        <w:rPr>
          <w:rFonts w:ascii="Times New Roman" w:hAnsi="Times New Roman" w:cs="Times New Roman" w:eastAsiaTheme="minorEastAsia"/>
          <w:b/>
          <w:bCs/>
          <w:caps w:val="0"/>
          <w:smallCaps w:val="0"/>
          <w:color w:val="auto"/>
          <w:spacing w:val="0"/>
          <w:w w:val="100"/>
          <w:kern w:val="21"/>
          <w:position w:val="0"/>
          <w:szCs w:val="20"/>
          <w:highlight w:val="none"/>
        </w:rPr>
        <w:t>八大离子浓度评价结果</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47"/>
        <w:gridCol w:w="1235"/>
        <w:gridCol w:w="1480"/>
        <w:gridCol w:w="1482"/>
        <w:gridCol w:w="1629"/>
        <w:gridCol w:w="1046"/>
        <w:gridCol w:w="861"/>
      </w:tblGrid>
      <w:tr w14:paraId="3BA54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Align w:val="center"/>
          </w:tcPr>
          <w:p w14:paraId="53A6B21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监测井点位</w:t>
            </w:r>
          </w:p>
        </w:tc>
        <w:tc>
          <w:tcPr>
            <w:tcW w:w="665" w:type="pct"/>
            <w:vAlign w:val="center"/>
          </w:tcPr>
          <w:p w14:paraId="6D7D8FC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离子名称</w:t>
            </w:r>
          </w:p>
        </w:tc>
        <w:tc>
          <w:tcPr>
            <w:tcW w:w="797" w:type="pct"/>
            <w:vAlign w:val="center"/>
          </w:tcPr>
          <w:p w14:paraId="62F13CB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毫克当量（mg/L）</w:t>
            </w:r>
          </w:p>
        </w:tc>
        <w:tc>
          <w:tcPr>
            <w:tcW w:w="798" w:type="pct"/>
            <w:vAlign w:val="center"/>
          </w:tcPr>
          <w:p w14:paraId="6275EF91">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毫克当量百分比（%）</w:t>
            </w:r>
          </w:p>
        </w:tc>
        <w:tc>
          <w:tcPr>
            <w:tcW w:w="877" w:type="pct"/>
            <w:vAlign w:val="center"/>
          </w:tcPr>
          <w:p w14:paraId="32BE81F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离子毫克当量合计（mg/L）</w:t>
            </w:r>
          </w:p>
        </w:tc>
        <w:tc>
          <w:tcPr>
            <w:tcW w:w="563" w:type="pct"/>
            <w:vAlign w:val="center"/>
          </w:tcPr>
          <w:p w14:paraId="15FF69C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相对误差%</w:t>
            </w:r>
          </w:p>
        </w:tc>
        <w:tc>
          <w:tcPr>
            <w:tcW w:w="463" w:type="pct"/>
            <w:vAlign w:val="center"/>
          </w:tcPr>
          <w:p w14:paraId="770B7097">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矿化度</w:t>
            </w:r>
          </w:p>
        </w:tc>
      </w:tr>
      <w:tr w14:paraId="23DF8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451923F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昌德镇承压水井</w:t>
            </w:r>
          </w:p>
        </w:tc>
        <w:tc>
          <w:tcPr>
            <w:tcW w:w="665" w:type="pct"/>
            <w:vAlign w:val="center"/>
          </w:tcPr>
          <w:p w14:paraId="2E492CE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K</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36516446">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0.031 </w:t>
            </w:r>
          </w:p>
        </w:tc>
        <w:tc>
          <w:tcPr>
            <w:tcW w:w="1482" w:type="dxa"/>
            <w:vAlign w:val="center"/>
          </w:tcPr>
          <w:p w14:paraId="44F5038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0.793 </w:t>
            </w:r>
          </w:p>
        </w:tc>
        <w:tc>
          <w:tcPr>
            <w:tcW w:w="1629" w:type="dxa"/>
            <w:vMerge w:val="restart"/>
            <w:vAlign w:val="center"/>
          </w:tcPr>
          <w:p w14:paraId="276AF5F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3.943 </w:t>
            </w:r>
          </w:p>
        </w:tc>
        <w:tc>
          <w:tcPr>
            <w:tcW w:w="1046" w:type="dxa"/>
            <w:vMerge w:val="restart"/>
            <w:vAlign w:val="center"/>
          </w:tcPr>
          <w:p w14:paraId="6532BB48">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2.73 </w:t>
            </w:r>
          </w:p>
        </w:tc>
        <w:tc>
          <w:tcPr>
            <w:tcW w:w="861" w:type="dxa"/>
            <w:vMerge w:val="restart"/>
            <w:vAlign w:val="center"/>
          </w:tcPr>
          <w:p w14:paraId="6C178BC6">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0.30 </w:t>
            </w:r>
          </w:p>
        </w:tc>
      </w:tr>
      <w:tr w14:paraId="08252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498C18F">
            <w:pPr>
              <w:widowControl w:val="0"/>
              <w:spacing w:line="36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665" w:type="pct"/>
            <w:vAlign w:val="center"/>
          </w:tcPr>
          <w:p w14:paraId="0C25093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Na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7CF2B42D">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1.791 </w:t>
            </w:r>
          </w:p>
        </w:tc>
        <w:tc>
          <w:tcPr>
            <w:tcW w:w="1482" w:type="dxa"/>
            <w:vAlign w:val="center"/>
          </w:tcPr>
          <w:p w14:paraId="5B4DFDD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45.435 </w:t>
            </w:r>
          </w:p>
        </w:tc>
        <w:tc>
          <w:tcPr>
            <w:tcW w:w="1629" w:type="dxa"/>
            <w:vMerge w:val="continue"/>
            <w:vAlign w:val="center"/>
          </w:tcPr>
          <w:p w14:paraId="6659D3C8">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6277D36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3228F721">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08BB3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DF34776">
            <w:pPr>
              <w:widowControl w:val="0"/>
              <w:spacing w:line="36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665" w:type="pct"/>
            <w:vAlign w:val="center"/>
          </w:tcPr>
          <w:p w14:paraId="18650FF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3EDD3A22">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1.585 </w:t>
            </w:r>
          </w:p>
        </w:tc>
        <w:tc>
          <w:tcPr>
            <w:tcW w:w="1482" w:type="dxa"/>
            <w:vAlign w:val="center"/>
          </w:tcPr>
          <w:p w14:paraId="05AFB837">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40.202 </w:t>
            </w:r>
          </w:p>
        </w:tc>
        <w:tc>
          <w:tcPr>
            <w:tcW w:w="1629" w:type="dxa"/>
            <w:vMerge w:val="continue"/>
            <w:vAlign w:val="center"/>
          </w:tcPr>
          <w:p w14:paraId="5FF3E19E">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05BA0E6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0D25291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0DF3A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C8577C3">
            <w:pPr>
              <w:widowControl w:val="0"/>
              <w:spacing w:line="36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665" w:type="pct"/>
            <w:vAlign w:val="center"/>
          </w:tcPr>
          <w:p w14:paraId="3F79E3B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Mg</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6B48C58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0.535 </w:t>
            </w:r>
          </w:p>
        </w:tc>
        <w:tc>
          <w:tcPr>
            <w:tcW w:w="1482" w:type="dxa"/>
            <w:vAlign w:val="center"/>
          </w:tcPr>
          <w:p w14:paraId="6A12C7A4">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13.570 </w:t>
            </w:r>
          </w:p>
        </w:tc>
        <w:tc>
          <w:tcPr>
            <w:tcW w:w="1629" w:type="dxa"/>
            <w:vMerge w:val="continue"/>
            <w:vAlign w:val="center"/>
          </w:tcPr>
          <w:p w14:paraId="52E2140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2640DEF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13BD2A14">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3F9A3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936C17E">
            <w:pPr>
              <w:widowControl w:val="0"/>
              <w:spacing w:line="36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665" w:type="pct"/>
            <w:vAlign w:val="center"/>
          </w:tcPr>
          <w:p w14:paraId="59A0C430">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HCO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3C34722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-2.721 </w:t>
            </w:r>
          </w:p>
        </w:tc>
        <w:tc>
          <w:tcPr>
            <w:tcW w:w="1482" w:type="dxa"/>
            <w:vAlign w:val="center"/>
          </w:tcPr>
          <w:p w14:paraId="2086EB8D">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65.351 </w:t>
            </w:r>
          </w:p>
        </w:tc>
        <w:tc>
          <w:tcPr>
            <w:tcW w:w="1629" w:type="dxa"/>
            <w:vMerge w:val="restart"/>
            <w:vAlign w:val="center"/>
          </w:tcPr>
          <w:p w14:paraId="20BCF85D">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4.164 </w:t>
            </w:r>
          </w:p>
        </w:tc>
        <w:tc>
          <w:tcPr>
            <w:tcW w:w="1046" w:type="dxa"/>
            <w:vMerge w:val="continue"/>
            <w:vAlign w:val="center"/>
          </w:tcPr>
          <w:p w14:paraId="5114DA81">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5C6415F1">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55AF0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545C5C">
            <w:pPr>
              <w:widowControl w:val="0"/>
              <w:spacing w:line="36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665" w:type="pct"/>
            <w:vAlign w:val="center"/>
          </w:tcPr>
          <w:p w14:paraId="635ED88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6BCE609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482" w:type="dxa"/>
            <w:vAlign w:val="center"/>
          </w:tcPr>
          <w:p w14:paraId="2FD1B7DF">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629" w:type="dxa"/>
            <w:vMerge w:val="continue"/>
            <w:vAlign w:val="center"/>
          </w:tcPr>
          <w:p w14:paraId="2917318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5D96CFE1">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645EC6FD">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3A651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BF243C">
            <w:pPr>
              <w:widowControl w:val="0"/>
              <w:spacing w:line="36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665" w:type="pct"/>
            <w:vAlign w:val="center"/>
          </w:tcPr>
          <w:p w14:paraId="48D163CD">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Cl</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37B0062C">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-0.943 </w:t>
            </w:r>
          </w:p>
        </w:tc>
        <w:tc>
          <w:tcPr>
            <w:tcW w:w="1482" w:type="dxa"/>
            <w:vAlign w:val="center"/>
          </w:tcPr>
          <w:p w14:paraId="2C9F7959">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22.642 </w:t>
            </w:r>
          </w:p>
        </w:tc>
        <w:tc>
          <w:tcPr>
            <w:tcW w:w="1629" w:type="dxa"/>
            <w:vMerge w:val="continue"/>
            <w:vAlign w:val="center"/>
          </w:tcPr>
          <w:p w14:paraId="163C7B48">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7181FC8A">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0CA3ECD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60453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EECBC7">
            <w:pPr>
              <w:widowControl w:val="0"/>
              <w:spacing w:line="360" w:lineRule="exact"/>
              <w:jc w:val="center"/>
              <w:rPr>
                <w:rFonts w:hint="default"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665" w:type="pct"/>
            <w:vAlign w:val="center"/>
          </w:tcPr>
          <w:p w14:paraId="20CDFBF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r>
              <w:rPr>
                <w:rFonts w:ascii="Times New Roman" w:hAnsi="Times New Roman" w:cs="Times New Roman" w:eastAsiaTheme="minorEastAsia"/>
                <w:bCs/>
                <w:caps w:val="0"/>
                <w:smallCaps w:val="0"/>
                <w:color w:val="auto"/>
                <w:spacing w:val="0"/>
                <w:w w:val="100"/>
                <w:kern w:val="2"/>
                <w:position w:val="0"/>
                <w:sz w:val="21"/>
                <w:szCs w:val="21"/>
                <w:highlight w:val="none"/>
              </w:rPr>
              <w:t>SO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2F1D783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-0.500 </w:t>
            </w:r>
          </w:p>
        </w:tc>
        <w:tc>
          <w:tcPr>
            <w:tcW w:w="1482" w:type="dxa"/>
            <w:vAlign w:val="center"/>
          </w:tcPr>
          <w:p w14:paraId="06E38E89">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12.007 </w:t>
            </w:r>
          </w:p>
        </w:tc>
        <w:tc>
          <w:tcPr>
            <w:tcW w:w="1629" w:type="dxa"/>
            <w:vMerge w:val="continue"/>
            <w:vAlign w:val="center"/>
          </w:tcPr>
          <w:p w14:paraId="6E73E6B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7E62FFB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5F845EB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587F2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08C52DC7">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曲家屯承压水井</w:t>
            </w:r>
          </w:p>
        </w:tc>
        <w:tc>
          <w:tcPr>
            <w:tcW w:w="665" w:type="pct"/>
            <w:shd w:val="clear" w:color="auto" w:fill="auto"/>
            <w:vAlign w:val="center"/>
          </w:tcPr>
          <w:p w14:paraId="1951A309">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K</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1E0B6B4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0.029 </w:t>
            </w:r>
          </w:p>
        </w:tc>
        <w:tc>
          <w:tcPr>
            <w:tcW w:w="1482" w:type="dxa"/>
            <w:vAlign w:val="center"/>
          </w:tcPr>
          <w:p w14:paraId="6E5A237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0.697 </w:t>
            </w:r>
          </w:p>
        </w:tc>
        <w:tc>
          <w:tcPr>
            <w:tcW w:w="1629" w:type="dxa"/>
            <w:vMerge w:val="restart"/>
            <w:vAlign w:val="center"/>
          </w:tcPr>
          <w:p w14:paraId="2F8D02BC">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4.118 </w:t>
            </w:r>
          </w:p>
        </w:tc>
        <w:tc>
          <w:tcPr>
            <w:tcW w:w="1046" w:type="dxa"/>
            <w:vMerge w:val="restart"/>
            <w:vAlign w:val="center"/>
          </w:tcPr>
          <w:p w14:paraId="6C6D67CE">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1.54 </w:t>
            </w:r>
          </w:p>
        </w:tc>
        <w:tc>
          <w:tcPr>
            <w:tcW w:w="861" w:type="dxa"/>
            <w:vMerge w:val="restart"/>
            <w:vAlign w:val="center"/>
          </w:tcPr>
          <w:p w14:paraId="0F9D69C2">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0.31 </w:t>
            </w:r>
          </w:p>
        </w:tc>
      </w:tr>
      <w:tr w14:paraId="49AAB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6A6509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1226C52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Na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5BAA0E37">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1.883 </w:t>
            </w:r>
          </w:p>
        </w:tc>
        <w:tc>
          <w:tcPr>
            <w:tcW w:w="1482" w:type="dxa"/>
            <w:vAlign w:val="center"/>
          </w:tcPr>
          <w:p w14:paraId="47D6C77C">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45.717 </w:t>
            </w:r>
          </w:p>
        </w:tc>
        <w:tc>
          <w:tcPr>
            <w:tcW w:w="1629" w:type="dxa"/>
            <w:vMerge w:val="continue"/>
            <w:vAlign w:val="center"/>
          </w:tcPr>
          <w:p w14:paraId="363C38CD">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440E6BFC">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33894B8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0846D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15E3A44">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6AA5E96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Ca</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3FFF7608">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1.660 </w:t>
            </w:r>
          </w:p>
        </w:tc>
        <w:tc>
          <w:tcPr>
            <w:tcW w:w="1482" w:type="dxa"/>
            <w:vAlign w:val="center"/>
          </w:tcPr>
          <w:p w14:paraId="05784A0C">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40.311 </w:t>
            </w:r>
          </w:p>
        </w:tc>
        <w:tc>
          <w:tcPr>
            <w:tcW w:w="1629" w:type="dxa"/>
            <w:vMerge w:val="continue"/>
            <w:vAlign w:val="center"/>
          </w:tcPr>
          <w:p w14:paraId="381AC75A">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1CBA88F2">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5D4C836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226B8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F503F95">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50D0182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Mg</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287880F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0.547 </w:t>
            </w:r>
          </w:p>
        </w:tc>
        <w:tc>
          <w:tcPr>
            <w:tcW w:w="1482" w:type="dxa"/>
            <w:vAlign w:val="center"/>
          </w:tcPr>
          <w:p w14:paraId="5EB96446">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13.275 </w:t>
            </w:r>
          </w:p>
        </w:tc>
        <w:tc>
          <w:tcPr>
            <w:tcW w:w="1629" w:type="dxa"/>
            <w:vMerge w:val="continue"/>
            <w:vAlign w:val="center"/>
          </w:tcPr>
          <w:p w14:paraId="2767586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680FCA79">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46567649">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3AD4E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9D6AAC">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124799D6">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HCO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125FF256">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-2.656 </w:t>
            </w:r>
          </w:p>
        </w:tc>
        <w:tc>
          <w:tcPr>
            <w:tcW w:w="1482" w:type="dxa"/>
            <w:vAlign w:val="center"/>
          </w:tcPr>
          <w:p w14:paraId="56A8CEFF">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62.535 </w:t>
            </w:r>
          </w:p>
        </w:tc>
        <w:tc>
          <w:tcPr>
            <w:tcW w:w="1629" w:type="dxa"/>
            <w:vMerge w:val="restart"/>
            <w:vAlign w:val="center"/>
          </w:tcPr>
          <w:p w14:paraId="0988500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4.247 </w:t>
            </w:r>
          </w:p>
        </w:tc>
        <w:tc>
          <w:tcPr>
            <w:tcW w:w="1046" w:type="dxa"/>
            <w:vMerge w:val="continue"/>
            <w:vAlign w:val="center"/>
          </w:tcPr>
          <w:p w14:paraId="2695DA1A">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0FA55111">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0F073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47225C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42CDA48B">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3</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02872DB3">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482" w:type="dxa"/>
            <w:vAlign w:val="center"/>
          </w:tcPr>
          <w:p w14:paraId="3E32E53E">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0.000 </w:t>
            </w:r>
          </w:p>
        </w:tc>
        <w:tc>
          <w:tcPr>
            <w:tcW w:w="1629" w:type="dxa"/>
            <w:vMerge w:val="continue"/>
            <w:vAlign w:val="center"/>
          </w:tcPr>
          <w:p w14:paraId="02774447">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27C95460">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1E988C71">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1934D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F5C3DC3">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77CA9BC2">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Cl</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w:t>
            </w:r>
          </w:p>
        </w:tc>
        <w:tc>
          <w:tcPr>
            <w:tcW w:w="1480" w:type="dxa"/>
            <w:vAlign w:val="center"/>
          </w:tcPr>
          <w:p w14:paraId="7688D805">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-1.029 </w:t>
            </w:r>
          </w:p>
        </w:tc>
        <w:tc>
          <w:tcPr>
            <w:tcW w:w="1482" w:type="dxa"/>
            <w:vAlign w:val="center"/>
          </w:tcPr>
          <w:p w14:paraId="353C1028">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24.220 </w:t>
            </w:r>
          </w:p>
        </w:tc>
        <w:tc>
          <w:tcPr>
            <w:tcW w:w="1629" w:type="dxa"/>
            <w:vMerge w:val="continue"/>
            <w:vAlign w:val="center"/>
          </w:tcPr>
          <w:p w14:paraId="03E77AD4">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43B84C28">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07469A4F">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r w14:paraId="0E3C2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999217E">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rPr>
            </w:pPr>
          </w:p>
        </w:tc>
        <w:tc>
          <w:tcPr>
            <w:tcW w:w="665" w:type="pct"/>
            <w:shd w:val="clear" w:color="auto" w:fill="auto"/>
            <w:vAlign w:val="center"/>
          </w:tcPr>
          <w:p w14:paraId="4E31C29A">
            <w:pPr>
              <w:widowControl w:val="0"/>
              <w:spacing w:line="360" w:lineRule="exact"/>
              <w:jc w:val="center"/>
              <w:rPr>
                <w:rFonts w:ascii="Times New Roman" w:hAnsi="Times New Roman" w:cs="Times New Roman" w:eastAsiaTheme="minorEastAsia"/>
                <w:bCs/>
                <w:caps w:val="0"/>
                <w:smallCaps w:val="0"/>
                <w:color w:val="auto"/>
                <w:spacing w:val="0"/>
                <w:w w:val="100"/>
                <w:kern w:val="2"/>
                <w:position w:val="0"/>
                <w:sz w:val="21"/>
                <w:szCs w:val="21"/>
                <w:highlight w:val="none"/>
                <w:lang w:val="en-US" w:eastAsia="zh-CN" w:bidi="ar-SA"/>
              </w:rPr>
            </w:pPr>
            <w:r>
              <w:rPr>
                <w:rFonts w:ascii="Times New Roman" w:hAnsi="Times New Roman" w:cs="Times New Roman" w:eastAsiaTheme="minorEastAsia"/>
                <w:bCs/>
                <w:caps w:val="0"/>
                <w:smallCaps w:val="0"/>
                <w:color w:val="auto"/>
                <w:spacing w:val="0"/>
                <w:w w:val="100"/>
                <w:kern w:val="2"/>
                <w:position w:val="0"/>
                <w:sz w:val="21"/>
                <w:szCs w:val="21"/>
                <w:highlight w:val="none"/>
              </w:rPr>
              <w:t>SO</w:t>
            </w:r>
            <w:r>
              <w:rPr>
                <w:rFonts w:ascii="Times New Roman" w:hAnsi="Times New Roman" w:cs="Times New Roman" w:eastAsiaTheme="minorEastAsia"/>
                <w:bCs/>
                <w:caps w:val="0"/>
                <w:smallCaps w:val="0"/>
                <w:color w:val="auto"/>
                <w:spacing w:val="0"/>
                <w:w w:val="100"/>
                <w:kern w:val="2"/>
                <w:position w:val="0"/>
                <w:sz w:val="21"/>
                <w:szCs w:val="21"/>
                <w:highlight w:val="none"/>
                <w:vertAlign w:val="subscript"/>
              </w:rPr>
              <w:t>4</w:t>
            </w:r>
            <w:r>
              <w:rPr>
                <w:rFonts w:ascii="Times New Roman" w:hAnsi="Times New Roman" w:cs="Times New Roman" w:eastAsiaTheme="minorEastAsia"/>
                <w:bCs/>
                <w:caps w:val="0"/>
                <w:smallCaps w:val="0"/>
                <w:color w:val="auto"/>
                <w:spacing w:val="0"/>
                <w:w w:val="100"/>
                <w:kern w:val="2"/>
                <w:position w:val="0"/>
                <w:sz w:val="21"/>
                <w:szCs w:val="21"/>
                <w:highlight w:val="none"/>
                <w:vertAlign w:val="superscript"/>
              </w:rPr>
              <w:t>2-</w:t>
            </w:r>
          </w:p>
        </w:tc>
        <w:tc>
          <w:tcPr>
            <w:tcW w:w="1480" w:type="dxa"/>
            <w:vAlign w:val="center"/>
          </w:tcPr>
          <w:p w14:paraId="30DCB49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-0.563 </w:t>
            </w:r>
          </w:p>
        </w:tc>
        <w:tc>
          <w:tcPr>
            <w:tcW w:w="1482" w:type="dxa"/>
            <w:vAlign w:val="center"/>
          </w:tcPr>
          <w:p w14:paraId="05AF0D5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t xml:space="preserve">13.245 </w:t>
            </w:r>
          </w:p>
        </w:tc>
        <w:tc>
          <w:tcPr>
            <w:tcW w:w="1629" w:type="dxa"/>
            <w:vMerge w:val="continue"/>
            <w:vAlign w:val="center"/>
          </w:tcPr>
          <w:p w14:paraId="5FA327BD">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1046" w:type="dxa"/>
            <w:vMerge w:val="continue"/>
            <w:vAlign w:val="center"/>
          </w:tcPr>
          <w:p w14:paraId="218C987B">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c>
          <w:tcPr>
            <w:tcW w:w="861" w:type="dxa"/>
            <w:vMerge w:val="continue"/>
            <w:vAlign w:val="center"/>
          </w:tcPr>
          <w:p w14:paraId="5A34B396">
            <w:pPr>
              <w:widowControl w:val="0"/>
              <w:spacing w:line="360" w:lineRule="exact"/>
              <w:jc w:val="center"/>
              <w:rPr>
                <w:rFonts w:hint="eastAsia" w:ascii="Times New Roman" w:hAnsi="Times New Roman" w:cs="Times New Roman" w:eastAsiaTheme="minorEastAsia"/>
                <w:bCs/>
                <w:caps w:val="0"/>
                <w:smallCaps w:val="0"/>
                <w:color w:val="auto"/>
                <w:spacing w:val="0"/>
                <w:w w:val="100"/>
                <w:kern w:val="2"/>
                <w:position w:val="0"/>
                <w:sz w:val="21"/>
                <w:szCs w:val="21"/>
                <w:highlight w:val="none"/>
                <w:lang w:val="en-US" w:eastAsia="zh-CN"/>
              </w:rPr>
            </w:pPr>
          </w:p>
        </w:tc>
      </w:tr>
    </w:tbl>
    <w:p w14:paraId="171BDA1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32"/>
          <w:highlight w:val="none"/>
        </w:rPr>
      </w:pPr>
      <w:r>
        <w:rPr>
          <w:rFonts w:ascii="Times New Roman" w:hAnsi="Times New Roman" w:cs="Times New Roman" w:eastAsiaTheme="minorEastAsia"/>
          <w:caps w:val="0"/>
          <w:smallCaps w:val="0"/>
          <w:color w:val="auto"/>
          <w:spacing w:val="0"/>
          <w:w w:val="100"/>
          <w:kern w:val="2"/>
          <w:position w:val="0"/>
          <w:szCs w:val="32"/>
          <w:highlight w:val="none"/>
        </w:rPr>
        <w:t>通过对区域内地下水八大离子监测结果可知，本项目所在区域地下水化学类型以HCO</w:t>
      </w:r>
      <w:r>
        <w:rPr>
          <w:rFonts w:ascii="Times New Roman" w:hAnsi="Times New Roman" w:cs="Times New Roman" w:eastAsiaTheme="minorEastAsia"/>
          <w:caps w:val="0"/>
          <w:smallCaps w:val="0"/>
          <w:color w:val="auto"/>
          <w:spacing w:val="0"/>
          <w:w w:val="100"/>
          <w:kern w:val="2"/>
          <w:position w:val="0"/>
          <w:szCs w:val="32"/>
          <w:highlight w:val="none"/>
          <w:vertAlign w:val="subscript"/>
        </w:rPr>
        <w:t>3</w:t>
      </w:r>
      <w:r>
        <w:rPr>
          <w:rFonts w:ascii="Times New Roman" w:hAnsi="Times New Roman" w:cs="Times New Roman" w:eastAsiaTheme="minorEastAsia"/>
          <w:caps w:val="0"/>
          <w:smallCaps w:val="0"/>
          <w:color w:val="auto"/>
          <w:spacing w:val="0"/>
          <w:w w:val="100"/>
          <w:kern w:val="2"/>
          <w:position w:val="0"/>
          <w:szCs w:val="32"/>
          <w:highlight w:val="none"/>
        </w:rPr>
        <w:t>-Na+Ca，4-A型淡水型为主，地下水矿化度较低，水质情况较好。根据上表可知，项目区域水质总阳离子（钠、钾、钙、镁）与阴离子（硫酸盐、氯化物、碳酸盐、重碳酸盐）毫克当量浓度相对误差不大于5%，阴阳离子平衡。</w:t>
      </w:r>
    </w:p>
    <w:p w14:paraId="393DA4D7">
      <w:pPr>
        <w:widowControl w:val="0"/>
        <w:spacing w:line="440" w:lineRule="exact"/>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4.3.2.4地下水环境质量现状评价结论</w:t>
      </w:r>
    </w:p>
    <w:p w14:paraId="178D9179">
      <w:pPr>
        <w:widowControl w:val="0"/>
        <w:spacing w:line="440" w:lineRule="exact"/>
        <w:ind w:firstLine="480" w:firstLineChars="200"/>
        <w:jc w:val="both"/>
        <w:rPr>
          <w:rFonts w:ascii="Times New Roman" w:hAnsi="Times New Roman" w:cs="Times New Roman"/>
          <w:caps w:val="0"/>
          <w:smallCaps w:val="0"/>
          <w:color w:val="auto"/>
          <w:spacing w:val="0"/>
          <w:w w:val="100"/>
          <w:position w:val="0"/>
          <w:szCs w:val="20"/>
          <w:highlight w:val="none"/>
        </w:rPr>
      </w:pPr>
      <w:r>
        <w:rPr>
          <w:rFonts w:ascii="Times New Roman" w:hAnsi="Times New Roman" w:cs="Times New Roman"/>
          <w:caps w:val="0"/>
          <w:smallCaps w:val="0"/>
          <w:color w:val="auto"/>
          <w:spacing w:val="0"/>
          <w:w w:val="100"/>
          <w:position w:val="0"/>
          <w:szCs w:val="20"/>
          <w:highlight w:val="none"/>
        </w:rPr>
        <w:t>由以上地下水单因子标准指数分析可知，评价区域地下水水质除潜水中锰外均满足《地下水质量标准》（GB/T148488-2017）中的Ⅲ类标准要求，石油类满足《地表水环境质量标准》（GB3838-2002）</w:t>
      </w:r>
      <w:r>
        <w:rPr>
          <w:rFonts w:ascii="Times New Roman" w:hAnsi="Times New Roman" w:cs="Times New Roman"/>
          <w:caps w:val="0"/>
          <w:smallCaps w:val="0"/>
          <w:color w:val="auto"/>
          <w:spacing w:val="0"/>
          <w:w w:val="100"/>
          <w:position w:val="0"/>
          <w:szCs w:val="20"/>
          <w:highlight w:val="none"/>
        </w:rPr>
        <w:fldChar w:fldCharType="begin"/>
      </w:r>
      <w:r>
        <w:rPr>
          <w:rFonts w:ascii="Times New Roman" w:hAnsi="Times New Roman" w:cs="Times New Roman"/>
          <w:caps w:val="0"/>
          <w:smallCaps w:val="0"/>
          <w:color w:val="auto"/>
          <w:spacing w:val="0"/>
          <w:w w:val="100"/>
          <w:position w:val="0"/>
          <w:szCs w:val="20"/>
          <w:highlight w:val="none"/>
        </w:rPr>
        <w:instrText xml:space="preserve"> = 2 \* ROMAN </w:instrText>
      </w:r>
      <w:r>
        <w:rPr>
          <w:rFonts w:ascii="Times New Roman" w:hAnsi="Times New Roman" w:cs="Times New Roman"/>
          <w:caps w:val="0"/>
          <w:smallCaps w:val="0"/>
          <w:color w:val="auto"/>
          <w:spacing w:val="0"/>
          <w:w w:val="100"/>
          <w:position w:val="0"/>
          <w:szCs w:val="20"/>
          <w:highlight w:val="none"/>
        </w:rPr>
        <w:fldChar w:fldCharType="separate"/>
      </w:r>
      <w:r>
        <w:rPr>
          <w:rFonts w:ascii="Times New Roman" w:hAnsi="Times New Roman" w:cs="Times New Roman"/>
          <w:caps w:val="0"/>
          <w:smallCaps w:val="0"/>
          <w:color w:val="auto"/>
          <w:spacing w:val="0"/>
          <w:w w:val="100"/>
          <w:position w:val="0"/>
          <w:szCs w:val="20"/>
          <w:highlight w:val="none"/>
        </w:rPr>
        <w:t>II</w:t>
      </w:r>
      <w:r>
        <w:rPr>
          <w:rFonts w:ascii="Times New Roman" w:hAnsi="Times New Roman" w:cs="Times New Roman"/>
          <w:caps w:val="0"/>
          <w:smallCaps w:val="0"/>
          <w:color w:val="auto"/>
          <w:spacing w:val="0"/>
          <w:w w:val="100"/>
          <w:position w:val="0"/>
          <w:szCs w:val="20"/>
          <w:highlight w:val="none"/>
        </w:rPr>
        <w:fldChar w:fldCharType="end"/>
      </w:r>
      <w:r>
        <w:rPr>
          <w:rFonts w:ascii="Times New Roman" w:hAnsi="Times New Roman" w:cs="Times New Roman"/>
          <w:caps w:val="0"/>
          <w:smallCaps w:val="0"/>
          <w:color w:val="auto"/>
          <w:spacing w:val="0"/>
          <w:w w:val="100"/>
          <w:position w:val="0"/>
          <w:szCs w:val="20"/>
          <w:highlight w:val="none"/>
        </w:rPr>
        <w:t>类标准。其中锰因子水质监测浓度占标率偏高，主要是由于评价区域地层中富含锰矿物，还原条件下转化的Mn</w:t>
      </w:r>
      <w:r>
        <w:rPr>
          <w:rFonts w:ascii="Times New Roman" w:hAnsi="Times New Roman" w:cs="Times New Roman"/>
          <w:caps w:val="0"/>
          <w:smallCaps w:val="0"/>
          <w:color w:val="auto"/>
          <w:spacing w:val="0"/>
          <w:w w:val="100"/>
          <w:position w:val="0"/>
          <w:szCs w:val="20"/>
          <w:highlight w:val="none"/>
          <w:vertAlign w:val="superscript"/>
        </w:rPr>
        <w:t>2+</w:t>
      </w:r>
      <w:r>
        <w:rPr>
          <w:rFonts w:ascii="Times New Roman" w:hAnsi="Times New Roman" w:cs="Times New Roman"/>
          <w:caps w:val="0"/>
          <w:smallCaps w:val="0"/>
          <w:color w:val="auto"/>
          <w:spacing w:val="0"/>
          <w:w w:val="100"/>
          <w:position w:val="0"/>
          <w:szCs w:val="20"/>
          <w:highlight w:val="none"/>
        </w:rPr>
        <w:t>在CO</w:t>
      </w:r>
      <w:r>
        <w:rPr>
          <w:rFonts w:ascii="Times New Roman" w:hAnsi="Times New Roman" w:cs="Times New Roman"/>
          <w:caps w:val="0"/>
          <w:smallCaps w:val="0"/>
          <w:color w:val="auto"/>
          <w:spacing w:val="0"/>
          <w:w w:val="100"/>
          <w:position w:val="0"/>
          <w:szCs w:val="20"/>
          <w:highlight w:val="none"/>
          <w:vertAlign w:val="subscript"/>
        </w:rPr>
        <w:t>2</w:t>
      </w:r>
      <w:r>
        <w:rPr>
          <w:rFonts w:ascii="Times New Roman" w:hAnsi="Times New Roman" w:cs="Times New Roman"/>
          <w:caps w:val="0"/>
          <w:smallCaps w:val="0"/>
          <w:color w:val="auto"/>
          <w:spacing w:val="0"/>
          <w:w w:val="100"/>
          <w:position w:val="0"/>
          <w:szCs w:val="20"/>
          <w:highlight w:val="none"/>
        </w:rPr>
        <w:t>作用下溶入地下水中，形成锰浓度偏高的水文地质化学环境</w:t>
      </w:r>
      <w:r>
        <w:rPr>
          <w:rFonts w:ascii="Times New Roman" w:hAnsi="Times New Roman" w:cs="Times New Roman"/>
          <w:caps w:val="0"/>
          <w:smallCaps w:val="0"/>
          <w:color w:val="auto"/>
          <w:spacing w:val="0"/>
          <w:w w:val="100"/>
          <w:position w:val="0"/>
          <w:highlight w:val="none"/>
        </w:rPr>
        <w:t>。评价区域</w:t>
      </w:r>
      <w:r>
        <w:rPr>
          <w:rFonts w:ascii="Times New Roman" w:hAnsi="Times New Roman" w:cs="Times New Roman"/>
          <w:caps w:val="0"/>
          <w:smallCaps w:val="0"/>
          <w:color w:val="auto"/>
          <w:spacing w:val="0"/>
          <w:w w:val="100"/>
          <w:position w:val="0"/>
          <w:szCs w:val="20"/>
          <w:highlight w:val="none"/>
        </w:rPr>
        <w:t>地下水化学类型主要为4-A型HCO</w:t>
      </w:r>
      <w:r>
        <w:rPr>
          <w:rFonts w:ascii="Times New Roman" w:hAnsi="Times New Roman" w:cs="Times New Roman"/>
          <w:caps w:val="0"/>
          <w:smallCaps w:val="0"/>
          <w:color w:val="auto"/>
          <w:spacing w:val="0"/>
          <w:w w:val="100"/>
          <w:position w:val="0"/>
          <w:szCs w:val="20"/>
          <w:highlight w:val="none"/>
          <w:vertAlign w:val="subscript"/>
        </w:rPr>
        <w:t>3</w:t>
      </w:r>
      <w:r>
        <w:rPr>
          <w:rFonts w:ascii="Times New Roman" w:hAnsi="Times New Roman" w:cs="Times New Roman"/>
          <w:caps w:val="0"/>
          <w:smallCaps w:val="0"/>
          <w:color w:val="auto"/>
          <w:spacing w:val="0"/>
          <w:w w:val="100"/>
          <w:position w:val="0"/>
          <w:szCs w:val="20"/>
          <w:highlight w:val="none"/>
        </w:rPr>
        <w:t>-</w:t>
      </w:r>
      <w:r>
        <w:rPr>
          <w:rFonts w:ascii="Times New Roman" w:hAnsi="Times New Roman" w:cs="Times New Roman"/>
          <w:caps w:val="0"/>
          <w:smallCaps w:val="0"/>
          <w:color w:val="auto"/>
          <w:spacing w:val="0"/>
          <w:w w:val="100"/>
          <w:position w:val="0"/>
          <w:szCs w:val="21"/>
          <w:highlight w:val="none"/>
        </w:rPr>
        <w:t xml:space="preserve"> </w:t>
      </w:r>
      <w:r>
        <w:rPr>
          <w:rFonts w:ascii="Times New Roman" w:hAnsi="Times New Roman" w:cs="Times New Roman"/>
          <w:caps w:val="0"/>
          <w:smallCaps w:val="0"/>
          <w:color w:val="auto"/>
          <w:spacing w:val="0"/>
          <w:w w:val="100"/>
          <w:position w:val="0"/>
          <w:szCs w:val="20"/>
          <w:highlight w:val="none"/>
        </w:rPr>
        <w:t>Na+Ca淡水。</w:t>
      </w:r>
      <w:bookmarkStart w:id="723" w:name="_Toc11456"/>
    </w:p>
    <w:bookmarkEnd w:id="723"/>
    <w:p w14:paraId="4FC61ABF">
      <w:pPr>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bookmarkStart w:id="724" w:name="_Toc186444323"/>
      <w:r>
        <w:rPr>
          <w:rFonts w:ascii="Times New Roman" w:hAnsi="Times New Roman" w:cs="Times New Roman"/>
          <w:b/>
          <w:bCs/>
          <w:caps w:val="0"/>
          <w:smallCaps w:val="0"/>
          <w:color w:val="auto"/>
          <w:spacing w:val="0"/>
          <w:w w:val="100"/>
          <w:kern w:val="2"/>
          <w:position w:val="0"/>
          <w:highlight w:val="none"/>
        </w:rPr>
        <w:t>4.3.3地表水环境质量现状</w:t>
      </w:r>
      <w:bookmarkEnd w:id="724"/>
    </w:p>
    <w:p w14:paraId="47231BFC">
      <w:pPr>
        <w:widowControl w:val="0"/>
        <w:spacing w:line="440" w:lineRule="exact"/>
        <w:ind w:firstLine="480"/>
        <w:jc w:val="both"/>
        <w:rPr>
          <w:rFonts w:ascii="Times New Roman" w:hAnsi="Times New Roman" w:cs="Times New Roman" w:eastAsiaTheme="minorEastAsia"/>
          <w:caps w:val="0"/>
          <w:smallCaps w:val="0"/>
          <w:color w:val="auto"/>
          <w:spacing w:val="0"/>
          <w:w w:val="100"/>
          <w:position w:val="0"/>
          <w:szCs w:val="20"/>
          <w:highlight w:val="none"/>
        </w:rPr>
      </w:pPr>
      <w:r>
        <w:rPr>
          <w:rFonts w:ascii="Times New Roman" w:hAnsi="Times New Roman" w:cs="Times New Roman"/>
          <w:caps w:val="0"/>
          <w:smallCaps w:val="0"/>
          <w:color w:val="auto"/>
          <w:spacing w:val="0"/>
          <w:w w:val="100"/>
          <w:position w:val="0"/>
          <w:szCs w:val="20"/>
          <w:highlight w:val="none"/>
        </w:rPr>
        <w:t>本项目属于水污染影响型三级B评价，可不开展区域污染源调查。本项目地表水评价范围为拟建管线沿线两侧外扩200m范围的地表水体，该范围内</w:t>
      </w:r>
      <w:r>
        <w:rPr>
          <w:rFonts w:hint="eastAsia" w:ascii="Times New Roman" w:hAnsi="Times New Roman" w:cs="Times New Roman"/>
          <w:caps w:val="0"/>
          <w:smallCaps w:val="0"/>
          <w:color w:val="auto"/>
          <w:spacing w:val="0"/>
          <w:w w:val="100"/>
          <w:position w:val="0"/>
          <w:szCs w:val="20"/>
          <w:highlight w:val="none"/>
        </w:rPr>
        <w:t>无</w:t>
      </w:r>
      <w:r>
        <w:rPr>
          <w:rFonts w:ascii="Times New Roman" w:hAnsi="Times New Roman" w:cs="Times New Roman"/>
          <w:caps w:val="0"/>
          <w:smallCaps w:val="0"/>
          <w:color w:val="auto"/>
          <w:spacing w:val="0"/>
          <w:w w:val="100"/>
          <w:position w:val="0"/>
          <w:szCs w:val="20"/>
          <w:highlight w:val="none"/>
        </w:rPr>
        <w:t>地表水体，因此本次未对地表水体进行监测。</w:t>
      </w:r>
    </w:p>
    <w:p w14:paraId="4BA6F4F9">
      <w:pPr>
        <w:widowControl w:val="0"/>
        <w:spacing w:line="440" w:lineRule="exact"/>
        <w:jc w:val="both"/>
        <w:outlineLvl w:val="2"/>
        <w:rPr>
          <w:rFonts w:ascii="Times New Roman" w:hAnsi="Times New Roman" w:cs="Times New Roman"/>
          <w:b/>
          <w:bCs/>
          <w:caps w:val="0"/>
          <w:smallCaps w:val="0"/>
          <w:color w:val="auto"/>
          <w:spacing w:val="0"/>
          <w:w w:val="100"/>
          <w:kern w:val="2"/>
          <w:position w:val="0"/>
          <w:highlight w:val="none"/>
        </w:rPr>
      </w:pPr>
      <w:bookmarkStart w:id="725" w:name="_Toc186444324"/>
      <w:r>
        <w:rPr>
          <w:rFonts w:ascii="Times New Roman" w:hAnsi="Times New Roman" w:cs="Times New Roman"/>
          <w:b/>
          <w:bCs/>
          <w:caps w:val="0"/>
          <w:smallCaps w:val="0"/>
          <w:color w:val="auto"/>
          <w:spacing w:val="0"/>
          <w:w w:val="100"/>
          <w:kern w:val="2"/>
          <w:position w:val="0"/>
          <w:highlight w:val="none"/>
        </w:rPr>
        <w:t>4.3.4声环境质量现状监测与评价</w:t>
      </w:r>
      <w:bookmarkEnd w:id="725"/>
    </w:p>
    <w:p w14:paraId="0F8C09EC">
      <w:pPr>
        <w:widowControl w:val="0"/>
        <w:spacing w:line="440" w:lineRule="exact"/>
        <w:jc w:val="both"/>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4.3.4.1声环境质量现状监测</w:t>
      </w:r>
    </w:p>
    <w:p w14:paraId="1D9C6EEC">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（1）监测点布设</w:t>
      </w:r>
    </w:p>
    <w:p w14:paraId="4354E384">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根据</w:t>
      </w:r>
      <w:r>
        <w:rPr>
          <w:rFonts w:ascii="Times New Roman" w:hAnsi="Times New Roman" w:cs="Times New Roman" w:eastAsiaTheme="minorEastAsia"/>
          <w:caps w:val="0"/>
          <w:smallCaps w:val="0"/>
          <w:color w:val="auto"/>
          <w:spacing w:val="0"/>
          <w:w w:val="100"/>
          <w:kern w:val="21"/>
          <w:position w:val="0"/>
          <w:highlight w:val="none"/>
          <w:lang w:bidi="zh-CN"/>
        </w:rPr>
        <w:t>《环境影响评价技术导则 陆地石油天然气开发建设项目》（HJ349-2023）</w:t>
      </w:r>
      <w:r>
        <w:rPr>
          <w:rFonts w:ascii="Times New Roman" w:hAnsi="Times New Roman" w:cs="Times New Roman" w:eastAsiaTheme="minorEastAsia"/>
          <w:caps w:val="0"/>
          <w:smallCaps w:val="0"/>
          <w:color w:val="auto"/>
          <w:spacing w:val="0"/>
          <w:w w:val="100"/>
          <w:kern w:val="21"/>
          <w:position w:val="0"/>
          <w:highlight w:val="none"/>
        </w:rPr>
        <w:t>要求，滚动开发区块建设项目应列表给出代表性的场站厂界、各声环境保护目标现状值和达标情况分析。本项目拟建管线周边</w:t>
      </w:r>
      <w:r>
        <w:rPr>
          <w:rFonts w:hint="eastAsia" w:ascii="Times New Roman" w:hAnsi="Times New Roman" w:cs="Times New Roman" w:eastAsiaTheme="minorEastAsia"/>
          <w:caps w:val="0"/>
          <w:smallCaps w:val="0"/>
          <w:color w:val="auto"/>
          <w:spacing w:val="0"/>
          <w:w w:val="100"/>
          <w:kern w:val="21"/>
          <w:position w:val="0"/>
          <w:highlight w:val="none"/>
        </w:rPr>
        <w:t>2</w:t>
      </w:r>
      <w:r>
        <w:rPr>
          <w:rFonts w:ascii="Times New Roman" w:hAnsi="Times New Roman" w:cs="Times New Roman" w:eastAsiaTheme="minorEastAsia"/>
          <w:caps w:val="0"/>
          <w:smallCaps w:val="0"/>
          <w:color w:val="auto"/>
          <w:spacing w:val="0"/>
          <w:w w:val="100"/>
          <w:kern w:val="21"/>
          <w:position w:val="0"/>
          <w:highlight w:val="none"/>
        </w:rPr>
        <w:t>00m范围内无声环境保护目标，因此本项目选取现有区块内代表性的场站厂界进行布点，监测点布设见表</w:t>
      </w:r>
      <w:r>
        <w:rPr>
          <w:rFonts w:ascii="Times New Roman" w:hAnsi="Times New Roman" w:cs="Times New Roman" w:eastAsiaTheme="minorEastAsia"/>
          <w:caps w:val="0"/>
          <w:smallCaps w:val="0"/>
          <w:color w:val="auto"/>
          <w:spacing w:val="0"/>
          <w:w w:val="100"/>
          <w:kern w:val="2"/>
          <w:position w:val="0"/>
          <w:szCs w:val="20"/>
          <w:highlight w:val="none"/>
        </w:rPr>
        <w:t>4.3-18</w:t>
      </w:r>
      <w:r>
        <w:rPr>
          <w:rFonts w:ascii="Times New Roman" w:hAnsi="Times New Roman" w:cs="Times New Roman" w:eastAsiaTheme="minorEastAsia"/>
          <w:caps w:val="0"/>
          <w:smallCaps w:val="0"/>
          <w:color w:val="auto"/>
          <w:spacing w:val="0"/>
          <w:w w:val="100"/>
          <w:kern w:val="21"/>
          <w:position w:val="0"/>
          <w:highlight w:val="none"/>
        </w:rPr>
        <w:t>，具体监测点位见附图16。</w:t>
      </w:r>
    </w:p>
    <w:p w14:paraId="747BAA10">
      <w:pPr>
        <w:widowControl w:val="0"/>
        <w:tabs>
          <w:tab w:val="left" w:pos="5262"/>
        </w:tabs>
        <w:spacing w:line="440" w:lineRule="exact"/>
        <w:ind w:firstLine="482"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b/>
          <w:bCs/>
          <w:caps w:val="0"/>
          <w:smallCaps w:val="0"/>
          <w:color w:val="auto"/>
          <w:spacing w:val="0"/>
          <w:w w:val="100"/>
          <w:kern w:val="21"/>
          <w:position w:val="0"/>
          <w:highlight w:val="none"/>
        </w:rPr>
        <w:t>表</w:t>
      </w:r>
      <w:r>
        <w:rPr>
          <w:rFonts w:ascii="Times New Roman" w:hAnsi="Times New Roman" w:cs="Times New Roman" w:eastAsiaTheme="minorEastAsia"/>
          <w:b/>
          <w:caps w:val="0"/>
          <w:smallCaps w:val="0"/>
          <w:color w:val="auto"/>
          <w:spacing w:val="0"/>
          <w:w w:val="100"/>
          <w:kern w:val="2"/>
          <w:position w:val="0"/>
          <w:szCs w:val="20"/>
          <w:highlight w:val="none"/>
        </w:rPr>
        <w:t>4.3-18</w:t>
      </w:r>
      <w:r>
        <w:rPr>
          <w:rFonts w:ascii="Times New Roman" w:hAnsi="Times New Roman" w:cs="Times New Roman" w:eastAsiaTheme="minorEastAsia"/>
          <w:b/>
          <w:bCs/>
          <w:caps w:val="0"/>
          <w:smallCaps w:val="0"/>
          <w:color w:val="auto"/>
          <w:spacing w:val="0"/>
          <w:w w:val="100"/>
          <w:kern w:val="21"/>
          <w:position w:val="0"/>
          <w:highlight w:val="none"/>
        </w:rPr>
        <w:t xml:space="preserve">    声环境现状监测点位表</w:t>
      </w:r>
    </w:p>
    <w:tbl>
      <w:tblPr>
        <w:tblStyle w:val="8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0"/>
        <w:gridCol w:w="1219"/>
        <w:gridCol w:w="2377"/>
        <w:gridCol w:w="3356"/>
        <w:gridCol w:w="1645"/>
      </w:tblGrid>
      <w:tr w14:paraId="0ECD9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0" w:type="dxa"/>
            <w:vAlign w:val="center"/>
          </w:tcPr>
          <w:p w14:paraId="3847B9CC">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序号</w:t>
            </w:r>
          </w:p>
        </w:tc>
        <w:tc>
          <w:tcPr>
            <w:tcW w:w="1219" w:type="dxa"/>
            <w:vAlign w:val="center"/>
          </w:tcPr>
          <w:p w14:paraId="26913D39">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监测点</w:t>
            </w:r>
          </w:p>
        </w:tc>
        <w:tc>
          <w:tcPr>
            <w:tcW w:w="2377" w:type="dxa"/>
            <w:vAlign w:val="center"/>
          </w:tcPr>
          <w:p w14:paraId="1F233207">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场站</w:t>
            </w:r>
            <w:r>
              <w:rPr>
                <w:rFonts w:ascii="Times New Roman" w:hAnsi="Times New Roman" w:cs="Times New Roman" w:eastAsiaTheme="minorEastAsia"/>
                <w:caps w:val="0"/>
                <w:smallCaps w:val="0"/>
                <w:color w:val="auto"/>
                <w:spacing w:val="0"/>
                <w:w w:val="100"/>
                <w:position w:val="0"/>
                <w:sz w:val="21"/>
                <w:szCs w:val="21"/>
                <w:highlight w:val="none"/>
              </w:rPr>
              <w:t>坐标</w:t>
            </w:r>
          </w:p>
        </w:tc>
        <w:tc>
          <w:tcPr>
            <w:tcW w:w="3356" w:type="dxa"/>
            <w:vAlign w:val="center"/>
          </w:tcPr>
          <w:p w14:paraId="5C806656">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与本项目位置关系</w:t>
            </w:r>
          </w:p>
        </w:tc>
        <w:tc>
          <w:tcPr>
            <w:tcW w:w="1645" w:type="dxa"/>
            <w:vAlign w:val="center"/>
          </w:tcPr>
          <w:p w14:paraId="51AF200A">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备注</w:t>
            </w:r>
          </w:p>
        </w:tc>
      </w:tr>
      <w:tr w14:paraId="1C272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0" w:type="dxa"/>
            <w:vAlign w:val="center"/>
          </w:tcPr>
          <w:p w14:paraId="5C56BF1D">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w:t>
            </w:r>
          </w:p>
        </w:tc>
        <w:tc>
          <w:tcPr>
            <w:tcW w:w="1219" w:type="dxa"/>
            <w:vAlign w:val="center"/>
          </w:tcPr>
          <w:p w14:paraId="3A474F51">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孙家屯</w:t>
            </w:r>
          </w:p>
        </w:tc>
        <w:tc>
          <w:tcPr>
            <w:tcW w:w="2377" w:type="dxa"/>
            <w:vAlign w:val="center"/>
          </w:tcPr>
          <w:p w14:paraId="5DFC2A00">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46.14447</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125.02673</w:t>
            </w:r>
          </w:p>
        </w:tc>
        <w:tc>
          <w:tcPr>
            <w:tcW w:w="3356" w:type="dxa"/>
            <w:vAlign w:val="center"/>
          </w:tcPr>
          <w:p w14:paraId="0E9CBE56">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rPr>
            </w:pPr>
            <w:r>
              <w:rPr>
                <w:rFonts w:ascii="Times New Roman" w:hAnsi="Times New Roman" w:cs="Times New Roman" w:eastAsiaTheme="minorEastAsia"/>
                <w:caps w:val="0"/>
                <w:smallCaps w:val="0"/>
                <w:color w:val="auto"/>
                <w:spacing w:val="0"/>
                <w:w w:val="100"/>
                <w:position w:val="0"/>
                <w:sz w:val="21"/>
                <w:szCs w:val="21"/>
                <w:highlight w:val="none"/>
              </w:rPr>
              <w:t>拟建管线</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西侧20m</w:t>
            </w:r>
          </w:p>
        </w:tc>
        <w:tc>
          <w:tcPr>
            <w:tcW w:w="1645" w:type="dxa"/>
            <w:vMerge w:val="restart"/>
            <w:vAlign w:val="center"/>
          </w:tcPr>
          <w:p w14:paraId="74B5E83E">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测东、南、西、北</w:t>
            </w:r>
            <w:r>
              <w:rPr>
                <w:rFonts w:hint="eastAsia" w:ascii="Times New Roman" w:hAnsi="Times New Roman" w:cs="Times New Roman" w:eastAsiaTheme="minorEastAsia"/>
                <w:caps w:val="0"/>
                <w:smallCaps w:val="0"/>
                <w:color w:val="auto"/>
                <w:spacing w:val="0"/>
                <w:w w:val="100"/>
                <w:position w:val="0"/>
                <w:sz w:val="21"/>
                <w:szCs w:val="21"/>
                <w:highlight w:val="none"/>
              </w:rPr>
              <w:t>厂界</w:t>
            </w:r>
          </w:p>
        </w:tc>
      </w:tr>
      <w:tr w14:paraId="41BED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0" w:type="dxa"/>
            <w:vAlign w:val="center"/>
          </w:tcPr>
          <w:p w14:paraId="76967AD3">
            <w:pPr>
              <w:adjustRightInd w:val="0"/>
              <w:snapToGrid w:val="0"/>
              <w:spacing w:line="32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w:t>
            </w:r>
          </w:p>
        </w:tc>
        <w:tc>
          <w:tcPr>
            <w:tcW w:w="1219" w:type="dxa"/>
            <w:vAlign w:val="center"/>
          </w:tcPr>
          <w:p w14:paraId="551A9A6B">
            <w:pPr>
              <w:adjustRightInd w:val="0"/>
              <w:snapToGrid w:val="0"/>
              <w:spacing w:line="32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卢家屯</w:t>
            </w:r>
          </w:p>
        </w:tc>
        <w:tc>
          <w:tcPr>
            <w:tcW w:w="2377" w:type="dxa"/>
            <w:vAlign w:val="center"/>
          </w:tcPr>
          <w:p w14:paraId="73C3ED93">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46.13703</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125.02895</w:t>
            </w:r>
          </w:p>
        </w:tc>
        <w:tc>
          <w:tcPr>
            <w:tcW w:w="3356" w:type="dxa"/>
            <w:vAlign w:val="center"/>
          </w:tcPr>
          <w:p w14:paraId="1B5E154F">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rPr>
            </w:pPr>
            <w:r>
              <w:rPr>
                <w:rFonts w:ascii="Times New Roman" w:hAnsi="Times New Roman" w:cs="Times New Roman" w:eastAsiaTheme="minorEastAsia"/>
                <w:caps w:val="0"/>
                <w:smallCaps w:val="0"/>
                <w:color w:val="auto"/>
                <w:spacing w:val="0"/>
                <w:w w:val="100"/>
                <w:position w:val="0"/>
                <w:sz w:val="21"/>
                <w:szCs w:val="21"/>
                <w:highlight w:val="none"/>
              </w:rPr>
              <w:t>拟建管线</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西侧20m</w:t>
            </w:r>
          </w:p>
        </w:tc>
        <w:tc>
          <w:tcPr>
            <w:tcW w:w="1645" w:type="dxa"/>
            <w:vMerge w:val="continue"/>
            <w:vAlign w:val="center"/>
          </w:tcPr>
          <w:p w14:paraId="0B793273">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r>
      <w:tr w14:paraId="2E24C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0" w:type="dxa"/>
            <w:vAlign w:val="center"/>
          </w:tcPr>
          <w:p w14:paraId="78ACC0B8">
            <w:pPr>
              <w:adjustRightInd w:val="0"/>
              <w:snapToGrid w:val="0"/>
              <w:spacing w:line="32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w:t>
            </w:r>
          </w:p>
        </w:tc>
        <w:tc>
          <w:tcPr>
            <w:tcW w:w="1219" w:type="dxa"/>
            <w:vAlign w:val="center"/>
          </w:tcPr>
          <w:p w14:paraId="1542616C">
            <w:pPr>
              <w:adjustRightInd w:val="0"/>
              <w:snapToGrid w:val="0"/>
              <w:spacing w:line="32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史家屯</w:t>
            </w:r>
          </w:p>
        </w:tc>
        <w:tc>
          <w:tcPr>
            <w:tcW w:w="2377" w:type="dxa"/>
            <w:vAlign w:val="center"/>
          </w:tcPr>
          <w:p w14:paraId="0EDC7CC1">
            <w:pPr>
              <w:adjustRightInd w:val="0"/>
              <w:snapToGrid w:val="0"/>
              <w:spacing w:line="32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125.03720</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46.14629</w:t>
            </w:r>
          </w:p>
        </w:tc>
        <w:tc>
          <w:tcPr>
            <w:tcW w:w="3356" w:type="dxa"/>
            <w:vAlign w:val="center"/>
          </w:tcPr>
          <w:p w14:paraId="3AB13AA2">
            <w:pPr>
              <w:adjustRightInd w:val="0"/>
              <w:snapToGrid w:val="0"/>
              <w:spacing w:line="32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rPr>
            </w:pPr>
            <w:r>
              <w:rPr>
                <w:rFonts w:ascii="Times New Roman" w:hAnsi="Times New Roman" w:cs="Times New Roman" w:eastAsiaTheme="minorEastAsia"/>
                <w:caps w:val="0"/>
                <w:smallCaps w:val="0"/>
                <w:color w:val="auto"/>
                <w:spacing w:val="0"/>
                <w:w w:val="100"/>
                <w:position w:val="0"/>
                <w:sz w:val="21"/>
                <w:szCs w:val="21"/>
                <w:highlight w:val="none"/>
              </w:rPr>
              <w:t>拟建管线</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西侧70m</w:t>
            </w:r>
          </w:p>
        </w:tc>
        <w:tc>
          <w:tcPr>
            <w:tcW w:w="1645" w:type="dxa"/>
            <w:vMerge w:val="continue"/>
            <w:vAlign w:val="center"/>
          </w:tcPr>
          <w:p w14:paraId="493786DF">
            <w:pPr>
              <w:adjustRightInd w:val="0"/>
              <w:snapToGrid w:val="0"/>
              <w:spacing w:line="32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r>
    </w:tbl>
    <w:p w14:paraId="2705BFE6">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（2）监测时间</w:t>
      </w:r>
    </w:p>
    <w:p w14:paraId="26A89437">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position w:val="0"/>
          <w:szCs w:val="20"/>
          <w:highlight w:val="none"/>
        </w:rPr>
        <w:t>于202</w:t>
      </w:r>
      <w:r>
        <w:rPr>
          <w:rFonts w:hint="eastAsia" w:ascii="Times New Roman" w:hAnsi="Times New Roman" w:cs="Times New Roman" w:eastAsiaTheme="minorEastAsia"/>
          <w:caps w:val="0"/>
          <w:smallCaps w:val="0"/>
          <w:color w:val="auto"/>
          <w:spacing w:val="0"/>
          <w:w w:val="100"/>
          <w:position w:val="0"/>
          <w:szCs w:val="20"/>
          <w:highlight w:val="none"/>
          <w:lang w:val="en-US" w:eastAsia="zh-CN"/>
        </w:rPr>
        <w:t>6</w:t>
      </w:r>
      <w:r>
        <w:rPr>
          <w:rFonts w:ascii="Times New Roman" w:hAnsi="Times New Roman" w:cs="Times New Roman" w:eastAsiaTheme="minorEastAsia"/>
          <w:caps w:val="0"/>
          <w:smallCaps w:val="0"/>
          <w:color w:val="auto"/>
          <w:spacing w:val="0"/>
          <w:w w:val="100"/>
          <w:position w:val="0"/>
          <w:szCs w:val="20"/>
          <w:highlight w:val="none"/>
        </w:rPr>
        <w:t>年</w:t>
      </w:r>
      <w:r>
        <w:rPr>
          <w:rFonts w:hint="eastAsia" w:ascii="Times New Roman" w:hAnsi="Times New Roman" w:cs="Times New Roman" w:eastAsiaTheme="minorEastAsia"/>
          <w:caps w:val="0"/>
          <w:smallCaps w:val="0"/>
          <w:color w:val="auto"/>
          <w:spacing w:val="0"/>
          <w:w w:val="100"/>
          <w:position w:val="0"/>
          <w:szCs w:val="20"/>
          <w:highlight w:val="none"/>
          <w:lang w:val="en-US" w:eastAsia="zh-CN"/>
        </w:rPr>
        <w:t>5</w:t>
      </w:r>
      <w:r>
        <w:rPr>
          <w:rFonts w:ascii="Times New Roman" w:hAnsi="Times New Roman" w:cs="Times New Roman" w:eastAsiaTheme="minorEastAsia"/>
          <w:caps w:val="0"/>
          <w:smallCaps w:val="0"/>
          <w:color w:val="auto"/>
          <w:spacing w:val="0"/>
          <w:w w:val="100"/>
          <w:position w:val="0"/>
          <w:szCs w:val="20"/>
          <w:highlight w:val="none"/>
        </w:rPr>
        <w:t>月</w:t>
      </w:r>
      <w:r>
        <w:rPr>
          <w:rFonts w:hint="eastAsia" w:ascii="Times New Roman" w:hAnsi="Times New Roman" w:cs="Times New Roman" w:eastAsiaTheme="minorEastAsia"/>
          <w:caps w:val="0"/>
          <w:smallCaps w:val="0"/>
          <w:color w:val="auto"/>
          <w:spacing w:val="0"/>
          <w:w w:val="100"/>
          <w:position w:val="0"/>
          <w:szCs w:val="20"/>
          <w:highlight w:val="none"/>
          <w:lang w:val="en-US" w:eastAsia="zh-CN"/>
        </w:rPr>
        <w:t>28</w:t>
      </w:r>
      <w:r>
        <w:rPr>
          <w:rFonts w:ascii="Times New Roman" w:hAnsi="Times New Roman" w:cs="Times New Roman" w:eastAsiaTheme="minorEastAsia"/>
          <w:caps w:val="0"/>
          <w:smallCaps w:val="0"/>
          <w:color w:val="auto"/>
          <w:spacing w:val="0"/>
          <w:w w:val="100"/>
          <w:position w:val="0"/>
          <w:szCs w:val="20"/>
          <w:highlight w:val="none"/>
        </w:rPr>
        <w:t>日~</w:t>
      </w:r>
      <w:r>
        <w:rPr>
          <w:rFonts w:hint="eastAsia" w:ascii="Times New Roman" w:hAnsi="Times New Roman" w:cs="Times New Roman" w:eastAsiaTheme="minorEastAsia"/>
          <w:caps w:val="0"/>
          <w:smallCaps w:val="0"/>
          <w:color w:val="auto"/>
          <w:spacing w:val="0"/>
          <w:w w:val="100"/>
          <w:position w:val="0"/>
          <w:szCs w:val="20"/>
          <w:highlight w:val="none"/>
          <w:lang w:val="en-US" w:eastAsia="zh-CN"/>
        </w:rPr>
        <w:t>29</w:t>
      </w:r>
      <w:r>
        <w:rPr>
          <w:rFonts w:ascii="Times New Roman" w:hAnsi="Times New Roman" w:cs="Times New Roman" w:eastAsiaTheme="minorEastAsia"/>
          <w:caps w:val="0"/>
          <w:smallCaps w:val="0"/>
          <w:color w:val="auto"/>
          <w:spacing w:val="0"/>
          <w:w w:val="100"/>
          <w:position w:val="0"/>
          <w:szCs w:val="20"/>
          <w:highlight w:val="none"/>
        </w:rPr>
        <w:t>日监测</w:t>
      </w:r>
      <w:r>
        <w:rPr>
          <w:rFonts w:ascii="Times New Roman" w:hAnsi="Times New Roman" w:cs="Times New Roman" w:eastAsiaTheme="minorEastAsia"/>
          <w:bCs/>
          <w:caps w:val="0"/>
          <w:smallCaps w:val="0"/>
          <w:color w:val="auto"/>
          <w:spacing w:val="0"/>
          <w:w w:val="100"/>
          <w:kern w:val="21"/>
          <w:position w:val="0"/>
          <w:highlight w:val="none"/>
        </w:rPr>
        <w:t>。</w:t>
      </w:r>
    </w:p>
    <w:p w14:paraId="2F7105F7">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（3）监测频次</w:t>
      </w:r>
    </w:p>
    <w:p w14:paraId="2262038B">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连续监测2天，昼夜各1次。</w:t>
      </w:r>
    </w:p>
    <w:p w14:paraId="2DFDE177">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（4）分析方法</w:t>
      </w:r>
    </w:p>
    <w:p w14:paraId="26AF55E7">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声环境监测方法及分析仪器见表4.3-19。</w:t>
      </w:r>
    </w:p>
    <w:p w14:paraId="200B443D">
      <w:pPr>
        <w:widowControl w:val="0"/>
        <w:kinsoku w:val="0"/>
        <w:overflowPunct w:val="0"/>
        <w:spacing w:line="440" w:lineRule="exact"/>
        <w:ind w:left="480" w:leftChars="200"/>
        <w:rPr>
          <w:rFonts w:ascii="Times New Roman" w:hAnsi="Times New Roman" w:cs="Times New Roman"/>
          <w:b/>
          <w:bCs/>
          <w:caps w:val="0"/>
          <w:smallCaps w:val="0"/>
          <w:color w:val="auto"/>
          <w:spacing w:val="0"/>
          <w:w w:val="100"/>
          <w:position w:val="0"/>
          <w:highlight w:val="none"/>
        </w:rPr>
      </w:pPr>
      <w:r>
        <w:rPr>
          <w:rFonts w:ascii="Times New Roman" w:hAnsi="Times New Roman" w:cs="Times New Roman"/>
          <w:b/>
          <w:bCs/>
          <w:caps w:val="0"/>
          <w:smallCaps w:val="0"/>
          <w:color w:val="auto"/>
          <w:spacing w:val="0"/>
          <w:w w:val="100"/>
          <w:position w:val="0"/>
          <w:highlight w:val="none"/>
        </w:rPr>
        <w:t>表4.3-19  声环境监测方法及分析仪器表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2766"/>
        <w:gridCol w:w="1597"/>
        <w:gridCol w:w="1742"/>
        <w:gridCol w:w="1306"/>
        <w:gridCol w:w="1012"/>
      </w:tblGrid>
      <w:tr w14:paraId="2B1F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5" w:type="pct"/>
            <w:vAlign w:val="center"/>
          </w:tcPr>
          <w:p w14:paraId="0D4BBB7B">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监测</w:t>
            </w:r>
          </w:p>
          <w:p w14:paraId="614F12BC">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项目</w:t>
            </w:r>
          </w:p>
        </w:tc>
        <w:tc>
          <w:tcPr>
            <w:tcW w:w="1489" w:type="pct"/>
            <w:vAlign w:val="center"/>
          </w:tcPr>
          <w:p w14:paraId="301A9E4B">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分析方法名称</w:t>
            </w:r>
          </w:p>
        </w:tc>
        <w:tc>
          <w:tcPr>
            <w:tcW w:w="860" w:type="pct"/>
            <w:vAlign w:val="center"/>
          </w:tcPr>
          <w:p w14:paraId="7875BA00">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方法来源及标准号</w:t>
            </w:r>
          </w:p>
        </w:tc>
        <w:tc>
          <w:tcPr>
            <w:tcW w:w="938" w:type="pct"/>
            <w:vAlign w:val="center"/>
          </w:tcPr>
          <w:p w14:paraId="47772BDB">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分析仪器及型号</w:t>
            </w:r>
          </w:p>
        </w:tc>
        <w:tc>
          <w:tcPr>
            <w:tcW w:w="703" w:type="pct"/>
            <w:vAlign w:val="center"/>
          </w:tcPr>
          <w:p w14:paraId="6798334B">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仪器编号</w:t>
            </w:r>
          </w:p>
        </w:tc>
        <w:tc>
          <w:tcPr>
            <w:tcW w:w="545" w:type="pct"/>
            <w:vAlign w:val="center"/>
          </w:tcPr>
          <w:p w14:paraId="4FA06409">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方法检出限</w:t>
            </w:r>
          </w:p>
        </w:tc>
      </w:tr>
      <w:tr w14:paraId="21DE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5" w:type="pct"/>
            <w:vAlign w:val="center"/>
          </w:tcPr>
          <w:p w14:paraId="39F73617">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厂界</w:t>
            </w:r>
            <w:r>
              <w:rPr>
                <w:rFonts w:ascii="Times New Roman" w:hAnsi="Times New Roman" w:cs="Times New Roman" w:eastAsiaTheme="minorEastAsia"/>
                <w:caps w:val="0"/>
                <w:smallCaps w:val="0"/>
                <w:color w:val="auto"/>
                <w:spacing w:val="0"/>
                <w:w w:val="100"/>
                <w:kern w:val="2"/>
                <w:position w:val="0"/>
                <w:sz w:val="21"/>
                <w:szCs w:val="21"/>
                <w:highlight w:val="none"/>
              </w:rPr>
              <w:t>噪声</w:t>
            </w:r>
          </w:p>
        </w:tc>
        <w:tc>
          <w:tcPr>
            <w:tcW w:w="1489" w:type="pct"/>
            <w:vAlign w:val="center"/>
          </w:tcPr>
          <w:p w14:paraId="776E8F13">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工业企业厂界环境噪声排放标准</w:t>
            </w:r>
          </w:p>
        </w:tc>
        <w:tc>
          <w:tcPr>
            <w:tcW w:w="860" w:type="pct"/>
            <w:vAlign w:val="center"/>
          </w:tcPr>
          <w:p w14:paraId="63ED0425">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GB 12348-2008</w:t>
            </w:r>
          </w:p>
        </w:tc>
        <w:tc>
          <w:tcPr>
            <w:tcW w:w="938" w:type="pct"/>
            <w:vAlign w:val="center"/>
          </w:tcPr>
          <w:p w14:paraId="26534961">
            <w:pPr>
              <w:widowControl w:val="0"/>
              <w:kinsoku w:val="0"/>
              <w:overflowPunct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多功能声级计AWA5688</w:t>
            </w:r>
          </w:p>
        </w:tc>
        <w:tc>
          <w:tcPr>
            <w:tcW w:w="703" w:type="pct"/>
            <w:vAlign w:val="center"/>
          </w:tcPr>
          <w:p w14:paraId="1F0E0E73">
            <w:pPr>
              <w:widowControl w:val="0"/>
              <w:kinsoku w:val="0"/>
              <w:overflowPunct w:val="0"/>
              <w:spacing w:line="320" w:lineRule="exact"/>
              <w:jc w:val="center"/>
              <w:textAlignment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10341725</w:t>
            </w:r>
          </w:p>
        </w:tc>
        <w:tc>
          <w:tcPr>
            <w:tcW w:w="545" w:type="pct"/>
            <w:vAlign w:val="center"/>
          </w:tcPr>
          <w:p w14:paraId="0F51F6F4">
            <w:pPr>
              <w:adjustRightInd w:val="0"/>
              <w:snapToGrid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w:t>
            </w:r>
          </w:p>
        </w:tc>
      </w:tr>
    </w:tbl>
    <w:p w14:paraId="7C2373FE">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（5）监测结果</w:t>
      </w:r>
    </w:p>
    <w:p w14:paraId="6BA52B4A">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声环境现状监测结果见表</w:t>
      </w:r>
      <w:r>
        <w:rPr>
          <w:rFonts w:ascii="Times New Roman" w:hAnsi="Times New Roman" w:cs="Times New Roman" w:eastAsiaTheme="minorEastAsia"/>
          <w:caps w:val="0"/>
          <w:smallCaps w:val="0"/>
          <w:color w:val="auto"/>
          <w:spacing w:val="0"/>
          <w:w w:val="100"/>
          <w:kern w:val="2"/>
          <w:position w:val="0"/>
          <w:szCs w:val="20"/>
          <w:highlight w:val="none"/>
        </w:rPr>
        <w:t>4.3-20</w:t>
      </w:r>
      <w:r>
        <w:rPr>
          <w:rFonts w:ascii="Times New Roman" w:hAnsi="Times New Roman" w:cs="Times New Roman" w:eastAsiaTheme="minorEastAsia"/>
          <w:bCs/>
          <w:caps w:val="0"/>
          <w:smallCaps w:val="0"/>
          <w:color w:val="auto"/>
          <w:spacing w:val="0"/>
          <w:w w:val="100"/>
          <w:kern w:val="21"/>
          <w:position w:val="0"/>
          <w:highlight w:val="none"/>
        </w:rPr>
        <w:t>。</w:t>
      </w:r>
    </w:p>
    <w:p w14:paraId="49DE92A6">
      <w:pPr>
        <w:widowControl w:val="0"/>
        <w:tabs>
          <w:tab w:val="left" w:pos="5262"/>
        </w:tabs>
        <w:spacing w:line="440" w:lineRule="exact"/>
        <w:ind w:firstLine="482"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
          <w:bCs/>
          <w:caps w:val="0"/>
          <w:smallCaps w:val="0"/>
          <w:color w:val="auto"/>
          <w:spacing w:val="0"/>
          <w:w w:val="100"/>
          <w:kern w:val="21"/>
          <w:position w:val="0"/>
          <w:highlight w:val="none"/>
        </w:rPr>
        <w:t>表</w:t>
      </w:r>
      <w:r>
        <w:rPr>
          <w:rFonts w:ascii="Times New Roman" w:hAnsi="Times New Roman" w:cs="Times New Roman" w:eastAsiaTheme="minorEastAsia"/>
          <w:b/>
          <w:caps w:val="0"/>
          <w:smallCaps w:val="0"/>
          <w:color w:val="auto"/>
          <w:spacing w:val="0"/>
          <w:w w:val="100"/>
          <w:kern w:val="2"/>
          <w:position w:val="0"/>
          <w:szCs w:val="20"/>
          <w:highlight w:val="none"/>
        </w:rPr>
        <w:t>4.3-20</w:t>
      </w:r>
      <w:r>
        <w:rPr>
          <w:rFonts w:ascii="Times New Roman" w:hAnsi="Times New Roman" w:cs="Times New Roman" w:eastAsiaTheme="minorEastAsia"/>
          <w:b/>
          <w:bCs/>
          <w:caps w:val="0"/>
          <w:smallCaps w:val="0"/>
          <w:color w:val="auto"/>
          <w:spacing w:val="0"/>
          <w:w w:val="100"/>
          <w:kern w:val="21"/>
          <w:position w:val="0"/>
          <w:highlight w:val="none"/>
        </w:rPr>
        <w:t xml:space="preserve">    声环境现状监测结果表    单位：dB（A）</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8"/>
        <w:gridCol w:w="1741"/>
        <w:gridCol w:w="1600"/>
        <w:gridCol w:w="1596"/>
        <w:gridCol w:w="1592"/>
      </w:tblGrid>
      <w:tr w14:paraId="4394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Merge w:val="restart"/>
            <w:vAlign w:val="center"/>
          </w:tcPr>
          <w:p w14:paraId="164D8E7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监测点位</w:t>
            </w:r>
          </w:p>
        </w:tc>
        <w:tc>
          <w:tcPr>
            <w:tcW w:w="1798" w:type="pct"/>
            <w:gridSpan w:val="2"/>
            <w:vAlign w:val="center"/>
          </w:tcPr>
          <w:p w14:paraId="155D4135">
            <w:pPr>
              <w:adjustRightInd w:val="0"/>
              <w:snapToGrid w:val="0"/>
              <w:spacing w:line="360" w:lineRule="exact"/>
              <w:jc w:val="center"/>
              <w:rPr>
                <w:rFonts w:hint="default"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2026.5.28</w:t>
            </w:r>
          </w:p>
        </w:tc>
        <w:tc>
          <w:tcPr>
            <w:tcW w:w="1716" w:type="pct"/>
            <w:gridSpan w:val="2"/>
            <w:vAlign w:val="center"/>
          </w:tcPr>
          <w:p w14:paraId="45E1564C">
            <w:pPr>
              <w:adjustRightInd w:val="0"/>
              <w:snapToGrid w:val="0"/>
              <w:spacing w:line="360" w:lineRule="exact"/>
              <w:jc w:val="center"/>
              <w:rPr>
                <w:rFonts w:hint="default"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2026.5.29</w:t>
            </w:r>
          </w:p>
        </w:tc>
      </w:tr>
      <w:tr w14:paraId="434A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Merge w:val="continue"/>
            <w:vAlign w:val="center"/>
          </w:tcPr>
          <w:p w14:paraId="5BF68B42">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937" w:type="pct"/>
            <w:vAlign w:val="center"/>
          </w:tcPr>
          <w:p w14:paraId="0D1C306B">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昼间</w:t>
            </w:r>
          </w:p>
        </w:tc>
        <w:tc>
          <w:tcPr>
            <w:tcW w:w="861" w:type="pct"/>
            <w:vAlign w:val="center"/>
          </w:tcPr>
          <w:p w14:paraId="0384EC2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夜间</w:t>
            </w:r>
          </w:p>
        </w:tc>
        <w:tc>
          <w:tcPr>
            <w:tcW w:w="859" w:type="pct"/>
            <w:vAlign w:val="center"/>
          </w:tcPr>
          <w:p w14:paraId="30E957AD">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昼间</w:t>
            </w:r>
          </w:p>
        </w:tc>
        <w:tc>
          <w:tcPr>
            <w:tcW w:w="857" w:type="pct"/>
            <w:vAlign w:val="center"/>
          </w:tcPr>
          <w:p w14:paraId="2DDAA00A">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夜间</w:t>
            </w:r>
          </w:p>
        </w:tc>
      </w:tr>
      <w:tr w14:paraId="291A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Align w:val="center"/>
          </w:tcPr>
          <w:p w14:paraId="42520764">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孙家屯</w:t>
            </w:r>
          </w:p>
        </w:tc>
        <w:tc>
          <w:tcPr>
            <w:tcW w:w="937" w:type="pct"/>
            <w:shd w:val="clear" w:color="auto" w:fill="auto"/>
            <w:vAlign w:val="center"/>
          </w:tcPr>
          <w:p w14:paraId="3A022D6A">
            <w:pPr>
              <w:adjustRightInd w:val="0"/>
              <w:snapToGrid w:val="0"/>
              <w:spacing w:line="360" w:lineRule="exact"/>
              <w:jc w:val="center"/>
              <w:rPr>
                <w:rFonts w:hint="default"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47.5</w:t>
            </w:r>
          </w:p>
        </w:tc>
        <w:tc>
          <w:tcPr>
            <w:tcW w:w="861" w:type="pct"/>
            <w:shd w:val="clear" w:color="auto" w:fill="auto"/>
            <w:vAlign w:val="center"/>
          </w:tcPr>
          <w:p w14:paraId="2646FB30">
            <w:pPr>
              <w:adjustRightInd w:val="0"/>
              <w:snapToGrid w:val="0"/>
              <w:spacing w:line="360" w:lineRule="exact"/>
              <w:jc w:val="center"/>
              <w:rPr>
                <w:rFonts w:hint="default"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43.1</w:t>
            </w:r>
          </w:p>
        </w:tc>
        <w:tc>
          <w:tcPr>
            <w:tcW w:w="859" w:type="pct"/>
            <w:shd w:val="clear" w:color="auto" w:fill="auto"/>
            <w:vAlign w:val="center"/>
          </w:tcPr>
          <w:p w14:paraId="0E43B845">
            <w:pPr>
              <w:adjustRightInd w:val="0"/>
              <w:snapToGrid w:val="0"/>
              <w:spacing w:line="360" w:lineRule="exact"/>
              <w:jc w:val="center"/>
              <w:rPr>
                <w:rFonts w:hint="default"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47.7</w:t>
            </w:r>
          </w:p>
        </w:tc>
        <w:tc>
          <w:tcPr>
            <w:tcW w:w="857" w:type="pct"/>
            <w:shd w:val="clear" w:color="auto" w:fill="auto"/>
            <w:vAlign w:val="center"/>
          </w:tcPr>
          <w:p w14:paraId="37FC39E9">
            <w:pPr>
              <w:adjustRightInd w:val="0"/>
              <w:snapToGrid w:val="0"/>
              <w:spacing w:line="360" w:lineRule="exact"/>
              <w:jc w:val="center"/>
              <w:rPr>
                <w:rFonts w:hint="default"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43.3</w:t>
            </w:r>
          </w:p>
        </w:tc>
      </w:tr>
      <w:tr w14:paraId="641A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Align w:val="center"/>
          </w:tcPr>
          <w:p w14:paraId="1C49974D">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卢家屯</w:t>
            </w:r>
          </w:p>
        </w:tc>
        <w:tc>
          <w:tcPr>
            <w:tcW w:w="937" w:type="pct"/>
            <w:shd w:val="clear" w:color="auto" w:fill="auto"/>
            <w:vAlign w:val="center"/>
          </w:tcPr>
          <w:p w14:paraId="3C5971F6">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49.4</w:t>
            </w:r>
          </w:p>
        </w:tc>
        <w:tc>
          <w:tcPr>
            <w:tcW w:w="861" w:type="pct"/>
            <w:shd w:val="clear" w:color="auto" w:fill="auto"/>
            <w:vAlign w:val="center"/>
          </w:tcPr>
          <w:p w14:paraId="531F27C0">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44.3</w:t>
            </w:r>
          </w:p>
        </w:tc>
        <w:tc>
          <w:tcPr>
            <w:tcW w:w="859" w:type="pct"/>
            <w:shd w:val="clear" w:color="auto" w:fill="auto"/>
            <w:vAlign w:val="center"/>
          </w:tcPr>
          <w:p w14:paraId="112396BF">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49.2</w:t>
            </w:r>
          </w:p>
        </w:tc>
        <w:tc>
          <w:tcPr>
            <w:tcW w:w="857" w:type="pct"/>
            <w:shd w:val="clear" w:color="auto" w:fill="auto"/>
            <w:vAlign w:val="center"/>
          </w:tcPr>
          <w:p w14:paraId="3AD6BC1D">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44.1</w:t>
            </w:r>
          </w:p>
        </w:tc>
      </w:tr>
      <w:tr w14:paraId="43FC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Align w:val="center"/>
          </w:tcPr>
          <w:p w14:paraId="2209A918">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史家屯</w:t>
            </w:r>
          </w:p>
        </w:tc>
        <w:tc>
          <w:tcPr>
            <w:tcW w:w="937" w:type="pct"/>
            <w:shd w:val="clear" w:color="auto" w:fill="auto"/>
            <w:vAlign w:val="center"/>
          </w:tcPr>
          <w:p w14:paraId="4F1360D4">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46.3</w:t>
            </w:r>
          </w:p>
        </w:tc>
        <w:tc>
          <w:tcPr>
            <w:tcW w:w="861" w:type="pct"/>
            <w:shd w:val="clear" w:color="auto" w:fill="auto"/>
            <w:vAlign w:val="center"/>
          </w:tcPr>
          <w:p w14:paraId="5E915B6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42.8</w:t>
            </w:r>
          </w:p>
        </w:tc>
        <w:tc>
          <w:tcPr>
            <w:tcW w:w="859" w:type="pct"/>
            <w:shd w:val="clear" w:color="auto" w:fill="auto"/>
            <w:vAlign w:val="center"/>
          </w:tcPr>
          <w:p w14:paraId="436143AC">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46.5</w:t>
            </w:r>
          </w:p>
        </w:tc>
        <w:tc>
          <w:tcPr>
            <w:tcW w:w="857" w:type="pct"/>
            <w:shd w:val="clear" w:color="auto" w:fill="auto"/>
            <w:vAlign w:val="center"/>
          </w:tcPr>
          <w:p w14:paraId="1C5AE598">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42.9</w:t>
            </w:r>
          </w:p>
        </w:tc>
      </w:tr>
    </w:tbl>
    <w:p w14:paraId="217FEAC7">
      <w:pPr>
        <w:widowControl w:val="0"/>
        <w:spacing w:line="440" w:lineRule="exact"/>
        <w:jc w:val="both"/>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4.3.4.2声环境质量现状评价</w:t>
      </w:r>
    </w:p>
    <w:p w14:paraId="7FD48926">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（1）评价标准</w:t>
      </w:r>
    </w:p>
    <w:p w14:paraId="29367758">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项目区域声环境执行《声环境质量标准》（GB3096-2008）2类标准，项目周边村屯声环境执行《声环境质量标准》（GB3096-2008）1类标准。</w:t>
      </w:r>
    </w:p>
    <w:p w14:paraId="73D56579">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（2）评价方法</w:t>
      </w:r>
    </w:p>
    <w:p w14:paraId="5B1A081D">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声环境质量现状评价采用对标法进行评价。</w:t>
      </w:r>
    </w:p>
    <w:p w14:paraId="609AEF02">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（3）评价结论</w:t>
      </w:r>
    </w:p>
    <w:p w14:paraId="2BBE6727">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由本项目区域声环境质量现状监测结果与执行评价标准限值对比分析可知，项目周边村屯声环境满足《声环境质量标准》（GB3096-2008）1类标准。</w:t>
      </w:r>
    </w:p>
    <w:p w14:paraId="524A3B4A">
      <w:pPr>
        <w:widowControl w:val="0"/>
        <w:spacing w:line="440" w:lineRule="exact"/>
        <w:jc w:val="both"/>
        <w:outlineLvl w:val="2"/>
        <w:rPr>
          <w:rFonts w:ascii="Times New Roman" w:hAnsi="Times New Roman" w:cs="Times New Roman"/>
          <w:b/>
          <w:bCs/>
          <w:caps w:val="0"/>
          <w:smallCaps w:val="0"/>
          <w:color w:val="auto"/>
          <w:spacing w:val="0"/>
          <w:w w:val="100"/>
          <w:kern w:val="2"/>
          <w:position w:val="0"/>
          <w:highlight w:val="none"/>
        </w:rPr>
      </w:pPr>
      <w:bookmarkStart w:id="726" w:name="_Toc186444325"/>
      <w:r>
        <w:rPr>
          <w:rFonts w:ascii="Times New Roman" w:hAnsi="Times New Roman" w:cs="Times New Roman"/>
          <w:b/>
          <w:bCs/>
          <w:caps w:val="0"/>
          <w:smallCaps w:val="0"/>
          <w:color w:val="auto"/>
          <w:spacing w:val="0"/>
          <w:w w:val="100"/>
          <w:kern w:val="2"/>
          <w:position w:val="0"/>
          <w:highlight w:val="none"/>
        </w:rPr>
        <w:t>4.3.5土壤质量现状监测与评价</w:t>
      </w:r>
      <w:bookmarkEnd w:id="726"/>
    </w:p>
    <w:p w14:paraId="136A4D6B">
      <w:pPr>
        <w:widowControl w:val="0"/>
        <w:spacing w:line="440" w:lineRule="exact"/>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4.3.5.1土壤理化特性调查</w:t>
      </w:r>
    </w:p>
    <w:p w14:paraId="1E071208">
      <w:pPr>
        <w:widowControl w:val="0"/>
        <w:spacing w:line="440" w:lineRule="exact"/>
        <w:ind w:firstLine="480"/>
        <w:jc w:val="both"/>
        <w:rPr>
          <w:rFonts w:ascii="Times New Roman" w:hAnsi="Times New Roman" w:cs="Times New Roman" w:eastAsiaTheme="minorEastAsia"/>
          <w:caps w:val="0"/>
          <w:smallCaps w:val="0"/>
          <w:color w:val="auto"/>
          <w:spacing w:val="0"/>
          <w:w w:val="100"/>
          <w:position w:val="0"/>
          <w:szCs w:val="20"/>
          <w:highlight w:val="none"/>
        </w:rPr>
      </w:pPr>
      <w:r>
        <w:rPr>
          <w:rFonts w:ascii="Times New Roman" w:hAnsi="Times New Roman" w:cs="Times New Roman" w:eastAsiaTheme="minorEastAsia"/>
          <w:caps w:val="0"/>
          <w:smallCaps w:val="0"/>
          <w:color w:val="auto"/>
          <w:spacing w:val="0"/>
          <w:w w:val="100"/>
          <w:position w:val="0"/>
          <w:szCs w:val="20"/>
          <w:highlight w:val="none"/>
        </w:rPr>
        <w:t>本项目评价范围内主要为草甸土，在充分收集资料的基础上，根据土壤环境影响类型、建设项目特征与评价需要，有针对性地选择土壤理化特性调查内容，具体土壤理化特性调查见表4.3-21，区域内土壤构型（土壤剖面）见表4.3-22。</w:t>
      </w:r>
    </w:p>
    <w:p w14:paraId="7579A7B5">
      <w:pPr>
        <w:widowControl w:val="0"/>
        <w:spacing w:line="440" w:lineRule="exact"/>
        <w:ind w:firstLine="480"/>
        <w:jc w:val="both"/>
        <w:rPr>
          <w:rFonts w:ascii="Times New Roman" w:hAnsi="Times New Roman" w:cs="Times New Roman" w:eastAsiaTheme="minorEastAsia"/>
          <w:b/>
          <w:caps w:val="0"/>
          <w:smallCaps w:val="0"/>
          <w:color w:val="auto"/>
          <w:spacing w:val="0"/>
          <w:w w:val="100"/>
          <w:position w:val="0"/>
          <w:szCs w:val="20"/>
          <w:highlight w:val="none"/>
        </w:rPr>
      </w:pPr>
      <w:r>
        <w:rPr>
          <w:rFonts w:ascii="Times New Roman" w:hAnsi="Times New Roman" w:cs="Times New Roman" w:eastAsiaTheme="minorEastAsia"/>
          <w:b/>
          <w:caps w:val="0"/>
          <w:smallCaps w:val="0"/>
          <w:color w:val="auto"/>
          <w:spacing w:val="0"/>
          <w:w w:val="100"/>
          <w:position w:val="0"/>
          <w:szCs w:val="20"/>
          <w:highlight w:val="none"/>
        </w:rPr>
        <w:t>表4.3-21    土壤</w:t>
      </w:r>
      <w:r>
        <w:rPr>
          <w:rFonts w:ascii="Times New Roman" w:hAnsi="Times New Roman" w:cs="Times New Roman" w:eastAsiaTheme="minorEastAsia"/>
          <w:b/>
          <w:bCs/>
          <w:caps w:val="0"/>
          <w:smallCaps w:val="0"/>
          <w:color w:val="auto"/>
          <w:spacing w:val="0"/>
          <w:w w:val="100"/>
          <w:kern w:val="21"/>
          <w:position w:val="0"/>
          <w:highlight w:val="none"/>
        </w:rPr>
        <w:t>理化</w:t>
      </w:r>
      <w:r>
        <w:rPr>
          <w:rFonts w:ascii="Times New Roman" w:hAnsi="Times New Roman" w:cs="Times New Roman" w:eastAsiaTheme="minorEastAsia"/>
          <w:b/>
          <w:caps w:val="0"/>
          <w:smallCaps w:val="0"/>
          <w:color w:val="auto"/>
          <w:spacing w:val="0"/>
          <w:w w:val="100"/>
          <w:position w:val="0"/>
          <w:szCs w:val="20"/>
          <w:highlight w:val="none"/>
        </w:rPr>
        <w:t>特性调查表</w:t>
      </w:r>
    </w:p>
    <w:tbl>
      <w:tblPr>
        <w:tblStyle w:val="80"/>
        <w:tblW w:w="5030" w:type="pct"/>
        <w:tblInd w:w="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1085"/>
        <w:gridCol w:w="2294"/>
        <w:gridCol w:w="1917"/>
        <w:gridCol w:w="1917"/>
        <w:gridCol w:w="1922"/>
      </w:tblGrid>
      <w:tr w14:paraId="308B1BC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bottom w:val="single" w:color="000000" w:sz="4" w:space="0"/>
              <w:right w:val="single" w:color="000000" w:sz="4" w:space="0"/>
            </w:tcBorders>
            <w:vAlign w:val="center"/>
          </w:tcPr>
          <w:p w14:paraId="45C9282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时间</w:t>
            </w:r>
          </w:p>
        </w:tc>
        <w:tc>
          <w:tcPr>
            <w:tcW w:w="5750" w:type="dxa"/>
            <w:gridSpan w:val="3"/>
            <w:tcBorders>
              <w:left w:val="nil"/>
              <w:bottom w:val="single" w:color="000000" w:sz="4" w:space="0"/>
            </w:tcBorders>
            <w:vAlign w:val="center"/>
          </w:tcPr>
          <w:p w14:paraId="20FA7667">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202</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6.05.27</w:t>
            </w:r>
          </w:p>
        </w:tc>
      </w:tr>
      <w:tr w14:paraId="1AB3148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000000" w:sz="4" w:space="0"/>
              <w:bottom w:val="single" w:color="000000" w:sz="4" w:space="0"/>
              <w:right w:val="single" w:color="000000" w:sz="4" w:space="0"/>
            </w:tcBorders>
            <w:vAlign w:val="center"/>
          </w:tcPr>
          <w:p w14:paraId="37CC9C8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点号</w:t>
            </w:r>
          </w:p>
        </w:tc>
        <w:tc>
          <w:tcPr>
            <w:tcW w:w="5750" w:type="dxa"/>
            <w:gridSpan w:val="3"/>
            <w:tcBorders>
              <w:top w:val="single" w:color="000000" w:sz="4" w:space="0"/>
              <w:left w:val="nil"/>
              <w:bottom w:val="single" w:color="000000" w:sz="4" w:space="0"/>
            </w:tcBorders>
            <w:vAlign w:val="center"/>
          </w:tcPr>
          <w:p w14:paraId="560EEA5A">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拟建卫2-25-28井场至卫2-25-斜29井场集油管线处</w:t>
            </w:r>
          </w:p>
        </w:tc>
      </w:tr>
      <w:tr w14:paraId="5AB98F4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000000" w:sz="4" w:space="0"/>
              <w:bottom w:val="single" w:color="000000" w:sz="4" w:space="0"/>
              <w:right w:val="single" w:color="000000" w:sz="4" w:space="0"/>
            </w:tcBorders>
            <w:vAlign w:val="center"/>
          </w:tcPr>
          <w:p w14:paraId="358C7C2A">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经纬度</w:t>
            </w:r>
          </w:p>
        </w:tc>
        <w:tc>
          <w:tcPr>
            <w:tcW w:w="5750" w:type="dxa"/>
            <w:gridSpan w:val="3"/>
            <w:tcBorders>
              <w:top w:val="single" w:color="000000" w:sz="4" w:space="0"/>
              <w:left w:val="nil"/>
              <w:bottom w:val="single" w:color="000000" w:sz="4" w:space="0"/>
            </w:tcBorders>
            <w:vAlign w:val="center"/>
          </w:tcPr>
          <w:p w14:paraId="1211D957">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124.974019，46.163200</w:t>
            </w:r>
          </w:p>
        </w:tc>
      </w:tr>
      <w:tr w14:paraId="207B210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000000" w:sz="4" w:space="0"/>
              <w:bottom w:val="single" w:color="000000" w:sz="4" w:space="0"/>
              <w:right w:val="single" w:color="000000" w:sz="4" w:space="0"/>
            </w:tcBorders>
            <w:vAlign w:val="center"/>
          </w:tcPr>
          <w:p w14:paraId="3863ECE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层次</w:t>
            </w:r>
          </w:p>
        </w:tc>
        <w:tc>
          <w:tcPr>
            <w:tcW w:w="1915" w:type="dxa"/>
            <w:tcBorders>
              <w:top w:val="single" w:color="000000" w:sz="4" w:space="0"/>
              <w:left w:val="nil"/>
              <w:bottom w:val="single" w:color="000000" w:sz="4" w:space="0"/>
              <w:right w:val="single" w:color="000000" w:sz="4" w:space="0"/>
            </w:tcBorders>
            <w:vAlign w:val="center"/>
          </w:tcPr>
          <w:p w14:paraId="4A8395BF">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0-50cm</w:t>
            </w:r>
          </w:p>
        </w:tc>
        <w:tc>
          <w:tcPr>
            <w:tcW w:w="1915" w:type="dxa"/>
            <w:tcBorders>
              <w:top w:val="single" w:color="000000" w:sz="4" w:space="0"/>
              <w:left w:val="nil"/>
              <w:bottom w:val="single" w:color="000000" w:sz="4" w:space="0"/>
            </w:tcBorders>
            <w:vAlign w:val="center"/>
          </w:tcPr>
          <w:p w14:paraId="66135D9F">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50-150cm</w:t>
            </w:r>
          </w:p>
        </w:tc>
        <w:tc>
          <w:tcPr>
            <w:tcW w:w="1920" w:type="dxa"/>
            <w:tcBorders>
              <w:top w:val="single" w:color="000000" w:sz="4" w:space="0"/>
              <w:left w:val="nil"/>
              <w:bottom w:val="single" w:color="000000" w:sz="4" w:space="0"/>
            </w:tcBorders>
            <w:vAlign w:val="center"/>
          </w:tcPr>
          <w:p w14:paraId="6166F6F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150-300cm</w:t>
            </w:r>
          </w:p>
        </w:tc>
      </w:tr>
      <w:tr w14:paraId="13AC9BD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restart"/>
            <w:tcBorders>
              <w:top w:val="nil"/>
              <w:bottom w:val="single" w:color="000000" w:sz="4" w:space="0"/>
              <w:right w:val="single" w:color="000000" w:sz="4" w:space="0"/>
            </w:tcBorders>
            <w:vAlign w:val="center"/>
          </w:tcPr>
          <w:p w14:paraId="0BD973B4">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p>
          <w:p w14:paraId="34683CA5">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现场记录</w:t>
            </w:r>
          </w:p>
        </w:tc>
        <w:tc>
          <w:tcPr>
            <w:tcW w:w="2292" w:type="dxa"/>
            <w:tcBorders>
              <w:top w:val="single" w:color="000000" w:sz="4" w:space="0"/>
              <w:left w:val="nil"/>
              <w:bottom w:val="single" w:color="000000" w:sz="4" w:space="0"/>
              <w:right w:val="single" w:color="000000" w:sz="4" w:space="0"/>
            </w:tcBorders>
            <w:vAlign w:val="center"/>
          </w:tcPr>
          <w:p w14:paraId="6127383D">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颜色</w:t>
            </w:r>
          </w:p>
        </w:tc>
        <w:tc>
          <w:tcPr>
            <w:tcW w:w="1915" w:type="dxa"/>
            <w:tcBorders>
              <w:top w:val="single" w:color="000000" w:sz="4" w:space="0"/>
              <w:left w:val="nil"/>
              <w:bottom w:val="single" w:color="000000" w:sz="4" w:space="0"/>
              <w:right w:val="single" w:color="000000" w:sz="4" w:space="0"/>
            </w:tcBorders>
            <w:vAlign w:val="center"/>
          </w:tcPr>
          <w:p w14:paraId="291C761D">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黑</w:t>
            </w:r>
            <w:r>
              <w:rPr>
                <w:rFonts w:hint="eastAsia" w:ascii="Times New Roman" w:hAnsi="Times New Roman" w:cs="Times New Roman" w:eastAsiaTheme="minorEastAsia"/>
                <w:caps w:val="0"/>
                <w:smallCaps w:val="0"/>
                <w:color w:val="auto"/>
                <w:spacing w:val="0"/>
                <w:w w:val="100"/>
                <w:kern w:val="21"/>
                <w:position w:val="0"/>
                <w:sz w:val="21"/>
                <w:szCs w:val="21"/>
                <w:highlight w:val="none"/>
              </w:rPr>
              <w:t>色</w:t>
            </w:r>
          </w:p>
        </w:tc>
        <w:tc>
          <w:tcPr>
            <w:tcW w:w="1915" w:type="dxa"/>
            <w:tcBorders>
              <w:top w:val="single" w:color="000000" w:sz="4" w:space="0"/>
              <w:left w:val="nil"/>
              <w:bottom w:val="single" w:color="000000" w:sz="4" w:space="0"/>
            </w:tcBorders>
            <w:vAlign w:val="center"/>
          </w:tcPr>
          <w:p w14:paraId="1F7DD2E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黑</w:t>
            </w:r>
            <w:r>
              <w:rPr>
                <w:rFonts w:hint="eastAsia" w:ascii="Times New Roman" w:hAnsi="Times New Roman" w:cs="Times New Roman" w:eastAsiaTheme="minorEastAsia"/>
                <w:caps w:val="0"/>
                <w:smallCaps w:val="0"/>
                <w:color w:val="auto"/>
                <w:spacing w:val="0"/>
                <w:w w:val="100"/>
                <w:kern w:val="21"/>
                <w:position w:val="0"/>
                <w:sz w:val="21"/>
                <w:szCs w:val="21"/>
                <w:highlight w:val="none"/>
              </w:rPr>
              <w:t>色</w:t>
            </w:r>
          </w:p>
        </w:tc>
        <w:tc>
          <w:tcPr>
            <w:tcW w:w="1920" w:type="dxa"/>
            <w:tcBorders>
              <w:top w:val="single" w:color="000000" w:sz="4" w:space="0"/>
              <w:left w:val="nil"/>
              <w:bottom w:val="single" w:color="000000" w:sz="4" w:space="0"/>
            </w:tcBorders>
            <w:vAlign w:val="center"/>
          </w:tcPr>
          <w:p w14:paraId="4820EFC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黑</w:t>
            </w:r>
            <w:r>
              <w:rPr>
                <w:rFonts w:hint="eastAsia" w:ascii="Times New Roman" w:hAnsi="Times New Roman" w:cs="Times New Roman" w:eastAsiaTheme="minorEastAsia"/>
                <w:caps w:val="0"/>
                <w:smallCaps w:val="0"/>
                <w:color w:val="auto"/>
                <w:spacing w:val="0"/>
                <w:w w:val="100"/>
                <w:kern w:val="21"/>
                <w:position w:val="0"/>
                <w:sz w:val="21"/>
                <w:szCs w:val="21"/>
                <w:highlight w:val="none"/>
              </w:rPr>
              <w:t>色</w:t>
            </w:r>
          </w:p>
        </w:tc>
      </w:tr>
      <w:tr w14:paraId="543D507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nil"/>
              <w:bottom w:val="single" w:color="000000" w:sz="4" w:space="0"/>
              <w:right w:val="single" w:color="000000" w:sz="4" w:space="0"/>
            </w:tcBorders>
            <w:vAlign w:val="center"/>
          </w:tcPr>
          <w:p w14:paraId="4FD394D9">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000000" w:sz="4" w:space="0"/>
              <w:right w:val="single" w:color="000000" w:sz="4" w:space="0"/>
            </w:tcBorders>
            <w:vAlign w:val="center"/>
          </w:tcPr>
          <w:p w14:paraId="380CBCA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结构</w:t>
            </w:r>
          </w:p>
        </w:tc>
        <w:tc>
          <w:tcPr>
            <w:tcW w:w="1915" w:type="dxa"/>
            <w:tcBorders>
              <w:top w:val="single" w:color="000000" w:sz="4" w:space="0"/>
              <w:left w:val="nil"/>
              <w:bottom w:val="single" w:color="000000" w:sz="4" w:space="0"/>
              <w:right w:val="single" w:color="000000" w:sz="4" w:space="0"/>
            </w:tcBorders>
            <w:vAlign w:val="center"/>
          </w:tcPr>
          <w:p w14:paraId="69A4ADE0">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块</w:t>
            </w:r>
            <w:r>
              <w:rPr>
                <w:rFonts w:hint="eastAsia" w:ascii="Times New Roman" w:hAnsi="Times New Roman" w:cs="Times New Roman" w:eastAsiaTheme="minorEastAsia"/>
                <w:caps w:val="0"/>
                <w:smallCaps w:val="0"/>
                <w:color w:val="auto"/>
                <w:spacing w:val="0"/>
                <w:w w:val="100"/>
                <w:kern w:val="21"/>
                <w:position w:val="0"/>
                <w:sz w:val="21"/>
                <w:szCs w:val="21"/>
                <w:highlight w:val="none"/>
              </w:rPr>
              <w:t>状</w:t>
            </w:r>
          </w:p>
        </w:tc>
        <w:tc>
          <w:tcPr>
            <w:tcW w:w="1915" w:type="dxa"/>
            <w:tcBorders>
              <w:top w:val="single" w:color="000000" w:sz="4" w:space="0"/>
              <w:left w:val="nil"/>
              <w:bottom w:val="single" w:color="000000" w:sz="4" w:space="0"/>
            </w:tcBorders>
            <w:vAlign w:val="center"/>
          </w:tcPr>
          <w:p w14:paraId="5241C7A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面</w:t>
            </w:r>
            <w:r>
              <w:rPr>
                <w:rFonts w:hint="eastAsia" w:ascii="Times New Roman" w:hAnsi="Times New Roman" w:cs="Times New Roman" w:eastAsiaTheme="minorEastAsia"/>
                <w:caps w:val="0"/>
                <w:smallCaps w:val="0"/>
                <w:color w:val="auto"/>
                <w:spacing w:val="0"/>
                <w:w w:val="100"/>
                <w:kern w:val="21"/>
                <w:position w:val="0"/>
                <w:sz w:val="21"/>
                <w:szCs w:val="21"/>
                <w:highlight w:val="none"/>
              </w:rPr>
              <w:t>状</w:t>
            </w:r>
          </w:p>
        </w:tc>
        <w:tc>
          <w:tcPr>
            <w:tcW w:w="1920" w:type="dxa"/>
            <w:tcBorders>
              <w:top w:val="single" w:color="000000" w:sz="4" w:space="0"/>
              <w:left w:val="nil"/>
              <w:bottom w:val="single" w:color="000000" w:sz="4" w:space="0"/>
            </w:tcBorders>
            <w:vAlign w:val="center"/>
          </w:tcPr>
          <w:p w14:paraId="588F9929">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面</w:t>
            </w:r>
            <w:r>
              <w:rPr>
                <w:rFonts w:hint="eastAsia" w:ascii="Times New Roman" w:hAnsi="Times New Roman" w:cs="Times New Roman" w:eastAsiaTheme="minorEastAsia"/>
                <w:caps w:val="0"/>
                <w:smallCaps w:val="0"/>
                <w:color w:val="auto"/>
                <w:spacing w:val="0"/>
                <w:w w:val="100"/>
                <w:kern w:val="21"/>
                <w:position w:val="0"/>
                <w:sz w:val="21"/>
                <w:szCs w:val="21"/>
                <w:highlight w:val="none"/>
              </w:rPr>
              <w:t>状</w:t>
            </w:r>
          </w:p>
        </w:tc>
      </w:tr>
      <w:tr w14:paraId="417CC93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nil"/>
              <w:bottom w:val="single" w:color="000000" w:sz="4" w:space="0"/>
              <w:right w:val="single" w:color="000000" w:sz="4" w:space="0"/>
            </w:tcBorders>
            <w:vAlign w:val="center"/>
          </w:tcPr>
          <w:p w14:paraId="3964679B">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000000" w:sz="4" w:space="0"/>
              <w:right w:val="single" w:color="000000" w:sz="4" w:space="0"/>
            </w:tcBorders>
            <w:vAlign w:val="center"/>
          </w:tcPr>
          <w:p w14:paraId="346B0F3D">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质地</w:t>
            </w:r>
          </w:p>
        </w:tc>
        <w:tc>
          <w:tcPr>
            <w:tcW w:w="1915" w:type="dxa"/>
            <w:tcBorders>
              <w:top w:val="single" w:color="000000" w:sz="4" w:space="0"/>
              <w:left w:val="nil"/>
              <w:bottom w:val="single" w:color="000000" w:sz="4" w:space="0"/>
              <w:right w:val="single" w:color="000000" w:sz="4" w:space="0"/>
            </w:tcBorders>
            <w:vAlign w:val="center"/>
          </w:tcPr>
          <w:p w14:paraId="3BD971CF">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壤土</w:t>
            </w:r>
          </w:p>
        </w:tc>
        <w:tc>
          <w:tcPr>
            <w:tcW w:w="1915" w:type="dxa"/>
            <w:tcBorders>
              <w:top w:val="single" w:color="000000" w:sz="4" w:space="0"/>
              <w:left w:val="nil"/>
              <w:bottom w:val="single" w:color="000000" w:sz="4" w:space="0"/>
            </w:tcBorders>
            <w:vAlign w:val="center"/>
          </w:tcPr>
          <w:p w14:paraId="218594ED">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壤土</w:t>
            </w:r>
          </w:p>
        </w:tc>
        <w:tc>
          <w:tcPr>
            <w:tcW w:w="1920" w:type="dxa"/>
            <w:tcBorders>
              <w:top w:val="single" w:color="000000" w:sz="4" w:space="0"/>
              <w:left w:val="nil"/>
              <w:bottom w:val="single" w:color="000000" w:sz="4" w:space="0"/>
            </w:tcBorders>
            <w:vAlign w:val="center"/>
          </w:tcPr>
          <w:p w14:paraId="31F04338">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壤土</w:t>
            </w:r>
          </w:p>
        </w:tc>
      </w:tr>
      <w:tr w14:paraId="625F036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nil"/>
              <w:bottom w:val="single" w:color="000000" w:sz="4" w:space="0"/>
              <w:right w:val="single" w:color="000000" w:sz="4" w:space="0"/>
            </w:tcBorders>
            <w:vAlign w:val="center"/>
          </w:tcPr>
          <w:p w14:paraId="09927E83">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000000" w:sz="4" w:space="0"/>
              <w:right w:val="single" w:color="000000" w:sz="4" w:space="0"/>
            </w:tcBorders>
            <w:vAlign w:val="center"/>
          </w:tcPr>
          <w:p w14:paraId="208DE455">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砂砾含量</w:t>
            </w:r>
          </w:p>
        </w:tc>
        <w:tc>
          <w:tcPr>
            <w:tcW w:w="1915" w:type="dxa"/>
            <w:tcBorders>
              <w:top w:val="single" w:color="000000" w:sz="4" w:space="0"/>
              <w:left w:val="nil"/>
              <w:bottom w:val="single" w:color="000000" w:sz="4" w:space="0"/>
              <w:right w:val="single" w:color="000000" w:sz="4" w:space="0"/>
            </w:tcBorders>
            <w:vAlign w:val="center"/>
          </w:tcPr>
          <w:p w14:paraId="1E8239D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25～45%</w:t>
            </w:r>
          </w:p>
        </w:tc>
        <w:tc>
          <w:tcPr>
            <w:tcW w:w="1915" w:type="dxa"/>
            <w:tcBorders>
              <w:top w:val="single" w:color="000000" w:sz="4" w:space="0"/>
              <w:left w:val="nil"/>
              <w:bottom w:val="single" w:color="000000" w:sz="4" w:space="0"/>
            </w:tcBorders>
            <w:vAlign w:val="center"/>
          </w:tcPr>
          <w:p w14:paraId="6DC4E69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25～45%</w:t>
            </w:r>
          </w:p>
        </w:tc>
        <w:tc>
          <w:tcPr>
            <w:tcW w:w="1920" w:type="dxa"/>
            <w:tcBorders>
              <w:top w:val="single" w:color="000000" w:sz="4" w:space="0"/>
              <w:left w:val="nil"/>
              <w:bottom w:val="single" w:color="000000" w:sz="4" w:space="0"/>
            </w:tcBorders>
            <w:vAlign w:val="center"/>
          </w:tcPr>
          <w:p w14:paraId="2B5A394F">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25～45%</w:t>
            </w:r>
          </w:p>
        </w:tc>
      </w:tr>
      <w:tr w14:paraId="13852EB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nil"/>
              <w:bottom w:val="single" w:color="auto" w:sz="4" w:space="0"/>
              <w:right w:val="single" w:color="000000" w:sz="4" w:space="0"/>
            </w:tcBorders>
            <w:vAlign w:val="center"/>
          </w:tcPr>
          <w:p w14:paraId="5B712B57">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auto" w:sz="4" w:space="0"/>
              <w:right w:val="single" w:color="000000" w:sz="4" w:space="0"/>
            </w:tcBorders>
            <w:vAlign w:val="center"/>
          </w:tcPr>
          <w:p w14:paraId="6D74E85A">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其他异物</w:t>
            </w:r>
          </w:p>
        </w:tc>
        <w:tc>
          <w:tcPr>
            <w:tcW w:w="1915" w:type="dxa"/>
            <w:tcBorders>
              <w:top w:val="single" w:color="000000" w:sz="4" w:space="0"/>
              <w:left w:val="nil"/>
              <w:bottom w:val="single" w:color="000000" w:sz="4" w:space="0"/>
              <w:right w:val="single" w:color="000000" w:sz="4" w:space="0"/>
            </w:tcBorders>
            <w:vAlign w:val="center"/>
          </w:tcPr>
          <w:p w14:paraId="2B75442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植物根系</w:t>
            </w:r>
          </w:p>
        </w:tc>
        <w:tc>
          <w:tcPr>
            <w:tcW w:w="1915" w:type="dxa"/>
            <w:tcBorders>
              <w:top w:val="single" w:color="000000" w:sz="4" w:space="0"/>
              <w:left w:val="nil"/>
              <w:bottom w:val="single" w:color="000000" w:sz="4" w:space="0"/>
            </w:tcBorders>
            <w:vAlign w:val="center"/>
          </w:tcPr>
          <w:p w14:paraId="6A68CB70">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w:t>
            </w:r>
          </w:p>
        </w:tc>
        <w:tc>
          <w:tcPr>
            <w:tcW w:w="1920" w:type="dxa"/>
            <w:tcBorders>
              <w:top w:val="single" w:color="000000" w:sz="4" w:space="0"/>
              <w:left w:val="nil"/>
              <w:bottom w:val="single" w:color="000000" w:sz="4" w:space="0"/>
            </w:tcBorders>
            <w:vAlign w:val="center"/>
          </w:tcPr>
          <w:p w14:paraId="1A16122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w:t>
            </w:r>
          </w:p>
        </w:tc>
      </w:tr>
      <w:tr w14:paraId="27B3D7F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restart"/>
            <w:tcBorders>
              <w:top w:val="single" w:color="auto" w:sz="4" w:space="0"/>
              <w:bottom w:val="single" w:color="auto" w:sz="4" w:space="0"/>
              <w:right w:val="single" w:color="auto" w:sz="4" w:space="0"/>
            </w:tcBorders>
            <w:vAlign w:val="center"/>
          </w:tcPr>
          <w:p w14:paraId="40837EF0">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p>
          <w:p w14:paraId="2D4909CB">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实验室测定</w:t>
            </w:r>
          </w:p>
        </w:tc>
        <w:tc>
          <w:tcPr>
            <w:tcW w:w="2292" w:type="dxa"/>
            <w:tcBorders>
              <w:top w:val="single" w:color="auto" w:sz="4" w:space="0"/>
              <w:left w:val="single" w:color="auto" w:sz="4" w:space="0"/>
              <w:bottom w:val="single" w:color="auto" w:sz="4" w:space="0"/>
              <w:right w:val="single" w:color="auto" w:sz="4" w:space="0"/>
            </w:tcBorders>
            <w:vAlign w:val="center"/>
          </w:tcPr>
          <w:p w14:paraId="7F9D929A">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pH 值</w:t>
            </w:r>
          </w:p>
        </w:tc>
        <w:tc>
          <w:tcPr>
            <w:tcW w:w="1915" w:type="dxa"/>
            <w:tcBorders>
              <w:top w:val="single" w:color="000000" w:sz="4" w:space="0"/>
              <w:left w:val="single" w:color="auto" w:sz="4" w:space="0"/>
              <w:bottom w:val="single" w:color="000000" w:sz="4" w:space="0"/>
              <w:right w:val="single" w:color="000000" w:sz="4" w:space="0"/>
            </w:tcBorders>
            <w:vAlign w:val="center"/>
          </w:tcPr>
          <w:p w14:paraId="4A9098C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7.99</w:t>
            </w:r>
          </w:p>
        </w:tc>
        <w:tc>
          <w:tcPr>
            <w:tcW w:w="1915" w:type="dxa"/>
            <w:tcBorders>
              <w:top w:val="single" w:color="000000" w:sz="4" w:space="0"/>
              <w:left w:val="nil"/>
              <w:bottom w:val="single" w:color="000000" w:sz="4" w:space="0"/>
            </w:tcBorders>
            <w:vAlign w:val="center"/>
          </w:tcPr>
          <w:p w14:paraId="22B470B0">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8.07</w:t>
            </w:r>
          </w:p>
        </w:tc>
        <w:tc>
          <w:tcPr>
            <w:tcW w:w="1920" w:type="dxa"/>
            <w:tcBorders>
              <w:top w:val="single" w:color="000000" w:sz="4" w:space="0"/>
              <w:left w:val="nil"/>
              <w:bottom w:val="single" w:color="000000" w:sz="4" w:space="0"/>
            </w:tcBorders>
            <w:vAlign w:val="center"/>
          </w:tcPr>
          <w:p w14:paraId="6D4EDA3F">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7.81</w:t>
            </w:r>
          </w:p>
        </w:tc>
      </w:tr>
      <w:tr w14:paraId="798A2F0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345CF303">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auto" w:sz="4" w:space="0"/>
              <w:left w:val="single" w:color="auto" w:sz="4" w:space="0"/>
              <w:bottom w:val="single" w:color="auto" w:sz="4" w:space="0"/>
              <w:right w:val="single" w:color="auto" w:sz="4" w:space="0"/>
            </w:tcBorders>
            <w:vAlign w:val="center"/>
          </w:tcPr>
          <w:p w14:paraId="0C2B8BA5">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阳离子交换量(cmol+/kg)</w:t>
            </w:r>
          </w:p>
        </w:tc>
        <w:tc>
          <w:tcPr>
            <w:tcW w:w="1915" w:type="dxa"/>
            <w:tcBorders>
              <w:top w:val="single" w:color="000000" w:sz="4" w:space="0"/>
              <w:left w:val="single" w:color="auto" w:sz="4" w:space="0"/>
              <w:bottom w:val="single" w:color="000000" w:sz="4" w:space="0"/>
              <w:right w:val="single" w:color="000000" w:sz="4" w:space="0"/>
            </w:tcBorders>
            <w:vAlign w:val="center"/>
          </w:tcPr>
          <w:p w14:paraId="5B05B820">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11.1</w:t>
            </w:r>
          </w:p>
        </w:tc>
        <w:tc>
          <w:tcPr>
            <w:tcW w:w="1915" w:type="dxa"/>
            <w:tcBorders>
              <w:top w:val="single" w:color="000000" w:sz="4" w:space="0"/>
              <w:left w:val="nil"/>
              <w:bottom w:val="single" w:color="000000" w:sz="4" w:space="0"/>
            </w:tcBorders>
            <w:vAlign w:val="center"/>
          </w:tcPr>
          <w:p w14:paraId="2E6C0DA3">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12.4</w:t>
            </w:r>
          </w:p>
        </w:tc>
        <w:tc>
          <w:tcPr>
            <w:tcW w:w="1920" w:type="dxa"/>
            <w:tcBorders>
              <w:top w:val="single" w:color="000000" w:sz="4" w:space="0"/>
              <w:left w:val="nil"/>
              <w:bottom w:val="single" w:color="000000" w:sz="4" w:space="0"/>
            </w:tcBorders>
            <w:vAlign w:val="center"/>
          </w:tcPr>
          <w:p w14:paraId="79F8B147">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10.9</w:t>
            </w:r>
          </w:p>
        </w:tc>
      </w:tr>
      <w:tr w14:paraId="46F5D62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672A150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auto" w:sz="4" w:space="0"/>
              <w:left w:val="single" w:color="auto" w:sz="4" w:space="0"/>
              <w:bottom w:val="single" w:color="auto" w:sz="4" w:space="0"/>
              <w:right w:val="single" w:color="auto" w:sz="4" w:space="0"/>
            </w:tcBorders>
            <w:vAlign w:val="center"/>
          </w:tcPr>
          <w:p w14:paraId="164D17D2">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氧化还原电位（mv）</w:t>
            </w:r>
          </w:p>
        </w:tc>
        <w:tc>
          <w:tcPr>
            <w:tcW w:w="1915" w:type="dxa"/>
            <w:tcBorders>
              <w:top w:val="single" w:color="000000" w:sz="4" w:space="0"/>
              <w:left w:val="single" w:color="auto" w:sz="4" w:space="0"/>
              <w:bottom w:val="single" w:color="000000" w:sz="4" w:space="0"/>
              <w:right w:val="single" w:color="000000" w:sz="4" w:space="0"/>
            </w:tcBorders>
            <w:vAlign w:val="center"/>
          </w:tcPr>
          <w:p w14:paraId="1BCB22D0">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187</w:t>
            </w:r>
          </w:p>
        </w:tc>
        <w:tc>
          <w:tcPr>
            <w:tcW w:w="1915" w:type="dxa"/>
            <w:tcBorders>
              <w:top w:val="single" w:color="000000" w:sz="4" w:space="0"/>
              <w:left w:val="nil"/>
              <w:bottom w:val="single" w:color="000000" w:sz="4" w:space="0"/>
            </w:tcBorders>
            <w:vAlign w:val="center"/>
          </w:tcPr>
          <w:p w14:paraId="5301434F">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202</w:t>
            </w:r>
          </w:p>
        </w:tc>
        <w:tc>
          <w:tcPr>
            <w:tcW w:w="1920" w:type="dxa"/>
            <w:tcBorders>
              <w:top w:val="single" w:color="000000" w:sz="4" w:space="0"/>
              <w:left w:val="nil"/>
              <w:bottom w:val="single" w:color="000000" w:sz="4" w:space="0"/>
            </w:tcBorders>
            <w:vAlign w:val="center"/>
          </w:tcPr>
          <w:p w14:paraId="51B82DF7">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195</w:t>
            </w:r>
          </w:p>
        </w:tc>
      </w:tr>
      <w:tr w14:paraId="39D4527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0D42D63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auto" w:sz="4" w:space="0"/>
              <w:left w:val="single" w:color="auto" w:sz="4" w:space="0"/>
              <w:bottom w:val="single" w:color="auto" w:sz="4" w:space="0"/>
              <w:right w:val="single" w:color="auto" w:sz="4" w:space="0"/>
            </w:tcBorders>
            <w:vAlign w:val="center"/>
          </w:tcPr>
          <w:p w14:paraId="00729373">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饱和导水率(mm/min)</w:t>
            </w:r>
          </w:p>
        </w:tc>
        <w:tc>
          <w:tcPr>
            <w:tcW w:w="1915" w:type="dxa"/>
            <w:tcBorders>
              <w:top w:val="single" w:color="000000" w:sz="4" w:space="0"/>
              <w:left w:val="single" w:color="auto" w:sz="4" w:space="0"/>
              <w:bottom w:val="single" w:color="000000" w:sz="4" w:space="0"/>
              <w:right w:val="single" w:color="000000" w:sz="4" w:space="0"/>
            </w:tcBorders>
            <w:vAlign w:val="center"/>
          </w:tcPr>
          <w:p w14:paraId="5BD07C0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1.327</w:t>
            </w:r>
          </w:p>
        </w:tc>
        <w:tc>
          <w:tcPr>
            <w:tcW w:w="1915" w:type="dxa"/>
            <w:tcBorders>
              <w:top w:val="single" w:color="000000" w:sz="4" w:space="0"/>
              <w:left w:val="nil"/>
              <w:bottom w:val="single" w:color="000000" w:sz="4" w:space="0"/>
            </w:tcBorders>
            <w:vAlign w:val="center"/>
          </w:tcPr>
          <w:p w14:paraId="30084417">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1.374</w:t>
            </w:r>
          </w:p>
        </w:tc>
        <w:tc>
          <w:tcPr>
            <w:tcW w:w="1920" w:type="dxa"/>
            <w:tcBorders>
              <w:top w:val="single" w:color="000000" w:sz="4" w:space="0"/>
              <w:left w:val="nil"/>
              <w:bottom w:val="single" w:color="000000" w:sz="4" w:space="0"/>
            </w:tcBorders>
            <w:vAlign w:val="center"/>
          </w:tcPr>
          <w:p w14:paraId="71B2F749">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1.355</w:t>
            </w:r>
          </w:p>
        </w:tc>
      </w:tr>
      <w:tr w14:paraId="12C5721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32B9F384">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auto" w:sz="4" w:space="0"/>
              <w:left w:val="single" w:color="auto" w:sz="4" w:space="0"/>
              <w:bottom w:val="single" w:color="auto" w:sz="4" w:space="0"/>
              <w:right w:val="single" w:color="auto" w:sz="4" w:space="0"/>
            </w:tcBorders>
            <w:vAlign w:val="center"/>
          </w:tcPr>
          <w:p w14:paraId="25B45EAB">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土壤容重 (g/cm3)</w:t>
            </w:r>
          </w:p>
        </w:tc>
        <w:tc>
          <w:tcPr>
            <w:tcW w:w="1915" w:type="dxa"/>
            <w:tcBorders>
              <w:top w:val="single" w:color="000000" w:sz="4" w:space="0"/>
              <w:left w:val="single" w:color="auto" w:sz="4" w:space="0"/>
              <w:bottom w:val="single" w:color="000000" w:sz="4" w:space="0"/>
              <w:right w:val="single" w:color="000000" w:sz="4" w:space="0"/>
            </w:tcBorders>
            <w:vAlign w:val="center"/>
          </w:tcPr>
          <w:p w14:paraId="3FA8347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1.48</w:t>
            </w:r>
          </w:p>
        </w:tc>
        <w:tc>
          <w:tcPr>
            <w:tcW w:w="1915" w:type="dxa"/>
            <w:tcBorders>
              <w:top w:val="single" w:color="000000" w:sz="4" w:space="0"/>
              <w:left w:val="nil"/>
              <w:bottom w:val="single" w:color="000000" w:sz="4" w:space="0"/>
            </w:tcBorders>
            <w:vAlign w:val="center"/>
          </w:tcPr>
          <w:p w14:paraId="25C02102">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1.52</w:t>
            </w:r>
          </w:p>
        </w:tc>
        <w:tc>
          <w:tcPr>
            <w:tcW w:w="1920" w:type="dxa"/>
            <w:tcBorders>
              <w:top w:val="single" w:color="000000" w:sz="4" w:space="0"/>
              <w:left w:val="nil"/>
              <w:bottom w:val="single" w:color="000000" w:sz="4" w:space="0"/>
            </w:tcBorders>
            <w:vAlign w:val="center"/>
          </w:tcPr>
          <w:p w14:paraId="6E92429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1.47</w:t>
            </w:r>
          </w:p>
        </w:tc>
      </w:tr>
      <w:tr w14:paraId="0763963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6E6894C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auto" w:sz="4" w:space="0"/>
              <w:left w:val="single" w:color="auto" w:sz="4" w:space="0"/>
              <w:bottom w:val="single" w:color="auto" w:sz="4" w:space="0"/>
              <w:right w:val="single" w:color="auto" w:sz="4" w:space="0"/>
            </w:tcBorders>
            <w:vAlign w:val="center"/>
          </w:tcPr>
          <w:p w14:paraId="723AA766">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孔隙度(%)</w:t>
            </w:r>
          </w:p>
        </w:tc>
        <w:tc>
          <w:tcPr>
            <w:tcW w:w="1915" w:type="dxa"/>
            <w:tcBorders>
              <w:top w:val="single" w:color="000000" w:sz="4" w:space="0"/>
              <w:left w:val="single" w:color="auto" w:sz="4" w:space="0"/>
              <w:bottom w:val="single" w:color="000000" w:sz="4" w:space="0"/>
              <w:right w:val="single" w:color="000000" w:sz="4" w:space="0"/>
            </w:tcBorders>
            <w:vAlign w:val="center"/>
          </w:tcPr>
          <w:p w14:paraId="1059099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44.2</w:t>
            </w:r>
          </w:p>
        </w:tc>
        <w:tc>
          <w:tcPr>
            <w:tcW w:w="1915" w:type="dxa"/>
            <w:tcBorders>
              <w:top w:val="single" w:color="000000" w:sz="4" w:space="0"/>
              <w:left w:val="nil"/>
              <w:bottom w:val="single" w:color="000000" w:sz="4" w:space="0"/>
            </w:tcBorders>
            <w:vAlign w:val="center"/>
          </w:tcPr>
          <w:p w14:paraId="3329D7F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42.6</w:t>
            </w:r>
          </w:p>
        </w:tc>
        <w:tc>
          <w:tcPr>
            <w:tcW w:w="1920" w:type="dxa"/>
            <w:tcBorders>
              <w:top w:val="single" w:color="000000" w:sz="4" w:space="0"/>
              <w:left w:val="nil"/>
              <w:bottom w:val="single" w:color="000000" w:sz="4" w:space="0"/>
            </w:tcBorders>
            <w:vAlign w:val="center"/>
          </w:tcPr>
          <w:p w14:paraId="7D85A39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44.5</w:t>
            </w:r>
          </w:p>
        </w:tc>
      </w:tr>
      <w:tr w14:paraId="77511A4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auto" w:sz="4" w:space="0"/>
              <w:bottom w:val="single" w:color="auto" w:sz="4" w:space="0"/>
              <w:right w:val="single" w:color="auto" w:sz="4" w:space="0"/>
            </w:tcBorders>
            <w:shd w:val="clear" w:color="auto" w:fill="auto"/>
            <w:vAlign w:val="center"/>
          </w:tcPr>
          <w:p w14:paraId="1D45C4D3">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点号</w:t>
            </w:r>
          </w:p>
        </w:tc>
        <w:tc>
          <w:tcPr>
            <w:tcW w:w="5750" w:type="dxa"/>
            <w:gridSpan w:val="3"/>
            <w:tcBorders>
              <w:top w:val="single" w:color="000000" w:sz="4" w:space="0"/>
              <w:left w:val="single" w:color="auto" w:sz="4" w:space="0"/>
              <w:bottom w:val="single" w:color="000000" w:sz="4" w:space="0"/>
            </w:tcBorders>
            <w:shd w:val="clear" w:color="auto" w:fill="auto"/>
            <w:vAlign w:val="center"/>
          </w:tcPr>
          <w:p w14:paraId="6210D291">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卫2-20-35</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kern w:val="21"/>
                <w:position w:val="0"/>
                <w:sz w:val="21"/>
                <w:szCs w:val="21"/>
                <w:highlight w:val="none"/>
              </w:rPr>
              <w:t>卫2-18-34</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井场集油</w:t>
            </w:r>
            <w:r>
              <w:rPr>
                <w:rFonts w:hint="eastAsia" w:ascii="Times New Roman" w:hAnsi="Times New Roman" w:cs="Times New Roman" w:eastAsiaTheme="minorEastAsia"/>
                <w:caps w:val="0"/>
                <w:smallCaps w:val="0"/>
                <w:color w:val="auto"/>
                <w:spacing w:val="0"/>
                <w:w w:val="100"/>
                <w:kern w:val="21"/>
                <w:position w:val="0"/>
                <w:sz w:val="21"/>
                <w:szCs w:val="21"/>
                <w:highlight w:val="none"/>
              </w:rPr>
              <w:t>管线</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处</w:t>
            </w:r>
          </w:p>
        </w:tc>
      </w:tr>
      <w:tr w14:paraId="6D3849C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auto" w:sz="4" w:space="0"/>
              <w:bottom w:val="single" w:color="auto" w:sz="4" w:space="0"/>
              <w:right w:val="single" w:color="auto" w:sz="4" w:space="0"/>
            </w:tcBorders>
            <w:shd w:val="clear" w:color="auto" w:fill="auto"/>
            <w:vAlign w:val="center"/>
          </w:tcPr>
          <w:p w14:paraId="265B919D">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经纬度</w:t>
            </w:r>
          </w:p>
        </w:tc>
        <w:tc>
          <w:tcPr>
            <w:tcW w:w="5750" w:type="dxa"/>
            <w:gridSpan w:val="3"/>
            <w:tcBorders>
              <w:top w:val="single" w:color="000000" w:sz="4" w:space="0"/>
              <w:left w:val="single" w:color="auto" w:sz="4" w:space="0"/>
              <w:bottom w:val="single" w:color="000000" w:sz="4" w:space="0"/>
            </w:tcBorders>
            <w:shd w:val="clear" w:color="auto" w:fill="auto"/>
            <w:vAlign w:val="center"/>
          </w:tcPr>
          <w:p w14:paraId="587C0279">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124.999006  46.155656</w:t>
            </w:r>
          </w:p>
        </w:tc>
      </w:tr>
      <w:tr w14:paraId="76B29DB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auto" w:sz="4" w:space="0"/>
              <w:bottom w:val="nil"/>
              <w:right w:val="single" w:color="000000" w:sz="4" w:space="0"/>
            </w:tcBorders>
            <w:shd w:val="clear" w:color="auto" w:fill="auto"/>
            <w:vAlign w:val="center"/>
          </w:tcPr>
          <w:p w14:paraId="2FA992B1">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层次</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57FAD6F6">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0-50cm</w:t>
            </w:r>
          </w:p>
        </w:tc>
        <w:tc>
          <w:tcPr>
            <w:tcW w:w="1915" w:type="dxa"/>
            <w:tcBorders>
              <w:top w:val="single" w:color="000000" w:sz="4" w:space="0"/>
              <w:left w:val="nil"/>
              <w:bottom w:val="single" w:color="000000" w:sz="4" w:space="0"/>
            </w:tcBorders>
            <w:shd w:val="clear" w:color="auto" w:fill="auto"/>
            <w:vAlign w:val="center"/>
          </w:tcPr>
          <w:p w14:paraId="1A502CB8">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50-150cm</w:t>
            </w:r>
          </w:p>
        </w:tc>
        <w:tc>
          <w:tcPr>
            <w:tcW w:w="1920" w:type="dxa"/>
            <w:tcBorders>
              <w:top w:val="single" w:color="000000" w:sz="4" w:space="0"/>
              <w:left w:val="nil"/>
              <w:bottom w:val="single" w:color="000000" w:sz="4" w:space="0"/>
            </w:tcBorders>
            <w:shd w:val="clear" w:color="auto" w:fill="auto"/>
            <w:vAlign w:val="center"/>
          </w:tcPr>
          <w:p w14:paraId="26A6CD8F">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150-300cm</w:t>
            </w:r>
          </w:p>
        </w:tc>
      </w:tr>
      <w:tr w14:paraId="4C86AF5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shd w:val="clear" w:color="auto" w:fill="auto"/>
            <w:vAlign w:val="center"/>
          </w:tcPr>
          <w:p w14:paraId="4645BE1E">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p>
          <w:p w14:paraId="220E8B66">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现场记录</w:t>
            </w: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5373AE34">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颜色</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7248541B">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黑</w:t>
            </w:r>
            <w:r>
              <w:rPr>
                <w:rFonts w:hint="eastAsia" w:ascii="Times New Roman" w:hAnsi="Times New Roman" w:cs="Times New Roman" w:eastAsiaTheme="minorEastAsia"/>
                <w:caps w:val="0"/>
                <w:smallCaps w:val="0"/>
                <w:color w:val="auto"/>
                <w:spacing w:val="0"/>
                <w:w w:val="100"/>
                <w:kern w:val="21"/>
                <w:position w:val="0"/>
                <w:sz w:val="21"/>
                <w:szCs w:val="21"/>
                <w:highlight w:val="none"/>
              </w:rPr>
              <w:t>色</w:t>
            </w:r>
          </w:p>
        </w:tc>
        <w:tc>
          <w:tcPr>
            <w:tcW w:w="1915" w:type="dxa"/>
            <w:tcBorders>
              <w:top w:val="single" w:color="000000" w:sz="4" w:space="0"/>
              <w:left w:val="nil"/>
              <w:bottom w:val="single" w:color="000000" w:sz="4" w:space="0"/>
            </w:tcBorders>
            <w:shd w:val="clear" w:color="auto" w:fill="auto"/>
            <w:vAlign w:val="center"/>
          </w:tcPr>
          <w:p w14:paraId="2622B930">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黑</w:t>
            </w:r>
            <w:r>
              <w:rPr>
                <w:rFonts w:hint="eastAsia" w:ascii="Times New Roman" w:hAnsi="Times New Roman" w:cs="Times New Roman" w:eastAsiaTheme="minorEastAsia"/>
                <w:caps w:val="0"/>
                <w:smallCaps w:val="0"/>
                <w:color w:val="auto"/>
                <w:spacing w:val="0"/>
                <w:w w:val="100"/>
                <w:kern w:val="21"/>
                <w:position w:val="0"/>
                <w:sz w:val="21"/>
                <w:szCs w:val="21"/>
                <w:highlight w:val="none"/>
              </w:rPr>
              <w:t>色</w:t>
            </w:r>
          </w:p>
        </w:tc>
        <w:tc>
          <w:tcPr>
            <w:tcW w:w="1920" w:type="dxa"/>
            <w:tcBorders>
              <w:top w:val="single" w:color="000000" w:sz="4" w:space="0"/>
              <w:left w:val="nil"/>
              <w:bottom w:val="single" w:color="000000" w:sz="4" w:space="0"/>
            </w:tcBorders>
            <w:shd w:val="clear" w:color="auto" w:fill="auto"/>
            <w:vAlign w:val="center"/>
          </w:tcPr>
          <w:p w14:paraId="13224EE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黑</w:t>
            </w:r>
            <w:r>
              <w:rPr>
                <w:rFonts w:hint="eastAsia" w:ascii="Times New Roman" w:hAnsi="Times New Roman" w:cs="Times New Roman" w:eastAsiaTheme="minorEastAsia"/>
                <w:caps w:val="0"/>
                <w:smallCaps w:val="0"/>
                <w:color w:val="auto"/>
                <w:spacing w:val="0"/>
                <w:w w:val="100"/>
                <w:kern w:val="21"/>
                <w:position w:val="0"/>
                <w:sz w:val="21"/>
                <w:szCs w:val="21"/>
                <w:highlight w:val="none"/>
              </w:rPr>
              <w:t>色</w:t>
            </w:r>
          </w:p>
        </w:tc>
      </w:tr>
      <w:tr w14:paraId="1D07D12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0B089F4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430162F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结构</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642ABB4C">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块</w:t>
            </w:r>
            <w:r>
              <w:rPr>
                <w:rFonts w:hint="eastAsia" w:ascii="Times New Roman" w:hAnsi="Times New Roman" w:cs="Times New Roman" w:eastAsiaTheme="minorEastAsia"/>
                <w:caps w:val="0"/>
                <w:smallCaps w:val="0"/>
                <w:color w:val="auto"/>
                <w:spacing w:val="0"/>
                <w:w w:val="100"/>
                <w:kern w:val="21"/>
                <w:position w:val="0"/>
                <w:sz w:val="21"/>
                <w:szCs w:val="21"/>
                <w:highlight w:val="none"/>
              </w:rPr>
              <w:t>状</w:t>
            </w:r>
          </w:p>
        </w:tc>
        <w:tc>
          <w:tcPr>
            <w:tcW w:w="1915" w:type="dxa"/>
            <w:tcBorders>
              <w:top w:val="single" w:color="000000" w:sz="4" w:space="0"/>
              <w:left w:val="nil"/>
              <w:bottom w:val="single" w:color="000000" w:sz="4" w:space="0"/>
            </w:tcBorders>
            <w:shd w:val="clear" w:color="auto" w:fill="auto"/>
            <w:vAlign w:val="center"/>
          </w:tcPr>
          <w:p w14:paraId="0FDFB0A2">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面</w:t>
            </w:r>
            <w:r>
              <w:rPr>
                <w:rFonts w:hint="eastAsia" w:ascii="Times New Roman" w:hAnsi="Times New Roman" w:cs="Times New Roman" w:eastAsiaTheme="minorEastAsia"/>
                <w:caps w:val="0"/>
                <w:smallCaps w:val="0"/>
                <w:color w:val="auto"/>
                <w:spacing w:val="0"/>
                <w:w w:val="100"/>
                <w:kern w:val="21"/>
                <w:position w:val="0"/>
                <w:sz w:val="21"/>
                <w:szCs w:val="21"/>
                <w:highlight w:val="none"/>
              </w:rPr>
              <w:t>状</w:t>
            </w:r>
          </w:p>
        </w:tc>
        <w:tc>
          <w:tcPr>
            <w:tcW w:w="1920" w:type="dxa"/>
            <w:tcBorders>
              <w:top w:val="single" w:color="000000" w:sz="4" w:space="0"/>
              <w:left w:val="nil"/>
              <w:bottom w:val="single" w:color="000000" w:sz="4" w:space="0"/>
            </w:tcBorders>
            <w:shd w:val="clear" w:color="auto" w:fill="auto"/>
            <w:vAlign w:val="center"/>
          </w:tcPr>
          <w:p w14:paraId="0FB280EC">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面</w:t>
            </w:r>
            <w:r>
              <w:rPr>
                <w:rFonts w:hint="eastAsia" w:ascii="Times New Roman" w:hAnsi="Times New Roman" w:cs="Times New Roman" w:eastAsiaTheme="minorEastAsia"/>
                <w:caps w:val="0"/>
                <w:smallCaps w:val="0"/>
                <w:color w:val="auto"/>
                <w:spacing w:val="0"/>
                <w:w w:val="100"/>
                <w:kern w:val="21"/>
                <w:position w:val="0"/>
                <w:sz w:val="21"/>
                <w:szCs w:val="21"/>
                <w:highlight w:val="none"/>
              </w:rPr>
              <w:t>状</w:t>
            </w:r>
          </w:p>
        </w:tc>
      </w:tr>
      <w:tr w14:paraId="427AB6F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2F497218">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2B6737A0">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质地</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52AF582D">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壤土</w:t>
            </w:r>
          </w:p>
        </w:tc>
        <w:tc>
          <w:tcPr>
            <w:tcW w:w="1915" w:type="dxa"/>
            <w:tcBorders>
              <w:top w:val="single" w:color="000000" w:sz="4" w:space="0"/>
              <w:left w:val="nil"/>
              <w:bottom w:val="single" w:color="000000" w:sz="4" w:space="0"/>
            </w:tcBorders>
            <w:shd w:val="clear" w:color="auto" w:fill="auto"/>
            <w:vAlign w:val="center"/>
          </w:tcPr>
          <w:p w14:paraId="6631882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壤土</w:t>
            </w:r>
          </w:p>
        </w:tc>
        <w:tc>
          <w:tcPr>
            <w:tcW w:w="1920" w:type="dxa"/>
            <w:tcBorders>
              <w:top w:val="single" w:color="000000" w:sz="4" w:space="0"/>
              <w:left w:val="nil"/>
              <w:bottom w:val="single" w:color="000000" w:sz="4" w:space="0"/>
            </w:tcBorders>
            <w:shd w:val="clear" w:color="auto" w:fill="auto"/>
            <w:vAlign w:val="center"/>
          </w:tcPr>
          <w:p w14:paraId="49EEB232">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壤土</w:t>
            </w:r>
          </w:p>
        </w:tc>
      </w:tr>
      <w:tr w14:paraId="6EA62FA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50C76FB9">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551A14F8">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砂砾含量</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302F43B9">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25～45%</w:t>
            </w:r>
          </w:p>
        </w:tc>
        <w:tc>
          <w:tcPr>
            <w:tcW w:w="1915" w:type="dxa"/>
            <w:tcBorders>
              <w:top w:val="single" w:color="000000" w:sz="4" w:space="0"/>
              <w:left w:val="nil"/>
              <w:bottom w:val="single" w:color="000000" w:sz="4" w:space="0"/>
            </w:tcBorders>
            <w:shd w:val="clear" w:color="auto" w:fill="auto"/>
            <w:vAlign w:val="center"/>
          </w:tcPr>
          <w:p w14:paraId="61288E25">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25～45%</w:t>
            </w:r>
          </w:p>
        </w:tc>
        <w:tc>
          <w:tcPr>
            <w:tcW w:w="1920" w:type="dxa"/>
            <w:tcBorders>
              <w:top w:val="single" w:color="000000" w:sz="4" w:space="0"/>
              <w:left w:val="nil"/>
              <w:bottom w:val="single" w:color="000000" w:sz="4" w:space="0"/>
            </w:tcBorders>
            <w:shd w:val="clear" w:color="auto" w:fill="auto"/>
            <w:vAlign w:val="center"/>
          </w:tcPr>
          <w:p w14:paraId="4642853E">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25～45%</w:t>
            </w:r>
          </w:p>
        </w:tc>
      </w:tr>
      <w:tr w14:paraId="5B6B0DB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6F11D9B4">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42480B22">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其他异物</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67980BA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植物根系</w:t>
            </w:r>
          </w:p>
        </w:tc>
        <w:tc>
          <w:tcPr>
            <w:tcW w:w="1915" w:type="dxa"/>
            <w:tcBorders>
              <w:top w:val="single" w:color="000000" w:sz="4" w:space="0"/>
              <w:left w:val="nil"/>
              <w:bottom w:val="single" w:color="000000" w:sz="4" w:space="0"/>
            </w:tcBorders>
            <w:shd w:val="clear" w:color="auto" w:fill="auto"/>
            <w:vAlign w:val="center"/>
          </w:tcPr>
          <w:p w14:paraId="619CD75A">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w:t>
            </w:r>
          </w:p>
        </w:tc>
        <w:tc>
          <w:tcPr>
            <w:tcW w:w="1920" w:type="dxa"/>
            <w:tcBorders>
              <w:top w:val="single" w:color="000000" w:sz="4" w:space="0"/>
              <w:left w:val="nil"/>
              <w:bottom w:val="single" w:color="000000" w:sz="4" w:space="0"/>
            </w:tcBorders>
            <w:shd w:val="clear" w:color="auto" w:fill="auto"/>
            <w:vAlign w:val="center"/>
          </w:tcPr>
          <w:p w14:paraId="24BE3484">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w:t>
            </w:r>
          </w:p>
        </w:tc>
      </w:tr>
      <w:tr w14:paraId="65EA4E3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shd w:val="clear" w:color="auto" w:fill="auto"/>
            <w:vAlign w:val="center"/>
          </w:tcPr>
          <w:p w14:paraId="628529B8">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p>
          <w:p w14:paraId="000B3C4B">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实验室测定</w:t>
            </w: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6658877E">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pH 值</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0CAE4A6C">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7.84</w:t>
            </w:r>
          </w:p>
        </w:tc>
        <w:tc>
          <w:tcPr>
            <w:tcW w:w="1915" w:type="dxa"/>
            <w:tcBorders>
              <w:top w:val="single" w:color="000000" w:sz="4" w:space="0"/>
              <w:left w:val="nil"/>
              <w:bottom w:val="single" w:color="000000" w:sz="4" w:space="0"/>
            </w:tcBorders>
            <w:shd w:val="clear" w:color="auto" w:fill="auto"/>
            <w:vAlign w:val="center"/>
          </w:tcPr>
          <w:p w14:paraId="2BEB1FC9">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7.96</w:t>
            </w:r>
          </w:p>
        </w:tc>
        <w:tc>
          <w:tcPr>
            <w:tcW w:w="1920" w:type="dxa"/>
            <w:tcBorders>
              <w:top w:val="single" w:color="000000" w:sz="4" w:space="0"/>
              <w:left w:val="nil"/>
              <w:bottom w:val="single" w:color="000000" w:sz="4" w:space="0"/>
            </w:tcBorders>
            <w:shd w:val="clear" w:color="auto" w:fill="auto"/>
            <w:vAlign w:val="center"/>
          </w:tcPr>
          <w:p w14:paraId="4FAB0E5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8.01</w:t>
            </w:r>
          </w:p>
        </w:tc>
      </w:tr>
      <w:tr w14:paraId="437C196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356D661B">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43C5FEC5">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阳离子交换量(cmol+/kg)</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7A9C00FE">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11.1</w:t>
            </w:r>
          </w:p>
        </w:tc>
        <w:tc>
          <w:tcPr>
            <w:tcW w:w="1915" w:type="dxa"/>
            <w:tcBorders>
              <w:top w:val="single" w:color="000000" w:sz="4" w:space="0"/>
              <w:left w:val="nil"/>
              <w:bottom w:val="single" w:color="000000" w:sz="4" w:space="0"/>
            </w:tcBorders>
            <w:shd w:val="clear" w:color="auto" w:fill="auto"/>
            <w:vAlign w:val="center"/>
          </w:tcPr>
          <w:p w14:paraId="29E1CFDB">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10.5</w:t>
            </w:r>
          </w:p>
        </w:tc>
        <w:tc>
          <w:tcPr>
            <w:tcW w:w="1920" w:type="dxa"/>
            <w:tcBorders>
              <w:top w:val="single" w:color="000000" w:sz="4" w:space="0"/>
              <w:left w:val="nil"/>
              <w:bottom w:val="single" w:color="000000" w:sz="4" w:space="0"/>
            </w:tcBorders>
            <w:shd w:val="clear" w:color="auto" w:fill="auto"/>
            <w:vAlign w:val="center"/>
          </w:tcPr>
          <w:p w14:paraId="7D004826">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12.2</w:t>
            </w:r>
          </w:p>
        </w:tc>
      </w:tr>
      <w:tr w14:paraId="45B1529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right w:val="single" w:color="000000" w:sz="4" w:space="0"/>
            </w:tcBorders>
            <w:vAlign w:val="center"/>
          </w:tcPr>
          <w:p w14:paraId="7E4CA14D">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2292" w:type="dxa"/>
            <w:tcBorders>
              <w:top w:val="single" w:color="000000" w:sz="4" w:space="0"/>
              <w:left w:val="nil"/>
              <w:right w:val="single" w:color="000000" w:sz="4" w:space="0"/>
            </w:tcBorders>
            <w:shd w:val="clear" w:color="auto" w:fill="auto"/>
            <w:vAlign w:val="center"/>
          </w:tcPr>
          <w:p w14:paraId="35D82E1E">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氧化还原电位（mv）</w:t>
            </w:r>
          </w:p>
        </w:tc>
        <w:tc>
          <w:tcPr>
            <w:tcW w:w="1915" w:type="dxa"/>
            <w:tcBorders>
              <w:top w:val="single" w:color="000000" w:sz="4" w:space="0"/>
              <w:left w:val="nil"/>
              <w:right w:val="single" w:color="000000" w:sz="4" w:space="0"/>
            </w:tcBorders>
            <w:shd w:val="clear" w:color="auto" w:fill="auto"/>
            <w:vAlign w:val="center"/>
          </w:tcPr>
          <w:p w14:paraId="7F106094">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187</w:t>
            </w:r>
          </w:p>
        </w:tc>
        <w:tc>
          <w:tcPr>
            <w:tcW w:w="1915" w:type="dxa"/>
            <w:tcBorders>
              <w:top w:val="single" w:color="000000" w:sz="4" w:space="0"/>
              <w:left w:val="nil"/>
            </w:tcBorders>
            <w:shd w:val="clear" w:color="auto" w:fill="auto"/>
            <w:vAlign w:val="center"/>
          </w:tcPr>
          <w:p w14:paraId="54C77373">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202</w:t>
            </w:r>
          </w:p>
        </w:tc>
        <w:tc>
          <w:tcPr>
            <w:tcW w:w="1920" w:type="dxa"/>
            <w:tcBorders>
              <w:top w:val="single" w:color="000000" w:sz="4" w:space="0"/>
              <w:left w:val="nil"/>
            </w:tcBorders>
            <w:shd w:val="clear" w:color="auto" w:fill="auto"/>
            <w:vAlign w:val="center"/>
          </w:tcPr>
          <w:p w14:paraId="40B7FC15">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195</w:t>
            </w:r>
          </w:p>
        </w:tc>
      </w:tr>
      <w:tr w14:paraId="0B15ED9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tcPr>
          <w:p w14:paraId="1B24A69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0" w:type="auto"/>
            <w:shd w:val="clear" w:color="auto" w:fill="auto"/>
            <w:vAlign w:val="center"/>
          </w:tcPr>
          <w:p w14:paraId="70C5A5D9">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饱和导水率(mm/min)</w:t>
            </w:r>
          </w:p>
        </w:tc>
        <w:tc>
          <w:tcPr>
            <w:tcW w:w="0" w:type="auto"/>
            <w:shd w:val="clear" w:color="auto" w:fill="auto"/>
            <w:vAlign w:val="center"/>
          </w:tcPr>
          <w:p w14:paraId="5E85E73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1.416</w:t>
            </w:r>
          </w:p>
        </w:tc>
        <w:tc>
          <w:tcPr>
            <w:tcW w:w="0" w:type="auto"/>
            <w:shd w:val="clear" w:color="auto" w:fill="auto"/>
            <w:vAlign w:val="center"/>
          </w:tcPr>
          <w:p w14:paraId="0D7DABFD">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1.397</w:t>
            </w:r>
          </w:p>
        </w:tc>
        <w:tc>
          <w:tcPr>
            <w:tcW w:w="0" w:type="auto"/>
            <w:shd w:val="clear" w:color="auto" w:fill="auto"/>
            <w:vAlign w:val="center"/>
          </w:tcPr>
          <w:p w14:paraId="449260E8">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1.383</w:t>
            </w:r>
          </w:p>
        </w:tc>
      </w:tr>
      <w:tr w14:paraId="7CC18E8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tcPr>
          <w:p w14:paraId="4939368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0" w:type="auto"/>
            <w:shd w:val="clear" w:color="auto" w:fill="auto"/>
            <w:vAlign w:val="center"/>
          </w:tcPr>
          <w:p w14:paraId="3F0B889B">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土壤容重 (g/cm3)</w:t>
            </w:r>
          </w:p>
        </w:tc>
        <w:tc>
          <w:tcPr>
            <w:tcW w:w="0" w:type="auto"/>
            <w:shd w:val="clear" w:color="auto" w:fill="auto"/>
            <w:vAlign w:val="center"/>
          </w:tcPr>
          <w:p w14:paraId="7FCDA829">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1.42</w:t>
            </w:r>
          </w:p>
        </w:tc>
        <w:tc>
          <w:tcPr>
            <w:tcW w:w="0" w:type="auto"/>
            <w:shd w:val="clear" w:color="auto" w:fill="auto"/>
            <w:vAlign w:val="center"/>
          </w:tcPr>
          <w:p w14:paraId="2D0C4F44">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1.39</w:t>
            </w:r>
          </w:p>
        </w:tc>
        <w:tc>
          <w:tcPr>
            <w:tcW w:w="0" w:type="auto"/>
            <w:shd w:val="clear" w:color="auto" w:fill="auto"/>
            <w:vAlign w:val="center"/>
          </w:tcPr>
          <w:p w14:paraId="59AAB4E4">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1.45</w:t>
            </w:r>
          </w:p>
        </w:tc>
      </w:tr>
      <w:tr w14:paraId="47CF5A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tcPr>
          <w:p w14:paraId="41D758D8">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0" w:type="auto"/>
            <w:shd w:val="clear" w:color="auto" w:fill="auto"/>
            <w:vAlign w:val="center"/>
          </w:tcPr>
          <w:p w14:paraId="6E25EB1D">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孔隙度(%)</w:t>
            </w:r>
          </w:p>
        </w:tc>
        <w:tc>
          <w:tcPr>
            <w:tcW w:w="0" w:type="auto"/>
            <w:shd w:val="clear" w:color="auto" w:fill="auto"/>
            <w:vAlign w:val="center"/>
          </w:tcPr>
          <w:p w14:paraId="5CCC2191">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46.4</w:t>
            </w:r>
          </w:p>
        </w:tc>
        <w:tc>
          <w:tcPr>
            <w:tcW w:w="0" w:type="auto"/>
            <w:shd w:val="clear" w:color="auto" w:fill="auto"/>
            <w:vAlign w:val="center"/>
          </w:tcPr>
          <w:p w14:paraId="44185810">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47.5</w:t>
            </w:r>
          </w:p>
        </w:tc>
        <w:tc>
          <w:tcPr>
            <w:tcW w:w="0" w:type="auto"/>
            <w:shd w:val="clear" w:color="auto" w:fill="auto"/>
            <w:vAlign w:val="center"/>
          </w:tcPr>
          <w:p w14:paraId="4C6B5C40">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45.3</w:t>
            </w:r>
          </w:p>
        </w:tc>
      </w:tr>
    </w:tbl>
    <w:p w14:paraId="1CA3396E">
      <w:pPr>
        <w:widowControl w:val="0"/>
        <w:spacing w:line="440" w:lineRule="exact"/>
        <w:ind w:firstLine="482" w:firstLineChars="200"/>
        <w:rPr>
          <w:rFonts w:ascii="Times New Roman" w:hAnsi="Times New Roman" w:cs="Times New Roman" w:eastAsiaTheme="minorEastAsia"/>
          <w:b/>
          <w:caps w:val="0"/>
          <w:smallCaps w:val="0"/>
          <w:color w:val="auto"/>
          <w:spacing w:val="0"/>
          <w:w w:val="100"/>
          <w:position w:val="0"/>
          <w:szCs w:val="20"/>
          <w:highlight w:val="none"/>
        </w:rPr>
      </w:pPr>
      <w:r>
        <w:rPr>
          <w:rFonts w:ascii="Times New Roman" w:hAnsi="Times New Roman" w:cs="Times New Roman" w:eastAsiaTheme="minorEastAsia"/>
          <w:b/>
          <w:caps w:val="0"/>
          <w:smallCaps w:val="0"/>
          <w:color w:val="auto"/>
          <w:spacing w:val="0"/>
          <w:w w:val="100"/>
          <w:position w:val="0"/>
          <w:szCs w:val="20"/>
          <w:highlight w:val="none"/>
        </w:rPr>
        <w:t>表4.3-22    区域内土壤构型（土壤剖面）</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2992"/>
        <w:gridCol w:w="2604"/>
        <w:gridCol w:w="2813"/>
      </w:tblGrid>
      <w:tr w14:paraId="1006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Align w:val="center"/>
          </w:tcPr>
          <w:p w14:paraId="5289FAC6">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ascii="Times New Roman" w:hAnsi="Times New Roman" w:cs="Times New Roman" w:eastAsiaTheme="minorEastAsia"/>
                <w:caps w:val="0"/>
                <w:smallCaps w:val="0"/>
                <w:color w:val="auto"/>
                <w:spacing w:val="0"/>
                <w:w w:val="100"/>
                <w:kern w:val="21"/>
                <w:position w:val="0"/>
                <w:sz w:val="21"/>
                <w:szCs w:val="21"/>
                <w:highlight w:val="none"/>
              </w:rPr>
              <w:t>点号</w:t>
            </w:r>
          </w:p>
        </w:tc>
        <w:tc>
          <w:tcPr>
            <w:tcW w:w="1642" w:type="pct"/>
            <w:vAlign w:val="center"/>
          </w:tcPr>
          <w:p w14:paraId="1713117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景观照片</w:t>
            </w:r>
          </w:p>
        </w:tc>
        <w:tc>
          <w:tcPr>
            <w:tcW w:w="1329" w:type="pct"/>
            <w:vAlign w:val="center"/>
          </w:tcPr>
          <w:p w14:paraId="1F7641A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土壤剖面照片</w:t>
            </w:r>
          </w:p>
        </w:tc>
        <w:tc>
          <w:tcPr>
            <w:tcW w:w="1559" w:type="pct"/>
            <w:vAlign w:val="center"/>
          </w:tcPr>
          <w:p w14:paraId="580D20D8">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层次</w:t>
            </w:r>
          </w:p>
        </w:tc>
      </w:tr>
      <w:tr w14:paraId="749D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restart"/>
            <w:vAlign w:val="center"/>
          </w:tcPr>
          <w:p w14:paraId="2771540B">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拟建卫2-25-28井场至卫2-25-斜29井场集油管线处</w:t>
            </w:r>
          </w:p>
        </w:tc>
        <w:tc>
          <w:tcPr>
            <w:tcW w:w="3051" w:type="dxa"/>
            <w:vMerge w:val="restart"/>
            <w:vAlign w:val="center"/>
          </w:tcPr>
          <w:p w14:paraId="564C69BF">
            <w:pPr>
              <w:wordWrap w:val="0"/>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eastAsia="黑体"/>
                <w:caps w:val="0"/>
                <w:smallCaps w:val="0"/>
                <w:color w:val="auto"/>
                <w:spacing w:val="0"/>
                <w:w w:val="100"/>
                <w:position w:val="0"/>
                <w:highlight w:val="none"/>
                <w:lang w:eastAsia="zh-CN"/>
              </w:rPr>
              <w:drawing>
                <wp:inline distT="0" distB="0" distL="114300" distR="114300">
                  <wp:extent cx="1753870" cy="2980690"/>
                  <wp:effectExtent l="0" t="0" r="17780" b="10160"/>
                  <wp:docPr id="38" name="图片 12" descr="de1c179b1d7f31af87c9dd50cb1861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descr="de1c179b1d7f31af87c9dd50cb1861b4"/>
                          <pic:cNvPicPr>
                            <a:picLocks noChangeAspect="1"/>
                          </pic:cNvPicPr>
                        </pic:nvPicPr>
                        <pic:blipFill>
                          <a:blip r:embed="rId36"/>
                          <a:stretch>
                            <a:fillRect/>
                          </a:stretch>
                        </pic:blipFill>
                        <pic:spPr>
                          <a:xfrm>
                            <a:off x="0" y="0"/>
                            <a:ext cx="1753870" cy="2980690"/>
                          </a:xfrm>
                          <a:prstGeom prst="rect">
                            <a:avLst/>
                          </a:prstGeom>
                          <a:noFill/>
                          <a:ln>
                            <a:noFill/>
                          </a:ln>
                        </pic:spPr>
                      </pic:pic>
                    </a:graphicData>
                  </a:graphic>
                </wp:inline>
              </w:drawing>
            </w:r>
          </w:p>
        </w:tc>
        <w:tc>
          <w:tcPr>
            <w:tcW w:w="2469" w:type="dxa"/>
            <w:vMerge w:val="restart"/>
            <w:vAlign w:val="center"/>
          </w:tcPr>
          <w:p w14:paraId="1470E21B">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eastAsia="宋体"/>
                <w:caps w:val="0"/>
                <w:smallCaps w:val="0"/>
                <w:color w:val="auto"/>
                <w:spacing w:val="0"/>
                <w:w w:val="100"/>
                <w:position w:val="0"/>
                <w:szCs w:val="21"/>
                <w:highlight w:val="none"/>
                <w:lang w:eastAsia="zh-CN"/>
              </w:rPr>
              <w:drawing>
                <wp:inline distT="0" distB="0" distL="114300" distR="114300">
                  <wp:extent cx="1510665" cy="2966085"/>
                  <wp:effectExtent l="0" t="0" r="13335" b="5715"/>
                  <wp:docPr id="42" name="图片 13" descr="907281d9cb8985d252a9c217972a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descr="907281d9cb8985d252a9c217972a2784"/>
                          <pic:cNvPicPr>
                            <a:picLocks noChangeAspect="1"/>
                          </pic:cNvPicPr>
                        </pic:nvPicPr>
                        <pic:blipFill>
                          <a:blip r:embed="rId37"/>
                          <a:stretch>
                            <a:fillRect/>
                          </a:stretch>
                        </pic:blipFill>
                        <pic:spPr>
                          <a:xfrm>
                            <a:off x="0" y="0"/>
                            <a:ext cx="1510665" cy="2966085"/>
                          </a:xfrm>
                          <a:prstGeom prst="rect">
                            <a:avLst/>
                          </a:prstGeom>
                          <a:noFill/>
                          <a:ln>
                            <a:noFill/>
                          </a:ln>
                        </pic:spPr>
                      </pic:pic>
                    </a:graphicData>
                  </a:graphic>
                </wp:inline>
              </w:drawing>
            </w:r>
          </w:p>
        </w:tc>
        <w:tc>
          <w:tcPr>
            <w:tcW w:w="2896" w:type="dxa"/>
            <w:vAlign w:val="center"/>
          </w:tcPr>
          <w:p w14:paraId="512FA5A4">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 xml:space="preserve">0-0.5m  </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 xml:space="preserve"> </w:t>
            </w: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块状</w:t>
            </w:r>
            <w:r>
              <w:rPr>
                <w:rFonts w:hint="eastAsia" w:ascii="Times New Roman" w:hAnsi="Times New Roman" w:cs="Times New Roman" w:eastAsiaTheme="minorEastAsia"/>
                <w:caps w:val="0"/>
                <w:smallCaps w:val="0"/>
                <w:color w:val="auto"/>
                <w:spacing w:val="0"/>
                <w:w w:val="100"/>
                <w:kern w:val="21"/>
                <w:position w:val="0"/>
                <w:sz w:val="21"/>
                <w:szCs w:val="21"/>
                <w:highlight w:val="none"/>
              </w:rPr>
              <w:t>结构  壤土</w:t>
            </w:r>
          </w:p>
        </w:tc>
      </w:tr>
      <w:tr w14:paraId="4A9F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7CD961DF">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3051" w:type="dxa"/>
            <w:vMerge w:val="continue"/>
            <w:vAlign w:val="center"/>
          </w:tcPr>
          <w:p w14:paraId="749D9E18">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469" w:type="dxa"/>
            <w:vMerge w:val="continue"/>
            <w:vAlign w:val="center"/>
          </w:tcPr>
          <w:p w14:paraId="685FC1BF">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896" w:type="dxa"/>
            <w:vAlign w:val="center"/>
          </w:tcPr>
          <w:p w14:paraId="32561947">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 xml:space="preserve">0.5-1.5m </w:t>
            </w: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面状</w:t>
            </w:r>
            <w:r>
              <w:rPr>
                <w:rFonts w:hint="eastAsia" w:ascii="Times New Roman" w:hAnsi="Times New Roman" w:cs="Times New Roman" w:eastAsiaTheme="minorEastAsia"/>
                <w:caps w:val="0"/>
                <w:smallCaps w:val="0"/>
                <w:color w:val="auto"/>
                <w:spacing w:val="0"/>
                <w:w w:val="100"/>
                <w:kern w:val="21"/>
                <w:position w:val="0"/>
                <w:sz w:val="21"/>
                <w:szCs w:val="21"/>
                <w:highlight w:val="none"/>
              </w:rPr>
              <w:t>结构  壤土</w:t>
            </w:r>
          </w:p>
        </w:tc>
      </w:tr>
      <w:tr w14:paraId="04B6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776D9CF9">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3051" w:type="dxa"/>
            <w:vMerge w:val="continue"/>
            <w:vAlign w:val="center"/>
          </w:tcPr>
          <w:p w14:paraId="512BD360">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469" w:type="dxa"/>
            <w:vMerge w:val="continue"/>
            <w:vAlign w:val="center"/>
          </w:tcPr>
          <w:p w14:paraId="5F0DC9EB">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896" w:type="dxa"/>
            <w:vAlign w:val="center"/>
          </w:tcPr>
          <w:p w14:paraId="322DC47F">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1.5-3m</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 xml:space="preserve">   </w:t>
            </w: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面状</w:t>
            </w:r>
            <w:r>
              <w:rPr>
                <w:rFonts w:hint="eastAsia" w:ascii="Times New Roman" w:hAnsi="Times New Roman" w:cs="Times New Roman" w:eastAsiaTheme="minorEastAsia"/>
                <w:caps w:val="0"/>
                <w:smallCaps w:val="0"/>
                <w:color w:val="auto"/>
                <w:spacing w:val="0"/>
                <w:w w:val="100"/>
                <w:kern w:val="21"/>
                <w:position w:val="0"/>
                <w:sz w:val="21"/>
                <w:szCs w:val="21"/>
                <w:highlight w:val="none"/>
              </w:rPr>
              <w:t xml:space="preserve">结构 </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 xml:space="preserve"> </w:t>
            </w:r>
            <w:r>
              <w:rPr>
                <w:rFonts w:hint="eastAsia" w:ascii="Times New Roman" w:hAnsi="Times New Roman" w:cs="Times New Roman" w:eastAsiaTheme="minorEastAsia"/>
                <w:caps w:val="0"/>
                <w:smallCaps w:val="0"/>
                <w:color w:val="auto"/>
                <w:spacing w:val="0"/>
                <w:w w:val="100"/>
                <w:kern w:val="21"/>
                <w:position w:val="0"/>
                <w:sz w:val="21"/>
                <w:szCs w:val="21"/>
                <w:highlight w:val="none"/>
              </w:rPr>
              <w:t>壤土</w:t>
            </w:r>
          </w:p>
        </w:tc>
      </w:tr>
      <w:tr w14:paraId="4D75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12B82CE8">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p>
        </w:tc>
        <w:tc>
          <w:tcPr>
            <w:tcW w:w="3051" w:type="dxa"/>
            <w:vMerge w:val="continue"/>
            <w:vAlign w:val="center"/>
          </w:tcPr>
          <w:p w14:paraId="36FB4F7F">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469" w:type="dxa"/>
            <w:vMerge w:val="continue"/>
            <w:vAlign w:val="center"/>
          </w:tcPr>
          <w:p w14:paraId="7F64DA45">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896" w:type="dxa"/>
            <w:vAlign w:val="center"/>
          </w:tcPr>
          <w:p w14:paraId="0994297C">
            <w:pPr>
              <w:wordWrap w:val="0"/>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eastAsia="宋体"/>
                <w:caps w:val="0"/>
                <w:smallCaps w:val="0"/>
                <w:color w:val="auto"/>
                <w:spacing w:val="0"/>
                <w:w w:val="100"/>
                <w:position w:val="0"/>
                <w:szCs w:val="21"/>
                <w:highlight w:val="none"/>
                <w:lang w:eastAsia="zh-CN"/>
              </w:rPr>
              <w:drawing>
                <wp:inline distT="0" distB="0" distL="114300" distR="114300">
                  <wp:extent cx="1647825" cy="2197100"/>
                  <wp:effectExtent l="0" t="0" r="9525" b="12700"/>
                  <wp:docPr id="44" name="图片 14" descr="c75527e60620383ccc774eb33149d5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4" descr="c75527e60620383ccc774eb33149d5aa"/>
                          <pic:cNvPicPr>
                            <a:picLocks noChangeAspect="1"/>
                          </pic:cNvPicPr>
                        </pic:nvPicPr>
                        <pic:blipFill>
                          <a:blip r:embed="rId38"/>
                          <a:stretch>
                            <a:fillRect/>
                          </a:stretch>
                        </pic:blipFill>
                        <pic:spPr>
                          <a:xfrm>
                            <a:off x="0" y="0"/>
                            <a:ext cx="1647825" cy="2197100"/>
                          </a:xfrm>
                          <a:prstGeom prst="rect">
                            <a:avLst/>
                          </a:prstGeom>
                          <a:noFill/>
                          <a:ln>
                            <a:noFill/>
                          </a:ln>
                        </pic:spPr>
                      </pic:pic>
                    </a:graphicData>
                  </a:graphic>
                </wp:inline>
              </w:drawing>
            </w:r>
          </w:p>
        </w:tc>
      </w:tr>
      <w:tr w14:paraId="6D4B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restart"/>
            <w:vAlign w:val="center"/>
          </w:tcPr>
          <w:p w14:paraId="1EF8E93B">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卫2-20-35</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kern w:val="21"/>
                <w:position w:val="0"/>
                <w:sz w:val="21"/>
                <w:szCs w:val="21"/>
                <w:highlight w:val="none"/>
              </w:rPr>
              <w:t>卫2-18-34</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井场集油</w:t>
            </w:r>
            <w:r>
              <w:rPr>
                <w:rFonts w:hint="eastAsia" w:ascii="Times New Roman" w:hAnsi="Times New Roman" w:cs="Times New Roman" w:eastAsiaTheme="minorEastAsia"/>
                <w:caps w:val="0"/>
                <w:smallCaps w:val="0"/>
                <w:color w:val="auto"/>
                <w:spacing w:val="0"/>
                <w:w w:val="100"/>
                <w:kern w:val="21"/>
                <w:position w:val="0"/>
                <w:sz w:val="21"/>
                <w:szCs w:val="21"/>
                <w:highlight w:val="none"/>
              </w:rPr>
              <w:t>管线</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处</w:t>
            </w:r>
          </w:p>
        </w:tc>
        <w:tc>
          <w:tcPr>
            <w:tcW w:w="3051" w:type="dxa"/>
            <w:vMerge w:val="restart"/>
            <w:vAlign w:val="center"/>
          </w:tcPr>
          <w:p w14:paraId="5F2D21E9">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eastAsia="宋体"/>
                <w:caps w:val="0"/>
                <w:smallCaps w:val="0"/>
                <w:color w:val="auto"/>
                <w:spacing w:val="0"/>
                <w:w w:val="100"/>
                <w:position w:val="0"/>
                <w:szCs w:val="21"/>
                <w:highlight w:val="none"/>
                <w:lang w:eastAsia="zh-CN"/>
              </w:rPr>
              <w:drawing>
                <wp:inline distT="0" distB="0" distL="114300" distR="114300">
                  <wp:extent cx="1753870" cy="3474085"/>
                  <wp:effectExtent l="0" t="0" r="17780" b="12065"/>
                  <wp:docPr id="52" name="图片 15" descr="d7c1f96a4e5bd6e519c86ac2e9c478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 descr="d7c1f96a4e5bd6e519c86ac2e9c478d5"/>
                          <pic:cNvPicPr>
                            <a:picLocks noChangeAspect="1"/>
                          </pic:cNvPicPr>
                        </pic:nvPicPr>
                        <pic:blipFill>
                          <a:blip r:embed="rId39"/>
                          <a:stretch>
                            <a:fillRect/>
                          </a:stretch>
                        </pic:blipFill>
                        <pic:spPr>
                          <a:xfrm>
                            <a:off x="0" y="0"/>
                            <a:ext cx="1753870" cy="3474085"/>
                          </a:xfrm>
                          <a:prstGeom prst="rect">
                            <a:avLst/>
                          </a:prstGeom>
                          <a:noFill/>
                          <a:ln>
                            <a:noFill/>
                          </a:ln>
                        </pic:spPr>
                      </pic:pic>
                    </a:graphicData>
                  </a:graphic>
                </wp:inline>
              </w:drawing>
            </w:r>
          </w:p>
        </w:tc>
        <w:tc>
          <w:tcPr>
            <w:tcW w:w="2469" w:type="dxa"/>
            <w:vMerge w:val="restart"/>
            <w:vAlign w:val="center"/>
          </w:tcPr>
          <w:p w14:paraId="4F453C4A">
            <w:pPr>
              <w:wordWrap w:val="0"/>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eastAsia="宋体"/>
                <w:caps w:val="0"/>
                <w:smallCaps w:val="0"/>
                <w:color w:val="auto"/>
                <w:spacing w:val="0"/>
                <w:w w:val="100"/>
                <w:position w:val="0"/>
                <w:szCs w:val="21"/>
                <w:highlight w:val="none"/>
                <w:lang w:val="en-US" w:eastAsia="zh-CN"/>
              </w:rPr>
              <w:drawing>
                <wp:inline distT="0" distB="0" distL="114300" distR="114300">
                  <wp:extent cx="1510665" cy="3450590"/>
                  <wp:effectExtent l="0" t="0" r="13335" b="16510"/>
                  <wp:docPr id="53" name="图片 16" descr="1d93c72295e47c8c7b4ad471b3e850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6" descr="1d93c72295e47c8c7b4ad471b3e850fd"/>
                          <pic:cNvPicPr>
                            <a:picLocks noChangeAspect="1"/>
                          </pic:cNvPicPr>
                        </pic:nvPicPr>
                        <pic:blipFill>
                          <a:blip r:embed="rId40"/>
                          <a:stretch>
                            <a:fillRect/>
                          </a:stretch>
                        </pic:blipFill>
                        <pic:spPr>
                          <a:xfrm>
                            <a:off x="0" y="0"/>
                            <a:ext cx="1510665" cy="3450590"/>
                          </a:xfrm>
                          <a:prstGeom prst="rect">
                            <a:avLst/>
                          </a:prstGeom>
                          <a:noFill/>
                          <a:ln>
                            <a:noFill/>
                          </a:ln>
                        </pic:spPr>
                      </pic:pic>
                    </a:graphicData>
                  </a:graphic>
                </wp:inline>
              </w:drawing>
            </w:r>
          </w:p>
        </w:tc>
        <w:tc>
          <w:tcPr>
            <w:tcW w:w="2896" w:type="dxa"/>
            <w:vAlign w:val="center"/>
          </w:tcPr>
          <w:p w14:paraId="465FBF79">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 xml:space="preserve">0-0.5m  </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 xml:space="preserve"> </w:t>
            </w: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块状</w:t>
            </w:r>
            <w:r>
              <w:rPr>
                <w:rFonts w:hint="eastAsia" w:ascii="Times New Roman" w:hAnsi="Times New Roman" w:cs="Times New Roman" w:eastAsiaTheme="minorEastAsia"/>
                <w:caps w:val="0"/>
                <w:smallCaps w:val="0"/>
                <w:color w:val="auto"/>
                <w:spacing w:val="0"/>
                <w:w w:val="100"/>
                <w:kern w:val="21"/>
                <w:position w:val="0"/>
                <w:sz w:val="21"/>
                <w:szCs w:val="21"/>
                <w:highlight w:val="none"/>
              </w:rPr>
              <w:t>结构  壤土</w:t>
            </w:r>
          </w:p>
        </w:tc>
      </w:tr>
      <w:tr w14:paraId="0A9B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244C861D">
            <w:pPr>
              <w:pStyle w:val="102"/>
              <w:spacing w:before="156"/>
              <w:ind w:left="0" w:leftChars="0" w:firstLine="0" w:firstLineChars="0"/>
              <w:jc w:val="both"/>
              <w:rPr>
                <w:rFonts w:ascii="Times New Roman" w:hAnsi="Times New Roman" w:cs="Times New Roman" w:eastAsiaTheme="minorEastAsia"/>
                <w:caps w:val="0"/>
                <w:smallCaps w:val="0"/>
                <w:color w:val="auto"/>
                <w:spacing w:val="0"/>
                <w:w w:val="100"/>
                <w:kern w:val="24"/>
                <w:position w:val="0"/>
                <w:sz w:val="21"/>
                <w:szCs w:val="21"/>
                <w:highlight w:val="none"/>
              </w:rPr>
            </w:pPr>
          </w:p>
        </w:tc>
        <w:tc>
          <w:tcPr>
            <w:tcW w:w="3051" w:type="dxa"/>
            <w:vMerge w:val="continue"/>
            <w:vAlign w:val="center"/>
          </w:tcPr>
          <w:p w14:paraId="5BDAEE04">
            <w:pPr>
              <w:pStyle w:val="102"/>
              <w:spacing w:before="156"/>
              <w:ind w:left="0" w:leftChars="0" w:firstLine="0" w:firstLineChars="0"/>
              <w:jc w:val="both"/>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469" w:type="dxa"/>
            <w:vMerge w:val="continue"/>
            <w:vAlign w:val="center"/>
          </w:tcPr>
          <w:p w14:paraId="2C7C7781">
            <w:pPr>
              <w:pStyle w:val="102"/>
              <w:spacing w:before="156"/>
              <w:ind w:left="0" w:leftChars="0" w:firstLine="0" w:firstLineChars="0"/>
              <w:jc w:val="both"/>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896" w:type="dxa"/>
            <w:vAlign w:val="center"/>
          </w:tcPr>
          <w:p w14:paraId="7053DE35">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 xml:space="preserve">0.5-1.5m </w:t>
            </w: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面状</w:t>
            </w:r>
            <w:r>
              <w:rPr>
                <w:rFonts w:hint="eastAsia" w:ascii="Times New Roman" w:hAnsi="Times New Roman" w:cs="Times New Roman" w:eastAsiaTheme="minorEastAsia"/>
                <w:caps w:val="0"/>
                <w:smallCaps w:val="0"/>
                <w:color w:val="auto"/>
                <w:spacing w:val="0"/>
                <w:w w:val="100"/>
                <w:kern w:val="21"/>
                <w:position w:val="0"/>
                <w:sz w:val="21"/>
                <w:szCs w:val="21"/>
                <w:highlight w:val="none"/>
              </w:rPr>
              <w:t>结构  壤土</w:t>
            </w:r>
          </w:p>
        </w:tc>
      </w:tr>
      <w:tr w14:paraId="0E1D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6DF92A85">
            <w:pPr>
              <w:pStyle w:val="102"/>
              <w:spacing w:before="156"/>
              <w:ind w:left="0" w:leftChars="0" w:firstLine="0" w:firstLineChars="0"/>
              <w:jc w:val="both"/>
              <w:rPr>
                <w:rFonts w:ascii="Times New Roman" w:hAnsi="Times New Roman" w:cs="Times New Roman" w:eastAsiaTheme="minorEastAsia"/>
                <w:caps w:val="0"/>
                <w:smallCaps w:val="0"/>
                <w:color w:val="auto"/>
                <w:spacing w:val="0"/>
                <w:w w:val="100"/>
                <w:kern w:val="24"/>
                <w:position w:val="0"/>
                <w:sz w:val="21"/>
                <w:szCs w:val="21"/>
                <w:highlight w:val="none"/>
              </w:rPr>
            </w:pPr>
          </w:p>
        </w:tc>
        <w:tc>
          <w:tcPr>
            <w:tcW w:w="3051" w:type="dxa"/>
            <w:vMerge w:val="continue"/>
            <w:vAlign w:val="center"/>
          </w:tcPr>
          <w:p w14:paraId="789B29CA">
            <w:pPr>
              <w:pStyle w:val="102"/>
              <w:spacing w:before="156"/>
              <w:ind w:left="0" w:leftChars="0" w:firstLine="0" w:firstLineChars="0"/>
              <w:jc w:val="both"/>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469" w:type="dxa"/>
            <w:vMerge w:val="continue"/>
            <w:vAlign w:val="center"/>
          </w:tcPr>
          <w:p w14:paraId="713312CC">
            <w:pPr>
              <w:pStyle w:val="102"/>
              <w:spacing w:before="156"/>
              <w:ind w:left="0" w:leftChars="0" w:firstLine="0" w:firstLineChars="0"/>
              <w:jc w:val="both"/>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896" w:type="dxa"/>
            <w:vAlign w:val="center"/>
          </w:tcPr>
          <w:p w14:paraId="2FCBF8BF">
            <w:pPr>
              <w:adjustRightInd w:val="0"/>
              <w:snapToGrid w:val="0"/>
              <w:spacing w:line="360" w:lineRule="exact"/>
              <w:jc w:val="center"/>
              <w:rPr>
                <w:rFonts w:hint="eastAsia" w:ascii="Times New Roman" w:hAnsi="Times New Roman" w:cs="Times New Roman" w:eastAsiaTheme="minorEastAsia"/>
                <w:caps w:val="0"/>
                <w:smallCaps w:val="0"/>
                <w:color w:val="auto"/>
                <w:spacing w:val="0"/>
                <w:w w:val="100"/>
                <w:kern w:val="21"/>
                <w:position w:val="0"/>
                <w:sz w:val="21"/>
                <w:szCs w:val="21"/>
                <w:highlight w:val="none"/>
              </w:rPr>
            </w:pPr>
            <w:r>
              <w:rPr>
                <w:rFonts w:hint="eastAsia" w:ascii="Times New Roman" w:hAnsi="Times New Roman" w:cs="Times New Roman" w:eastAsiaTheme="minorEastAsia"/>
                <w:caps w:val="0"/>
                <w:smallCaps w:val="0"/>
                <w:color w:val="auto"/>
                <w:spacing w:val="0"/>
                <w:w w:val="100"/>
                <w:kern w:val="21"/>
                <w:position w:val="0"/>
                <w:sz w:val="21"/>
                <w:szCs w:val="21"/>
                <w:highlight w:val="none"/>
              </w:rPr>
              <w:t>1.5-3m</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 xml:space="preserve">   </w:t>
            </w:r>
            <w:r>
              <w:rPr>
                <w:rFonts w:hint="eastAsia" w:ascii="Times New Roman" w:hAnsi="Times New Roman" w:cs="Times New Roman" w:eastAsiaTheme="minorEastAsia"/>
                <w:caps w:val="0"/>
                <w:smallCaps w:val="0"/>
                <w:color w:val="auto"/>
                <w:spacing w:val="0"/>
                <w:w w:val="100"/>
                <w:kern w:val="21"/>
                <w:position w:val="0"/>
                <w:sz w:val="21"/>
                <w:szCs w:val="21"/>
                <w:highlight w:val="none"/>
                <w:lang w:eastAsia="zh-CN"/>
              </w:rPr>
              <w:t>面状</w:t>
            </w:r>
            <w:r>
              <w:rPr>
                <w:rFonts w:hint="eastAsia" w:ascii="Times New Roman" w:hAnsi="Times New Roman" w:cs="Times New Roman" w:eastAsiaTheme="minorEastAsia"/>
                <w:caps w:val="0"/>
                <w:smallCaps w:val="0"/>
                <w:color w:val="auto"/>
                <w:spacing w:val="0"/>
                <w:w w:val="100"/>
                <w:kern w:val="21"/>
                <w:position w:val="0"/>
                <w:sz w:val="21"/>
                <w:szCs w:val="21"/>
                <w:highlight w:val="none"/>
              </w:rPr>
              <w:t xml:space="preserve">结构 </w:t>
            </w:r>
            <w:r>
              <w:rPr>
                <w:rFonts w:hint="eastAsia" w:ascii="Times New Roman" w:hAnsi="Times New Roman" w:cs="Times New Roman" w:eastAsiaTheme="minorEastAsia"/>
                <w:caps w:val="0"/>
                <w:smallCaps w:val="0"/>
                <w:color w:val="auto"/>
                <w:spacing w:val="0"/>
                <w:w w:val="100"/>
                <w:kern w:val="21"/>
                <w:position w:val="0"/>
                <w:sz w:val="21"/>
                <w:szCs w:val="21"/>
                <w:highlight w:val="none"/>
                <w:lang w:val="en-US" w:eastAsia="zh-CN"/>
              </w:rPr>
              <w:t xml:space="preserve"> </w:t>
            </w:r>
            <w:r>
              <w:rPr>
                <w:rFonts w:hint="eastAsia" w:ascii="Times New Roman" w:hAnsi="Times New Roman" w:cs="Times New Roman" w:eastAsiaTheme="minorEastAsia"/>
                <w:caps w:val="0"/>
                <w:smallCaps w:val="0"/>
                <w:color w:val="auto"/>
                <w:spacing w:val="0"/>
                <w:w w:val="100"/>
                <w:kern w:val="21"/>
                <w:position w:val="0"/>
                <w:sz w:val="21"/>
                <w:szCs w:val="21"/>
                <w:highlight w:val="none"/>
              </w:rPr>
              <w:t>壤土</w:t>
            </w:r>
          </w:p>
        </w:tc>
      </w:tr>
      <w:tr w14:paraId="7DCC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076A4763">
            <w:pPr>
              <w:wordWrap w:val="0"/>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3051" w:type="dxa"/>
            <w:vMerge w:val="continue"/>
            <w:vAlign w:val="center"/>
          </w:tcPr>
          <w:p w14:paraId="5F0D999A">
            <w:pPr>
              <w:wordWrap w:val="0"/>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469" w:type="dxa"/>
            <w:vMerge w:val="continue"/>
            <w:vAlign w:val="center"/>
          </w:tcPr>
          <w:p w14:paraId="4793181F">
            <w:pPr>
              <w:wordWrap w:val="0"/>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2896" w:type="dxa"/>
            <w:vAlign w:val="center"/>
          </w:tcPr>
          <w:p w14:paraId="20E7B242">
            <w:pPr>
              <w:wordWrap w:val="0"/>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eastAsia="宋体"/>
                <w:caps w:val="0"/>
                <w:smallCaps w:val="0"/>
                <w:color w:val="auto"/>
                <w:spacing w:val="0"/>
                <w:w w:val="100"/>
                <w:position w:val="0"/>
                <w:szCs w:val="21"/>
                <w:highlight w:val="none"/>
                <w:lang w:eastAsia="zh-CN"/>
              </w:rPr>
              <w:drawing>
                <wp:inline distT="0" distB="0" distL="114300" distR="114300">
                  <wp:extent cx="1647825" cy="2866390"/>
                  <wp:effectExtent l="0" t="0" r="9525" b="10160"/>
                  <wp:docPr id="64" name="图片 17" descr="cb75a22bcfa3bc3c72afc140159a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7" descr="cb75a22bcfa3bc3c72afc140159a9879"/>
                          <pic:cNvPicPr>
                            <a:picLocks noChangeAspect="1"/>
                          </pic:cNvPicPr>
                        </pic:nvPicPr>
                        <pic:blipFill>
                          <a:blip r:embed="rId41"/>
                          <a:stretch>
                            <a:fillRect/>
                          </a:stretch>
                        </pic:blipFill>
                        <pic:spPr>
                          <a:xfrm>
                            <a:off x="0" y="0"/>
                            <a:ext cx="1647825" cy="2866390"/>
                          </a:xfrm>
                          <a:prstGeom prst="rect">
                            <a:avLst/>
                          </a:prstGeom>
                          <a:noFill/>
                          <a:ln>
                            <a:noFill/>
                          </a:ln>
                        </pic:spPr>
                      </pic:pic>
                    </a:graphicData>
                  </a:graphic>
                </wp:inline>
              </w:drawing>
            </w:r>
          </w:p>
        </w:tc>
      </w:tr>
    </w:tbl>
    <w:p w14:paraId="28333EA1">
      <w:pPr>
        <w:widowControl w:val="0"/>
        <w:spacing w:line="440" w:lineRule="exact"/>
        <w:outlineLvl w:val="3"/>
        <w:rPr>
          <w:rFonts w:ascii="Times New Roman" w:hAnsi="Times New Roman" w:cs="Times New Roman"/>
          <w:b/>
          <w:caps w:val="0"/>
          <w:smallCaps w:val="0"/>
          <w:color w:val="auto"/>
          <w:spacing w:val="0"/>
          <w:w w:val="100"/>
          <w:position w:val="0"/>
          <w:highlight w:val="none"/>
        </w:rPr>
      </w:pPr>
      <w:r>
        <w:rPr>
          <w:rFonts w:ascii="Times New Roman" w:hAnsi="Times New Roman" w:cs="Times New Roman"/>
          <w:b/>
          <w:caps w:val="0"/>
          <w:smallCaps w:val="0"/>
          <w:color w:val="auto"/>
          <w:spacing w:val="0"/>
          <w:w w:val="100"/>
          <w:position w:val="0"/>
          <w:highlight w:val="none"/>
        </w:rPr>
        <w:t>4.3.5.2土壤环境质量现状监测</w:t>
      </w:r>
    </w:p>
    <w:p w14:paraId="44D8659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（1）采样点布设</w:t>
      </w:r>
    </w:p>
    <w:p w14:paraId="75A78BD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本项目土壤环境影响类型属于污染影响型项目，评价等级为</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二</w:t>
      </w:r>
      <w:r>
        <w:rPr>
          <w:rFonts w:ascii="Times New Roman" w:hAnsi="Times New Roman" w:cs="Times New Roman" w:eastAsiaTheme="minorEastAsia"/>
          <w:caps w:val="0"/>
          <w:smallCaps w:val="0"/>
          <w:color w:val="auto"/>
          <w:spacing w:val="0"/>
          <w:w w:val="100"/>
          <w:kern w:val="21"/>
          <w:position w:val="0"/>
          <w:highlight w:val="none"/>
        </w:rPr>
        <w:t>级，占地范围内</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应布设3个柱状样监测点，1</w:t>
      </w:r>
      <w:r>
        <w:rPr>
          <w:rFonts w:ascii="Times New Roman" w:hAnsi="Times New Roman" w:cs="Times New Roman" w:eastAsiaTheme="minorEastAsia"/>
          <w:caps w:val="0"/>
          <w:smallCaps w:val="0"/>
          <w:color w:val="auto"/>
          <w:spacing w:val="0"/>
          <w:w w:val="100"/>
          <w:kern w:val="21"/>
          <w:position w:val="0"/>
          <w:highlight w:val="none"/>
        </w:rPr>
        <w:t>个表层样监测点，</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占地范围外布设2个表层样点。</w:t>
      </w:r>
      <w:r>
        <w:rPr>
          <w:rFonts w:ascii="Times New Roman" w:hAnsi="Times New Roman" w:cs="Times New Roman" w:eastAsiaTheme="minorEastAsia"/>
          <w:caps w:val="0"/>
          <w:smallCaps w:val="0"/>
          <w:color w:val="auto"/>
          <w:spacing w:val="0"/>
          <w:w w:val="100"/>
          <w:kern w:val="21"/>
          <w:position w:val="0"/>
          <w:highlight w:val="none"/>
        </w:rPr>
        <w:t>本项目位于滚动开发区块内，</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管线分布略分散，</w:t>
      </w:r>
      <w:r>
        <w:rPr>
          <w:rFonts w:ascii="Times New Roman" w:hAnsi="Times New Roman" w:cs="Times New Roman" w:eastAsiaTheme="minorEastAsia"/>
          <w:caps w:val="0"/>
          <w:smallCaps w:val="0"/>
          <w:color w:val="auto"/>
          <w:spacing w:val="0"/>
          <w:w w:val="100"/>
          <w:kern w:val="21"/>
          <w:position w:val="0"/>
          <w:highlight w:val="none"/>
        </w:rPr>
        <w:t>在可能造成土壤环境污染的现有井场、场站、管线处共布设共布设</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3</w:t>
      </w:r>
      <w:r>
        <w:rPr>
          <w:rFonts w:ascii="Times New Roman" w:hAnsi="Times New Roman" w:cs="Times New Roman" w:eastAsiaTheme="minorEastAsia"/>
          <w:caps w:val="0"/>
          <w:smallCaps w:val="0"/>
          <w:color w:val="auto"/>
          <w:spacing w:val="0"/>
          <w:w w:val="100"/>
          <w:kern w:val="21"/>
          <w:position w:val="0"/>
          <w:highlight w:val="none"/>
        </w:rPr>
        <w:t>个表层样监测点，5个</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表层样</w:t>
      </w:r>
      <w:r>
        <w:rPr>
          <w:rFonts w:ascii="Times New Roman" w:hAnsi="Times New Roman" w:cs="Times New Roman" w:eastAsiaTheme="minorEastAsia"/>
          <w:caps w:val="0"/>
          <w:smallCaps w:val="0"/>
          <w:color w:val="auto"/>
          <w:spacing w:val="0"/>
          <w:w w:val="100"/>
          <w:kern w:val="21"/>
          <w:position w:val="0"/>
          <w:highlight w:val="none"/>
        </w:rPr>
        <w:t>监测点，占地范围外共布设</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5</w:t>
      </w:r>
      <w:r>
        <w:rPr>
          <w:rFonts w:ascii="Times New Roman" w:hAnsi="Times New Roman" w:cs="Times New Roman" w:eastAsiaTheme="minorEastAsia"/>
          <w:caps w:val="0"/>
          <w:smallCaps w:val="0"/>
          <w:color w:val="auto"/>
          <w:spacing w:val="0"/>
          <w:w w:val="100"/>
          <w:kern w:val="21"/>
          <w:position w:val="0"/>
          <w:highlight w:val="none"/>
        </w:rPr>
        <w:t>个表层样点，土壤现状监测点位详见表</w:t>
      </w:r>
      <w:r>
        <w:rPr>
          <w:rFonts w:ascii="Times New Roman" w:hAnsi="Times New Roman" w:cs="Times New Roman" w:eastAsiaTheme="minorEastAsia"/>
          <w:caps w:val="0"/>
          <w:smallCaps w:val="0"/>
          <w:color w:val="auto"/>
          <w:spacing w:val="0"/>
          <w:w w:val="100"/>
          <w:kern w:val="2"/>
          <w:position w:val="0"/>
          <w:szCs w:val="20"/>
          <w:highlight w:val="none"/>
        </w:rPr>
        <w:t>4.3-23</w:t>
      </w:r>
      <w:r>
        <w:rPr>
          <w:rFonts w:ascii="Times New Roman" w:hAnsi="Times New Roman" w:cs="Times New Roman" w:eastAsiaTheme="minorEastAsia"/>
          <w:caps w:val="0"/>
          <w:smallCaps w:val="0"/>
          <w:color w:val="auto"/>
          <w:spacing w:val="0"/>
          <w:w w:val="100"/>
          <w:kern w:val="21"/>
          <w:position w:val="0"/>
          <w:highlight w:val="none"/>
        </w:rPr>
        <w:t>，监测点位置见附图16。</w:t>
      </w:r>
    </w:p>
    <w:p w14:paraId="0AA2F501">
      <w:pPr>
        <w:widowControl w:val="0"/>
        <w:spacing w:line="440" w:lineRule="exact"/>
        <w:ind w:firstLine="482"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b/>
          <w:caps w:val="0"/>
          <w:smallCaps w:val="0"/>
          <w:color w:val="auto"/>
          <w:spacing w:val="0"/>
          <w:w w:val="100"/>
          <w:kern w:val="21"/>
          <w:position w:val="0"/>
          <w:highlight w:val="none"/>
          <w:lang w:bidi="zh-CN"/>
        </w:rPr>
        <w:t>表</w:t>
      </w:r>
      <w:r>
        <w:rPr>
          <w:rFonts w:ascii="Times New Roman" w:hAnsi="Times New Roman" w:cs="Times New Roman" w:eastAsiaTheme="minorEastAsia"/>
          <w:b/>
          <w:caps w:val="0"/>
          <w:smallCaps w:val="0"/>
          <w:color w:val="auto"/>
          <w:spacing w:val="0"/>
          <w:w w:val="100"/>
          <w:kern w:val="2"/>
          <w:position w:val="0"/>
          <w:szCs w:val="20"/>
          <w:highlight w:val="none"/>
        </w:rPr>
        <w:t>4.3-23</w:t>
      </w:r>
      <w:r>
        <w:rPr>
          <w:rFonts w:ascii="Times New Roman" w:hAnsi="Times New Roman" w:cs="Times New Roman" w:eastAsiaTheme="minorEastAsia"/>
          <w:b/>
          <w:caps w:val="0"/>
          <w:smallCaps w:val="0"/>
          <w:color w:val="auto"/>
          <w:spacing w:val="0"/>
          <w:w w:val="100"/>
          <w:kern w:val="21"/>
          <w:position w:val="0"/>
          <w:highlight w:val="none"/>
          <w:lang w:bidi="zh-CN"/>
        </w:rPr>
        <w:t xml:space="preserve">    土壤现状监测点位</w:t>
      </w:r>
    </w:p>
    <w:tbl>
      <w:tblPr>
        <w:tblStyle w:val="80"/>
        <w:tblW w:w="460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5"/>
        <w:gridCol w:w="1993"/>
        <w:gridCol w:w="1310"/>
        <w:gridCol w:w="1742"/>
        <w:gridCol w:w="2891"/>
      </w:tblGrid>
      <w:tr w14:paraId="686E9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64118A99">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编号</w:t>
            </w:r>
          </w:p>
        </w:tc>
        <w:tc>
          <w:tcPr>
            <w:tcW w:w="1165" w:type="pct"/>
            <w:vAlign w:val="center"/>
          </w:tcPr>
          <w:p w14:paraId="538E5AC0">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监测点名称</w:t>
            </w:r>
          </w:p>
        </w:tc>
        <w:tc>
          <w:tcPr>
            <w:tcW w:w="765" w:type="pct"/>
            <w:vAlign w:val="center"/>
          </w:tcPr>
          <w:p w14:paraId="455153D3">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坐标</w:t>
            </w:r>
          </w:p>
        </w:tc>
        <w:tc>
          <w:tcPr>
            <w:tcW w:w="1018" w:type="pct"/>
            <w:vAlign w:val="center"/>
          </w:tcPr>
          <w:p w14:paraId="12D7C3B4">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执行标准</w:t>
            </w:r>
          </w:p>
        </w:tc>
        <w:tc>
          <w:tcPr>
            <w:tcW w:w="1690" w:type="pct"/>
            <w:vAlign w:val="center"/>
          </w:tcPr>
          <w:p w14:paraId="521C1207">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备注</w:t>
            </w:r>
          </w:p>
        </w:tc>
      </w:tr>
      <w:tr w14:paraId="2E662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5" w:hRule="atLeast"/>
          <w:jc w:val="center"/>
        </w:trPr>
        <w:tc>
          <w:tcPr>
            <w:tcW w:w="359" w:type="pct"/>
            <w:vAlign w:val="center"/>
          </w:tcPr>
          <w:p w14:paraId="217805FB">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w:t>
            </w:r>
          </w:p>
        </w:tc>
        <w:tc>
          <w:tcPr>
            <w:tcW w:w="1165" w:type="pct"/>
            <w:vAlign w:val="center"/>
          </w:tcPr>
          <w:p w14:paraId="2CE4E9A1">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t>拟建卫2-25-28井场至卫2-25-斜29井场集油管线处</w:t>
            </w:r>
          </w:p>
        </w:tc>
        <w:tc>
          <w:tcPr>
            <w:tcW w:w="765" w:type="pct"/>
            <w:vAlign w:val="center"/>
          </w:tcPr>
          <w:p w14:paraId="11563B09">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124.97491</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46.16333</w:t>
            </w:r>
          </w:p>
        </w:tc>
        <w:tc>
          <w:tcPr>
            <w:tcW w:w="1018" w:type="pct"/>
            <w:vMerge w:val="restart"/>
            <w:vAlign w:val="center"/>
          </w:tcPr>
          <w:p w14:paraId="0E334E31">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《土壤环境质量 建设用地土壤污染风险管控标准（试行）》（GB36600-2018）中筛选值</w:t>
            </w:r>
          </w:p>
        </w:tc>
        <w:tc>
          <w:tcPr>
            <w:tcW w:w="1690" w:type="pct"/>
            <w:vAlign w:val="center"/>
          </w:tcPr>
          <w:p w14:paraId="70159B62">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采取柱状样，在0~0.5m、0.5~1.5m、1.5~3m分别取样</w:t>
            </w:r>
          </w:p>
        </w:tc>
      </w:tr>
      <w:tr w14:paraId="3BEB0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0ADC50FE">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S2</w:t>
            </w:r>
          </w:p>
        </w:tc>
        <w:tc>
          <w:tcPr>
            <w:tcW w:w="1165" w:type="pct"/>
            <w:vAlign w:val="center"/>
          </w:tcPr>
          <w:p w14:paraId="226722AB">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拟建</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1-5#集油阀组间至卫1-17-14井场集油</w:t>
            </w:r>
            <w:r>
              <w:rPr>
                <w:rFonts w:hint="eastAsia" w:ascii="Times New Roman" w:hAnsi="Times New Roman" w:cs="Times New Roman" w:eastAsiaTheme="minorEastAsia"/>
                <w:caps w:val="0"/>
                <w:smallCaps w:val="0"/>
                <w:color w:val="auto"/>
                <w:spacing w:val="0"/>
                <w:w w:val="100"/>
                <w:position w:val="0"/>
                <w:sz w:val="21"/>
                <w:szCs w:val="21"/>
                <w:highlight w:val="none"/>
              </w:rPr>
              <w:t>管线</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处</w:t>
            </w:r>
          </w:p>
        </w:tc>
        <w:tc>
          <w:tcPr>
            <w:tcW w:w="765" w:type="pct"/>
            <w:vAlign w:val="center"/>
          </w:tcPr>
          <w:p w14:paraId="61304800">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125.03901</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46.14731</w:t>
            </w:r>
          </w:p>
        </w:tc>
        <w:tc>
          <w:tcPr>
            <w:tcW w:w="1018" w:type="pct"/>
            <w:vMerge w:val="continue"/>
            <w:vAlign w:val="center"/>
          </w:tcPr>
          <w:p w14:paraId="106DD52B">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11BB7D08">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采取柱状样，在0~0.5m、0.5~1.5m、1.5~3m分别取样</w:t>
            </w:r>
          </w:p>
        </w:tc>
      </w:tr>
      <w:tr w14:paraId="58D5C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7AFCB8EC">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S3</w:t>
            </w:r>
          </w:p>
        </w:tc>
        <w:tc>
          <w:tcPr>
            <w:tcW w:w="1165" w:type="pct"/>
            <w:vAlign w:val="center"/>
          </w:tcPr>
          <w:p w14:paraId="74DFC0E0">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卫2-20-35</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井场至</w:t>
            </w:r>
            <w:r>
              <w:rPr>
                <w:rFonts w:hint="eastAsia" w:ascii="Times New Roman" w:hAnsi="Times New Roman" w:cs="Times New Roman" w:eastAsiaTheme="minorEastAsia"/>
                <w:caps w:val="0"/>
                <w:smallCaps w:val="0"/>
                <w:color w:val="auto"/>
                <w:spacing w:val="0"/>
                <w:w w:val="100"/>
                <w:position w:val="0"/>
                <w:sz w:val="21"/>
                <w:szCs w:val="21"/>
                <w:highlight w:val="none"/>
              </w:rPr>
              <w:t>卫2-18-34</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井场集油</w:t>
            </w:r>
            <w:r>
              <w:rPr>
                <w:rFonts w:hint="eastAsia" w:ascii="Times New Roman" w:hAnsi="Times New Roman" w:cs="Times New Roman" w:eastAsiaTheme="minorEastAsia"/>
                <w:caps w:val="0"/>
                <w:smallCaps w:val="0"/>
                <w:color w:val="auto"/>
                <w:spacing w:val="0"/>
                <w:w w:val="100"/>
                <w:position w:val="0"/>
                <w:sz w:val="21"/>
                <w:szCs w:val="21"/>
                <w:highlight w:val="none"/>
              </w:rPr>
              <w:t>管线</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处</w:t>
            </w:r>
          </w:p>
        </w:tc>
        <w:tc>
          <w:tcPr>
            <w:tcW w:w="765" w:type="pct"/>
            <w:vAlign w:val="center"/>
          </w:tcPr>
          <w:p w14:paraId="08208A34">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124.99443</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46.14935</w:t>
            </w:r>
          </w:p>
        </w:tc>
        <w:tc>
          <w:tcPr>
            <w:tcW w:w="1018" w:type="pct"/>
            <w:vMerge w:val="continue"/>
            <w:vAlign w:val="center"/>
          </w:tcPr>
          <w:p w14:paraId="6AF99590">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323D9634">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采取柱状样，在0~0.5m、0.5~1.5m、1.5~3m分别取样</w:t>
            </w:r>
          </w:p>
        </w:tc>
      </w:tr>
      <w:tr w14:paraId="7F08E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0908C41E">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S4</w:t>
            </w:r>
          </w:p>
        </w:tc>
        <w:tc>
          <w:tcPr>
            <w:tcW w:w="1165" w:type="pct"/>
            <w:vAlign w:val="center"/>
          </w:tcPr>
          <w:p w14:paraId="6056DE42">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已建卫2-25-24井场</w:t>
            </w:r>
          </w:p>
        </w:tc>
        <w:tc>
          <w:tcPr>
            <w:tcW w:w="765" w:type="pct"/>
            <w:vAlign w:val="center"/>
          </w:tcPr>
          <w:p w14:paraId="44E3AD0B">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124.96259</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46.16375</w:t>
            </w:r>
          </w:p>
        </w:tc>
        <w:tc>
          <w:tcPr>
            <w:tcW w:w="1018" w:type="pct"/>
            <w:vMerge w:val="continue"/>
            <w:vAlign w:val="center"/>
          </w:tcPr>
          <w:p w14:paraId="6F6B995F">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5325C227">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6BDAE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73417238">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S5</w:t>
            </w:r>
          </w:p>
        </w:tc>
        <w:tc>
          <w:tcPr>
            <w:tcW w:w="1165" w:type="pct"/>
            <w:vAlign w:val="center"/>
          </w:tcPr>
          <w:p w14:paraId="77F3A78E">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已建1-3#计量间未硬化地面</w:t>
            </w:r>
          </w:p>
        </w:tc>
        <w:tc>
          <w:tcPr>
            <w:tcW w:w="765" w:type="pct"/>
            <w:vAlign w:val="center"/>
          </w:tcPr>
          <w:p w14:paraId="52594245">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125.01120</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46.15784</w:t>
            </w:r>
          </w:p>
        </w:tc>
        <w:tc>
          <w:tcPr>
            <w:tcW w:w="1018" w:type="pct"/>
            <w:vMerge w:val="continue"/>
            <w:vAlign w:val="center"/>
          </w:tcPr>
          <w:p w14:paraId="63CF0ED6">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67973E48">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10DAB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689D46A6">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S6</w:t>
            </w:r>
          </w:p>
        </w:tc>
        <w:tc>
          <w:tcPr>
            <w:tcW w:w="1165" w:type="pct"/>
            <w:vAlign w:val="center"/>
          </w:tcPr>
          <w:p w14:paraId="08E114D6">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已建卫2-21-35井场内</w:t>
            </w:r>
          </w:p>
        </w:tc>
        <w:tc>
          <w:tcPr>
            <w:tcW w:w="765" w:type="pct"/>
            <w:vAlign w:val="center"/>
          </w:tcPr>
          <w:p w14:paraId="06C792FF">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124.99515</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46.15359</w:t>
            </w:r>
          </w:p>
        </w:tc>
        <w:tc>
          <w:tcPr>
            <w:tcW w:w="1018" w:type="pct"/>
            <w:vMerge w:val="continue"/>
            <w:vAlign w:val="center"/>
          </w:tcPr>
          <w:p w14:paraId="27F2F091">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4B6CD291">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66B1B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02BA28C6">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S7</w:t>
            </w:r>
          </w:p>
        </w:tc>
        <w:tc>
          <w:tcPr>
            <w:tcW w:w="1165" w:type="pct"/>
            <w:vAlign w:val="center"/>
          </w:tcPr>
          <w:p w14:paraId="6D7A537E">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已建</w:t>
            </w:r>
            <w:r>
              <w:rPr>
                <w:rFonts w:hint="eastAsia" w:ascii="Times New Roman" w:hAnsi="Times New Roman" w:cs="Times New Roman" w:eastAsiaTheme="minorEastAsia"/>
                <w:caps w:val="0"/>
                <w:smallCaps w:val="0"/>
                <w:color w:val="auto"/>
                <w:spacing w:val="0"/>
                <w:w w:val="100"/>
                <w:position w:val="0"/>
                <w:sz w:val="21"/>
                <w:szCs w:val="21"/>
                <w:highlight w:val="none"/>
              </w:rPr>
              <w:t>1-5#集油阀组间未硬化地面</w:t>
            </w:r>
          </w:p>
        </w:tc>
        <w:tc>
          <w:tcPr>
            <w:tcW w:w="765" w:type="pct"/>
            <w:vAlign w:val="center"/>
          </w:tcPr>
          <w:p w14:paraId="3ADFF233">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125.03662</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46.14868</w:t>
            </w:r>
          </w:p>
        </w:tc>
        <w:tc>
          <w:tcPr>
            <w:tcW w:w="1018" w:type="pct"/>
            <w:vMerge w:val="continue"/>
            <w:vAlign w:val="center"/>
          </w:tcPr>
          <w:p w14:paraId="60D7DBE3">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543F95F3">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12320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55CB877F">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S8</w:t>
            </w:r>
          </w:p>
        </w:tc>
        <w:tc>
          <w:tcPr>
            <w:tcW w:w="1165" w:type="pct"/>
            <w:vAlign w:val="center"/>
          </w:tcPr>
          <w:p w14:paraId="4714AFFF">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已建卫1-17-14井场</w:t>
            </w:r>
          </w:p>
        </w:tc>
        <w:tc>
          <w:tcPr>
            <w:tcW w:w="765" w:type="pct"/>
            <w:vAlign w:val="center"/>
          </w:tcPr>
          <w:p w14:paraId="1DCB2B42">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125.04499</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46.14383</w:t>
            </w:r>
          </w:p>
        </w:tc>
        <w:tc>
          <w:tcPr>
            <w:tcW w:w="1018" w:type="pct"/>
            <w:vMerge w:val="continue"/>
            <w:vAlign w:val="center"/>
          </w:tcPr>
          <w:p w14:paraId="6FEE50F7">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70DFDAD9">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78791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524DA508">
            <w:pPr>
              <w:adjustRightInd w:val="0"/>
              <w:snapToGrid w:val="0"/>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S9</w:t>
            </w:r>
          </w:p>
        </w:tc>
        <w:tc>
          <w:tcPr>
            <w:tcW w:w="1165" w:type="pct"/>
            <w:shd w:val="clear" w:color="auto" w:fill="auto"/>
            <w:vAlign w:val="center"/>
          </w:tcPr>
          <w:p w14:paraId="1F3605EC">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拟建1-5#集油阀组间至卫1-17-14</w:t>
            </w:r>
            <w:r>
              <w:rPr>
                <w:rFonts w:hint="eastAsia" w:ascii="Times New Roman" w:hAnsi="Times New Roman" w:cs="Times New Roman" w:eastAsiaTheme="minorEastAsia"/>
                <w:caps w:val="0"/>
                <w:smallCaps w:val="0"/>
                <w:color w:val="auto"/>
                <w:spacing w:val="0"/>
                <w:w w:val="100"/>
                <w:position w:val="0"/>
                <w:sz w:val="21"/>
                <w:szCs w:val="21"/>
                <w:highlight w:val="none"/>
              </w:rPr>
              <w:t>集油管线区域</w:t>
            </w:r>
          </w:p>
        </w:tc>
        <w:tc>
          <w:tcPr>
            <w:tcW w:w="765" w:type="pct"/>
            <w:vAlign w:val="center"/>
          </w:tcPr>
          <w:p w14:paraId="36ED67AF">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125.03901</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46.14731</w:t>
            </w:r>
          </w:p>
        </w:tc>
        <w:tc>
          <w:tcPr>
            <w:tcW w:w="1018" w:type="pct"/>
            <w:vMerge w:val="restart"/>
            <w:vAlign w:val="center"/>
          </w:tcPr>
          <w:p w14:paraId="3FBFFBFF">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《土壤环境质量 农用地土壤污染风险管控标准（试行）》（GB 15618-2018）中的筛选值</w:t>
            </w:r>
          </w:p>
        </w:tc>
        <w:tc>
          <w:tcPr>
            <w:tcW w:w="1690" w:type="pct"/>
            <w:vAlign w:val="center"/>
          </w:tcPr>
          <w:p w14:paraId="0D161B2D">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0F4B7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4F6FBE0E">
            <w:pPr>
              <w:adjustRightInd w:val="0"/>
              <w:snapToGrid w:val="0"/>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S10</w:t>
            </w:r>
          </w:p>
        </w:tc>
        <w:tc>
          <w:tcPr>
            <w:tcW w:w="1165" w:type="pct"/>
            <w:shd w:val="clear" w:color="auto" w:fill="auto"/>
            <w:vAlign w:val="center"/>
          </w:tcPr>
          <w:p w14:paraId="56F54062">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拟建</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2-5#阀组间</w:t>
            </w:r>
            <w:r>
              <w:rPr>
                <w:rFonts w:hint="eastAsia" w:ascii="Times New Roman" w:hAnsi="Times New Roman" w:cs="Times New Roman" w:eastAsiaTheme="minorEastAsia"/>
                <w:caps w:val="0"/>
                <w:smallCaps w:val="0"/>
                <w:color w:val="auto"/>
                <w:spacing w:val="0"/>
                <w:w w:val="100"/>
                <w:position w:val="0"/>
                <w:sz w:val="21"/>
                <w:szCs w:val="21"/>
                <w:highlight w:val="none"/>
              </w:rPr>
              <w:t>至卫2-25-24</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井场</w:t>
            </w:r>
            <w:r>
              <w:rPr>
                <w:rFonts w:hint="eastAsia" w:ascii="Times New Roman" w:hAnsi="Times New Roman" w:cs="Times New Roman" w:eastAsiaTheme="minorEastAsia"/>
                <w:caps w:val="0"/>
                <w:smallCaps w:val="0"/>
                <w:color w:val="auto"/>
                <w:spacing w:val="0"/>
                <w:w w:val="100"/>
                <w:position w:val="0"/>
                <w:sz w:val="21"/>
                <w:szCs w:val="21"/>
                <w:highlight w:val="none"/>
              </w:rPr>
              <w:t>集油管线区域</w:t>
            </w:r>
          </w:p>
        </w:tc>
        <w:tc>
          <w:tcPr>
            <w:tcW w:w="765" w:type="pct"/>
            <w:vAlign w:val="center"/>
          </w:tcPr>
          <w:p w14:paraId="7BC73778">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124.95915</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46.16568</w:t>
            </w:r>
          </w:p>
        </w:tc>
        <w:tc>
          <w:tcPr>
            <w:tcW w:w="1018" w:type="pct"/>
            <w:vMerge w:val="continue"/>
            <w:vAlign w:val="center"/>
          </w:tcPr>
          <w:p w14:paraId="4AACEA83">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6D814565">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54436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0A4A5A44">
            <w:pPr>
              <w:adjustRightInd w:val="0"/>
              <w:snapToGrid w:val="0"/>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S11</w:t>
            </w:r>
          </w:p>
        </w:tc>
        <w:tc>
          <w:tcPr>
            <w:tcW w:w="1165" w:type="pct"/>
            <w:shd w:val="clear" w:color="auto" w:fill="auto"/>
            <w:vAlign w:val="center"/>
          </w:tcPr>
          <w:p w14:paraId="52909842">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t>拟建卫2-25-28井场至卫2-25-斜29井场集油管线处</w:t>
            </w:r>
          </w:p>
        </w:tc>
        <w:tc>
          <w:tcPr>
            <w:tcW w:w="765" w:type="pct"/>
            <w:vAlign w:val="center"/>
          </w:tcPr>
          <w:p w14:paraId="33AA79C4">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124.97491</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46.16333</w:t>
            </w:r>
          </w:p>
        </w:tc>
        <w:tc>
          <w:tcPr>
            <w:tcW w:w="1018" w:type="pct"/>
            <w:vMerge w:val="continue"/>
            <w:vAlign w:val="center"/>
          </w:tcPr>
          <w:p w14:paraId="13C92600">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21343E12">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32288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317EF479">
            <w:pPr>
              <w:adjustRightInd w:val="0"/>
              <w:snapToGrid w:val="0"/>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S12</w:t>
            </w:r>
          </w:p>
        </w:tc>
        <w:tc>
          <w:tcPr>
            <w:tcW w:w="1165" w:type="pct"/>
            <w:shd w:val="clear" w:color="auto" w:fill="auto"/>
            <w:vAlign w:val="center"/>
          </w:tcPr>
          <w:p w14:paraId="6FE28092">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已建卫2-25-24井场</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北侧</w:t>
            </w:r>
            <w:r>
              <w:rPr>
                <w:rFonts w:hint="eastAsia" w:ascii="Times New Roman" w:hAnsi="Times New Roman" w:cs="Times New Roman" w:eastAsiaTheme="minorEastAsia"/>
                <w:caps w:val="0"/>
                <w:smallCaps w:val="0"/>
                <w:color w:val="auto"/>
                <w:spacing w:val="0"/>
                <w:w w:val="100"/>
                <w:position w:val="0"/>
                <w:sz w:val="21"/>
                <w:szCs w:val="21"/>
                <w:highlight w:val="none"/>
              </w:rPr>
              <w:t>100m处草地</w:t>
            </w:r>
          </w:p>
        </w:tc>
        <w:tc>
          <w:tcPr>
            <w:tcW w:w="765" w:type="pct"/>
            <w:vAlign w:val="center"/>
          </w:tcPr>
          <w:p w14:paraId="6646DCF1">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124.9625</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6，</w:t>
            </w:r>
            <w:r>
              <w:rPr>
                <w:rFonts w:hint="eastAsia" w:ascii="Times New Roman" w:hAnsi="Times New Roman" w:cs="Times New Roman" w:eastAsiaTheme="minorEastAsia"/>
                <w:caps w:val="0"/>
                <w:smallCaps w:val="0"/>
                <w:color w:val="auto"/>
                <w:spacing w:val="0"/>
                <w:w w:val="100"/>
                <w:position w:val="0"/>
                <w:sz w:val="21"/>
                <w:szCs w:val="21"/>
                <w:highlight w:val="none"/>
              </w:rPr>
              <w:t>46.16624</w:t>
            </w:r>
          </w:p>
        </w:tc>
        <w:tc>
          <w:tcPr>
            <w:tcW w:w="1018" w:type="pct"/>
            <w:vMerge w:val="continue"/>
            <w:vAlign w:val="center"/>
          </w:tcPr>
          <w:p w14:paraId="7F8AE20B">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3D050CA1">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r w14:paraId="748E7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7C9144FF">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S13</w:t>
            </w:r>
          </w:p>
        </w:tc>
        <w:tc>
          <w:tcPr>
            <w:tcW w:w="1165" w:type="pct"/>
            <w:shd w:val="clear" w:color="auto" w:fill="auto"/>
            <w:vAlign w:val="center"/>
          </w:tcPr>
          <w:p w14:paraId="3013ADB4">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已建卫1-17-14井场</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南侧100</w:t>
            </w:r>
            <w:r>
              <w:rPr>
                <w:rFonts w:hint="eastAsia" w:ascii="Times New Roman" w:hAnsi="Times New Roman" w:cs="Times New Roman" w:eastAsiaTheme="minorEastAsia"/>
                <w:caps w:val="0"/>
                <w:smallCaps w:val="0"/>
                <w:color w:val="auto"/>
                <w:spacing w:val="0"/>
                <w:w w:val="100"/>
                <w:position w:val="0"/>
                <w:sz w:val="21"/>
                <w:szCs w:val="21"/>
                <w:highlight w:val="none"/>
              </w:rPr>
              <w:t>m处耕地</w:t>
            </w:r>
          </w:p>
        </w:tc>
        <w:tc>
          <w:tcPr>
            <w:tcW w:w="765" w:type="pct"/>
            <w:vAlign w:val="center"/>
          </w:tcPr>
          <w:p w14:paraId="3854C269">
            <w:pPr>
              <w:adjustRightInd w:val="0"/>
              <w:snapToGrid w:val="0"/>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rPr>
              <w:t>125.04508</w:t>
            </w:r>
            <w:r>
              <w:rPr>
                <w:rFonts w:hint="eastAsia" w:ascii="Times New Roman" w:hAnsi="Times New Roman" w:cs="Times New Roman" w:eastAsiaTheme="minorEastAsia"/>
                <w:caps w:val="0"/>
                <w:smallCaps w:val="0"/>
                <w:color w:val="auto"/>
                <w:spacing w:val="0"/>
                <w:w w:val="100"/>
                <w:position w:val="0"/>
                <w:sz w:val="21"/>
                <w:szCs w:val="21"/>
                <w:highlight w:val="none"/>
                <w:lang w:eastAsia="zh-CN"/>
              </w:rPr>
              <w:t>，</w:t>
            </w:r>
            <w:r>
              <w:rPr>
                <w:rFonts w:hint="eastAsia" w:ascii="Times New Roman" w:hAnsi="Times New Roman" w:cs="Times New Roman" w:eastAsiaTheme="minorEastAsia"/>
                <w:caps w:val="0"/>
                <w:smallCaps w:val="0"/>
                <w:color w:val="auto"/>
                <w:spacing w:val="0"/>
                <w:w w:val="100"/>
                <w:position w:val="0"/>
                <w:sz w:val="21"/>
                <w:szCs w:val="21"/>
                <w:highlight w:val="none"/>
              </w:rPr>
              <w:t>46.14224</w:t>
            </w:r>
          </w:p>
        </w:tc>
        <w:tc>
          <w:tcPr>
            <w:tcW w:w="1018" w:type="pct"/>
            <w:vMerge w:val="continue"/>
            <w:vAlign w:val="center"/>
          </w:tcPr>
          <w:p w14:paraId="3D7F3355">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690" w:type="pct"/>
            <w:vAlign w:val="center"/>
          </w:tcPr>
          <w:p w14:paraId="3EFDA3B3">
            <w:pPr>
              <w:adjustRightInd w:val="0"/>
              <w:snapToGrid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采取表层样，在0~0.2m取样</w:t>
            </w:r>
          </w:p>
        </w:tc>
      </w:tr>
    </w:tbl>
    <w:p w14:paraId="3363B3F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（2）监测项目</w:t>
      </w:r>
    </w:p>
    <w:p w14:paraId="2AB6CC7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w:t>
      </w:r>
      <w:r>
        <w:rPr>
          <w:rFonts w:hint="eastAsia" w:ascii="Times New Roman" w:hAnsi="Times New Roman" w:cs="Times New Roman" w:eastAsiaTheme="minorEastAsia"/>
          <w:caps w:val="0"/>
          <w:smallCaps w:val="0"/>
          <w:color w:val="auto"/>
          <w:spacing w:val="0"/>
          <w:w w:val="100"/>
          <w:kern w:val="21"/>
          <w:position w:val="0"/>
          <w:highlight w:val="none"/>
        </w:rPr>
        <w:t>~</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8</w:t>
      </w:r>
      <w:r>
        <w:rPr>
          <w:rFonts w:ascii="Times New Roman" w:hAnsi="Times New Roman" w:cs="Times New Roman" w:eastAsiaTheme="minorEastAsia"/>
          <w:caps w:val="0"/>
          <w:smallCaps w:val="0"/>
          <w:color w:val="auto"/>
          <w:spacing w:val="0"/>
          <w:w w:val="100"/>
          <w:kern w:val="21"/>
          <w:position w:val="0"/>
          <w:highlight w:val="none"/>
        </w:rPr>
        <w:t>#点位监测项目：pH、Cd、Hg、As、Pb、Cr（六价）、Cu、Ni、苯、甲苯、乙苯、氯苯、苯乙烯、间二甲苯+对二甲苯、邻二甲苯、氯乙烯、1,2-二氯苯、1,4-二氯苯、四氯化碳、氯仿、氯甲烷、1,1-二氯乙烷、1,2-二氯乙烷、1,1-二氯乙烯、顺-1,2-二氯乙烯、反-1,2-二氯乙烯、二氯甲烷、1,2-二氯丙烷、1,1,1,2-四氯乙烷、1,1,2,2-四氯乙烷、四氯乙烯、1,1,1-三氯乙烷、1,1,2-三氯乙烷、三氯乙烯、1,2,3- 三氯丙烷、硝基苯、苯胺、2-氯酚、䓛、萘、苯并（a）蒽、苯并（b）荧蒽、苯并（k）荧蒽、苯并(a)芘、茚并（1，2，3-cd）芘、二苯并（a,h）蒽、石油烃（C</w:t>
      </w:r>
      <w:r>
        <w:rPr>
          <w:rFonts w:ascii="Times New Roman" w:hAnsi="Times New Roman" w:cs="Times New Roman" w:eastAsiaTheme="minorEastAsia"/>
          <w:caps w:val="0"/>
          <w:smallCaps w:val="0"/>
          <w:color w:val="auto"/>
          <w:spacing w:val="0"/>
          <w:w w:val="100"/>
          <w:kern w:val="21"/>
          <w:position w:val="0"/>
          <w:highlight w:val="none"/>
          <w:vertAlign w:val="subscript"/>
        </w:rPr>
        <w:t>10</w:t>
      </w:r>
      <w:r>
        <w:rPr>
          <w:rFonts w:ascii="Times New Roman" w:hAnsi="Times New Roman" w:cs="Times New Roman" w:eastAsiaTheme="minorEastAsia"/>
          <w:caps w:val="0"/>
          <w:smallCaps w:val="0"/>
          <w:color w:val="auto"/>
          <w:spacing w:val="0"/>
          <w:w w:val="100"/>
          <w:kern w:val="21"/>
          <w:position w:val="0"/>
          <w:highlight w:val="none"/>
        </w:rPr>
        <w:t>-C</w:t>
      </w:r>
      <w:r>
        <w:rPr>
          <w:rFonts w:ascii="Times New Roman" w:hAnsi="Times New Roman" w:cs="Times New Roman" w:eastAsiaTheme="minorEastAsia"/>
          <w:caps w:val="0"/>
          <w:smallCaps w:val="0"/>
          <w:color w:val="auto"/>
          <w:spacing w:val="0"/>
          <w:w w:val="100"/>
          <w:kern w:val="21"/>
          <w:position w:val="0"/>
          <w:highlight w:val="none"/>
          <w:vertAlign w:val="subscript"/>
        </w:rPr>
        <w:t>40</w:t>
      </w:r>
      <w:r>
        <w:rPr>
          <w:rFonts w:ascii="Times New Roman" w:hAnsi="Times New Roman" w:cs="Times New Roman" w:eastAsiaTheme="minorEastAsia"/>
          <w:caps w:val="0"/>
          <w:smallCaps w:val="0"/>
          <w:color w:val="auto"/>
          <w:spacing w:val="0"/>
          <w:w w:val="100"/>
          <w:kern w:val="21"/>
          <w:position w:val="0"/>
          <w:highlight w:val="none"/>
        </w:rPr>
        <w:t>）、石油类、石油烃（C</w:t>
      </w:r>
      <w:r>
        <w:rPr>
          <w:rFonts w:ascii="Times New Roman" w:hAnsi="Times New Roman" w:cs="Times New Roman" w:eastAsiaTheme="minorEastAsia"/>
          <w:caps w:val="0"/>
          <w:smallCaps w:val="0"/>
          <w:color w:val="auto"/>
          <w:spacing w:val="0"/>
          <w:w w:val="100"/>
          <w:kern w:val="21"/>
          <w:position w:val="0"/>
          <w:highlight w:val="none"/>
          <w:vertAlign w:val="subscript"/>
        </w:rPr>
        <w:t>6</w:t>
      </w:r>
      <w:r>
        <w:rPr>
          <w:rFonts w:ascii="Times New Roman" w:hAnsi="Times New Roman" w:cs="Times New Roman" w:eastAsiaTheme="minorEastAsia"/>
          <w:caps w:val="0"/>
          <w:smallCaps w:val="0"/>
          <w:color w:val="auto"/>
          <w:spacing w:val="0"/>
          <w:w w:val="100"/>
          <w:kern w:val="21"/>
          <w:position w:val="0"/>
          <w:highlight w:val="none"/>
        </w:rPr>
        <w:t>-C</w:t>
      </w:r>
      <w:r>
        <w:rPr>
          <w:rFonts w:ascii="Times New Roman" w:hAnsi="Times New Roman" w:cs="Times New Roman" w:eastAsiaTheme="minorEastAsia"/>
          <w:caps w:val="0"/>
          <w:smallCaps w:val="0"/>
          <w:color w:val="auto"/>
          <w:spacing w:val="0"/>
          <w:w w:val="100"/>
          <w:kern w:val="21"/>
          <w:position w:val="0"/>
          <w:highlight w:val="none"/>
          <w:vertAlign w:val="subscript"/>
        </w:rPr>
        <w:t>9</w:t>
      </w:r>
      <w:r>
        <w:rPr>
          <w:rFonts w:ascii="Times New Roman" w:hAnsi="Times New Roman" w:cs="Times New Roman" w:eastAsiaTheme="minorEastAsia"/>
          <w:caps w:val="0"/>
          <w:smallCaps w:val="0"/>
          <w:color w:val="auto"/>
          <w:spacing w:val="0"/>
          <w:w w:val="100"/>
          <w:kern w:val="21"/>
          <w:position w:val="0"/>
          <w:highlight w:val="none"/>
        </w:rPr>
        <w:t>），共</w:t>
      </w:r>
      <w:r>
        <w:rPr>
          <w:rFonts w:hint="eastAsia" w:ascii="Times New Roman" w:hAnsi="Times New Roman" w:cs="Times New Roman" w:eastAsiaTheme="minorEastAsia"/>
          <w:caps w:val="0"/>
          <w:smallCaps w:val="0"/>
          <w:color w:val="auto"/>
          <w:spacing w:val="0"/>
          <w:w w:val="100"/>
          <w:kern w:val="21"/>
          <w:position w:val="0"/>
          <w:highlight w:val="none"/>
        </w:rPr>
        <w:t>49</w:t>
      </w:r>
      <w:r>
        <w:rPr>
          <w:rFonts w:ascii="Times New Roman" w:hAnsi="Times New Roman" w:cs="Times New Roman" w:eastAsiaTheme="minorEastAsia"/>
          <w:caps w:val="0"/>
          <w:smallCaps w:val="0"/>
          <w:color w:val="auto"/>
          <w:spacing w:val="0"/>
          <w:w w:val="100"/>
          <w:kern w:val="21"/>
          <w:position w:val="0"/>
          <w:highlight w:val="none"/>
        </w:rPr>
        <w:t>项。</w:t>
      </w:r>
    </w:p>
    <w:p w14:paraId="4C3EE37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ascii="Times New Roman" w:hAnsi="Times New Roman" w:cs="Times New Roman" w:eastAsiaTheme="minorEastAsia"/>
          <w:caps w:val="0"/>
          <w:smallCaps w:val="0"/>
          <w:color w:val="auto"/>
          <w:spacing w:val="0"/>
          <w:w w:val="100"/>
          <w:kern w:val="21"/>
          <w:position w:val="0"/>
          <w:highlight w:val="none"/>
          <w:lang w:val="en-US" w:eastAsia="zh-CN"/>
        </w:rPr>
        <w:t>9</w:t>
      </w:r>
      <w:r>
        <w:rPr>
          <w:rFonts w:ascii="Times New Roman" w:hAnsi="Times New Roman" w:cs="Times New Roman" w:eastAsiaTheme="minorEastAsia"/>
          <w:caps w:val="0"/>
          <w:smallCaps w:val="0"/>
          <w:color w:val="auto"/>
          <w:spacing w:val="0"/>
          <w:w w:val="100"/>
          <w:kern w:val="21"/>
          <w:position w:val="0"/>
          <w:highlight w:val="none"/>
        </w:rPr>
        <w:t>#~</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13</w:t>
      </w:r>
      <w:r>
        <w:rPr>
          <w:rFonts w:ascii="Times New Roman" w:hAnsi="Times New Roman" w:cs="Times New Roman" w:eastAsiaTheme="minorEastAsia"/>
          <w:caps w:val="0"/>
          <w:smallCaps w:val="0"/>
          <w:color w:val="auto"/>
          <w:spacing w:val="0"/>
          <w:w w:val="100"/>
          <w:kern w:val="21"/>
          <w:position w:val="0"/>
          <w:highlight w:val="none"/>
        </w:rPr>
        <w:t>#点位监测项目：pH、镉、汞、砷、铅、铬、铜、镍、锌、石油烃（C</w:t>
      </w:r>
      <w:r>
        <w:rPr>
          <w:rFonts w:ascii="Times New Roman" w:hAnsi="Times New Roman" w:cs="Times New Roman" w:eastAsiaTheme="minorEastAsia"/>
          <w:caps w:val="0"/>
          <w:smallCaps w:val="0"/>
          <w:color w:val="auto"/>
          <w:spacing w:val="0"/>
          <w:w w:val="100"/>
          <w:kern w:val="21"/>
          <w:position w:val="0"/>
          <w:highlight w:val="none"/>
          <w:vertAlign w:val="subscript"/>
        </w:rPr>
        <w:t>10</w:t>
      </w:r>
      <w:r>
        <w:rPr>
          <w:rFonts w:ascii="Times New Roman" w:hAnsi="Times New Roman" w:cs="Times New Roman" w:eastAsiaTheme="minorEastAsia"/>
          <w:caps w:val="0"/>
          <w:smallCaps w:val="0"/>
          <w:color w:val="auto"/>
          <w:spacing w:val="0"/>
          <w:w w:val="100"/>
          <w:kern w:val="21"/>
          <w:position w:val="0"/>
          <w:highlight w:val="none"/>
        </w:rPr>
        <w:t>-C</w:t>
      </w:r>
      <w:r>
        <w:rPr>
          <w:rFonts w:ascii="Times New Roman" w:hAnsi="Times New Roman" w:cs="Times New Roman" w:eastAsiaTheme="minorEastAsia"/>
          <w:caps w:val="0"/>
          <w:smallCaps w:val="0"/>
          <w:color w:val="auto"/>
          <w:spacing w:val="0"/>
          <w:w w:val="100"/>
          <w:kern w:val="21"/>
          <w:position w:val="0"/>
          <w:highlight w:val="none"/>
          <w:vertAlign w:val="subscript"/>
        </w:rPr>
        <w:t>40</w:t>
      </w:r>
      <w:r>
        <w:rPr>
          <w:rFonts w:ascii="Times New Roman" w:hAnsi="Times New Roman" w:cs="Times New Roman" w:eastAsiaTheme="minorEastAsia"/>
          <w:caps w:val="0"/>
          <w:smallCaps w:val="0"/>
          <w:color w:val="auto"/>
          <w:spacing w:val="0"/>
          <w:w w:val="100"/>
          <w:kern w:val="21"/>
          <w:position w:val="0"/>
          <w:highlight w:val="none"/>
        </w:rPr>
        <w:t>）、石油类、石油烃（C</w:t>
      </w:r>
      <w:r>
        <w:rPr>
          <w:rFonts w:ascii="Times New Roman" w:hAnsi="Times New Roman" w:cs="Times New Roman" w:eastAsiaTheme="minorEastAsia"/>
          <w:caps w:val="0"/>
          <w:smallCaps w:val="0"/>
          <w:color w:val="auto"/>
          <w:spacing w:val="0"/>
          <w:w w:val="100"/>
          <w:kern w:val="21"/>
          <w:position w:val="0"/>
          <w:highlight w:val="none"/>
          <w:vertAlign w:val="subscript"/>
        </w:rPr>
        <w:t>6</w:t>
      </w:r>
      <w:r>
        <w:rPr>
          <w:rFonts w:ascii="Times New Roman" w:hAnsi="Times New Roman" w:cs="Times New Roman" w:eastAsiaTheme="minorEastAsia"/>
          <w:caps w:val="0"/>
          <w:smallCaps w:val="0"/>
          <w:color w:val="auto"/>
          <w:spacing w:val="0"/>
          <w:w w:val="100"/>
          <w:kern w:val="21"/>
          <w:position w:val="0"/>
          <w:highlight w:val="none"/>
        </w:rPr>
        <w:t>-C</w:t>
      </w:r>
      <w:r>
        <w:rPr>
          <w:rFonts w:ascii="Times New Roman" w:hAnsi="Times New Roman" w:cs="Times New Roman" w:eastAsiaTheme="minorEastAsia"/>
          <w:caps w:val="0"/>
          <w:smallCaps w:val="0"/>
          <w:color w:val="auto"/>
          <w:spacing w:val="0"/>
          <w:w w:val="100"/>
          <w:kern w:val="21"/>
          <w:position w:val="0"/>
          <w:highlight w:val="none"/>
          <w:vertAlign w:val="subscript"/>
        </w:rPr>
        <w:t>9</w:t>
      </w:r>
      <w:r>
        <w:rPr>
          <w:rFonts w:ascii="Times New Roman" w:hAnsi="Times New Roman" w:cs="Times New Roman" w:eastAsiaTheme="minorEastAsia"/>
          <w:caps w:val="0"/>
          <w:smallCaps w:val="0"/>
          <w:color w:val="auto"/>
          <w:spacing w:val="0"/>
          <w:w w:val="100"/>
          <w:kern w:val="21"/>
          <w:position w:val="0"/>
          <w:highlight w:val="none"/>
        </w:rPr>
        <w:t>）、水溶性盐总量，共13项。</w:t>
      </w:r>
    </w:p>
    <w:p w14:paraId="50FD9DD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（3）监测时间</w:t>
      </w:r>
    </w:p>
    <w:p w14:paraId="3E6F1BD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ascii="Times New Roman" w:hAnsi="Times New Roman" w:cs="Times New Roman" w:eastAsiaTheme="minorEastAsia"/>
          <w:caps w:val="0"/>
          <w:smallCaps w:val="0"/>
          <w:color w:val="auto"/>
          <w:spacing w:val="0"/>
          <w:w w:val="100"/>
          <w:kern w:val="21"/>
          <w:position w:val="0"/>
          <w:highlight w:val="none"/>
        </w:rPr>
        <w:t>202</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6</w:t>
      </w:r>
      <w:r>
        <w:rPr>
          <w:rFonts w:hint="eastAsia" w:ascii="Times New Roman" w:hAnsi="Times New Roman" w:cs="Times New Roman" w:eastAsiaTheme="minorEastAsia"/>
          <w:caps w:val="0"/>
          <w:smallCaps w:val="0"/>
          <w:color w:val="auto"/>
          <w:spacing w:val="0"/>
          <w:w w:val="100"/>
          <w:kern w:val="21"/>
          <w:position w:val="0"/>
          <w:highlight w:val="none"/>
        </w:rPr>
        <w:t>年</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5</w:t>
      </w:r>
      <w:r>
        <w:rPr>
          <w:rFonts w:hint="eastAsia" w:ascii="Times New Roman" w:hAnsi="Times New Roman" w:cs="Times New Roman" w:eastAsiaTheme="minorEastAsia"/>
          <w:caps w:val="0"/>
          <w:smallCaps w:val="0"/>
          <w:color w:val="auto"/>
          <w:spacing w:val="0"/>
          <w:w w:val="100"/>
          <w:kern w:val="21"/>
          <w:position w:val="0"/>
          <w:highlight w:val="none"/>
        </w:rPr>
        <w:t>月</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27</w:t>
      </w:r>
      <w:r>
        <w:rPr>
          <w:rFonts w:hint="eastAsia" w:ascii="Times New Roman" w:hAnsi="Times New Roman" w:cs="Times New Roman" w:eastAsiaTheme="minorEastAsia"/>
          <w:caps w:val="0"/>
          <w:smallCaps w:val="0"/>
          <w:color w:val="auto"/>
          <w:spacing w:val="0"/>
          <w:w w:val="100"/>
          <w:kern w:val="21"/>
          <w:position w:val="0"/>
          <w:highlight w:val="none"/>
        </w:rPr>
        <w:t>日监测</w:t>
      </w:r>
      <w:r>
        <w:rPr>
          <w:rFonts w:ascii="Times New Roman" w:hAnsi="Times New Roman" w:cs="Times New Roman" w:eastAsiaTheme="minorEastAsia"/>
          <w:caps w:val="0"/>
          <w:smallCaps w:val="0"/>
          <w:color w:val="auto"/>
          <w:spacing w:val="0"/>
          <w:w w:val="100"/>
          <w:kern w:val="21"/>
          <w:position w:val="0"/>
          <w:highlight w:val="none"/>
        </w:rPr>
        <w:t>。</w:t>
      </w:r>
    </w:p>
    <w:p w14:paraId="5B4CBEA1">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（4）</w:t>
      </w:r>
      <w:r>
        <w:rPr>
          <w:rFonts w:ascii="Times New Roman" w:hAnsi="Times New Roman" w:cs="Times New Roman" w:eastAsiaTheme="minorEastAsia"/>
          <w:caps w:val="0"/>
          <w:smallCaps w:val="0"/>
          <w:color w:val="auto"/>
          <w:spacing w:val="0"/>
          <w:w w:val="100"/>
          <w:position w:val="0"/>
          <w:highlight w:val="none"/>
        </w:rPr>
        <w:t>监测频次</w:t>
      </w:r>
    </w:p>
    <w:p w14:paraId="0B77403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采样1次，分别对各采样土壤进行监测因子全分析。</w:t>
      </w:r>
    </w:p>
    <w:p w14:paraId="333862D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（5）监测结果</w:t>
      </w:r>
    </w:p>
    <w:p w14:paraId="7F894B6B">
      <w:pPr>
        <w:widowControl w:val="0"/>
        <w:spacing w:line="440" w:lineRule="exact"/>
        <w:ind w:firstLine="482" w:firstLineChars="200"/>
        <w:rPr>
          <w:rFonts w:ascii="Times New Roman" w:hAnsi="Times New Roman" w:cs="Times New Roman" w:eastAsiaTheme="minorEastAsia"/>
          <w:b/>
          <w:caps w:val="0"/>
          <w:smallCaps w:val="0"/>
          <w:color w:val="auto"/>
          <w:spacing w:val="0"/>
          <w:w w:val="100"/>
          <w:kern w:val="21"/>
          <w:position w:val="0"/>
          <w:highlight w:val="none"/>
        </w:rPr>
      </w:pPr>
      <w:r>
        <w:rPr>
          <w:rFonts w:ascii="Times New Roman" w:hAnsi="Times New Roman" w:cs="Times New Roman" w:eastAsiaTheme="minorEastAsia"/>
          <w:b/>
          <w:caps w:val="0"/>
          <w:smallCaps w:val="0"/>
          <w:color w:val="auto"/>
          <w:spacing w:val="0"/>
          <w:w w:val="100"/>
          <w:kern w:val="21"/>
          <w:position w:val="0"/>
          <w:highlight w:val="none"/>
          <w:lang w:bidi="zh-CN"/>
        </w:rPr>
        <w:t>表</w:t>
      </w:r>
      <w:r>
        <w:rPr>
          <w:rFonts w:ascii="Times New Roman" w:hAnsi="Times New Roman" w:cs="Times New Roman" w:eastAsiaTheme="minorEastAsia"/>
          <w:b/>
          <w:caps w:val="0"/>
          <w:smallCaps w:val="0"/>
          <w:color w:val="auto"/>
          <w:spacing w:val="0"/>
          <w:w w:val="100"/>
          <w:kern w:val="2"/>
          <w:position w:val="0"/>
          <w:szCs w:val="20"/>
          <w:highlight w:val="none"/>
        </w:rPr>
        <w:t>4.3-24</w:t>
      </w:r>
      <w:r>
        <w:rPr>
          <w:rFonts w:ascii="Times New Roman" w:hAnsi="Times New Roman" w:cs="Times New Roman" w:eastAsiaTheme="minorEastAsia"/>
          <w:b/>
          <w:caps w:val="0"/>
          <w:smallCaps w:val="0"/>
          <w:color w:val="auto"/>
          <w:spacing w:val="0"/>
          <w:w w:val="100"/>
          <w:kern w:val="21"/>
          <w:position w:val="0"/>
          <w:highlight w:val="none"/>
          <w:lang w:bidi="zh-CN"/>
        </w:rPr>
        <w:t xml:space="preserve">  </w:t>
      </w:r>
      <w:r>
        <w:rPr>
          <w:rFonts w:ascii="Times New Roman" w:hAnsi="Times New Roman" w:cs="Times New Roman" w:eastAsiaTheme="minorEastAsia"/>
          <w:b/>
          <w:caps w:val="0"/>
          <w:smallCaps w:val="0"/>
          <w:color w:val="auto"/>
          <w:spacing w:val="0"/>
          <w:w w:val="100"/>
          <w:kern w:val="21"/>
          <w:position w:val="0"/>
          <w:highlight w:val="none"/>
        </w:rPr>
        <w:t>建设用地土壤环境质量现状监测结果  单位：mg/kg（pH无量纲）</w:t>
      </w:r>
    </w:p>
    <w:tbl>
      <w:tblPr>
        <w:tblStyle w:val="8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62"/>
        <w:gridCol w:w="1945"/>
        <w:gridCol w:w="1083"/>
        <w:gridCol w:w="1086"/>
        <w:gridCol w:w="1090"/>
        <w:gridCol w:w="1135"/>
        <w:gridCol w:w="1037"/>
        <w:gridCol w:w="97"/>
        <w:gridCol w:w="998"/>
        <w:gridCol w:w="16"/>
      </w:tblGrid>
      <w:tr w14:paraId="3FFF27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gridAfter w:val="1"/>
          <w:wAfter w:w="16" w:type="dxa"/>
          <w:trHeight w:val="340" w:hRule="atLeast"/>
          <w:jc w:val="center"/>
        </w:trPr>
        <w:tc>
          <w:tcPr>
            <w:tcW w:w="462" w:type="dxa"/>
            <w:vMerge w:val="restart"/>
            <w:vAlign w:val="center"/>
          </w:tcPr>
          <w:p w14:paraId="2ACC829C">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序号</w:t>
            </w:r>
          </w:p>
        </w:tc>
        <w:tc>
          <w:tcPr>
            <w:tcW w:w="1945" w:type="dxa"/>
            <w:vMerge w:val="restart"/>
            <w:vAlign w:val="center"/>
          </w:tcPr>
          <w:p w14:paraId="02BB55CB">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监测项目</w:t>
            </w:r>
          </w:p>
        </w:tc>
        <w:tc>
          <w:tcPr>
            <w:tcW w:w="6526" w:type="dxa"/>
            <w:gridSpan w:val="7"/>
            <w:vAlign w:val="center"/>
          </w:tcPr>
          <w:p w14:paraId="67D70C48">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监测点位</w:t>
            </w:r>
          </w:p>
        </w:tc>
      </w:tr>
      <w:tr w14:paraId="648C7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continue"/>
            <w:vAlign w:val="center"/>
          </w:tcPr>
          <w:p w14:paraId="3A9D7E07">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945" w:type="dxa"/>
            <w:vMerge w:val="continue"/>
            <w:vAlign w:val="center"/>
          </w:tcPr>
          <w:p w14:paraId="46F8ADA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3259" w:type="dxa"/>
            <w:gridSpan w:val="3"/>
            <w:shd w:val="clear" w:color="auto" w:fill="auto"/>
            <w:vAlign w:val="center"/>
          </w:tcPr>
          <w:p w14:paraId="4D2ADB13">
            <w:pPr>
              <w:adjustRightInd w:val="0"/>
              <w:snapToGrid w:val="0"/>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t>S1</w:t>
            </w:r>
          </w:p>
        </w:tc>
        <w:tc>
          <w:tcPr>
            <w:tcW w:w="3267" w:type="dxa"/>
            <w:gridSpan w:val="4"/>
            <w:shd w:val="clear" w:color="auto" w:fill="auto"/>
            <w:vAlign w:val="center"/>
          </w:tcPr>
          <w:p w14:paraId="002347F7">
            <w:pPr>
              <w:adjustRightInd w:val="0"/>
              <w:snapToGrid w:val="0"/>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t>S2</w:t>
            </w:r>
          </w:p>
        </w:tc>
      </w:tr>
      <w:tr w14:paraId="4A5AE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continue"/>
            <w:vAlign w:val="center"/>
          </w:tcPr>
          <w:p w14:paraId="7CA2C5FA">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945" w:type="dxa"/>
            <w:vMerge w:val="continue"/>
            <w:vAlign w:val="center"/>
          </w:tcPr>
          <w:p w14:paraId="0B92038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083" w:type="dxa"/>
            <w:vAlign w:val="center"/>
          </w:tcPr>
          <w:p w14:paraId="7B9E27AF">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0-0.5m</w:t>
            </w:r>
          </w:p>
        </w:tc>
        <w:tc>
          <w:tcPr>
            <w:tcW w:w="1086" w:type="dxa"/>
            <w:vAlign w:val="center"/>
          </w:tcPr>
          <w:p w14:paraId="7D655603">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0.5-1.5m</w:t>
            </w:r>
          </w:p>
        </w:tc>
        <w:tc>
          <w:tcPr>
            <w:tcW w:w="1090" w:type="dxa"/>
            <w:vAlign w:val="center"/>
          </w:tcPr>
          <w:p w14:paraId="33A1B198">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1.5-3m</w:t>
            </w:r>
          </w:p>
        </w:tc>
        <w:tc>
          <w:tcPr>
            <w:tcW w:w="1135" w:type="dxa"/>
            <w:vAlign w:val="center"/>
          </w:tcPr>
          <w:p w14:paraId="5D26DB79">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0-0.5m</w:t>
            </w:r>
          </w:p>
        </w:tc>
        <w:tc>
          <w:tcPr>
            <w:tcW w:w="1037" w:type="dxa"/>
            <w:vAlign w:val="center"/>
          </w:tcPr>
          <w:p w14:paraId="36BEA732">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0.5-1.5m</w:t>
            </w:r>
          </w:p>
        </w:tc>
        <w:tc>
          <w:tcPr>
            <w:tcW w:w="1095" w:type="dxa"/>
            <w:gridSpan w:val="2"/>
            <w:vAlign w:val="center"/>
          </w:tcPr>
          <w:p w14:paraId="4B20F4C4">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1.5-3m</w:t>
            </w:r>
          </w:p>
        </w:tc>
      </w:tr>
      <w:tr w14:paraId="6A836A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1C740E6F">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w:t>
            </w:r>
          </w:p>
        </w:tc>
        <w:tc>
          <w:tcPr>
            <w:tcW w:w="1945" w:type="dxa"/>
            <w:vAlign w:val="center"/>
          </w:tcPr>
          <w:p w14:paraId="2B5A8C18">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pH</w:t>
            </w:r>
          </w:p>
        </w:tc>
        <w:tc>
          <w:tcPr>
            <w:tcW w:w="1083" w:type="dxa"/>
            <w:vAlign w:val="center"/>
          </w:tcPr>
          <w:p w14:paraId="4BBD5168">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7.84</w:t>
            </w:r>
          </w:p>
        </w:tc>
        <w:tc>
          <w:tcPr>
            <w:tcW w:w="1086" w:type="dxa"/>
            <w:vAlign w:val="center"/>
          </w:tcPr>
          <w:p w14:paraId="38E8D0B5">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7.96</w:t>
            </w:r>
          </w:p>
        </w:tc>
        <w:tc>
          <w:tcPr>
            <w:tcW w:w="1090" w:type="dxa"/>
            <w:vAlign w:val="center"/>
          </w:tcPr>
          <w:p w14:paraId="569B85FF">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8.02</w:t>
            </w:r>
          </w:p>
        </w:tc>
        <w:tc>
          <w:tcPr>
            <w:tcW w:w="1135" w:type="dxa"/>
            <w:shd w:val="clear" w:color="auto" w:fill="auto"/>
            <w:vAlign w:val="center"/>
          </w:tcPr>
          <w:p w14:paraId="2770641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8.12</w:t>
            </w:r>
          </w:p>
        </w:tc>
        <w:tc>
          <w:tcPr>
            <w:tcW w:w="1037" w:type="dxa"/>
            <w:shd w:val="clear" w:color="auto" w:fill="auto"/>
            <w:vAlign w:val="center"/>
          </w:tcPr>
          <w:p w14:paraId="1DBCF278">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7.76</w:t>
            </w:r>
          </w:p>
        </w:tc>
        <w:tc>
          <w:tcPr>
            <w:tcW w:w="1095" w:type="dxa"/>
            <w:gridSpan w:val="2"/>
            <w:shd w:val="clear" w:color="auto" w:fill="auto"/>
            <w:vAlign w:val="center"/>
          </w:tcPr>
          <w:p w14:paraId="74AEA1D5">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7.88</w:t>
            </w:r>
          </w:p>
        </w:tc>
      </w:tr>
      <w:tr w14:paraId="3710BC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4E896B4A">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2</w:t>
            </w:r>
          </w:p>
        </w:tc>
        <w:tc>
          <w:tcPr>
            <w:tcW w:w="1945" w:type="dxa"/>
            <w:vAlign w:val="center"/>
          </w:tcPr>
          <w:p w14:paraId="08E5D08D">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镉（Cd）</w:t>
            </w:r>
          </w:p>
        </w:tc>
        <w:tc>
          <w:tcPr>
            <w:tcW w:w="1083" w:type="dxa"/>
            <w:vAlign w:val="center"/>
          </w:tcPr>
          <w:p w14:paraId="737E5C7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0.09</w:t>
            </w:r>
          </w:p>
        </w:tc>
        <w:tc>
          <w:tcPr>
            <w:tcW w:w="1086" w:type="dxa"/>
            <w:vAlign w:val="center"/>
          </w:tcPr>
          <w:p w14:paraId="51ADC6ED">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0.12</w:t>
            </w:r>
          </w:p>
        </w:tc>
        <w:tc>
          <w:tcPr>
            <w:tcW w:w="1090" w:type="dxa"/>
            <w:vAlign w:val="center"/>
          </w:tcPr>
          <w:p w14:paraId="12B54472">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0.07</w:t>
            </w:r>
          </w:p>
        </w:tc>
        <w:tc>
          <w:tcPr>
            <w:tcW w:w="1135" w:type="dxa"/>
            <w:shd w:val="clear" w:color="auto" w:fill="auto"/>
            <w:vAlign w:val="center"/>
          </w:tcPr>
          <w:p w14:paraId="4F0F94C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0.10</w:t>
            </w:r>
          </w:p>
        </w:tc>
        <w:tc>
          <w:tcPr>
            <w:tcW w:w="1037" w:type="dxa"/>
            <w:shd w:val="clear" w:color="auto" w:fill="auto"/>
            <w:vAlign w:val="center"/>
          </w:tcPr>
          <w:p w14:paraId="23CBFF3F">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0.07</w:t>
            </w:r>
          </w:p>
        </w:tc>
        <w:tc>
          <w:tcPr>
            <w:tcW w:w="1095" w:type="dxa"/>
            <w:gridSpan w:val="2"/>
            <w:shd w:val="clear" w:color="auto" w:fill="auto"/>
            <w:vAlign w:val="center"/>
          </w:tcPr>
          <w:p w14:paraId="640BE302">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0.06</w:t>
            </w:r>
          </w:p>
        </w:tc>
      </w:tr>
      <w:tr w14:paraId="759459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18255F8D">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3</w:t>
            </w:r>
          </w:p>
        </w:tc>
        <w:tc>
          <w:tcPr>
            <w:tcW w:w="1945" w:type="dxa"/>
            <w:vAlign w:val="center"/>
          </w:tcPr>
          <w:p w14:paraId="6CCF633C">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汞（Hg）</w:t>
            </w:r>
          </w:p>
        </w:tc>
        <w:tc>
          <w:tcPr>
            <w:tcW w:w="1083" w:type="dxa"/>
            <w:vAlign w:val="center"/>
          </w:tcPr>
          <w:p w14:paraId="6B1EEBC8">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rPr>
              <w:t>0.0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19</w:t>
            </w:r>
          </w:p>
        </w:tc>
        <w:tc>
          <w:tcPr>
            <w:tcW w:w="1086" w:type="dxa"/>
            <w:vAlign w:val="center"/>
          </w:tcPr>
          <w:p w14:paraId="1C484295">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021</w:t>
            </w:r>
          </w:p>
        </w:tc>
        <w:tc>
          <w:tcPr>
            <w:tcW w:w="1090" w:type="dxa"/>
            <w:vAlign w:val="center"/>
          </w:tcPr>
          <w:p w14:paraId="1B2F0966">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018</w:t>
            </w:r>
          </w:p>
        </w:tc>
        <w:tc>
          <w:tcPr>
            <w:tcW w:w="1135" w:type="dxa"/>
            <w:shd w:val="clear" w:color="auto" w:fill="auto"/>
            <w:vAlign w:val="center"/>
          </w:tcPr>
          <w:p w14:paraId="76885B87">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16</w:t>
            </w:r>
          </w:p>
        </w:tc>
        <w:tc>
          <w:tcPr>
            <w:tcW w:w="1037" w:type="dxa"/>
            <w:shd w:val="clear" w:color="auto" w:fill="auto"/>
            <w:vAlign w:val="center"/>
          </w:tcPr>
          <w:p w14:paraId="682C4333">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019</w:t>
            </w:r>
          </w:p>
        </w:tc>
        <w:tc>
          <w:tcPr>
            <w:tcW w:w="1095" w:type="dxa"/>
            <w:gridSpan w:val="2"/>
            <w:shd w:val="clear" w:color="auto" w:fill="auto"/>
            <w:vAlign w:val="center"/>
          </w:tcPr>
          <w:p w14:paraId="051AF0C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014</w:t>
            </w:r>
          </w:p>
        </w:tc>
      </w:tr>
      <w:tr w14:paraId="2575F5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5739DDA9">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4</w:t>
            </w:r>
          </w:p>
        </w:tc>
        <w:tc>
          <w:tcPr>
            <w:tcW w:w="1945" w:type="dxa"/>
            <w:vAlign w:val="center"/>
          </w:tcPr>
          <w:p w14:paraId="61F980B9">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砷（As）</w:t>
            </w:r>
          </w:p>
        </w:tc>
        <w:tc>
          <w:tcPr>
            <w:tcW w:w="1083" w:type="dxa"/>
            <w:vAlign w:val="center"/>
          </w:tcPr>
          <w:p w14:paraId="3BCC1B5D">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3.36</w:t>
            </w:r>
          </w:p>
        </w:tc>
        <w:tc>
          <w:tcPr>
            <w:tcW w:w="1086" w:type="dxa"/>
            <w:vAlign w:val="center"/>
          </w:tcPr>
          <w:p w14:paraId="204296AE">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3.27</w:t>
            </w:r>
          </w:p>
        </w:tc>
        <w:tc>
          <w:tcPr>
            <w:tcW w:w="1090" w:type="dxa"/>
            <w:vAlign w:val="center"/>
          </w:tcPr>
          <w:p w14:paraId="359B4729">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3.31</w:t>
            </w:r>
          </w:p>
        </w:tc>
        <w:tc>
          <w:tcPr>
            <w:tcW w:w="1135" w:type="dxa"/>
            <w:shd w:val="clear" w:color="auto" w:fill="auto"/>
            <w:vAlign w:val="center"/>
          </w:tcPr>
          <w:p w14:paraId="2105C158">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3.34</w:t>
            </w:r>
          </w:p>
        </w:tc>
        <w:tc>
          <w:tcPr>
            <w:tcW w:w="1037" w:type="dxa"/>
            <w:shd w:val="clear" w:color="auto" w:fill="auto"/>
            <w:vAlign w:val="center"/>
          </w:tcPr>
          <w:p w14:paraId="74D71173">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3.41</w:t>
            </w:r>
          </w:p>
        </w:tc>
        <w:tc>
          <w:tcPr>
            <w:tcW w:w="1095" w:type="dxa"/>
            <w:gridSpan w:val="2"/>
            <w:shd w:val="clear" w:color="auto" w:fill="auto"/>
            <w:vAlign w:val="center"/>
          </w:tcPr>
          <w:p w14:paraId="79C569B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3.27</w:t>
            </w:r>
          </w:p>
        </w:tc>
      </w:tr>
      <w:tr w14:paraId="3783C7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395D4BCD">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5</w:t>
            </w:r>
          </w:p>
        </w:tc>
        <w:tc>
          <w:tcPr>
            <w:tcW w:w="1945" w:type="dxa"/>
            <w:vAlign w:val="center"/>
          </w:tcPr>
          <w:p w14:paraId="4B31CC4B">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铅（Pb）</w:t>
            </w:r>
          </w:p>
        </w:tc>
        <w:tc>
          <w:tcPr>
            <w:tcW w:w="1083" w:type="dxa"/>
            <w:vAlign w:val="center"/>
          </w:tcPr>
          <w:p w14:paraId="50772466">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17</w:t>
            </w:r>
          </w:p>
        </w:tc>
        <w:tc>
          <w:tcPr>
            <w:tcW w:w="1086" w:type="dxa"/>
            <w:vAlign w:val="center"/>
          </w:tcPr>
          <w:p w14:paraId="05BC3E0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21</w:t>
            </w:r>
          </w:p>
        </w:tc>
        <w:tc>
          <w:tcPr>
            <w:tcW w:w="1090" w:type="dxa"/>
            <w:vAlign w:val="center"/>
          </w:tcPr>
          <w:p w14:paraId="21A3D49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18</w:t>
            </w:r>
          </w:p>
        </w:tc>
        <w:tc>
          <w:tcPr>
            <w:tcW w:w="1135" w:type="dxa"/>
            <w:shd w:val="clear" w:color="auto" w:fill="auto"/>
            <w:vAlign w:val="center"/>
          </w:tcPr>
          <w:p w14:paraId="251F034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16</w:t>
            </w:r>
          </w:p>
        </w:tc>
        <w:tc>
          <w:tcPr>
            <w:tcW w:w="1037" w:type="dxa"/>
            <w:shd w:val="clear" w:color="auto" w:fill="auto"/>
            <w:vAlign w:val="center"/>
          </w:tcPr>
          <w:p w14:paraId="31CDF95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14</w:t>
            </w:r>
          </w:p>
        </w:tc>
        <w:tc>
          <w:tcPr>
            <w:tcW w:w="1095" w:type="dxa"/>
            <w:gridSpan w:val="2"/>
            <w:shd w:val="clear" w:color="auto" w:fill="auto"/>
            <w:vAlign w:val="center"/>
          </w:tcPr>
          <w:p w14:paraId="45E32EB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17</w:t>
            </w:r>
          </w:p>
        </w:tc>
      </w:tr>
      <w:tr w14:paraId="0ACE1F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557AC34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6</w:t>
            </w:r>
          </w:p>
        </w:tc>
        <w:tc>
          <w:tcPr>
            <w:tcW w:w="1945" w:type="dxa"/>
            <w:vAlign w:val="center"/>
          </w:tcPr>
          <w:p w14:paraId="61A284E2">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铬（六价）</w:t>
            </w:r>
          </w:p>
        </w:tc>
        <w:tc>
          <w:tcPr>
            <w:tcW w:w="1083" w:type="dxa"/>
            <w:vAlign w:val="center"/>
          </w:tcPr>
          <w:p w14:paraId="32D0C93D">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vAlign w:val="center"/>
          </w:tcPr>
          <w:p w14:paraId="0EC4FBA9">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vAlign w:val="center"/>
          </w:tcPr>
          <w:p w14:paraId="35F73559">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135" w:type="dxa"/>
            <w:shd w:val="clear" w:color="auto" w:fill="auto"/>
            <w:vAlign w:val="center"/>
          </w:tcPr>
          <w:p w14:paraId="67C65E96">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37" w:type="dxa"/>
            <w:shd w:val="clear" w:color="auto" w:fill="auto"/>
            <w:vAlign w:val="center"/>
          </w:tcPr>
          <w:p w14:paraId="402796BB">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95" w:type="dxa"/>
            <w:gridSpan w:val="2"/>
            <w:shd w:val="clear" w:color="auto" w:fill="auto"/>
            <w:vAlign w:val="center"/>
          </w:tcPr>
          <w:p w14:paraId="49CE4F89">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r>
      <w:tr w14:paraId="24C183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08EC41C">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7</w:t>
            </w:r>
          </w:p>
        </w:tc>
        <w:tc>
          <w:tcPr>
            <w:tcW w:w="1945" w:type="dxa"/>
            <w:vAlign w:val="center"/>
          </w:tcPr>
          <w:p w14:paraId="200639F2">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铜（Cu）</w:t>
            </w:r>
          </w:p>
        </w:tc>
        <w:tc>
          <w:tcPr>
            <w:tcW w:w="1083" w:type="dxa"/>
            <w:vAlign w:val="center"/>
          </w:tcPr>
          <w:p w14:paraId="29E9AF3D">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14</w:t>
            </w:r>
          </w:p>
        </w:tc>
        <w:tc>
          <w:tcPr>
            <w:tcW w:w="1086" w:type="dxa"/>
            <w:vAlign w:val="center"/>
          </w:tcPr>
          <w:p w14:paraId="04F48517">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18</w:t>
            </w:r>
          </w:p>
        </w:tc>
        <w:tc>
          <w:tcPr>
            <w:tcW w:w="1090" w:type="dxa"/>
            <w:vAlign w:val="center"/>
          </w:tcPr>
          <w:p w14:paraId="33A2733C">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13</w:t>
            </w:r>
          </w:p>
        </w:tc>
        <w:tc>
          <w:tcPr>
            <w:tcW w:w="1135" w:type="dxa"/>
            <w:shd w:val="clear" w:color="auto" w:fill="auto"/>
            <w:vAlign w:val="center"/>
          </w:tcPr>
          <w:p w14:paraId="7A2BA141">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12</w:t>
            </w:r>
          </w:p>
        </w:tc>
        <w:tc>
          <w:tcPr>
            <w:tcW w:w="1037" w:type="dxa"/>
            <w:shd w:val="clear" w:color="auto" w:fill="auto"/>
            <w:vAlign w:val="center"/>
          </w:tcPr>
          <w:p w14:paraId="76D6405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16</w:t>
            </w:r>
          </w:p>
        </w:tc>
        <w:tc>
          <w:tcPr>
            <w:tcW w:w="1095" w:type="dxa"/>
            <w:gridSpan w:val="2"/>
            <w:shd w:val="clear" w:color="auto" w:fill="auto"/>
            <w:vAlign w:val="center"/>
          </w:tcPr>
          <w:p w14:paraId="146FEC1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15</w:t>
            </w:r>
          </w:p>
        </w:tc>
      </w:tr>
      <w:tr w14:paraId="7D94AD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EEB2273">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8</w:t>
            </w:r>
          </w:p>
        </w:tc>
        <w:tc>
          <w:tcPr>
            <w:tcW w:w="1945" w:type="dxa"/>
            <w:vAlign w:val="center"/>
          </w:tcPr>
          <w:p w14:paraId="0D9565BB">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镍（Ni）</w:t>
            </w:r>
          </w:p>
        </w:tc>
        <w:tc>
          <w:tcPr>
            <w:tcW w:w="1083" w:type="dxa"/>
            <w:vAlign w:val="center"/>
          </w:tcPr>
          <w:p w14:paraId="376C632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24</w:t>
            </w:r>
          </w:p>
        </w:tc>
        <w:tc>
          <w:tcPr>
            <w:tcW w:w="1086" w:type="dxa"/>
            <w:vAlign w:val="center"/>
          </w:tcPr>
          <w:p w14:paraId="54243C5C">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26</w:t>
            </w:r>
          </w:p>
        </w:tc>
        <w:tc>
          <w:tcPr>
            <w:tcW w:w="1090" w:type="dxa"/>
            <w:vAlign w:val="center"/>
          </w:tcPr>
          <w:p w14:paraId="0D2C7EED">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21</w:t>
            </w:r>
          </w:p>
        </w:tc>
        <w:tc>
          <w:tcPr>
            <w:tcW w:w="1135" w:type="dxa"/>
            <w:shd w:val="clear" w:color="auto" w:fill="auto"/>
            <w:vAlign w:val="center"/>
          </w:tcPr>
          <w:p w14:paraId="7F0DF3F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25</w:t>
            </w:r>
          </w:p>
        </w:tc>
        <w:tc>
          <w:tcPr>
            <w:tcW w:w="1037" w:type="dxa"/>
            <w:shd w:val="clear" w:color="auto" w:fill="auto"/>
            <w:vAlign w:val="center"/>
          </w:tcPr>
          <w:p w14:paraId="5555D2A0">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20</w:t>
            </w:r>
          </w:p>
        </w:tc>
        <w:tc>
          <w:tcPr>
            <w:tcW w:w="1095" w:type="dxa"/>
            <w:gridSpan w:val="2"/>
            <w:shd w:val="clear" w:color="auto" w:fill="auto"/>
            <w:vAlign w:val="center"/>
          </w:tcPr>
          <w:p w14:paraId="587E3A70">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19</w:t>
            </w:r>
          </w:p>
        </w:tc>
      </w:tr>
      <w:tr w14:paraId="35BED5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4BC79D42">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9</w:t>
            </w:r>
          </w:p>
        </w:tc>
        <w:tc>
          <w:tcPr>
            <w:tcW w:w="1945" w:type="dxa"/>
            <w:vAlign w:val="center"/>
          </w:tcPr>
          <w:p w14:paraId="43E8D68D">
            <w:pPr>
              <w:widowControl w:val="0"/>
              <w:adjustRightInd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水溶性盐总量</w:t>
            </w:r>
          </w:p>
        </w:tc>
        <w:tc>
          <w:tcPr>
            <w:tcW w:w="1083" w:type="dxa"/>
            <w:vAlign w:val="center"/>
          </w:tcPr>
          <w:p w14:paraId="567BB670">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700</w:t>
            </w:r>
          </w:p>
        </w:tc>
        <w:tc>
          <w:tcPr>
            <w:tcW w:w="1086" w:type="dxa"/>
            <w:vAlign w:val="center"/>
          </w:tcPr>
          <w:p w14:paraId="6312D102">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600</w:t>
            </w:r>
          </w:p>
        </w:tc>
        <w:tc>
          <w:tcPr>
            <w:tcW w:w="1090" w:type="dxa"/>
            <w:vAlign w:val="center"/>
          </w:tcPr>
          <w:p w14:paraId="63E93043">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700</w:t>
            </w:r>
          </w:p>
        </w:tc>
        <w:tc>
          <w:tcPr>
            <w:tcW w:w="1135" w:type="dxa"/>
            <w:shd w:val="clear" w:color="auto" w:fill="auto"/>
            <w:vAlign w:val="center"/>
          </w:tcPr>
          <w:p w14:paraId="03ED61D2">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600</w:t>
            </w:r>
          </w:p>
        </w:tc>
        <w:tc>
          <w:tcPr>
            <w:tcW w:w="1037" w:type="dxa"/>
            <w:shd w:val="clear" w:color="auto" w:fill="auto"/>
            <w:vAlign w:val="center"/>
          </w:tcPr>
          <w:p w14:paraId="44CE62D8">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700</w:t>
            </w:r>
          </w:p>
        </w:tc>
        <w:tc>
          <w:tcPr>
            <w:tcW w:w="1095" w:type="dxa"/>
            <w:gridSpan w:val="2"/>
            <w:shd w:val="clear" w:color="auto" w:fill="auto"/>
            <w:vAlign w:val="center"/>
          </w:tcPr>
          <w:p w14:paraId="3CB2E318">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500</w:t>
            </w:r>
          </w:p>
        </w:tc>
      </w:tr>
      <w:tr w14:paraId="24754B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750DA76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10</w:t>
            </w:r>
          </w:p>
        </w:tc>
        <w:tc>
          <w:tcPr>
            <w:tcW w:w="1945" w:type="dxa"/>
            <w:vAlign w:val="center"/>
          </w:tcPr>
          <w:p w14:paraId="27DC3C91">
            <w:pPr>
              <w:widowControl w:val="0"/>
              <w:adjustRightInd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石油类</w:t>
            </w:r>
          </w:p>
        </w:tc>
        <w:tc>
          <w:tcPr>
            <w:tcW w:w="1083" w:type="dxa"/>
            <w:vAlign w:val="center"/>
          </w:tcPr>
          <w:p w14:paraId="470C3CD9">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13</w:t>
            </w:r>
          </w:p>
        </w:tc>
        <w:tc>
          <w:tcPr>
            <w:tcW w:w="1086" w:type="dxa"/>
            <w:vAlign w:val="center"/>
          </w:tcPr>
          <w:p w14:paraId="3B87372F">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16</w:t>
            </w:r>
          </w:p>
        </w:tc>
        <w:tc>
          <w:tcPr>
            <w:tcW w:w="1090" w:type="dxa"/>
            <w:vAlign w:val="center"/>
          </w:tcPr>
          <w:p w14:paraId="4D5CE48F">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12</w:t>
            </w:r>
          </w:p>
        </w:tc>
        <w:tc>
          <w:tcPr>
            <w:tcW w:w="1135" w:type="dxa"/>
            <w:shd w:val="clear" w:color="auto" w:fill="auto"/>
            <w:vAlign w:val="center"/>
          </w:tcPr>
          <w:p w14:paraId="7FB91DA8">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12</w:t>
            </w:r>
          </w:p>
        </w:tc>
        <w:tc>
          <w:tcPr>
            <w:tcW w:w="1037" w:type="dxa"/>
            <w:shd w:val="clear" w:color="auto" w:fill="auto"/>
            <w:vAlign w:val="center"/>
          </w:tcPr>
          <w:p w14:paraId="7BB3C2D1">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14</w:t>
            </w:r>
          </w:p>
        </w:tc>
        <w:tc>
          <w:tcPr>
            <w:tcW w:w="1095" w:type="dxa"/>
            <w:gridSpan w:val="2"/>
            <w:shd w:val="clear" w:color="auto" w:fill="auto"/>
            <w:vAlign w:val="center"/>
          </w:tcPr>
          <w:p w14:paraId="3A45D7D1">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10</w:t>
            </w:r>
          </w:p>
        </w:tc>
      </w:tr>
      <w:tr w14:paraId="4A498F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42E09699">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11</w:t>
            </w:r>
          </w:p>
        </w:tc>
        <w:tc>
          <w:tcPr>
            <w:tcW w:w="1945" w:type="dxa"/>
            <w:vAlign w:val="center"/>
          </w:tcPr>
          <w:p w14:paraId="3CFE49C4">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石油烃（C</w:t>
            </w:r>
            <w:r>
              <w:rPr>
                <w:rFonts w:ascii="Times New Roman" w:hAnsi="Times New Roman" w:cs="Times New Roman"/>
                <w:caps w:val="0"/>
                <w:smallCaps w:val="0"/>
                <w:color w:val="auto"/>
                <w:spacing w:val="0"/>
                <w:w w:val="100"/>
                <w:kern w:val="2"/>
                <w:position w:val="0"/>
                <w:sz w:val="21"/>
                <w:szCs w:val="21"/>
                <w:highlight w:val="none"/>
                <w:vertAlign w:val="subscript"/>
              </w:rPr>
              <w:t>10</w:t>
            </w:r>
            <w:r>
              <w:rPr>
                <w:rFonts w:ascii="Times New Roman" w:hAnsi="Times New Roman" w:cs="Times New Roman"/>
                <w:caps w:val="0"/>
                <w:smallCaps w:val="0"/>
                <w:color w:val="auto"/>
                <w:spacing w:val="0"/>
                <w:w w:val="100"/>
                <w:kern w:val="2"/>
                <w:position w:val="0"/>
                <w:sz w:val="21"/>
                <w:szCs w:val="21"/>
                <w:highlight w:val="none"/>
              </w:rPr>
              <w:t>-C</w:t>
            </w:r>
            <w:r>
              <w:rPr>
                <w:rFonts w:ascii="Times New Roman" w:hAnsi="Times New Roman" w:cs="Times New Roman"/>
                <w:caps w:val="0"/>
                <w:smallCaps w:val="0"/>
                <w:color w:val="auto"/>
                <w:spacing w:val="0"/>
                <w:w w:val="100"/>
                <w:kern w:val="2"/>
                <w:position w:val="0"/>
                <w:sz w:val="21"/>
                <w:szCs w:val="21"/>
                <w:highlight w:val="none"/>
                <w:vertAlign w:val="subscript"/>
              </w:rPr>
              <w:t>40</w:t>
            </w:r>
            <w:r>
              <w:rPr>
                <w:rFonts w:ascii="Times New Roman" w:hAnsi="Times New Roman" w:cs="Times New Roman"/>
                <w:caps w:val="0"/>
                <w:smallCaps w:val="0"/>
                <w:color w:val="auto"/>
                <w:spacing w:val="0"/>
                <w:w w:val="100"/>
                <w:kern w:val="2"/>
                <w:position w:val="0"/>
                <w:sz w:val="21"/>
                <w:szCs w:val="21"/>
                <w:highlight w:val="none"/>
              </w:rPr>
              <w:t>）</w:t>
            </w:r>
          </w:p>
        </w:tc>
        <w:tc>
          <w:tcPr>
            <w:tcW w:w="1083" w:type="dxa"/>
            <w:vAlign w:val="center"/>
          </w:tcPr>
          <w:p w14:paraId="0260CA69">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vAlign w:val="center"/>
          </w:tcPr>
          <w:p w14:paraId="5641C85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vAlign w:val="center"/>
          </w:tcPr>
          <w:p w14:paraId="34AF2279">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135" w:type="dxa"/>
            <w:vAlign w:val="center"/>
          </w:tcPr>
          <w:p w14:paraId="3DCA5246">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37" w:type="dxa"/>
            <w:vAlign w:val="center"/>
          </w:tcPr>
          <w:p w14:paraId="15C32ADD">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5" w:type="dxa"/>
            <w:gridSpan w:val="2"/>
            <w:vAlign w:val="center"/>
          </w:tcPr>
          <w:p w14:paraId="7B50152E">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r>
      <w:tr w14:paraId="67D43C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0301E3FB">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12</w:t>
            </w:r>
          </w:p>
        </w:tc>
        <w:tc>
          <w:tcPr>
            <w:tcW w:w="1945" w:type="dxa"/>
            <w:vAlign w:val="center"/>
          </w:tcPr>
          <w:p w14:paraId="7A93CA21">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石油烃（C</w:t>
            </w:r>
            <w:r>
              <w:rPr>
                <w:rFonts w:ascii="Times New Roman" w:hAnsi="Times New Roman" w:cs="Times New Roman"/>
                <w:caps w:val="0"/>
                <w:smallCaps w:val="0"/>
                <w:color w:val="auto"/>
                <w:spacing w:val="0"/>
                <w:w w:val="100"/>
                <w:kern w:val="2"/>
                <w:position w:val="0"/>
                <w:sz w:val="21"/>
                <w:szCs w:val="21"/>
                <w:highlight w:val="none"/>
                <w:vertAlign w:val="subscript"/>
              </w:rPr>
              <w:t>6</w:t>
            </w:r>
            <w:r>
              <w:rPr>
                <w:rFonts w:ascii="Times New Roman" w:hAnsi="Times New Roman" w:cs="Times New Roman"/>
                <w:caps w:val="0"/>
                <w:smallCaps w:val="0"/>
                <w:color w:val="auto"/>
                <w:spacing w:val="0"/>
                <w:w w:val="100"/>
                <w:kern w:val="2"/>
                <w:position w:val="0"/>
                <w:sz w:val="21"/>
                <w:szCs w:val="21"/>
                <w:highlight w:val="none"/>
              </w:rPr>
              <w:t>-C</w:t>
            </w:r>
            <w:r>
              <w:rPr>
                <w:rFonts w:ascii="Times New Roman" w:hAnsi="Times New Roman" w:cs="Times New Roman"/>
                <w:caps w:val="0"/>
                <w:smallCaps w:val="0"/>
                <w:color w:val="auto"/>
                <w:spacing w:val="0"/>
                <w:w w:val="100"/>
                <w:kern w:val="2"/>
                <w:position w:val="0"/>
                <w:sz w:val="21"/>
                <w:szCs w:val="21"/>
                <w:highlight w:val="none"/>
                <w:vertAlign w:val="subscript"/>
              </w:rPr>
              <w:t>9</w:t>
            </w:r>
            <w:r>
              <w:rPr>
                <w:rFonts w:ascii="Times New Roman" w:hAnsi="Times New Roman" w:cs="Times New Roman"/>
                <w:caps w:val="0"/>
                <w:smallCaps w:val="0"/>
                <w:color w:val="auto"/>
                <w:spacing w:val="0"/>
                <w:w w:val="100"/>
                <w:kern w:val="2"/>
                <w:position w:val="0"/>
                <w:sz w:val="21"/>
                <w:szCs w:val="21"/>
                <w:highlight w:val="none"/>
              </w:rPr>
              <w:t>）</w:t>
            </w:r>
          </w:p>
        </w:tc>
        <w:tc>
          <w:tcPr>
            <w:tcW w:w="1083" w:type="dxa"/>
            <w:vAlign w:val="center"/>
          </w:tcPr>
          <w:p w14:paraId="12BE4BCE">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vAlign w:val="center"/>
          </w:tcPr>
          <w:p w14:paraId="296ED2F6">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vAlign w:val="center"/>
          </w:tcPr>
          <w:p w14:paraId="1B9FF8E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135" w:type="dxa"/>
            <w:vAlign w:val="center"/>
          </w:tcPr>
          <w:p w14:paraId="631C0E47">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37" w:type="dxa"/>
            <w:vAlign w:val="center"/>
          </w:tcPr>
          <w:p w14:paraId="465CB6A0">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5" w:type="dxa"/>
            <w:gridSpan w:val="2"/>
            <w:vAlign w:val="center"/>
          </w:tcPr>
          <w:p w14:paraId="6DD6E320">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r>
      <w:tr w14:paraId="14D59B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restart"/>
            <w:vAlign w:val="center"/>
          </w:tcPr>
          <w:p w14:paraId="540EFC75">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序号</w:t>
            </w:r>
          </w:p>
        </w:tc>
        <w:tc>
          <w:tcPr>
            <w:tcW w:w="1945" w:type="dxa"/>
            <w:vMerge w:val="restart"/>
            <w:vAlign w:val="center"/>
          </w:tcPr>
          <w:p w14:paraId="5DF7E546">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监测项目</w:t>
            </w:r>
          </w:p>
        </w:tc>
        <w:tc>
          <w:tcPr>
            <w:tcW w:w="6526" w:type="dxa"/>
            <w:gridSpan w:val="7"/>
            <w:vAlign w:val="center"/>
          </w:tcPr>
          <w:p w14:paraId="0A23A74B">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监测点位</w:t>
            </w:r>
          </w:p>
        </w:tc>
      </w:tr>
      <w:tr w14:paraId="009E36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continue"/>
            <w:vAlign w:val="center"/>
          </w:tcPr>
          <w:p w14:paraId="61AFBAC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945" w:type="dxa"/>
            <w:vMerge w:val="continue"/>
            <w:vAlign w:val="center"/>
          </w:tcPr>
          <w:p w14:paraId="2D9D80E5">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3259" w:type="dxa"/>
            <w:gridSpan w:val="3"/>
            <w:vAlign w:val="center"/>
          </w:tcPr>
          <w:p w14:paraId="0E669CCC">
            <w:pPr>
              <w:widowControl w:val="0"/>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S3</w:t>
            </w:r>
          </w:p>
        </w:tc>
        <w:tc>
          <w:tcPr>
            <w:tcW w:w="1135" w:type="dxa"/>
            <w:vAlign w:val="center"/>
          </w:tcPr>
          <w:p w14:paraId="1199FC27">
            <w:pPr>
              <w:adjustRightInd w:val="0"/>
              <w:snapToGrid w:val="0"/>
              <w:ind w:firstLine="4" w:firstLineChars="0"/>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S4</w:t>
            </w:r>
          </w:p>
        </w:tc>
        <w:tc>
          <w:tcPr>
            <w:tcW w:w="1037" w:type="dxa"/>
            <w:vAlign w:val="center"/>
          </w:tcPr>
          <w:p w14:paraId="39091C54">
            <w:pPr>
              <w:adjustRightInd w:val="0"/>
              <w:snapToGrid w:val="0"/>
              <w:ind w:firstLine="4" w:firstLineChars="0"/>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S5</w:t>
            </w:r>
          </w:p>
        </w:tc>
        <w:tc>
          <w:tcPr>
            <w:tcW w:w="1095" w:type="dxa"/>
            <w:gridSpan w:val="2"/>
            <w:vAlign w:val="center"/>
          </w:tcPr>
          <w:p w14:paraId="29C3F136">
            <w:pPr>
              <w:adjustRightInd w:val="0"/>
              <w:snapToGrid w:val="0"/>
              <w:ind w:firstLine="4" w:firstLineChars="0"/>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S6</w:t>
            </w:r>
          </w:p>
        </w:tc>
      </w:tr>
      <w:tr w14:paraId="7770C9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continue"/>
            <w:vAlign w:val="center"/>
          </w:tcPr>
          <w:p w14:paraId="38C14C3B">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945" w:type="dxa"/>
            <w:vMerge w:val="continue"/>
            <w:vAlign w:val="center"/>
          </w:tcPr>
          <w:p w14:paraId="6A96501E">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083" w:type="dxa"/>
            <w:vAlign w:val="center"/>
          </w:tcPr>
          <w:p w14:paraId="238C8330">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0-0.5m</w:t>
            </w:r>
          </w:p>
        </w:tc>
        <w:tc>
          <w:tcPr>
            <w:tcW w:w="1086" w:type="dxa"/>
            <w:vAlign w:val="center"/>
          </w:tcPr>
          <w:p w14:paraId="60919EAE">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0.5-1.5m</w:t>
            </w:r>
          </w:p>
        </w:tc>
        <w:tc>
          <w:tcPr>
            <w:tcW w:w="1090" w:type="dxa"/>
            <w:vAlign w:val="center"/>
          </w:tcPr>
          <w:p w14:paraId="4D8155AC">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1.5-3m</w:t>
            </w:r>
          </w:p>
        </w:tc>
        <w:tc>
          <w:tcPr>
            <w:tcW w:w="1135" w:type="dxa"/>
            <w:vAlign w:val="center"/>
          </w:tcPr>
          <w:p w14:paraId="75C086DD">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0-0.2m</w:t>
            </w:r>
          </w:p>
        </w:tc>
        <w:tc>
          <w:tcPr>
            <w:tcW w:w="1037" w:type="dxa"/>
            <w:vAlign w:val="top"/>
          </w:tcPr>
          <w:p w14:paraId="7602D540">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0-0.2m</w:t>
            </w:r>
          </w:p>
        </w:tc>
        <w:tc>
          <w:tcPr>
            <w:tcW w:w="1095" w:type="dxa"/>
            <w:gridSpan w:val="2"/>
            <w:vAlign w:val="top"/>
          </w:tcPr>
          <w:p w14:paraId="65BBF9F3">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0-0.2m</w:t>
            </w:r>
          </w:p>
        </w:tc>
      </w:tr>
      <w:tr w14:paraId="37AC8F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3CE769A3">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w:t>
            </w:r>
          </w:p>
        </w:tc>
        <w:tc>
          <w:tcPr>
            <w:tcW w:w="1945" w:type="dxa"/>
            <w:vAlign w:val="center"/>
          </w:tcPr>
          <w:p w14:paraId="14CC63F7">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pH</w:t>
            </w:r>
          </w:p>
        </w:tc>
        <w:tc>
          <w:tcPr>
            <w:tcW w:w="1083" w:type="dxa"/>
            <w:shd w:val="clear" w:color="auto" w:fill="auto"/>
            <w:vAlign w:val="center"/>
          </w:tcPr>
          <w:p w14:paraId="0023B4B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7.75</w:t>
            </w:r>
          </w:p>
        </w:tc>
        <w:tc>
          <w:tcPr>
            <w:tcW w:w="1086" w:type="dxa"/>
            <w:shd w:val="clear" w:color="auto" w:fill="auto"/>
            <w:vAlign w:val="center"/>
          </w:tcPr>
          <w:p w14:paraId="74D90DAC">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8.22</w:t>
            </w:r>
          </w:p>
        </w:tc>
        <w:tc>
          <w:tcPr>
            <w:tcW w:w="1090" w:type="dxa"/>
            <w:shd w:val="clear" w:color="auto" w:fill="auto"/>
            <w:vAlign w:val="center"/>
          </w:tcPr>
          <w:p w14:paraId="45EE71F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7.83</w:t>
            </w:r>
          </w:p>
        </w:tc>
        <w:tc>
          <w:tcPr>
            <w:tcW w:w="1135" w:type="dxa"/>
            <w:shd w:val="clear" w:color="auto" w:fill="auto"/>
            <w:vAlign w:val="center"/>
          </w:tcPr>
          <w:p w14:paraId="67975AA9">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8.01</w:t>
            </w:r>
          </w:p>
        </w:tc>
        <w:tc>
          <w:tcPr>
            <w:tcW w:w="1037" w:type="dxa"/>
            <w:shd w:val="clear" w:color="auto" w:fill="auto"/>
            <w:vAlign w:val="center"/>
          </w:tcPr>
          <w:p w14:paraId="347DF33E">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7.97</w:t>
            </w:r>
          </w:p>
        </w:tc>
        <w:tc>
          <w:tcPr>
            <w:tcW w:w="1095" w:type="dxa"/>
            <w:gridSpan w:val="2"/>
            <w:shd w:val="clear" w:color="auto" w:fill="auto"/>
            <w:vAlign w:val="center"/>
          </w:tcPr>
          <w:p w14:paraId="5EE94FF0">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8.12</w:t>
            </w:r>
          </w:p>
        </w:tc>
      </w:tr>
      <w:tr w14:paraId="0044BA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72151DE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2</w:t>
            </w:r>
          </w:p>
        </w:tc>
        <w:tc>
          <w:tcPr>
            <w:tcW w:w="1945" w:type="dxa"/>
            <w:vAlign w:val="center"/>
          </w:tcPr>
          <w:p w14:paraId="2F295235">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镉（Cd）</w:t>
            </w:r>
          </w:p>
        </w:tc>
        <w:tc>
          <w:tcPr>
            <w:tcW w:w="1083" w:type="dxa"/>
            <w:shd w:val="clear" w:color="auto" w:fill="auto"/>
            <w:vAlign w:val="center"/>
          </w:tcPr>
          <w:p w14:paraId="5F4377B8">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0.09</w:t>
            </w:r>
          </w:p>
        </w:tc>
        <w:tc>
          <w:tcPr>
            <w:tcW w:w="1086" w:type="dxa"/>
            <w:shd w:val="clear" w:color="auto" w:fill="auto"/>
            <w:vAlign w:val="center"/>
          </w:tcPr>
          <w:p w14:paraId="3A54BE1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0.11</w:t>
            </w:r>
          </w:p>
        </w:tc>
        <w:tc>
          <w:tcPr>
            <w:tcW w:w="1090" w:type="dxa"/>
            <w:shd w:val="clear" w:color="auto" w:fill="auto"/>
            <w:vAlign w:val="center"/>
          </w:tcPr>
          <w:p w14:paraId="600D2F93">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0.10</w:t>
            </w:r>
          </w:p>
        </w:tc>
        <w:tc>
          <w:tcPr>
            <w:tcW w:w="1135" w:type="dxa"/>
            <w:shd w:val="clear" w:color="auto" w:fill="auto"/>
            <w:vAlign w:val="center"/>
          </w:tcPr>
          <w:p w14:paraId="74E71595">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0.13</w:t>
            </w:r>
          </w:p>
        </w:tc>
        <w:tc>
          <w:tcPr>
            <w:tcW w:w="1037" w:type="dxa"/>
            <w:shd w:val="clear" w:color="auto" w:fill="auto"/>
            <w:vAlign w:val="center"/>
          </w:tcPr>
          <w:p w14:paraId="6033E6A5">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0.12</w:t>
            </w:r>
          </w:p>
        </w:tc>
        <w:tc>
          <w:tcPr>
            <w:tcW w:w="1095" w:type="dxa"/>
            <w:gridSpan w:val="2"/>
            <w:shd w:val="clear" w:color="auto" w:fill="auto"/>
            <w:vAlign w:val="center"/>
          </w:tcPr>
          <w:p w14:paraId="422428F9">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0.11</w:t>
            </w:r>
          </w:p>
        </w:tc>
      </w:tr>
      <w:tr w14:paraId="4DDD78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67C3706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3</w:t>
            </w:r>
          </w:p>
        </w:tc>
        <w:tc>
          <w:tcPr>
            <w:tcW w:w="1945" w:type="dxa"/>
            <w:vAlign w:val="center"/>
          </w:tcPr>
          <w:p w14:paraId="4FBC37F9">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汞（Hg）</w:t>
            </w:r>
          </w:p>
        </w:tc>
        <w:tc>
          <w:tcPr>
            <w:tcW w:w="1083" w:type="dxa"/>
            <w:shd w:val="clear" w:color="auto" w:fill="auto"/>
            <w:vAlign w:val="center"/>
          </w:tcPr>
          <w:p w14:paraId="02BC2CC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22</w:t>
            </w:r>
          </w:p>
        </w:tc>
        <w:tc>
          <w:tcPr>
            <w:tcW w:w="1086" w:type="dxa"/>
            <w:shd w:val="clear" w:color="auto" w:fill="auto"/>
            <w:vAlign w:val="center"/>
          </w:tcPr>
          <w:p w14:paraId="080F195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016</w:t>
            </w:r>
          </w:p>
        </w:tc>
        <w:tc>
          <w:tcPr>
            <w:tcW w:w="1090" w:type="dxa"/>
            <w:shd w:val="clear" w:color="auto" w:fill="auto"/>
            <w:vAlign w:val="center"/>
          </w:tcPr>
          <w:p w14:paraId="464C4E9D">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017</w:t>
            </w:r>
          </w:p>
        </w:tc>
        <w:tc>
          <w:tcPr>
            <w:tcW w:w="1135" w:type="dxa"/>
            <w:shd w:val="clear" w:color="auto" w:fill="auto"/>
            <w:vAlign w:val="center"/>
          </w:tcPr>
          <w:p w14:paraId="7870C15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19</w:t>
            </w:r>
          </w:p>
        </w:tc>
        <w:tc>
          <w:tcPr>
            <w:tcW w:w="1037" w:type="dxa"/>
            <w:shd w:val="clear" w:color="auto" w:fill="auto"/>
            <w:vAlign w:val="center"/>
          </w:tcPr>
          <w:p w14:paraId="18B692EF">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024</w:t>
            </w:r>
          </w:p>
        </w:tc>
        <w:tc>
          <w:tcPr>
            <w:tcW w:w="1095" w:type="dxa"/>
            <w:gridSpan w:val="2"/>
            <w:shd w:val="clear" w:color="auto" w:fill="auto"/>
            <w:vAlign w:val="center"/>
          </w:tcPr>
          <w:p w14:paraId="2F2F8A68">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021</w:t>
            </w:r>
          </w:p>
        </w:tc>
      </w:tr>
      <w:tr w14:paraId="6D81AB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445F9E04">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4</w:t>
            </w:r>
          </w:p>
        </w:tc>
        <w:tc>
          <w:tcPr>
            <w:tcW w:w="1945" w:type="dxa"/>
            <w:vAlign w:val="center"/>
          </w:tcPr>
          <w:p w14:paraId="233DE090">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砷（As）</w:t>
            </w:r>
          </w:p>
        </w:tc>
        <w:tc>
          <w:tcPr>
            <w:tcW w:w="1083" w:type="dxa"/>
            <w:shd w:val="clear" w:color="auto" w:fill="auto"/>
            <w:vAlign w:val="center"/>
          </w:tcPr>
          <w:p w14:paraId="17DCB760">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3.40</w:t>
            </w:r>
          </w:p>
        </w:tc>
        <w:tc>
          <w:tcPr>
            <w:tcW w:w="1086" w:type="dxa"/>
            <w:shd w:val="clear" w:color="auto" w:fill="auto"/>
            <w:vAlign w:val="center"/>
          </w:tcPr>
          <w:p w14:paraId="0973A729">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3.37</w:t>
            </w:r>
          </w:p>
        </w:tc>
        <w:tc>
          <w:tcPr>
            <w:tcW w:w="1090" w:type="dxa"/>
            <w:shd w:val="clear" w:color="auto" w:fill="auto"/>
            <w:vAlign w:val="center"/>
          </w:tcPr>
          <w:p w14:paraId="34E075BC">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3.32</w:t>
            </w:r>
          </w:p>
        </w:tc>
        <w:tc>
          <w:tcPr>
            <w:tcW w:w="1135" w:type="dxa"/>
            <w:shd w:val="clear" w:color="auto" w:fill="auto"/>
            <w:vAlign w:val="center"/>
          </w:tcPr>
          <w:p w14:paraId="22117CB9">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3.31</w:t>
            </w:r>
          </w:p>
        </w:tc>
        <w:tc>
          <w:tcPr>
            <w:tcW w:w="1037" w:type="dxa"/>
            <w:shd w:val="clear" w:color="auto" w:fill="auto"/>
            <w:vAlign w:val="center"/>
          </w:tcPr>
          <w:p w14:paraId="13EA8D5E">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3.27</w:t>
            </w:r>
          </w:p>
        </w:tc>
        <w:tc>
          <w:tcPr>
            <w:tcW w:w="1095" w:type="dxa"/>
            <w:gridSpan w:val="2"/>
            <w:shd w:val="clear" w:color="auto" w:fill="auto"/>
            <w:vAlign w:val="center"/>
          </w:tcPr>
          <w:p w14:paraId="283DFF8E">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3.35</w:t>
            </w:r>
          </w:p>
        </w:tc>
      </w:tr>
      <w:tr w14:paraId="5A277B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28DC6FC">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5</w:t>
            </w:r>
          </w:p>
        </w:tc>
        <w:tc>
          <w:tcPr>
            <w:tcW w:w="1945" w:type="dxa"/>
            <w:vAlign w:val="center"/>
          </w:tcPr>
          <w:p w14:paraId="3417706A">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铅（Pb）</w:t>
            </w:r>
          </w:p>
        </w:tc>
        <w:tc>
          <w:tcPr>
            <w:tcW w:w="1083" w:type="dxa"/>
            <w:shd w:val="clear" w:color="auto" w:fill="auto"/>
            <w:vAlign w:val="center"/>
          </w:tcPr>
          <w:p w14:paraId="02405533">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12</w:t>
            </w:r>
          </w:p>
        </w:tc>
        <w:tc>
          <w:tcPr>
            <w:tcW w:w="1086" w:type="dxa"/>
            <w:shd w:val="clear" w:color="auto" w:fill="auto"/>
            <w:vAlign w:val="center"/>
          </w:tcPr>
          <w:p w14:paraId="79112BF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18</w:t>
            </w:r>
          </w:p>
        </w:tc>
        <w:tc>
          <w:tcPr>
            <w:tcW w:w="1090" w:type="dxa"/>
            <w:shd w:val="clear" w:color="auto" w:fill="auto"/>
            <w:vAlign w:val="center"/>
          </w:tcPr>
          <w:p w14:paraId="22D0838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11</w:t>
            </w:r>
          </w:p>
        </w:tc>
        <w:tc>
          <w:tcPr>
            <w:tcW w:w="1135" w:type="dxa"/>
            <w:shd w:val="clear" w:color="auto" w:fill="auto"/>
            <w:vAlign w:val="center"/>
          </w:tcPr>
          <w:p w14:paraId="345329C3">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17</w:t>
            </w:r>
          </w:p>
        </w:tc>
        <w:tc>
          <w:tcPr>
            <w:tcW w:w="1037" w:type="dxa"/>
            <w:shd w:val="clear" w:color="auto" w:fill="auto"/>
            <w:vAlign w:val="center"/>
          </w:tcPr>
          <w:p w14:paraId="7575F581">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22</w:t>
            </w:r>
          </w:p>
        </w:tc>
        <w:tc>
          <w:tcPr>
            <w:tcW w:w="1095" w:type="dxa"/>
            <w:gridSpan w:val="2"/>
            <w:shd w:val="clear" w:color="auto" w:fill="auto"/>
            <w:vAlign w:val="center"/>
          </w:tcPr>
          <w:p w14:paraId="495843A2">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18</w:t>
            </w:r>
          </w:p>
        </w:tc>
      </w:tr>
      <w:tr w14:paraId="052CFF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37C2CBFD">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6</w:t>
            </w:r>
          </w:p>
        </w:tc>
        <w:tc>
          <w:tcPr>
            <w:tcW w:w="1945" w:type="dxa"/>
            <w:vAlign w:val="center"/>
          </w:tcPr>
          <w:p w14:paraId="471889F1">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铬（六价）</w:t>
            </w:r>
          </w:p>
        </w:tc>
        <w:tc>
          <w:tcPr>
            <w:tcW w:w="1083" w:type="dxa"/>
            <w:shd w:val="clear" w:color="auto" w:fill="auto"/>
            <w:vAlign w:val="center"/>
          </w:tcPr>
          <w:p w14:paraId="1370C502">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shd w:val="clear" w:color="auto" w:fill="auto"/>
            <w:vAlign w:val="center"/>
          </w:tcPr>
          <w:p w14:paraId="6842AB20">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shd w:val="clear" w:color="auto" w:fill="auto"/>
            <w:vAlign w:val="center"/>
          </w:tcPr>
          <w:p w14:paraId="60ABDCD0">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135" w:type="dxa"/>
            <w:shd w:val="clear" w:color="auto" w:fill="auto"/>
            <w:vAlign w:val="center"/>
          </w:tcPr>
          <w:p w14:paraId="3C4310DF">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37" w:type="dxa"/>
            <w:shd w:val="clear" w:color="auto" w:fill="auto"/>
            <w:vAlign w:val="center"/>
          </w:tcPr>
          <w:p w14:paraId="73EB17C5">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95" w:type="dxa"/>
            <w:gridSpan w:val="2"/>
            <w:shd w:val="clear" w:color="auto" w:fill="auto"/>
            <w:vAlign w:val="center"/>
          </w:tcPr>
          <w:p w14:paraId="1CFBDBD3">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r>
      <w:tr w14:paraId="152ABE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A600BA3">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7</w:t>
            </w:r>
          </w:p>
        </w:tc>
        <w:tc>
          <w:tcPr>
            <w:tcW w:w="1945" w:type="dxa"/>
            <w:vAlign w:val="center"/>
          </w:tcPr>
          <w:p w14:paraId="41AB43F5">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铜（Cu）</w:t>
            </w:r>
          </w:p>
        </w:tc>
        <w:tc>
          <w:tcPr>
            <w:tcW w:w="1083" w:type="dxa"/>
            <w:shd w:val="clear" w:color="auto" w:fill="auto"/>
            <w:vAlign w:val="center"/>
          </w:tcPr>
          <w:p w14:paraId="625ADC61">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11</w:t>
            </w:r>
          </w:p>
        </w:tc>
        <w:tc>
          <w:tcPr>
            <w:tcW w:w="1086" w:type="dxa"/>
            <w:shd w:val="clear" w:color="auto" w:fill="auto"/>
            <w:vAlign w:val="center"/>
          </w:tcPr>
          <w:p w14:paraId="52C54EED">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13</w:t>
            </w:r>
          </w:p>
        </w:tc>
        <w:tc>
          <w:tcPr>
            <w:tcW w:w="1090" w:type="dxa"/>
            <w:shd w:val="clear" w:color="auto" w:fill="auto"/>
            <w:vAlign w:val="center"/>
          </w:tcPr>
          <w:p w14:paraId="7671C431">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16</w:t>
            </w:r>
          </w:p>
        </w:tc>
        <w:tc>
          <w:tcPr>
            <w:tcW w:w="1135" w:type="dxa"/>
            <w:shd w:val="clear" w:color="auto" w:fill="auto"/>
            <w:vAlign w:val="center"/>
          </w:tcPr>
          <w:p w14:paraId="058093CD">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13</w:t>
            </w:r>
          </w:p>
        </w:tc>
        <w:tc>
          <w:tcPr>
            <w:tcW w:w="1037" w:type="dxa"/>
            <w:shd w:val="clear" w:color="auto" w:fill="auto"/>
            <w:vAlign w:val="center"/>
          </w:tcPr>
          <w:p w14:paraId="30B2C6A9">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18</w:t>
            </w:r>
          </w:p>
        </w:tc>
        <w:tc>
          <w:tcPr>
            <w:tcW w:w="1095" w:type="dxa"/>
            <w:gridSpan w:val="2"/>
            <w:shd w:val="clear" w:color="auto" w:fill="auto"/>
            <w:vAlign w:val="center"/>
          </w:tcPr>
          <w:p w14:paraId="557C1B28">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12</w:t>
            </w:r>
          </w:p>
        </w:tc>
      </w:tr>
      <w:tr w14:paraId="2971E8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3DED11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8</w:t>
            </w:r>
          </w:p>
        </w:tc>
        <w:tc>
          <w:tcPr>
            <w:tcW w:w="1945" w:type="dxa"/>
            <w:vAlign w:val="center"/>
          </w:tcPr>
          <w:p w14:paraId="36085392">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镍（Ni）</w:t>
            </w:r>
          </w:p>
        </w:tc>
        <w:tc>
          <w:tcPr>
            <w:tcW w:w="1083" w:type="dxa"/>
            <w:shd w:val="clear" w:color="auto" w:fill="auto"/>
            <w:vAlign w:val="center"/>
          </w:tcPr>
          <w:p w14:paraId="787AD74F">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18</w:t>
            </w:r>
          </w:p>
        </w:tc>
        <w:tc>
          <w:tcPr>
            <w:tcW w:w="1086" w:type="dxa"/>
            <w:shd w:val="clear" w:color="auto" w:fill="auto"/>
            <w:vAlign w:val="center"/>
          </w:tcPr>
          <w:p w14:paraId="1BA2F8A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22</w:t>
            </w:r>
          </w:p>
        </w:tc>
        <w:tc>
          <w:tcPr>
            <w:tcW w:w="1090" w:type="dxa"/>
            <w:shd w:val="clear" w:color="auto" w:fill="auto"/>
            <w:vAlign w:val="center"/>
          </w:tcPr>
          <w:p w14:paraId="5629B10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21</w:t>
            </w:r>
          </w:p>
        </w:tc>
        <w:tc>
          <w:tcPr>
            <w:tcW w:w="1135" w:type="dxa"/>
            <w:shd w:val="clear" w:color="auto" w:fill="auto"/>
            <w:vAlign w:val="center"/>
          </w:tcPr>
          <w:p w14:paraId="18792047">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24</w:t>
            </w:r>
          </w:p>
        </w:tc>
        <w:tc>
          <w:tcPr>
            <w:tcW w:w="1037" w:type="dxa"/>
            <w:shd w:val="clear" w:color="auto" w:fill="auto"/>
            <w:vAlign w:val="center"/>
          </w:tcPr>
          <w:p w14:paraId="79D80940">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20</w:t>
            </w:r>
          </w:p>
        </w:tc>
        <w:tc>
          <w:tcPr>
            <w:tcW w:w="1095" w:type="dxa"/>
            <w:gridSpan w:val="2"/>
            <w:shd w:val="clear" w:color="auto" w:fill="auto"/>
            <w:vAlign w:val="center"/>
          </w:tcPr>
          <w:p w14:paraId="6FE7C4B3">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19</w:t>
            </w:r>
          </w:p>
        </w:tc>
      </w:tr>
      <w:tr w14:paraId="02AA6A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1202E86E">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9</w:t>
            </w:r>
          </w:p>
        </w:tc>
        <w:tc>
          <w:tcPr>
            <w:tcW w:w="1945" w:type="dxa"/>
            <w:vAlign w:val="center"/>
          </w:tcPr>
          <w:p w14:paraId="149B8D3E">
            <w:pPr>
              <w:widowControl w:val="0"/>
              <w:adjustRightInd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水溶性盐总量</w:t>
            </w:r>
          </w:p>
        </w:tc>
        <w:tc>
          <w:tcPr>
            <w:tcW w:w="1083" w:type="dxa"/>
            <w:shd w:val="clear" w:color="auto" w:fill="auto"/>
            <w:vAlign w:val="center"/>
          </w:tcPr>
          <w:p w14:paraId="2E864FB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700</w:t>
            </w:r>
          </w:p>
        </w:tc>
        <w:tc>
          <w:tcPr>
            <w:tcW w:w="1086" w:type="dxa"/>
            <w:shd w:val="clear" w:color="auto" w:fill="auto"/>
            <w:vAlign w:val="center"/>
          </w:tcPr>
          <w:p w14:paraId="71AD61FE">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600</w:t>
            </w:r>
          </w:p>
        </w:tc>
        <w:tc>
          <w:tcPr>
            <w:tcW w:w="1090" w:type="dxa"/>
            <w:shd w:val="clear" w:color="auto" w:fill="auto"/>
            <w:vAlign w:val="center"/>
          </w:tcPr>
          <w:p w14:paraId="23953BC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700</w:t>
            </w:r>
          </w:p>
        </w:tc>
        <w:tc>
          <w:tcPr>
            <w:tcW w:w="1135" w:type="dxa"/>
            <w:shd w:val="clear" w:color="auto" w:fill="auto"/>
            <w:vAlign w:val="center"/>
          </w:tcPr>
          <w:p w14:paraId="2F23B197">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600</w:t>
            </w:r>
          </w:p>
        </w:tc>
        <w:tc>
          <w:tcPr>
            <w:tcW w:w="1037" w:type="dxa"/>
            <w:shd w:val="clear" w:color="auto" w:fill="auto"/>
            <w:vAlign w:val="center"/>
          </w:tcPr>
          <w:p w14:paraId="0760B557">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700</w:t>
            </w:r>
          </w:p>
        </w:tc>
        <w:tc>
          <w:tcPr>
            <w:tcW w:w="1095" w:type="dxa"/>
            <w:gridSpan w:val="2"/>
            <w:shd w:val="clear" w:color="auto" w:fill="auto"/>
            <w:vAlign w:val="center"/>
          </w:tcPr>
          <w:p w14:paraId="24198906">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700</w:t>
            </w:r>
          </w:p>
        </w:tc>
      </w:tr>
      <w:tr w14:paraId="32692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5EC17066">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10</w:t>
            </w:r>
          </w:p>
        </w:tc>
        <w:tc>
          <w:tcPr>
            <w:tcW w:w="1945" w:type="dxa"/>
            <w:vAlign w:val="center"/>
          </w:tcPr>
          <w:p w14:paraId="3E01D79E">
            <w:pPr>
              <w:widowControl w:val="0"/>
              <w:adjustRightInd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石油类</w:t>
            </w:r>
          </w:p>
        </w:tc>
        <w:tc>
          <w:tcPr>
            <w:tcW w:w="1083" w:type="dxa"/>
            <w:shd w:val="clear" w:color="auto" w:fill="auto"/>
            <w:vAlign w:val="center"/>
          </w:tcPr>
          <w:p w14:paraId="67B99BB7">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11</w:t>
            </w:r>
          </w:p>
        </w:tc>
        <w:tc>
          <w:tcPr>
            <w:tcW w:w="1086" w:type="dxa"/>
            <w:shd w:val="clear" w:color="auto" w:fill="auto"/>
            <w:vAlign w:val="center"/>
          </w:tcPr>
          <w:p w14:paraId="5697BB15">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13</w:t>
            </w:r>
          </w:p>
        </w:tc>
        <w:tc>
          <w:tcPr>
            <w:tcW w:w="1090" w:type="dxa"/>
            <w:shd w:val="clear" w:color="auto" w:fill="auto"/>
            <w:vAlign w:val="center"/>
          </w:tcPr>
          <w:p w14:paraId="15F0FB49">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12</w:t>
            </w:r>
          </w:p>
        </w:tc>
        <w:tc>
          <w:tcPr>
            <w:tcW w:w="1135" w:type="dxa"/>
            <w:shd w:val="clear" w:color="auto" w:fill="auto"/>
            <w:vAlign w:val="center"/>
          </w:tcPr>
          <w:p w14:paraId="58E4CD2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11</w:t>
            </w:r>
          </w:p>
        </w:tc>
        <w:tc>
          <w:tcPr>
            <w:tcW w:w="1037" w:type="dxa"/>
            <w:shd w:val="clear" w:color="auto" w:fill="auto"/>
            <w:vAlign w:val="center"/>
          </w:tcPr>
          <w:p w14:paraId="5C9F1C65">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13</w:t>
            </w:r>
          </w:p>
        </w:tc>
        <w:tc>
          <w:tcPr>
            <w:tcW w:w="1095" w:type="dxa"/>
            <w:gridSpan w:val="2"/>
            <w:shd w:val="clear" w:color="auto" w:fill="auto"/>
            <w:vAlign w:val="center"/>
          </w:tcPr>
          <w:p w14:paraId="5F11369E">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12</w:t>
            </w:r>
          </w:p>
        </w:tc>
      </w:tr>
      <w:tr w14:paraId="369B5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06678B1B">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11</w:t>
            </w:r>
          </w:p>
        </w:tc>
        <w:tc>
          <w:tcPr>
            <w:tcW w:w="1945" w:type="dxa"/>
            <w:vAlign w:val="center"/>
          </w:tcPr>
          <w:p w14:paraId="4D502C60">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石油烃（C</w:t>
            </w:r>
            <w:r>
              <w:rPr>
                <w:rFonts w:ascii="Times New Roman" w:hAnsi="Times New Roman" w:cs="Times New Roman"/>
                <w:caps w:val="0"/>
                <w:smallCaps w:val="0"/>
                <w:color w:val="auto"/>
                <w:spacing w:val="0"/>
                <w:w w:val="100"/>
                <w:kern w:val="2"/>
                <w:position w:val="0"/>
                <w:sz w:val="21"/>
                <w:szCs w:val="21"/>
                <w:highlight w:val="none"/>
                <w:vertAlign w:val="subscript"/>
              </w:rPr>
              <w:t>10</w:t>
            </w:r>
            <w:r>
              <w:rPr>
                <w:rFonts w:ascii="Times New Roman" w:hAnsi="Times New Roman" w:cs="Times New Roman"/>
                <w:caps w:val="0"/>
                <w:smallCaps w:val="0"/>
                <w:color w:val="auto"/>
                <w:spacing w:val="0"/>
                <w:w w:val="100"/>
                <w:kern w:val="2"/>
                <w:position w:val="0"/>
                <w:sz w:val="21"/>
                <w:szCs w:val="21"/>
                <w:highlight w:val="none"/>
              </w:rPr>
              <w:t>-C</w:t>
            </w:r>
            <w:r>
              <w:rPr>
                <w:rFonts w:ascii="Times New Roman" w:hAnsi="Times New Roman" w:cs="Times New Roman"/>
                <w:caps w:val="0"/>
                <w:smallCaps w:val="0"/>
                <w:color w:val="auto"/>
                <w:spacing w:val="0"/>
                <w:w w:val="100"/>
                <w:kern w:val="2"/>
                <w:position w:val="0"/>
                <w:sz w:val="21"/>
                <w:szCs w:val="21"/>
                <w:highlight w:val="none"/>
                <w:vertAlign w:val="subscript"/>
              </w:rPr>
              <w:t>40</w:t>
            </w:r>
            <w:r>
              <w:rPr>
                <w:rFonts w:ascii="Times New Roman" w:hAnsi="Times New Roman" w:cs="Times New Roman"/>
                <w:caps w:val="0"/>
                <w:smallCaps w:val="0"/>
                <w:color w:val="auto"/>
                <w:spacing w:val="0"/>
                <w:w w:val="100"/>
                <w:kern w:val="2"/>
                <w:position w:val="0"/>
                <w:sz w:val="21"/>
                <w:szCs w:val="21"/>
                <w:highlight w:val="none"/>
              </w:rPr>
              <w:t>）</w:t>
            </w:r>
          </w:p>
        </w:tc>
        <w:tc>
          <w:tcPr>
            <w:tcW w:w="1083" w:type="dxa"/>
            <w:vAlign w:val="center"/>
          </w:tcPr>
          <w:p w14:paraId="17C3471A">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vAlign w:val="center"/>
          </w:tcPr>
          <w:p w14:paraId="398B7D53">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vAlign w:val="center"/>
          </w:tcPr>
          <w:p w14:paraId="37539A91">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135" w:type="dxa"/>
            <w:shd w:val="clear" w:color="auto" w:fill="auto"/>
            <w:vAlign w:val="center"/>
          </w:tcPr>
          <w:p w14:paraId="1D5D761C">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37" w:type="dxa"/>
            <w:shd w:val="clear" w:color="auto" w:fill="auto"/>
            <w:vAlign w:val="center"/>
          </w:tcPr>
          <w:p w14:paraId="2588C3F3">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5" w:type="dxa"/>
            <w:gridSpan w:val="2"/>
            <w:shd w:val="clear" w:color="auto" w:fill="auto"/>
            <w:vAlign w:val="center"/>
          </w:tcPr>
          <w:p w14:paraId="0AD20876">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r>
      <w:tr w14:paraId="7A0E8D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01B5FEA8">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12</w:t>
            </w:r>
          </w:p>
        </w:tc>
        <w:tc>
          <w:tcPr>
            <w:tcW w:w="1945" w:type="dxa"/>
            <w:vAlign w:val="center"/>
          </w:tcPr>
          <w:p w14:paraId="3DF730B3">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石油烃（C</w:t>
            </w:r>
            <w:r>
              <w:rPr>
                <w:rFonts w:ascii="Times New Roman" w:hAnsi="Times New Roman" w:cs="Times New Roman"/>
                <w:caps w:val="0"/>
                <w:smallCaps w:val="0"/>
                <w:color w:val="auto"/>
                <w:spacing w:val="0"/>
                <w:w w:val="100"/>
                <w:kern w:val="2"/>
                <w:position w:val="0"/>
                <w:sz w:val="21"/>
                <w:szCs w:val="21"/>
                <w:highlight w:val="none"/>
                <w:vertAlign w:val="subscript"/>
              </w:rPr>
              <w:t>6</w:t>
            </w:r>
            <w:r>
              <w:rPr>
                <w:rFonts w:ascii="Times New Roman" w:hAnsi="Times New Roman" w:cs="Times New Roman"/>
                <w:caps w:val="0"/>
                <w:smallCaps w:val="0"/>
                <w:color w:val="auto"/>
                <w:spacing w:val="0"/>
                <w:w w:val="100"/>
                <w:kern w:val="2"/>
                <w:position w:val="0"/>
                <w:sz w:val="21"/>
                <w:szCs w:val="21"/>
                <w:highlight w:val="none"/>
              </w:rPr>
              <w:t>-C</w:t>
            </w:r>
            <w:r>
              <w:rPr>
                <w:rFonts w:ascii="Times New Roman" w:hAnsi="Times New Roman" w:cs="Times New Roman"/>
                <w:caps w:val="0"/>
                <w:smallCaps w:val="0"/>
                <w:color w:val="auto"/>
                <w:spacing w:val="0"/>
                <w:w w:val="100"/>
                <w:kern w:val="2"/>
                <w:position w:val="0"/>
                <w:sz w:val="21"/>
                <w:szCs w:val="21"/>
                <w:highlight w:val="none"/>
                <w:vertAlign w:val="subscript"/>
              </w:rPr>
              <w:t>9</w:t>
            </w:r>
            <w:r>
              <w:rPr>
                <w:rFonts w:ascii="Times New Roman" w:hAnsi="Times New Roman" w:cs="Times New Roman"/>
                <w:caps w:val="0"/>
                <w:smallCaps w:val="0"/>
                <w:color w:val="auto"/>
                <w:spacing w:val="0"/>
                <w:w w:val="100"/>
                <w:kern w:val="2"/>
                <w:position w:val="0"/>
                <w:sz w:val="21"/>
                <w:szCs w:val="21"/>
                <w:highlight w:val="none"/>
              </w:rPr>
              <w:t>）</w:t>
            </w:r>
          </w:p>
        </w:tc>
        <w:tc>
          <w:tcPr>
            <w:tcW w:w="1083" w:type="dxa"/>
            <w:vAlign w:val="center"/>
          </w:tcPr>
          <w:p w14:paraId="4F140950">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vAlign w:val="center"/>
          </w:tcPr>
          <w:p w14:paraId="4EB61B1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vAlign w:val="center"/>
          </w:tcPr>
          <w:p w14:paraId="3B39A003">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135" w:type="dxa"/>
            <w:shd w:val="clear" w:color="auto" w:fill="auto"/>
            <w:vAlign w:val="center"/>
          </w:tcPr>
          <w:p w14:paraId="2CBC7373">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37" w:type="dxa"/>
            <w:shd w:val="clear" w:color="auto" w:fill="auto"/>
            <w:vAlign w:val="center"/>
          </w:tcPr>
          <w:p w14:paraId="54A5CCE1">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5" w:type="dxa"/>
            <w:gridSpan w:val="2"/>
            <w:shd w:val="clear" w:color="auto" w:fill="auto"/>
            <w:vAlign w:val="center"/>
          </w:tcPr>
          <w:p w14:paraId="77B1C63A">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r>
      <w:tr w14:paraId="33E90D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Merge w:val="restart"/>
            <w:vAlign w:val="center"/>
          </w:tcPr>
          <w:p w14:paraId="1B66302F">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序号</w:t>
            </w:r>
          </w:p>
        </w:tc>
        <w:tc>
          <w:tcPr>
            <w:tcW w:w="1945" w:type="dxa"/>
            <w:vMerge w:val="restart"/>
            <w:vAlign w:val="center"/>
          </w:tcPr>
          <w:p w14:paraId="3A533226">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监测项目</w:t>
            </w:r>
          </w:p>
        </w:tc>
        <w:tc>
          <w:tcPr>
            <w:tcW w:w="6542" w:type="dxa"/>
            <w:gridSpan w:val="8"/>
            <w:vAlign w:val="center"/>
          </w:tcPr>
          <w:p w14:paraId="24B7A2B0">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监测点位</w:t>
            </w:r>
          </w:p>
        </w:tc>
      </w:tr>
      <w:tr w14:paraId="02AB88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Merge w:val="continue"/>
            <w:vAlign w:val="center"/>
          </w:tcPr>
          <w:p w14:paraId="0EB15617">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945" w:type="dxa"/>
            <w:vMerge w:val="continue"/>
            <w:vAlign w:val="center"/>
          </w:tcPr>
          <w:p w14:paraId="44406C86">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083" w:type="dxa"/>
            <w:vAlign w:val="center"/>
          </w:tcPr>
          <w:p w14:paraId="7690250C">
            <w:pPr>
              <w:adjustRightInd w:val="0"/>
              <w:snapToGrid w:val="0"/>
              <w:ind w:firstLine="4" w:firstLineChars="0"/>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S7</w:t>
            </w:r>
          </w:p>
        </w:tc>
        <w:tc>
          <w:tcPr>
            <w:tcW w:w="1086" w:type="dxa"/>
            <w:vAlign w:val="center"/>
          </w:tcPr>
          <w:p w14:paraId="472D7528">
            <w:pPr>
              <w:adjustRightInd w:val="0"/>
              <w:snapToGrid w:val="0"/>
              <w:ind w:firstLine="4" w:firstLineChars="0"/>
              <w:jc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cs="Times New Roman"/>
                <w:caps w:val="0"/>
                <w:smallCaps w:val="0"/>
                <w:color w:val="auto"/>
                <w:spacing w:val="0"/>
                <w:w w:val="100"/>
                <w:position w:val="0"/>
                <w:sz w:val="21"/>
                <w:szCs w:val="21"/>
                <w:highlight w:val="none"/>
                <w:lang w:val="en-US" w:eastAsia="zh-CN"/>
              </w:rPr>
              <w:t>S8</w:t>
            </w:r>
          </w:p>
        </w:tc>
        <w:tc>
          <w:tcPr>
            <w:tcW w:w="1090" w:type="dxa"/>
            <w:vAlign w:val="center"/>
          </w:tcPr>
          <w:p w14:paraId="02DDB768">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135" w:type="dxa"/>
            <w:tcBorders>
              <w:right w:val="single" w:color="auto" w:sz="4" w:space="0"/>
            </w:tcBorders>
            <w:vAlign w:val="center"/>
          </w:tcPr>
          <w:p w14:paraId="12EA2B6F">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tcBorders>
              <w:left w:val="single" w:color="auto" w:sz="4" w:space="0"/>
            </w:tcBorders>
            <w:vAlign w:val="center"/>
          </w:tcPr>
          <w:p w14:paraId="3C90EE5B">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tcBorders>
              <w:left w:val="single" w:color="auto" w:sz="4" w:space="0"/>
            </w:tcBorders>
            <w:vAlign w:val="center"/>
          </w:tcPr>
          <w:p w14:paraId="1F14F945">
            <w:pPr>
              <w:jc w:val="center"/>
              <w:textAlignment w:val="center"/>
              <w:rPr>
                <w:rFonts w:ascii="Times New Roman" w:hAnsi="Times New Roman" w:cs="Times New Roman"/>
                <w:caps w:val="0"/>
                <w:smallCaps w:val="0"/>
                <w:color w:val="auto"/>
                <w:spacing w:val="0"/>
                <w:w w:val="100"/>
                <w:position w:val="0"/>
                <w:sz w:val="21"/>
                <w:szCs w:val="21"/>
                <w:highlight w:val="none"/>
              </w:rPr>
            </w:pPr>
          </w:p>
        </w:tc>
      </w:tr>
      <w:tr w14:paraId="77E02B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Merge w:val="continue"/>
            <w:vAlign w:val="center"/>
          </w:tcPr>
          <w:p w14:paraId="09963A2B">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945" w:type="dxa"/>
            <w:vMerge w:val="continue"/>
            <w:vAlign w:val="center"/>
          </w:tcPr>
          <w:p w14:paraId="63424B54">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p>
        </w:tc>
        <w:tc>
          <w:tcPr>
            <w:tcW w:w="1083" w:type="dxa"/>
            <w:vAlign w:val="center"/>
          </w:tcPr>
          <w:p w14:paraId="0150BFD5">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0-0.2m</w:t>
            </w:r>
          </w:p>
        </w:tc>
        <w:tc>
          <w:tcPr>
            <w:tcW w:w="1086" w:type="dxa"/>
            <w:vAlign w:val="top"/>
          </w:tcPr>
          <w:p w14:paraId="11DC0F45">
            <w:pPr>
              <w:widowControl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0-0.2m</w:t>
            </w:r>
          </w:p>
        </w:tc>
        <w:tc>
          <w:tcPr>
            <w:tcW w:w="1090" w:type="dxa"/>
            <w:vAlign w:val="center"/>
          </w:tcPr>
          <w:p w14:paraId="42428915">
            <w:pPr>
              <w:widowControl w:val="0"/>
              <w:jc w:val="center"/>
              <w:rPr>
                <w:rFonts w:ascii="Times New Roman" w:hAnsi="Times New Roman" w:cs="Times New Roman"/>
                <w:caps w:val="0"/>
                <w:smallCaps w:val="0"/>
                <w:color w:val="auto"/>
                <w:spacing w:val="0"/>
                <w:w w:val="100"/>
                <w:position w:val="0"/>
                <w:sz w:val="21"/>
                <w:szCs w:val="21"/>
                <w:highlight w:val="none"/>
              </w:rPr>
            </w:pPr>
          </w:p>
        </w:tc>
        <w:tc>
          <w:tcPr>
            <w:tcW w:w="1135" w:type="dxa"/>
            <w:tcBorders>
              <w:right w:val="single" w:color="auto" w:sz="4" w:space="0"/>
            </w:tcBorders>
            <w:vAlign w:val="center"/>
          </w:tcPr>
          <w:p w14:paraId="0D91C6C2">
            <w:pPr>
              <w:widowControl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tcBorders>
              <w:left w:val="single" w:color="auto" w:sz="4" w:space="0"/>
              <w:right w:val="single" w:color="auto" w:sz="4" w:space="0"/>
            </w:tcBorders>
          </w:tcPr>
          <w:p w14:paraId="2C82AD49">
            <w:pPr>
              <w:widowControl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tcBorders>
              <w:left w:val="single" w:color="auto" w:sz="4" w:space="0"/>
            </w:tcBorders>
          </w:tcPr>
          <w:p w14:paraId="2C3E94D3">
            <w:pPr>
              <w:widowControl w:val="0"/>
              <w:jc w:val="center"/>
              <w:rPr>
                <w:rFonts w:ascii="Times New Roman" w:hAnsi="Times New Roman" w:cs="Times New Roman"/>
                <w:caps w:val="0"/>
                <w:smallCaps w:val="0"/>
                <w:color w:val="auto"/>
                <w:spacing w:val="0"/>
                <w:w w:val="100"/>
                <w:position w:val="0"/>
                <w:sz w:val="21"/>
                <w:szCs w:val="21"/>
                <w:highlight w:val="none"/>
              </w:rPr>
            </w:pPr>
          </w:p>
        </w:tc>
      </w:tr>
      <w:tr w14:paraId="4B3F99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6DE57D51">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w:t>
            </w:r>
          </w:p>
        </w:tc>
        <w:tc>
          <w:tcPr>
            <w:tcW w:w="1945" w:type="dxa"/>
            <w:vAlign w:val="center"/>
          </w:tcPr>
          <w:p w14:paraId="18058523">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pH</w:t>
            </w:r>
          </w:p>
        </w:tc>
        <w:tc>
          <w:tcPr>
            <w:tcW w:w="1083" w:type="dxa"/>
            <w:shd w:val="clear" w:color="auto" w:fill="auto"/>
            <w:vAlign w:val="center"/>
          </w:tcPr>
          <w:p w14:paraId="26D15B2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7.85</w:t>
            </w:r>
          </w:p>
        </w:tc>
        <w:tc>
          <w:tcPr>
            <w:tcW w:w="1086" w:type="dxa"/>
            <w:shd w:val="clear" w:color="auto" w:fill="auto"/>
            <w:vAlign w:val="center"/>
          </w:tcPr>
          <w:p w14:paraId="48A35717">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7.78</w:t>
            </w:r>
          </w:p>
        </w:tc>
        <w:tc>
          <w:tcPr>
            <w:tcW w:w="1090" w:type="dxa"/>
            <w:vAlign w:val="center"/>
          </w:tcPr>
          <w:p w14:paraId="3D50D85C">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61891471">
            <w:pPr>
              <w:tabs>
                <w:tab w:val="left" w:pos="679"/>
              </w:tabs>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62E216C7">
            <w:pPr>
              <w:tabs>
                <w:tab w:val="left" w:pos="679"/>
              </w:tabs>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1690C76F">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211458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61EEF6D1">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2</w:t>
            </w:r>
          </w:p>
        </w:tc>
        <w:tc>
          <w:tcPr>
            <w:tcW w:w="1945" w:type="dxa"/>
            <w:vAlign w:val="center"/>
          </w:tcPr>
          <w:p w14:paraId="277F9D8C">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镉（Cd）</w:t>
            </w:r>
          </w:p>
        </w:tc>
        <w:tc>
          <w:tcPr>
            <w:tcW w:w="1083" w:type="dxa"/>
            <w:shd w:val="clear" w:color="auto" w:fill="auto"/>
            <w:vAlign w:val="center"/>
          </w:tcPr>
          <w:p w14:paraId="65CBD3BB">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0.09</w:t>
            </w:r>
          </w:p>
        </w:tc>
        <w:tc>
          <w:tcPr>
            <w:tcW w:w="1086" w:type="dxa"/>
            <w:shd w:val="clear" w:color="auto" w:fill="auto"/>
            <w:vAlign w:val="center"/>
          </w:tcPr>
          <w:p w14:paraId="57869EE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0.11</w:t>
            </w:r>
          </w:p>
        </w:tc>
        <w:tc>
          <w:tcPr>
            <w:tcW w:w="1090" w:type="dxa"/>
            <w:vAlign w:val="center"/>
          </w:tcPr>
          <w:p w14:paraId="628AC1F5">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003FBD22">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28476EC3">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5770E52A">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5E5672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2496AA7D">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3</w:t>
            </w:r>
          </w:p>
        </w:tc>
        <w:tc>
          <w:tcPr>
            <w:tcW w:w="1945" w:type="dxa"/>
            <w:vAlign w:val="center"/>
          </w:tcPr>
          <w:p w14:paraId="431741E5">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汞（Hg）</w:t>
            </w:r>
          </w:p>
        </w:tc>
        <w:tc>
          <w:tcPr>
            <w:tcW w:w="1083" w:type="dxa"/>
            <w:shd w:val="clear" w:color="auto" w:fill="auto"/>
            <w:vAlign w:val="center"/>
          </w:tcPr>
          <w:p w14:paraId="6E47C8C7">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21</w:t>
            </w:r>
          </w:p>
        </w:tc>
        <w:tc>
          <w:tcPr>
            <w:tcW w:w="1086" w:type="dxa"/>
            <w:shd w:val="clear" w:color="auto" w:fill="auto"/>
            <w:vAlign w:val="center"/>
          </w:tcPr>
          <w:p w14:paraId="52EE6B49">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0.</w:t>
            </w: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018</w:t>
            </w:r>
          </w:p>
        </w:tc>
        <w:tc>
          <w:tcPr>
            <w:tcW w:w="1090" w:type="dxa"/>
            <w:vAlign w:val="center"/>
          </w:tcPr>
          <w:p w14:paraId="1F96A610">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716D85C8">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11B23EEC">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7E24A18C">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58EB8C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3571392F">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4</w:t>
            </w:r>
          </w:p>
        </w:tc>
        <w:tc>
          <w:tcPr>
            <w:tcW w:w="1945" w:type="dxa"/>
            <w:vAlign w:val="center"/>
          </w:tcPr>
          <w:p w14:paraId="53AB9BA3">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砷（As）</w:t>
            </w:r>
          </w:p>
        </w:tc>
        <w:tc>
          <w:tcPr>
            <w:tcW w:w="1083" w:type="dxa"/>
            <w:shd w:val="clear" w:color="auto" w:fill="auto"/>
            <w:vAlign w:val="center"/>
          </w:tcPr>
          <w:p w14:paraId="797E94B4">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3.36</w:t>
            </w:r>
          </w:p>
        </w:tc>
        <w:tc>
          <w:tcPr>
            <w:tcW w:w="1086" w:type="dxa"/>
            <w:shd w:val="clear" w:color="auto" w:fill="auto"/>
            <w:vAlign w:val="center"/>
          </w:tcPr>
          <w:p w14:paraId="081BAB17">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3.33</w:t>
            </w:r>
          </w:p>
        </w:tc>
        <w:tc>
          <w:tcPr>
            <w:tcW w:w="1090" w:type="dxa"/>
            <w:vAlign w:val="center"/>
          </w:tcPr>
          <w:p w14:paraId="287F41D6">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350D763A">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607D4D7C">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421273A6">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5B585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5F86A5F0">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5</w:t>
            </w:r>
          </w:p>
        </w:tc>
        <w:tc>
          <w:tcPr>
            <w:tcW w:w="1945" w:type="dxa"/>
            <w:vAlign w:val="center"/>
          </w:tcPr>
          <w:p w14:paraId="4B98CADE">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铅（Pb）</w:t>
            </w:r>
          </w:p>
        </w:tc>
        <w:tc>
          <w:tcPr>
            <w:tcW w:w="1083" w:type="dxa"/>
            <w:shd w:val="clear" w:color="auto" w:fill="auto"/>
            <w:vAlign w:val="center"/>
          </w:tcPr>
          <w:p w14:paraId="3FAB88F4">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19</w:t>
            </w:r>
          </w:p>
        </w:tc>
        <w:tc>
          <w:tcPr>
            <w:tcW w:w="1086" w:type="dxa"/>
            <w:shd w:val="clear" w:color="auto" w:fill="auto"/>
            <w:vAlign w:val="center"/>
          </w:tcPr>
          <w:p w14:paraId="32B1DE78">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16</w:t>
            </w:r>
          </w:p>
        </w:tc>
        <w:tc>
          <w:tcPr>
            <w:tcW w:w="1090" w:type="dxa"/>
            <w:vAlign w:val="center"/>
          </w:tcPr>
          <w:p w14:paraId="6CB075A9">
            <w:pPr>
              <w:tabs>
                <w:tab w:val="left" w:pos="267"/>
              </w:tabs>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489ECCF4">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0F299086">
            <w:pPr>
              <w:tabs>
                <w:tab w:val="left" w:pos="267"/>
              </w:tabs>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489A1D07">
            <w:pPr>
              <w:tabs>
                <w:tab w:val="left" w:pos="267"/>
              </w:tabs>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532F9C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685FEF2C">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6</w:t>
            </w:r>
          </w:p>
        </w:tc>
        <w:tc>
          <w:tcPr>
            <w:tcW w:w="1945" w:type="dxa"/>
            <w:vAlign w:val="center"/>
          </w:tcPr>
          <w:p w14:paraId="43675190">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铬（六价）</w:t>
            </w:r>
          </w:p>
        </w:tc>
        <w:tc>
          <w:tcPr>
            <w:tcW w:w="1083" w:type="dxa"/>
            <w:shd w:val="clear" w:color="auto" w:fill="auto"/>
            <w:vAlign w:val="center"/>
          </w:tcPr>
          <w:p w14:paraId="6DB0CE56">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shd w:val="clear" w:color="auto" w:fill="auto"/>
            <w:vAlign w:val="center"/>
          </w:tcPr>
          <w:p w14:paraId="32E8AEF5">
            <w:pPr>
              <w:widowControl w:val="0"/>
              <w:snapToGrid w:val="0"/>
              <w:jc w:val="cente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vAlign w:val="center"/>
          </w:tcPr>
          <w:p w14:paraId="238CAE45">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6706488F">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771A7854">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4D871B50">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050179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6480F1A9">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7</w:t>
            </w:r>
          </w:p>
        </w:tc>
        <w:tc>
          <w:tcPr>
            <w:tcW w:w="1945" w:type="dxa"/>
            <w:vAlign w:val="center"/>
          </w:tcPr>
          <w:p w14:paraId="41C3C0AD">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铜（Cu）</w:t>
            </w:r>
          </w:p>
        </w:tc>
        <w:tc>
          <w:tcPr>
            <w:tcW w:w="1083" w:type="dxa"/>
            <w:shd w:val="clear" w:color="auto" w:fill="auto"/>
            <w:vAlign w:val="center"/>
          </w:tcPr>
          <w:p w14:paraId="0DC3965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17</w:t>
            </w:r>
          </w:p>
        </w:tc>
        <w:tc>
          <w:tcPr>
            <w:tcW w:w="1086" w:type="dxa"/>
            <w:shd w:val="clear" w:color="auto" w:fill="auto"/>
            <w:vAlign w:val="center"/>
          </w:tcPr>
          <w:p w14:paraId="236BA495">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15</w:t>
            </w:r>
          </w:p>
        </w:tc>
        <w:tc>
          <w:tcPr>
            <w:tcW w:w="1090" w:type="dxa"/>
            <w:vAlign w:val="center"/>
          </w:tcPr>
          <w:p w14:paraId="7395B035">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5095D76A">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1F75E895">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09686543">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0DFB8D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24A306FA">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8</w:t>
            </w:r>
          </w:p>
        </w:tc>
        <w:tc>
          <w:tcPr>
            <w:tcW w:w="1945" w:type="dxa"/>
            <w:vAlign w:val="center"/>
          </w:tcPr>
          <w:p w14:paraId="1D4F6C3B">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镍（Ni）</w:t>
            </w:r>
          </w:p>
        </w:tc>
        <w:tc>
          <w:tcPr>
            <w:tcW w:w="1083" w:type="dxa"/>
            <w:shd w:val="clear" w:color="auto" w:fill="auto"/>
            <w:vAlign w:val="center"/>
          </w:tcPr>
          <w:p w14:paraId="0AF7CAE2">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22</w:t>
            </w:r>
          </w:p>
        </w:tc>
        <w:tc>
          <w:tcPr>
            <w:tcW w:w="1086" w:type="dxa"/>
            <w:shd w:val="clear" w:color="auto" w:fill="auto"/>
            <w:vAlign w:val="center"/>
          </w:tcPr>
          <w:p w14:paraId="5F2F0376">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24</w:t>
            </w:r>
          </w:p>
        </w:tc>
        <w:tc>
          <w:tcPr>
            <w:tcW w:w="1090" w:type="dxa"/>
            <w:vAlign w:val="center"/>
          </w:tcPr>
          <w:p w14:paraId="29A4AB06">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2D41C0E6">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4E92087A">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535C10C1">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3C06F9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06643273">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9</w:t>
            </w:r>
          </w:p>
        </w:tc>
        <w:tc>
          <w:tcPr>
            <w:tcW w:w="1945" w:type="dxa"/>
            <w:vAlign w:val="center"/>
          </w:tcPr>
          <w:p w14:paraId="4CF0083E">
            <w:pPr>
              <w:widowControl w:val="0"/>
              <w:adjustRightInd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水溶性盐总量</w:t>
            </w:r>
          </w:p>
        </w:tc>
        <w:tc>
          <w:tcPr>
            <w:tcW w:w="1083" w:type="dxa"/>
            <w:shd w:val="clear" w:color="auto" w:fill="auto"/>
            <w:vAlign w:val="center"/>
          </w:tcPr>
          <w:p w14:paraId="2F7921A5">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700</w:t>
            </w:r>
          </w:p>
        </w:tc>
        <w:tc>
          <w:tcPr>
            <w:tcW w:w="1086" w:type="dxa"/>
            <w:shd w:val="clear" w:color="auto" w:fill="auto"/>
            <w:vAlign w:val="center"/>
          </w:tcPr>
          <w:p w14:paraId="550C78B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600</w:t>
            </w:r>
          </w:p>
        </w:tc>
        <w:tc>
          <w:tcPr>
            <w:tcW w:w="1090" w:type="dxa"/>
            <w:vAlign w:val="center"/>
          </w:tcPr>
          <w:p w14:paraId="5A8063D7">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0A831B01">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62AFBE6B">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0B28EC89">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7585F3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7292BA31">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10</w:t>
            </w:r>
          </w:p>
        </w:tc>
        <w:tc>
          <w:tcPr>
            <w:tcW w:w="1945" w:type="dxa"/>
            <w:vAlign w:val="center"/>
          </w:tcPr>
          <w:p w14:paraId="01FDF180">
            <w:pPr>
              <w:widowControl w:val="0"/>
              <w:adjustRightInd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石油类</w:t>
            </w:r>
          </w:p>
        </w:tc>
        <w:tc>
          <w:tcPr>
            <w:tcW w:w="1083" w:type="dxa"/>
            <w:shd w:val="clear" w:color="auto" w:fill="auto"/>
            <w:vAlign w:val="center"/>
          </w:tcPr>
          <w:p w14:paraId="06266D2E">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10</w:t>
            </w:r>
          </w:p>
        </w:tc>
        <w:tc>
          <w:tcPr>
            <w:tcW w:w="1086" w:type="dxa"/>
            <w:shd w:val="clear" w:color="auto" w:fill="auto"/>
            <w:vAlign w:val="center"/>
          </w:tcPr>
          <w:p w14:paraId="0B37419A">
            <w:pPr>
              <w:widowControl w:val="0"/>
              <w:snapToGrid w:val="0"/>
              <w:jc w:val="center"/>
              <w:rPr>
                <w:rFonts w:hint="default" w:ascii="Times New Roman" w:hAnsi="Times New Roman" w:eastAsia="宋体" w:cs="Times New Roman"/>
                <w:caps w:val="0"/>
                <w:smallCaps w:val="0"/>
                <w:snapToGrid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snapToGrid w:val="0"/>
                <w:color w:val="auto"/>
                <w:spacing w:val="0"/>
                <w:w w:val="100"/>
                <w:position w:val="0"/>
                <w:sz w:val="21"/>
                <w:szCs w:val="21"/>
                <w:highlight w:val="none"/>
                <w:lang w:val="en-US" w:eastAsia="zh-CN"/>
              </w:rPr>
              <w:t>12</w:t>
            </w:r>
          </w:p>
        </w:tc>
        <w:tc>
          <w:tcPr>
            <w:tcW w:w="1090" w:type="dxa"/>
            <w:vAlign w:val="center"/>
          </w:tcPr>
          <w:p w14:paraId="61DC6AC7">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5FF94DEE">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7A2F7D26">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0AE104E8">
            <w:pPr>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48DA83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2EDD35B3">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11</w:t>
            </w:r>
          </w:p>
        </w:tc>
        <w:tc>
          <w:tcPr>
            <w:tcW w:w="1945" w:type="dxa"/>
            <w:vAlign w:val="center"/>
          </w:tcPr>
          <w:p w14:paraId="7761E6F8">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石油烃（C</w:t>
            </w:r>
            <w:r>
              <w:rPr>
                <w:rFonts w:ascii="Times New Roman" w:hAnsi="Times New Roman" w:cs="Times New Roman"/>
                <w:caps w:val="0"/>
                <w:smallCaps w:val="0"/>
                <w:color w:val="auto"/>
                <w:spacing w:val="0"/>
                <w:w w:val="100"/>
                <w:kern w:val="2"/>
                <w:position w:val="0"/>
                <w:sz w:val="21"/>
                <w:szCs w:val="21"/>
                <w:highlight w:val="none"/>
                <w:vertAlign w:val="subscript"/>
              </w:rPr>
              <w:t>10</w:t>
            </w:r>
            <w:r>
              <w:rPr>
                <w:rFonts w:ascii="Times New Roman" w:hAnsi="Times New Roman" w:cs="Times New Roman"/>
                <w:caps w:val="0"/>
                <w:smallCaps w:val="0"/>
                <w:color w:val="auto"/>
                <w:spacing w:val="0"/>
                <w:w w:val="100"/>
                <w:kern w:val="2"/>
                <w:position w:val="0"/>
                <w:sz w:val="21"/>
                <w:szCs w:val="21"/>
                <w:highlight w:val="none"/>
              </w:rPr>
              <w:t>-C</w:t>
            </w:r>
            <w:r>
              <w:rPr>
                <w:rFonts w:ascii="Times New Roman" w:hAnsi="Times New Roman" w:cs="Times New Roman"/>
                <w:caps w:val="0"/>
                <w:smallCaps w:val="0"/>
                <w:color w:val="auto"/>
                <w:spacing w:val="0"/>
                <w:w w:val="100"/>
                <w:kern w:val="2"/>
                <w:position w:val="0"/>
                <w:sz w:val="21"/>
                <w:szCs w:val="21"/>
                <w:highlight w:val="none"/>
                <w:vertAlign w:val="subscript"/>
              </w:rPr>
              <w:t>40</w:t>
            </w:r>
            <w:r>
              <w:rPr>
                <w:rFonts w:ascii="Times New Roman" w:hAnsi="Times New Roman" w:cs="Times New Roman"/>
                <w:caps w:val="0"/>
                <w:smallCaps w:val="0"/>
                <w:color w:val="auto"/>
                <w:spacing w:val="0"/>
                <w:w w:val="100"/>
                <w:kern w:val="2"/>
                <w:position w:val="0"/>
                <w:sz w:val="21"/>
                <w:szCs w:val="21"/>
                <w:highlight w:val="none"/>
              </w:rPr>
              <w:t>）</w:t>
            </w:r>
          </w:p>
        </w:tc>
        <w:tc>
          <w:tcPr>
            <w:tcW w:w="1083" w:type="dxa"/>
            <w:vAlign w:val="center"/>
          </w:tcPr>
          <w:p w14:paraId="01E6BB39">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vAlign w:val="center"/>
          </w:tcPr>
          <w:p w14:paraId="0BA9286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vAlign w:val="center"/>
          </w:tcPr>
          <w:p w14:paraId="737F3E06">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737B57C4">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5DE2E4F9">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64771E83">
            <w:pPr>
              <w:jc w:val="center"/>
              <w:textAlignment w:val="center"/>
              <w:rPr>
                <w:rFonts w:ascii="Times New Roman" w:hAnsi="Times New Roman" w:cs="Times New Roman"/>
                <w:caps w:val="0"/>
                <w:smallCaps w:val="0"/>
                <w:color w:val="auto"/>
                <w:spacing w:val="0"/>
                <w:w w:val="100"/>
                <w:position w:val="0"/>
                <w:sz w:val="21"/>
                <w:szCs w:val="21"/>
                <w:highlight w:val="none"/>
              </w:rPr>
            </w:pPr>
          </w:p>
        </w:tc>
      </w:tr>
      <w:tr w14:paraId="3F4955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01FA2F89">
            <w:pPr>
              <w:widowControl w:val="0"/>
              <w:snapToGrid w:val="0"/>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12</w:t>
            </w:r>
          </w:p>
        </w:tc>
        <w:tc>
          <w:tcPr>
            <w:tcW w:w="1945" w:type="dxa"/>
            <w:vAlign w:val="center"/>
          </w:tcPr>
          <w:p w14:paraId="75FE4A45">
            <w:pPr>
              <w:widowControl w:val="0"/>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石油烃（C</w:t>
            </w:r>
            <w:r>
              <w:rPr>
                <w:rFonts w:ascii="Times New Roman" w:hAnsi="Times New Roman" w:cs="Times New Roman"/>
                <w:caps w:val="0"/>
                <w:smallCaps w:val="0"/>
                <w:color w:val="auto"/>
                <w:spacing w:val="0"/>
                <w:w w:val="100"/>
                <w:kern w:val="2"/>
                <w:position w:val="0"/>
                <w:sz w:val="21"/>
                <w:szCs w:val="21"/>
                <w:highlight w:val="none"/>
                <w:vertAlign w:val="subscript"/>
              </w:rPr>
              <w:t>6</w:t>
            </w:r>
            <w:r>
              <w:rPr>
                <w:rFonts w:ascii="Times New Roman" w:hAnsi="Times New Roman" w:cs="Times New Roman"/>
                <w:caps w:val="0"/>
                <w:smallCaps w:val="0"/>
                <w:color w:val="auto"/>
                <w:spacing w:val="0"/>
                <w:w w:val="100"/>
                <w:kern w:val="2"/>
                <w:position w:val="0"/>
                <w:sz w:val="21"/>
                <w:szCs w:val="21"/>
                <w:highlight w:val="none"/>
              </w:rPr>
              <w:t>-C</w:t>
            </w:r>
            <w:r>
              <w:rPr>
                <w:rFonts w:ascii="Times New Roman" w:hAnsi="Times New Roman" w:cs="Times New Roman"/>
                <w:caps w:val="0"/>
                <w:smallCaps w:val="0"/>
                <w:color w:val="auto"/>
                <w:spacing w:val="0"/>
                <w:w w:val="100"/>
                <w:kern w:val="2"/>
                <w:position w:val="0"/>
                <w:sz w:val="21"/>
                <w:szCs w:val="21"/>
                <w:highlight w:val="none"/>
                <w:vertAlign w:val="subscript"/>
              </w:rPr>
              <w:t>9</w:t>
            </w:r>
            <w:r>
              <w:rPr>
                <w:rFonts w:ascii="Times New Roman" w:hAnsi="Times New Roman" w:cs="Times New Roman"/>
                <w:caps w:val="0"/>
                <w:smallCaps w:val="0"/>
                <w:color w:val="auto"/>
                <w:spacing w:val="0"/>
                <w:w w:val="100"/>
                <w:kern w:val="2"/>
                <w:position w:val="0"/>
                <w:sz w:val="21"/>
                <w:szCs w:val="21"/>
                <w:highlight w:val="none"/>
              </w:rPr>
              <w:t>）</w:t>
            </w:r>
          </w:p>
        </w:tc>
        <w:tc>
          <w:tcPr>
            <w:tcW w:w="1083" w:type="dxa"/>
            <w:vAlign w:val="center"/>
          </w:tcPr>
          <w:p w14:paraId="37743F6B">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86" w:type="dxa"/>
            <w:vAlign w:val="center"/>
          </w:tcPr>
          <w:p w14:paraId="01B1AA24">
            <w:pPr>
              <w:widowControl w:val="0"/>
              <w:snapToGrid w:val="0"/>
              <w:jc w:val="center"/>
              <w:rPr>
                <w:rFonts w:ascii="Times New Roman" w:hAnsi="Times New Roman" w:eastAsia="宋体" w:cs="Times New Roman"/>
                <w:caps w:val="0"/>
                <w:smallCaps w:val="0"/>
                <w:snapToGrid w:val="0"/>
                <w:color w:val="auto"/>
                <w:spacing w:val="0"/>
                <w:w w:val="100"/>
                <w:position w:val="0"/>
                <w:sz w:val="21"/>
                <w:szCs w:val="21"/>
                <w:highlight w:val="none"/>
              </w:rPr>
            </w:pPr>
            <w:r>
              <w:rPr>
                <w:rFonts w:ascii="Times New Roman" w:hAnsi="Times New Roman" w:eastAsia="宋体" w:cs="Times New Roman"/>
                <w:caps w:val="0"/>
                <w:smallCaps w:val="0"/>
                <w:snapToGrid w:val="0"/>
                <w:color w:val="auto"/>
                <w:spacing w:val="0"/>
                <w:w w:val="100"/>
                <w:position w:val="0"/>
                <w:sz w:val="21"/>
                <w:szCs w:val="21"/>
                <w:highlight w:val="none"/>
              </w:rPr>
              <w:t>未检出</w:t>
            </w:r>
          </w:p>
        </w:tc>
        <w:tc>
          <w:tcPr>
            <w:tcW w:w="1090" w:type="dxa"/>
            <w:vAlign w:val="center"/>
          </w:tcPr>
          <w:p w14:paraId="17D8D862">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135" w:type="dxa"/>
            <w:vAlign w:val="center"/>
          </w:tcPr>
          <w:p w14:paraId="74F1EF02">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134" w:type="dxa"/>
            <w:gridSpan w:val="2"/>
            <w:vAlign w:val="center"/>
          </w:tcPr>
          <w:p w14:paraId="006B148B">
            <w:pPr>
              <w:jc w:val="center"/>
              <w:textAlignment w:val="center"/>
              <w:rPr>
                <w:rFonts w:ascii="Times New Roman" w:hAnsi="Times New Roman" w:cs="Times New Roman"/>
                <w:caps w:val="0"/>
                <w:smallCaps w:val="0"/>
                <w:color w:val="auto"/>
                <w:spacing w:val="0"/>
                <w:w w:val="100"/>
                <w:position w:val="0"/>
                <w:sz w:val="21"/>
                <w:szCs w:val="21"/>
                <w:highlight w:val="none"/>
              </w:rPr>
            </w:pPr>
          </w:p>
        </w:tc>
        <w:tc>
          <w:tcPr>
            <w:tcW w:w="1014" w:type="dxa"/>
            <w:gridSpan w:val="2"/>
            <w:vAlign w:val="center"/>
          </w:tcPr>
          <w:p w14:paraId="26FFD2DE">
            <w:pPr>
              <w:jc w:val="center"/>
              <w:textAlignment w:val="center"/>
              <w:rPr>
                <w:rFonts w:ascii="Times New Roman" w:hAnsi="Times New Roman" w:cs="Times New Roman"/>
                <w:caps w:val="0"/>
                <w:smallCaps w:val="0"/>
                <w:color w:val="auto"/>
                <w:spacing w:val="0"/>
                <w:w w:val="100"/>
                <w:position w:val="0"/>
                <w:sz w:val="21"/>
                <w:szCs w:val="21"/>
                <w:highlight w:val="none"/>
              </w:rPr>
            </w:pPr>
          </w:p>
        </w:tc>
      </w:tr>
    </w:tbl>
    <w:p w14:paraId="72A8A53C">
      <w:pPr>
        <w:spacing w:line="500" w:lineRule="exact"/>
        <w:ind w:firstLine="482" w:firstLineChars="200"/>
        <w:jc w:val="both"/>
        <w:rPr>
          <w:rFonts w:ascii="Times New Roman" w:hAnsi="Times New Roman" w:cs="Times New Roman"/>
          <w:b/>
          <w:caps w:val="0"/>
          <w:smallCaps w:val="0"/>
          <w:color w:val="auto"/>
          <w:spacing w:val="0"/>
          <w:w w:val="100"/>
          <w:kern w:val="21"/>
          <w:position w:val="0"/>
          <w:highlight w:val="none"/>
          <w:lang w:bidi="zh-CN"/>
        </w:rPr>
      </w:pPr>
      <w:r>
        <w:rPr>
          <w:rFonts w:ascii="Times New Roman" w:hAnsi="Times New Roman" w:cs="Times New Roman"/>
          <w:b/>
          <w:caps w:val="0"/>
          <w:smallCaps w:val="0"/>
          <w:color w:val="auto"/>
          <w:spacing w:val="0"/>
          <w:w w:val="100"/>
          <w:kern w:val="21"/>
          <w:position w:val="0"/>
          <w:highlight w:val="none"/>
          <w:lang w:bidi="zh-CN"/>
        </w:rPr>
        <w:t>续表4.3-21   建设用地柱状及表层样土壤监测实测值  单位：mg/kg（pH除外）</w:t>
      </w:r>
    </w:p>
    <w:tbl>
      <w:tblPr>
        <w:tblStyle w:val="80"/>
        <w:tblW w:w="894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91"/>
        <w:gridCol w:w="1914"/>
        <w:gridCol w:w="1592"/>
        <w:gridCol w:w="755"/>
        <w:gridCol w:w="2362"/>
        <w:gridCol w:w="1728"/>
      </w:tblGrid>
      <w:tr w14:paraId="5E4107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Merge w:val="restart"/>
            <w:vAlign w:val="center"/>
          </w:tcPr>
          <w:p w14:paraId="4AD7E08A">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序号</w:t>
            </w:r>
          </w:p>
        </w:tc>
        <w:tc>
          <w:tcPr>
            <w:tcW w:w="1914" w:type="dxa"/>
            <w:vMerge w:val="restart"/>
            <w:vAlign w:val="center"/>
          </w:tcPr>
          <w:p w14:paraId="56CDDDC8">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监测项目</w:t>
            </w:r>
          </w:p>
        </w:tc>
        <w:tc>
          <w:tcPr>
            <w:tcW w:w="1592" w:type="dxa"/>
            <w:vAlign w:val="center"/>
          </w:tcPr>
          <w:p w14:paraId="32C21EB8">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监测点位</w:t>
            </w:r>
          </w:p>
        </w:tc>
        <w:tc>
          <w:tcPr>
            <w:tcW w:w="755" w:type="dxa"/>
            <w:vMerge w:val="restart"/>
            <w:vAlign w:val="center"/>
          </w:tcPr>
          <w:p w14:paraId="5C21433F">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序号</w:t>
            </w:r>
          </w:p>
        </w:tc>
        <w:tc>
          <w:tcPr>
            <w:tcW w:w="2362" w:type="dxa"/>
            <w:vMerge w:val="restart"/>
            <w:vAlign w:val="center"/>
          </w:tcPr>
          <w:p w14:paraId="031DAFE4">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监测项目</w:t>
            </w:r>
          </w:p>
        </w:tc>
        <w:tc>
          <w:tcPr>
            <w:tcW w:w="1728" w:type="dxa"/>
            <w:vAlign w:val="center"/>
          </w:tcPr>
          <w:p w14:paraId="24F175CD">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监测点位</w:t>
            </w:r>
          </w:p>
        </w:tc>
      </w:tr>
      <w:tr w14:paraId="0DE3F9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Merge w:val="continue"/>
            <w:vAlign w:val="center"/>
          </w:tcPr>
          <w:p w14:paraId="7FC0018E">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1914" w:type="dxa"/>
            <w:vMerge w:val="continue"/>
            <w:vAlign w:val="center"/>
          </w:tcPr>
          <w:p w14:paraId="0408A697">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1592" w:type="dxa"/>
            <w:vAlign w:val="center"/>
          </w:tcPr>
          <w:p w14:paraId="5AEBA806">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S1#～S</w:t>
            </w:r>
            <w:r>
              <w:rPr>
                <w:rFonts w:hint="eastAsia" w:ascii="Times New Roman" w:hAnsi="Times New Roman" w:cs="Times New Roman"/>
                <w:caps w:val="0"/>
                <w:smallCaps w:val="0"/>
                <w:color w:val="auto"/>
                <w:spacing w:val="0"/>
                <w:w w:val="100"/>
                <w:kern w:val="2"/>
                <w:position w:val="0"/>
                <w:sz w:val="21"/>
                <w:szCs w:val="21"/>
                <w:highlight w:val="none"/>
                <w:lang w:val="en-US" w:eastAsia="zh-CN"/>
              </w:rPr>
              <w:t>8</w:t>
            </w:r>
            <w:r>
              <w:rPr>
                <w:rFonts w:ascii="Times New Roman" w:hAnsi="Times New Roman" w:cs="Times New Roman"/>
                <w:caps w:val="0"/>
                <w:smallCaps w:val="0"/>
                <w:color w:val="auto"/>
                <w:spacing w:val="0"/>
                <w:w w:val="100"/>
                <w:kern w:val="2"/>
                <w:position w:val="0"/>
                <w:sz w:val="21"/>
                <w:szCs w:val="21"/>
                <w:highlight w:val="none"/>
              </w:rPr>
              <w:t>#点</w:t>
            </w:r>
          </w:p>
        </w:tc>
        <w:tc>
          <w:tcPr>
            <w:tcW w:w="755" w:type="dxa"/>
            <w:vMerge w:val="continue"/>
            <w:vAlign w:val="center"/>
          </w:tcPr>
          <w:p w14:paraId="1D99DEB9">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2362" w:type="dxa"/>
            <w:vMerge w:val="continue"/>
            <w:vAlign w:val="center"/>
          </w:tcPr>
          <w:p w14:paraId="3302324E">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1728" w:type="dxa"/>
            <w:vAlign w:val="center"/>
          </w:tcPr>
          <w:p w14:paraId="76509EAB">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S1#～S</w:t>
            </w:r>
            <w:r>
              <w:rPr>
                <w:rFonts w:hint="eastAsia" w:ascii="Times New Roman" w:hAnsi="Times New Roman" w:cs="Times New Roman"/>
                <w:caps w:val="0"/>
                <w:smallCaps w:val="0"/>
                <w:color w:val="auto"/>
                <w:spacing w:val="0"/>
                <w:w w:val="100"/>
                <w:kern w:val="2"/>
                <w:position w:val="0"/>
                <w:sz w:val="21"/>
                <w:szCs w:val="21"/>
                <w:highlight w:val="none"/>
                <w:lang w:val="en-US" w:eastAsia="zh-CN"/>
              </w:rPr>
              <w:t>8</w:t>
            </w:r>
            <w:r>
              <w:rPr>
                <w:rFonts w:ascii="Times New Roman" w:hAnsi="Times New Roman" w:cs="Times New Roman"/>
                <w:caps w:val="0"/>
                <w:smallCaps w:val="0"/>
                <w:color w:val="auto"/>
                <w:spacing w:val="0"/>
                <w:w w:val="100"/>
                <w:kern w:val="2"/>
                <w:position w:val="0"/>
                <w:sz w:val="21"/>
                <w:szCs w:val="21"/>
                <w:highlight w:val="none"/>
              </w:rPr>
              <w:t>#点</w:t>
            </w:r>
          </w:p>
        </w:tc>
      </w:tr>
      <w:tr w14:paraId="3DA7DB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7DD986A8">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w:t>
            </w:r>
          </w:p>
        </w:tc>
        <w:tc>
          <w:tcPr>
            <w:tcW w:w="1914" w:type="dxa"/>
            <w:vAlign w:val="center"/>
          </w:tcPr>
          <w:p w14:paraId="1D0FDE29">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四氯化碳</w:t>
            </w:r>
          </w:p>
        </w:tc>
        <w:tc>
          <w:tcPr>
            <w:tcW w:w="1592" w:type="dxa"/>
          </w:tcPr>
          <w:p w14:paraId="04CA7994">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66A6DC75">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20</w:t>
            </w:r>
          </w:p>
        </w:tc>
        <w:tc>
          <w:tcPr>
            <w:tcW w:w="2362" w:type="dxa"/>
            <w:vAlign w:val="center"/>
          </w:tcPr>
          <w:p w14:paraId="2A646F76">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氯苯</w:t>
            </w:r>
          </w:p>
        </w:tc>
        <w:tc>
          <w:tcPr>
            <w:tcW w:w="1728" w:type="dxa"/>
          </w:tcPr>
          <w:p w14:paraId="6A14DE7A">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1784B7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6BA1FCF0">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w:t>
            </w:r>
          </w:p>
        </w:tc>
        <w:tc>
          <w:tcPr>
            <w:tcW w:w="1914" w:type="dxa"/>
            <w:vAlign w:val="center"/>
          </w:tcPr>
          <w:p w14:paraId="407185A3">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氯仿</w:t>
            </w:r>
          </w:p>
        </w:tc>
        <w:tc>
          <w:tcPr>
            <w:tcW w:w="1592" w:type="dxa"/>
          </w:tcPr>
          <w:p w14:paraId="5E20A132">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24D4D2FB">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21</w:t>
            </w:r>
          </w:p>
        </w:tc>
        <w:tc>
          <w:tcPr>
            <w:tcW w:w="2362" w:type="dxa"/>
            <w:vAlign w:val="center"/>
          </w:tcPr>
          <w:p w14:paraId="13AEBC88">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1,2-二氯苯</w:t>
            </w:r>
          </w:p>
        </w:tc>
        <w:tc>
          <w:tcPr>
            <w:tcW w:w="1728" w:type="dxa"/>
          </w:tcPr>
          <w:p w14:paraId="31835C9D">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0B4C38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5972E48D">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w:t>
            </w:r>
          </w:p>
        </w:tc>
        <w:tc>
          <w:tcPr>
            <w:tcW w:w="1914" w:type="dxa"/>
            <w:vAlign w:val="center"/>
          </w:tcPr>
          <w:p w14:paraId="27B6D475">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氯甲烷</w:t>
            </w:r>
          </w:p>
        </w:tc>
        <w:tc>
          <w:tcPr>
            <w:tcW w:w="1592" w:type="dxa"/>
          </w:tcPr>
          <w:p w14:paraId="2C01612D">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4BF9B890">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22</w:t>
            </w:r>
          </w:p>
        </w:tc>
        <w:tc>
          <w:tcPr>
            <w:tcW w:w="2362" w:type="dxa"/>
            <w:vAlign w:val="center"/>
          </w:tcPr>
          <w:p w14:paraId="462A5583">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1,4-二氯苯</w:t>
            </w:r>
          </w:p>
        </w:tc>
        <w:tc>
          <w:tcPr>
            <w:tcW w:w="1728" w:type="dxa"/>
          </w:tcPr>
          <w:p w14:paraId="611F5D54">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6DE92E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06104BEF">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w:t>
            </w:r>
          </w:p>
        </w:tc>
        <w:tc>
          <w:tcPr>
            <w:tcW w:w="1914" w:type="dxa"/>
            <w:vAlign w:val="center"/>
          </w:tcPr>
          <w:p w14:paraId="3A3DBC2F">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1,1-二氯乙烷</w:t>
            </w:r>
          </w:p>
        </w:tc>
        <w:tc>
          <w:tcPr>
            <w:tcW w:w="1592" w:type="dxa"/>
          </w:tcPr>
          <w:p w14:paraId="6D691EEE">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74D471B7">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23</w:t>
            </w:r>
          </w:p>
        </w:tc>
        <w:tc>
          <w:tcPr>
            <w:tcW w:w="2362" w:type="dxa"/>
            <w:vAlign w:val="center"/>
          </w:tcPr>
          <w:p w14:paraId="151B70FE">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乙苯</w:t>
            </w:r>
          </w:p>
        </w:tc>
        <w:tc>
          <w:tcPr>
            <w:tcW w:w="1728" w:type="dxa"/>
          </w:tcPr>
          <w:p w14:paraId="58CA8F52">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50FE92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25B66664">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5</w:t>
            </w:r>
          </w:p>
        </w:tc>
        <w:tc>
          <w:tcPr>
            <w:tcW w:w="1914" w:type="dxa"/>
            <w:vAlign w:val="center"/>
          </w:tcPr>
          <w:p w14:paraId="6182C90B">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1,2-二氯乙烷</w:t>
            </w:r>
          </w:p>
        </w:tc>
        <w:tc>
          <w:tcPr>
            <w:tcW w:w="1592" w:type="dxa"/>
          </w:tcPr>
          <w:p w14:paraId="7167861B">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2B90B538">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24</w:t>
            </w:r>
          </w:p>
        </w:tc>
        <w:tc>
          <w:tcPr>
            <w:tcW w:w="2362" w:type="dxa"/>
            <w:vAlign w:val="center"/>
          </w:tcPr>
          <w:p w14:paraId="6984DF1C">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苯乙烯</w:t>
            </w:r>
          </w:p>
        </w:tc>
        <w:tc>
          <w:tcPr>
            <w:tcW w:w="1728" w:type="dxa"/>
          </w:tcPr>
          <w:p w14:paraId="29703719">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095DFB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5149D8BC">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6</w:t>
            </w:r>
          </w:p>
        </w:tc>
        <w:tc>
          <w:tcPr>
            <w:tcW w:w="1914" w:type="dxa"/>
            <w:vAlign w:val="center"/>
          </w:tcPr>
          <w:p w14:paraId="190C7B24">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1,1-二氯乙烯</w:t>
            </w:r>
          </w:p>
        </w:tc>
        <w:tc>
          <w:tcPr>
            <w:tcW w:w="1592" w:type="dxa"/>
          </w:tcPr>
          <w:p w14:paraId="0EDCDB90">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49DFE1BA">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25</w:t>
            </w:r>
          </w:p>
        </w:tc>
        <w:tc>
          <w:tcPr>
            <w:tcW w:w="2362" w:type="dxa"/>
            <w:vAlign w:val="center"/>
          </w:tcPr>
          <w:p w14:paraId="2CE3822D">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甲苯</w:t>
            </w:r>
          </w:p>
        </w:tc>
        <w:tc>
          <w:tcPr>
            <w:tcW w:w="1728" w:type="dxa"/>
          </w:tcPr>
          <w:p w14:paraId="2F05B783">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6EFF00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7578C37B">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7</w:t>
            </w:r>
          </w:p>
        </w:tc>
        <w:tc>
          <w:tcPr>
            <w:tcW w:w="1914" w:type="dxa"/>
            <w:vAlign w:val="center"/>
          </w:tcPr>
          <w:p w14:paraId="34F04E5B">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顺-1,2-二氯乙烯</w:t>
            </w:r>
          </w:p>
        </w:tc>
        <w:tc>
          <w:tcPr>
            <w:tcW w:w="1592" w:type="dxa"/>
          </w:tcPr>
          <w:p w14:paraId="01FAB887">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0A85C0C1">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26</w:t>
            </w:r>
          </w:p>
        </w:tc>
        <w:tc>
          <w:tcPr>
            <w:tcW w:w="2362" w:type="dxa"/>
            <w:vAlign w:val="center"/>
          </w:tcPr>
          <w:p w14:paraId="484057F3">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间，对二甲苯</w:t>
            </w:r>
          </w:p>
        </w:tc>
        <w:tc>
          <w:tcPr>
            <w:tcW w:w="1728" w:type="dxa"/>
          </w:tcPr>
          <w:p w14:paraId="677AD9B6">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411A49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47D1381D">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8</w:t>
            </w:r>
          </w:p>
        </w:tc>
        <w:tc>
          <w:tcPr>
            <w:tcW w:w="1914" w:type="dxa"/>
            <w:vAlign w:val="center"/>
          </w:tcPr>
          <w:p w14:paraId="406286EE">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反-1,2-二氯乙烯</w:t>
            </w:r>
          </w:p>
        </w:tc>
        <w:tc>
          <w:tcPr>
            <w:tcW w:w="1592" w:type="dxa"/>
          </w:tcPr>
          <w:p w14:paraId="1EDF1C80">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70550B47">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27</w:t>
            </w:r>
          </w:p>
        </w:tc>
        <w:tc>
          <w:tcPr>
            <w:tcW w:w="2362" w:type="dxa"/>
            <w:vAlign w:val="center"/>
          </w:tcPr>
          <w:p w14:paraId="099E8627">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邻二甲苯</w:t>
            </w:r>
          </w:p>
        </w:tc>
        <w:tc>
          <w:tcPr>
            <w:tcW w:w="1728" w:type="dxa"/>
          </w:tcPr>
          <w:p w14:paraId="218D3440">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38486F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2892D84C">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9</w:t>
            </w:r>
          </w:p>
        </w:tc>
        <w:tc>
          <w:tcPr>
            <w:tcW w:w="1914" w:type="dxa"/>
            <w:vAlign w:val="center"/>
          </w:tcPr>
          <w:p w14:paraId="2480B53A">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二氯甲烷</w:t>
            </w:r>
          </w:p>
        </w:tc>
        <w:tc>
          <w:tcPr>
            <w:tcW w:w="1592" w:type="dxa"/>
          </w:tcPr>
          <w:p w14:paraId="78B52ED6">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59D2AD7E">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28</w:t>
            </w:r>
          </w:p>
        </w:tc>
        <w:tc>
          <w:tcPr>
            <w:tcW w:w="2362" w:type="dxa"/>
            <w:vAlign w:val="center"/>
          </w:tcPr>
          <w:p w14:paraId="0256AE64">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硝基苯</w:t>
            </w:r>
          </w:p>
        </w:tc>
        <w:tc>
          <w:tcPr>
            <w:tcW w:w="1728" w:type="dxa"/>
          </w:tcPr>
          <w:p w14:paraId="526CF038">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515E50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4DEBA76C">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10</w:t>
            </w:r>
          </w:p>
        </w:tc>
        <w:tc>
          <w:tcPr>
            <w:tcW w:w="1914" w:type="dxa"/>
            <w:vAlign w:val="center"/>
          </w:tcPr>
          <w:p w14:paraId="6482AD1A">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1,2-二氯丙烷</w:t>
            </w:r>
          </w:p>
        </w:tc>
        <w:tc>
          <w:tcPr>
            <w:tcW w:w="1592" w:type="dxa"/>
          </w:tcPr>
          <w:p w14:paraId="0437BA9B">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68FE7EF5">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29</w:t>
            </w:r>
          </w:p>
        </w:tc>
        <w:tc>
          <w:tcPr>
            <w:tcW w:w="2362" w:type="dxa"/>
            <w:vAlign w:val="center"/>
          </w:tcPr>
          <w:p w14:paraId="0659751E">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苯胺</w:t>
            </w:r>
          </w:p>
        </w:tc>
        <w:tc>
          <w:tcPr>
            <w:tcW w:w="1728" w:type="dxa"/>
          </w:tcPr>
          <w:p w14:paraId="30EEB9E5">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4DBB16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2A3B3FBD">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11</w:t>
            </w:r>
          </w:p>
        </w:tc>
        <w:tc>
          <w:tcPr>
            <w:tcW w:w="1914" w:type="dxa"/>
            <w:vAlign w:val="center"/>
          </w:tcPr>
          <w:p w14:paraId="3E08FE1E">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1,1,1,2-四氯乙烷</w:t>
            </w:r>
          </w:p>
        </w:tc>
        <w:tc>
          <w:tcPr>
            <w:tcW w:w="1592" w:type="dxa"/>
          </w:tcPr>
          <w:p w14:paraId="7A09912C">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5C1341BD">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30</w:t>
            </w:r>
          </w:p>
        </w:tc>
        <w:tc>
          <w:tcPr>
            <w:tcW w:w="2362" w:type="dxa"/>
            <w:vAlign w:val="center"/>
          </w:tcPr>
          <w:p w14:paraId="69CDDA22">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2-氯酚</w:t>
            </w:r>
          </w:p>
        </w:tc>
        <w:tc>
          <w:tcPr>
            <w:tcW w:w="1728" w:type="dxa"/>
          </w:tcPr>
          <w:p w14:paraId="19362877">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685909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1D4BB81E">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12</w:t>
            </w:r>
          </w:p>
        </w:tc>
        <w:tc>
          <w:tcPr>
            <w:tcW w:w="1914" w:type="dxa"/>
            <w:vAlign w:val="center"/>
          </w:tcPr>
          <w:p w14:paraId="7CE3141D">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1,1,2,2-四氯乙烷</w:t>
            </w:r>
          </w:p>
        </w:tc>
        <w:tc>
          <w:tcPr>
            <w:tcW w:w="1592" w:type="dxa"/>
          </w:tcPr>
          <w:p w14:paraId="2E8785BC">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2022580A">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31</w:t>
            </w:r>
          </w:p>
        </w:tc>
        <w:tc>
          <w:tcPr>
            <w:tcW w:w="2362" w:type="dxa"/>
            <w:vAlign w:val="center"/>
          </w:tcPr>
          <w:p w14:paraId="609829D5">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苯并[a]蒽</w:t>
            </w:r>
          </w:p>
        </w:tc>
        <w:tc>
          <w:tcPr>
            <w:tcW w:w="1728" w:type="dxa"/>
          </w:tcPr>
          <w:p w14:paraId="4889C50B">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3B9F6D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3AD69FB3">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13</w:t>
            </w:r>
          </w:p>
        </w:tc>
        <w:tc>
          <w:tcPr>
            <w:tcW w:w="1914" w:type="dxa"/>
            <w:vAlign w:val="center"/>
          </w:tcPr>
          <w:p w14:paraId="56B97749">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四氯乙烯</w:t>
            </w:r>
          </w:p>
        </w:tc>
        <w:tc>
          <w:tcPr>
            <w:tcW w:w="1592" w:type="dxa"/>
          </w:tcPr>
          <w:p w14:paraId="2421FC85">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46E13B5B">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32</w:t>
            </w:r>
          </w:p>
        </w:tc>
        <w:tc>
          <w:tcPr>
            <w:tcW w:w="2362" w:type="dxa"/>
            <w:vAlign w:val="center"/>
          </w:tcPr>
          <w:p w14:paraId="49AEDF02">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苯并[a]芘</w:t>
            </w:r>
          </w:p>
        </w:tc>
        <w:tc>
          <w:tcPr>
            <w:tcW w:w="1728" w:type="dxa"/>
          </w:tcPr>
          <w:p w14:paraId="54AE3E78">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38ED89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6E2FA437">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14</w:t>
            </w:r>
          </w:p>
        </w:tc>
        <w:tc>
          <w:tcPr>
            <w:tcW w:w="1914" w:type="dxa"/>
            <w:vAlign w:val="center"/>
          </w:tcPr>
          <w:p w14:paraId="34BBBC01">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1,1,1-三氯乙烷</w:t>
            </w:r>
          </w:p>
        </w:tc>
        <w:tc>
          <w:tcPr>
            <w:tcW w:w="1592" w:type="dxa"/>
          </w:tcPr>
          <w:p w14:paraId="21284D1B">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2222B703">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33</w:t>
            </w:r>
          </w:p>
        </w:tc>
        <w:tc>
          <w:tcPr>
            <w:tcW w:w="2362" w:type="dxa"/>
            <w:vAlign w:val="center"/>
          </w:tcPr>
          <w:p w14:paraId="28D3BC64">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苯并[b]荧蒽</w:t>
            </w:r>
          </w:p>
        </w:tc>
        <w:tc>
          <w:tcPr>
            <w:tcW w:w="1728" w:type="dxa"/>
          </w:tcPr>
          <w:p w14:paraId="5DEF1B0C">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4003AC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0BC3D407">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15</w:t>
            </w:r>
          </w:p>
        </w:tc>
        <w:tc>
          <w:tcPr>
            <w:tcW w:w="1914" w:type="dxa"/>
            <w:vAlign w:val="center"/>
          </w:tcPr>
          <w:p w14:paraId="72A9BB2D">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1,1,2-三氯乙烷</w:t>
            </w:r>
          </w:p>
        </w:tc>
        <w:tc>
          <w:tcPr>
            <w:tcW w:w="1592" w:type="dxa"/>
          </w:tcPr>
          <w:p w14:paraId="747E94BF">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371D56B4">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34</w:t>
            </w:r>
          </w:p>
        </w:tc>
        <w:tc>
          <w:tcPr>
            <w:tcW w:w="2362" w:type="dxa"/>
            <w:vAlign w:val="center"/>
          </w:tcPr>
          <w:p w14:paraId="7B93FFD8">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苯并[k]荧蒽</w:t>
            </w:r>
          </w:p>
        </w:tc>
        <w:tc>
          <w:tcPr>
            <w:tcW w:w="1728" w:type="dxa"/>
          </w:tcPr>
          <w:p w14:paraId="77CAF41B">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4E7192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6805BA86">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16</w:t>
            </w:r>
          </w:p>
        </w:tc>
        <w:tc>
          <w:tcPr>
            <w:tcW w:w="1914" w:type="dxa"/>
            <w:vAlign w:val="center"/>
          </w:tcPr>
          <w:p w14:paraId="3ED1A2E9">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三氯乙烯</w:t>
            </w:r>
          </w:p>
        </w:tc>
        <w:tc>
          <w:tcPr>
            <w:tcW w:w="1592" w:type="dxa"/>
          </w:tcPr>
          <w:p w14:paraId="0B63A4A2">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08AF821E">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35</w:t>
            </w:r>
          </w:p>
        </w:tc>
        <w:tc>
          <w:tcPr>
            <w:tcW w:w="2362" w:type="dxa"/>
            <w:vAlign w:val="center"/>
          </w:tcPr>
          <w:p w14:paraId="501F7344">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䓛</w:t>
            </w:r>
          </w:p>
        </w:tc>
        <w:tc>
          <w:tcPr>
            <w:tcW w:w="1728" w:type="dxa"/>
          </w:tcPr>
          <w:p w14:paraId="6195E4A6">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2F8D92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76022C20">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17</w:t>
            </w:r>
          </w:p>
        </w:tc>
        <w:tc>
          <w:tcPr>
            <w:tcW w:w="1914" w:type="dxa"/>
            <w:vAlign w:val="center"/>
          </w:tcPr>
          <w:p w14:paraId="4C63CF05">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1,2,3-三氯丙烷</w:t>
            </w:r>
          </w:p>
        </w:tc>
        <w:tc>
          <w:tcPr>
            <w:tcW w:w="1592" w:type="dxa"/>
          </w:tcPr>
          <w:p w14:paraId="2C09D559">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104A8BB4">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36</w:t>
            </w:r>
          </w:p>
        </w:tc>
        <w:tc>
          <w:tcPr>
            <w:tcW w:w="2362" w:type="dxa"/>
            <w:vAlign w:val="center"/>
          </w:tcPr>
          <w:p w14:paraId="16DE401A">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二苯并[a, h]蒽</w:t>
            </w:r>
          </w:p>
        </w:tc>
        <w:tc>
          <w:tcPr>
            <w:tcW w:w="1728" w:type="dxa"/>
          </w:tcPr>
          <w:p w14:paraId="674DD266">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4B86F8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65401DAE">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18</w:t>
            </w:r>
          </w:p>
        </w:tc>
        <w:tc>
          <w:tcPr>
            <w:tcW w:w="1914" w:type="dxa"/>
            <w:vAlign w:val="center"/>
          </w:tcPr>
          <w:p w14:paraId="67BF9691">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氯乙烯</w:t>
            </w:r>
          </w:p>
        </w:tc>
        <w:tc>
          <w:tcPr>
            <w:tcW w:w="1592" w:type="dxa"/>
          </w:tcPr>
          <w:p w14:paraId="3C002A45">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6D625AA0">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37</w:t>
            </w:r>
          </w:p>
        </w:tc>
        <w:tc>
          <w:tcPr>
            <w:tcW w:w="2362" w:type="dxa"/>
            <w:vAlign w:val="center"/>
          </w:tcPr>
          <w:p w14:paraId="713BA9DA">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茚并[1,2,3-cd]芘</w:t>
            </w:r>
          </w:p>
        </w:tc>
        <w:tc>
          <w:tcPr>
            <w:tcW w:w="1728" w:type="dxa"/>
          </w:tcPr>
          <w:p w14:paraId="18F0089C">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r w14:paraId="1DA376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13EE9634">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19</w:t>
            </w:r>
          </w:p>
        </w:tc>
        <w:tc>
          <w:tcPr>
            <w:tcW w:w="1914" w:type="dxa"/>
            <w:vAlign w:val="center"/>
          </w:tcPr>
          <w:p w14:paraId="43051265">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苯</w:t>
            </w:r>
          </w:p>
        </w:tc>
        <w:tc>
          <w:tcPr>
            <w:tcW w:w="1592" w:type="dxa"/>
          </w:tcPr>
          <w:p w14:paraId="349F8DCD">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c>
          <w:tcPr>
            <w:tcW w:w="755" w:type="dxa"/>
            <w:vAlign w:val="center"/>
          </w:tcPr>
          <w:p w14:paraId="680FB488">
            <w:pPr>
              <w:widowControl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38</w:t>
            </w:r>
          </w:p>
        </w:tc>
        <w:tc>
          <w:tcPr>
            <w:tcW w:w="2362" w:type="dxa"/>
            <w:vAlign w:val="center"/>
          </w:tcPr>
          <w:p w14:paraId="3D8DB50D">
            <w:pPr>
              <w:spacing w:line="360" w:lineRule="exact"/>
              <w:jc w:val="center"/>
              <w:textAlignment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萘</w:t>
            </w:r>
          </w:p>
        </w:tc>
        <w:tc>
          <w:tcPr>
            <w:tcW w:w="1728" w:type="dxa"/>
          </w:tcPr>
          <w:p w14:paraId="00677FEE">
            <w:pPr>
              <w:widowControl w:val="0"/>
              <w:spacing w:line="360" w:lineRule="exact"/>
              <w:jc w:val="center"/>
              <w:rPr>
                <w:rFonts w:ascii="Times New Roman" w:hAnsi="Times New Roman" w:cs="Times New Roman"/>
                <w:caps w:val="0"/>
                <w:smallCaps w:val="0"/>
                <w:color w:val="auto"/>
                <w:spacing w:val="0"/>
                <w:w w:val="100"/>
                <w:kern w:val="2"/>
                <w:position w:val="0"/>
                <w:sz w:val="21"/>
                <w:highlight w:val="none"/>
              </w:rPr>
            </w:pPr>
            <w:r>
              <w:rPr>
                <w:rFonts w:ascii="Times New Roman" w:hAnsi="Times New Roman" w:cs="Times New Roman"/>
                <w:caps w:val="0"/>
                <w:smallCaps w:val="0"/>
                <w:color w:val="auto"/>
                <w:spacing w:val="0"/>
                <w:w w:val="100"/>
                <w:position w:val="0"/>
                <w:sz w:val="21"/>
                <w:szCs w:val="21"/>
                <w:highlight w:val="none"/>
              </w:rPr>
              <w:t>未检出</w:t>
            </w:r>
          </w:p>
        </w:tc>
      </w:tr>
    </w:tbl>
    <w:p w14:paraId="2306BAD7">
      <w:pPr>
        <w:widowControl w:val="0"/>
        <w:spacing w:line="440" w:lineRule="exact"/>
        <w:ind w:firstLine="482" w:firstLineChars="200"/>
        <w:jc w:val="both"/>
        <w:rPr>
          <w:rFonts w:ascii="Times New Roman" w:hAnsi="Times New Roman" w:cs="Times New Roman" w:eastAsiaTheme="minorEastAsia"/>
          <w:b/>
          <w:caps w:val="0"/>
          <w:smallCaps w:val="0"/>
          <w:color w:val="auto"/>
          <w:spacing w:val="0"/>
          <w:w w:val="100"/>
          <w:kern w:val="21"/>
          <w:position w:val="0"/>
          <w:highlight w:val="none"/>
        </w:rPr>
      </w:pPr>
      <w:r>
        <w:rPr>
          <w:rFonts w:ascii="Times New Roman" w:hAnsi="Times New Roman" w:cs="Times New Roman" w:eastAsiaTheme="minorEastAsia"/>
          <w:b/>
          <w:caps w:val="0"/>
          <w:smallCaps w:val="0"/>
          <w:color w:val="auto"/>
          <w:spacing w:val="0"/>
          <w:w w:val="100"/>
          <w:kern w:val="21"/>
          <w:position w:val="0"/>
          <w:highlight w:val="none"/>
          <w:lang w:bidi="zh-CN"/>
        </w:rPr>
        <w:t>表</w:t>
      </w:r>
      <w:r>
        <w:rPr>
          <w:rFonts w:ascii="Times New Roman" w:hAnsi="Times New Roman" w:cs="Times New Roman" w:eastAsiaTheme="minorEastAsia"/>
          <w:b/>
          <w:caps w:val="0"/>
          <w:smallCaps w:val="0"/>
          <w:color w:val="auto"/>
          <w:spacing w:val="0"/>
          <w:w w:val="100"/>
          <w:kern w:val="2"/>
          <w:position w:val="0"/>
          <w:szCs w:val="20"/>
          <w:highlight w:val="none"/>
        </w:rPr>
        <w:t>4.3-22</w:t>
      </w:r>
      <w:r>
        <w:rPr>
          <w:rFonts w:ascii="Times New Roman" w:hAnsi="Times New Roman" w:cs="Times New Roman" w:eastAsiaTheme="minorEastAsia"/>
          <w:b/>
          <w:caps w:val="0"/>
          <w:smallCaps w:val="0"/>
          <w:color w:val="auto"/>
          <w:spacing w:val="0"/>
          <w:w w:val="100"/>
          <w:kern w:val="21"/>
          <w:position w:val="0"/>
          <w:highlight w:val="none"/>
          <w:lang w:bidi="zh-CN"/>
        </w:rPr>
        <w:t xml:space="preserve">    </w:t>
      </w:r>
      <w:r>
        <w:rPr>
          <w:rFonts w:ascii="Times New Roman" w:hAnsi="Times New Roman" w:cs="Times New Roman" w:eastAsiaTheme="minorEastAsia"/>
          <w:b/>
          <w:caps w:val="0"/>
          <w:smallCaps w:val="0"/>
          <w:color w:val="auto"/>
          <w:spacing w:val="0"/>
          <w:w w:val="100"/>
          <w:kern w:val="21"/>
          <w:position w:val="0"/>
          <w:highlight w:val="none"/>
        </w:rPr>
        <w:t>农用地土壤环境质量现状监测结果    单位：mg/kg（pH无量纲）</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1536"/>
        <w:gridCol w:w="1536"/>
        <w:gridCol w:w="1536"/>
        <w:gridCol w:w="1536"/>
        <w:gridCol w:w="1540"/>
      </w:tblGrid>
      <w:tr w14:paraId="1218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3" w:type="dxa"/>
            <w:vAlign w:val="center"/>
          </w:tcPr>
          <w:p w14:paraId="543A88E5">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监测时间</w:t>
            </w:r>
          </w:p>
        </w:tc>
        <w:tc>
          <w:tcPr>
            <w:tcW w:w="7684" w:type="dxa"/>
            <w:gridSpan w:val="5"/>
            <w:vAlign w:val="center"/>
          </w:tcPr>
          <w:p w14:paraId="2ED67E73">
            <w:pPr>
              <w:widowControl w:val="0"/>
              <w:adjustRightInd w:val="0"/>
              <w:snapToGrid w:val="0"/>
              <w:spacing w:line="280" w:lineRule="exact"/>
              <w:jc w:val="center"/>
              <w:rPr>
                <w:rFonts w:hint="eastAsia" w:ascii="Times New Roman" w:hAnsi="Times New Roman" w:eastAsia="宋体" w:cs="Times New Roman"/>
                <w:caps w:val="0"/>
                <w:smallCaps w:val="0"/>
                <w:color w:val="auto"/>
                <w:spacing w:val="0"/>
                <w:w w:val="100"/>
                <w:kern w:val="2"/>
                <w:position w:val="0"/>
                <w:sz w:val="21"/>
                <w:szCs w:val="21"/>
                <w:highlight w:val="none"/>
                <w:lang w:val="en-US" w:eastAsia="zh-CN"/>
              </w:rPr>
            </w:pPr>
            <w:r>
              <w:rPr>
                <w:rFonts w:ascii="Times New Roman" w:hAnsi="Times New Roman" w:cs="Times New Roman"/>
                <w:caps w:val="0"/>
                <w:smallCaps w:val="0"/>
                <w:color w:val="auto"/>
                <w:spacing w:val="0"/>
                <w:w w:val="100"/>
                <w:kern w:val="2"/>
                <w:position w:val="0"/>
                <w:sz w:val="21"/>
                <w:szCs w:val="21"/>
                <w:highlight w:val="none"/>
              </w:rPr>
              <w:t>202</w:t>
            </w:r>
            <w:r>
              <w:rPr>
                <w:rFonts w:hint="eastAsia" w:ascii="Times New Roman" w:hAnsi="Times New Roman" w:cs="Times New Roman"/>
                <w:caps w:val="0"/>
                <w:smallCaps w:val="0"/>
                <w:color w:val="auto"/>
                <w:spacing w:val="0"/>
                <w:w w:val="100"/>
                <w:kern w:val="2"/>
                <w:position w:val="0"/>
                <w:sz w:val="21"/>
                <w:szCs w:val="21"/>
                <w:highlight w:val="none"/>
              </w:rPr>
              <w:t>6.</w:t>
            </w:r>
            <w:r>
              <w:rPr>
                <w:rFonts w:hint="eastAsia" w:ascii="Times New Roman" w:hAnsi="Times New Roman" w:cs="Times New Roman"/>
                <w:caps w:val="0"/>
                <w:smallCaps w:val="0"/>
                <w:color w:val="auto"/>
                <w:spacing w:val="0"/>
                <w:w w:val="100"/>
                <w:kern w:val="2"/>
                <w:position w:val="0"/>
                <w:sz w:val="21"/>
                <w:szCs w:val="21"/>
                <w:highlight w:val="none"/>
                <w:lang w:val="en-US" w:eastAsia="zh-CN"/>
              </w:rPr>
              <w:t>5</w:t>
            </w:r>
            <w:r>
              <w:rPr>
                <w:rFonts w:hint="eastAsia" w:ascii="Times New Roman" w:hAnsi="Times New Roman" w:cs="Times New Roman"/>
                <w:caps w:val="0"/>
                <w:smallCaps w:val="0"/>
                <w:color w:val="auto"/>
                <w:spacing w:val="0"/>
                <w:w w:val="100"/>
                <w:kern w:val="2"/>
                <w:position w:val="0"/>
                <w:sz w:val="21"/>
                <w:szCs w:val="21"/>
                <w:highlight w:val="none"/>
              </w:rPr>
              <w:t>.2</w:t>
            </w:r>
            <w:r>
              <w:rPr>
                <w:rFonts w:hint="eastAsia" w:ascii="Times New Roman" w:hAnsi="Times New Roman" w:cs="Times New Roman"/>
                <w:caps w:val="0"/>
                <w:smallCaps w:val="0"/>
                <w:color w:val="auto"/>
                <w:spacing w:val="0"/>
                <w:w w:val="100"/>
                <w:kern w:val="2"/>
                <w:position w:val="0"/>
                <w:sz w:val="21"/>
                <w:szCs w:val="21"/>
                <w:highlight w:val="none"/>
                <w:lang w:val="en-US" w:eastAsia="zh-CN"/>
              </w:rPr>
              <w:t>7</w:t>
            </w:r>
          </w:p>
        </w:tc>
      </w:tr>
      <w:tr w14:paraId="45FC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603" w:type="dxa"/>
            <w:vMerge w:val="restart"/>
            <w:vAlign w:val="center"/>
          </w:tcPr>
          <w:p w14:paraId="1D406621">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监测项目</w:t>
            </w:r>
          </w:p>
        </w:tc>
        <w:tc>
          <w:tcPr>
            <w:tcW w:w="7684" w:type="dxa"/>
            <w:gridSpan w:val="5"/>
            <w:vAlign w:val="center"/>
          </w:tcPr>
          <w:p w14:paraId="59E86DED">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监测点位及监测结果</w:t>
            </w:r>
          </w:p>
        </w:tc>
      </w:tr>
      <w:tr w14:paraId="2BFA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603" w:type="dxa"/>
            <w:vMerge w:val="continue"/>
            <w:vAlign w:val="center"/>
          </w:tcPr>
          <w:p w14:paraId="7F38B31E">
            <w:pPr>
              <w:widowControl w:val="0"/>
              <w:autoSpaceDE w:val="0"/>
              <w:autoSpaceDN w:val="0"/>
              <w:adjustRightInd w:val="0"/>
              <w:snapToGrid w:val="0"/>
              <w:spacing w:before="120" w:beforeLines="50"/>
              <w:ind w:left="480" w:leftChars="200"/>
              <w:jc w:val="center"/>
              <w:rPr>
                <w:rFonts w:ascii="Times New Roman" w:hAnsi="Times New Roman" w:cs="Times New Roman"/>
                <w:bCs/>
                <w:caps w:val="0"/>
                <w:smallCaps w:val="0"/>
                <w:color w:val="auto"/>
                <w:spacing w:val="0"/>
                <w:w w:val="100"/>
                <w:position w:val="0"/>
                <w:sz w:val="21"/>
                <w:szCs w:val="21"/>
                <w:highlight w:val="none"/>
              </w:rPr>
            </w:pPr>
          </w:p>
        </w:tc>
        <w:tc>
          <w:tcPr>
            <w:tcW w:w="1536" w:type="dxa"/>
            <w:vAlign w:val="center"/>
          </w:tcPr>
          <w:p w14:paraId="3D3C7505">
            <w:pPr>
              <w:widowControl w:val="0"/>
              <w:adjustRightInd w:val="0"/>
              <w:snapToGrid w:val="0"/>
              <w:spacing w:line="280" w:lineRule="exact"/>
              <w:jc w:val="center"/>
              <w:rPr>
                <w:rFonts w:hint="default" w:ascii="Times New Roman" w:hAnsi="Times New Roman" w:eastAsia="宋体" w:cs="Times New Roman"/>
                <w:caps w:val="0"/>
                <w:smallCaps w:val="0"/>
                <w:color w:val="auto"/>
                <w:spacing w:val="0"/>
                <w:w w:val="100"/>
                <w:kern w:val="2"/>
                <w:position w:val="0"/>
                <w:sz w:val="21"/>
                <w:szCs w:val="21"/>
                <w:highlight w:val="none"/>
                <w:lang w:val="en-US" w:eastAsia="zh-CN"/>
              </w:rPr>
            </w:pPr>
            <w:r>
              <w:rPr>
                <w:rFonts w:hint="eastAsia" w:ascii="Times New Roman" w:hAnsi="Times New Roman" w:cs="Times New Roman"/>
                <w:caps w:val="0"/>
                <w:smallCaps w:val="0"/>
                <w:color w:val="auto"/>
                <w:spacing w:val="0"/>
                <w:w w:val="100"/>
                <w:kern w:val="2"/>
                <w:position w:val="0"/>
                <w:sz w:val="21"/>
                <w:szCs w:val="21"/>
                <w:highlight w:val="none"/>
                <w:lang w:val="en-US" w:eastAsia="zh-CN"/>
              </w:rPr>
              <w:t>S9</w:t>
            </w:r>
          </w:p>
        </w:tc>
        <w:tc>
          <w:tcPr>
            <w:tcW w:w="1536" w:type="dxa"/>
            <w:vAlign w:val="center"/>
          </w:tcPr>
          <w:p w14:paraId="536202AD">
            <w:pPr>
              <w:widowControl w:val="0"/>
              <w:adjustRightInd w:val="0"/>
              <w:snapToGrid w:val="0"/>
              <w:spacing w:line="280" w:lineRule="exact"/>
              <w:jc w:val="center"/>
              <w:rPr>
                <w:rFonts w:hint="default" w:ascii="Times New Roman" w:hAnsi="Times New Roman" w:eastAsia="宋体" w:cs="Times New Roman"/>
                <w:caps w:val="0"/>
                <w:smallCaps w:val="0"/>
                <w:color w:val="auto"/>
                <w:spacing w:val="0"/>
                <w:w w:val="100"/>
                <w:kern w:val="24"/>
                <w:position w:val="0"/>
                <w:sz w:val="21"/>
                <w:szCs w:val="21"/>
                <w:highlight w:val="none"/>
                <w:lang w:val="en-US" w:eastAsia="zh-CN"/>
              </w:rPr>
            </w:pPr>
            <w:r>
              <w:rPr>
                <w:rFonts w:hint="eastAsia" w:ascii="Times New Roman" w:hAnsi="Times New Roman" w:cs="Times New Roman"/>
                <w:caps w:val="0"/>
                <w:smallCaps w:val="0"/>
                <w:color w:val="auto"/>
                <w:spacing w:val="0"/>
                <w:w w:val="100"/>
                <w:kern w:val="24"/>
                <w:position w:val="0"/>
                <w:sz w:val="21"/>
                <w:szCs w:val="21"/>
                <w:highlight w:val="none"/>
                <w:lang w:val="en-US" w:eastAsia="zh-CN"/>
              </w:rPr>
              <w:t>S10</w:t>
            </w:r>
          </w:p>
        </w:tc>
        <w:tc>
          <w:tcPr>
            <w:tcW w:w="1536" w:type="dxa"/>
            <w:vAlign w:val="center"/>
          </w:tcPr>
          <w:p w14:paraId="720D9A16">
            <w:pPr>
              <w:widowControl w:val="0"/>
              <w:adjustRightInd w:val="0"/>
              <w:snapToGrid w:val="0"/>
              <w:ind w:firstLine="4"/>
              <w:jc w:val="center"/>
              <w:rPr>
                <w:rFonts w:hint="default" w:ascii="Times New Roman" w:hAnsi="Times New Roman" w:eastAsia="宋体" w:cs="Times New Roman"/>
                <w:caps w:val="0"/>
                <w:smallCaps w:val="0"/>
                <w:color w:val="auto"/>
                <w:spacing w:val="0"/>
                <w:w w:val="100"/>
                <w:kern w:val="24"/>
                <w:position w:val="0"/>
                <w:sz w:val="21"/>
                <w:szCs w:val="21"/>
                <w:highlight w:val="none"/>
                <w:lang w:val="en-US" w:eastAsia="zh-CN"/>
              </w:rPr>
            </w:pPr>
            <w:r>
              <w:rPr>
                <w:rFonts w:hint="eastAsia" w:ascii="Times New Roman" w:hAnsi="Times New Roman" w:cs="Times New Roman"/>
                <w:caps w:val="0"/>
                <w:smallCaps w:val="0"/>
                <w:color w:val="auto"/>
                <w:spacing w:val="0"/>
                <w:w w:val="100"/>
                <w:kern w:val="24"/>
                <w:position w:val="0"/>
                <w:sz w:val="21"/>
                <w:szCs w:val="21"/>
                <w:highlight w:val="none"/>
                <w:lang w:val="en-US" w:eastAsia="zh-CN"/>
              </w:rPr>
              <w:t>S11</w:t>
            </w:r>
          </w:p>
        </w:tc>
        <w:tc>
          <w:tcPr>
            <w:tcW w:w="1536" w:type="dxa"/>
            <w:vAlign w:val="center"/>
          </w:tcPr>
          <w:p w14:paraId="6FF326A9">
            <w:pPr>
              <w:widowControl w:val="0"/>
              <w:adjustRightInd w:val="0"/>
              <w:snapToGrid w:val="0"/>
              <w:ind w:firstLine="4"/>
              <w:jc w:val="center"/>
              <w:rPr>
                <w:rFonts w:hint="default" w:ascii="Times New Roman" w:hAnsi="Times New Roman" w:cs="Times New Roman"/>
                <w:caps w:val="0"/>
                <w:smallCaps w:val="0"/>
                <w:color w:val="auto"/>
                <w:spacing w:val="0"/>
                <w:w w:val="100"/>
                <w:kern w:val="24"/>
                <w:position w:val="0"/>
                <w:sz w:val="21"/>
                <w:szCs w:val="21"/>
                <w:highlight w:val="none"/>
                <w:lang w:val="en-US" w:eastAsia="zh-CN"/>
              </w:rPr>
            </w:pPr>
            <w:r>
              <w:rPr>
                <w:rFonts w:hint="eastAsia" w:ascii="Times New Roman" w:hAnsi="Times New Roman" w:cs="Times New Roman"/>
                <w:caps w:val="0"/>
                <w:smallCaps w:val="0"/>
                <w:color w:val="auto"/>
                <w:spacing w:val="0"/>
                <w:w w:val="100"/>
                <w:kern w:val="24"/>
                <w:position w:val="0"/>
                <w:sz w:val="21"/>
                <w:szCs w:val="21"/>
                <w:highlight w:val="none"/>
                <w:lang w:val="en-US" w:eastAsia="zh-CN"/>
              </w:rPr>
              <w:t>S12</w:t>
            </w:r>
          </w:p>
        </w:tc>
        <w:tc>
          <w:tcPr>
            <w:tcW w:w="1540" w:type="dxa"/>
            <w:vAlign w:val="center"/>
          </w:tcPr>
          <w:p w14:paraId="0FFF363A">
            <w:pPr>
              <w:widowControl w:val="0"/>
              <w:adjustRightInd w:val="0"/>
              <w:snapToGrid w:val="0"/>
              <w:ind w:firstLine="4"/>
              <w:jc w:val="center"/>
              <w:rPr>
                <w:rFonts w:hint="default" w:ascii="Times New Roman" w:hAnsi="Times New Roman" w:cs="Times New Roman"/>
                <w:caps w:val="0"/>
                <w:smallCaps w:val="0"/>
                <w:color w:val="auto"/>
                <w:spacing w:val="0"/>
                <w:w w:val="100"/>
                <w:kern w:val="24"/>
                <w:position w:val="0"/>
                <w:sz w:val="21"/>
                <w:szCs w:val="21"/>
                <w:highlight w:val="none"/>
                <w:lang w:val="en-US" w:eastAsia="zh-CN"/>
              </w:rPr>
            </w:pPr>
            <w:r>
              <w:rPr>
                <w:rFonts w:hint="eastAsia" w:ascii="Times New Roman" w:hAnsi="Times New Roman" w:cs="Times New Roman"/>
                <w:caps w:val="0"/>
                <w:smallCaps w:val="0"/>
                <w:color w:val="auto"/>
                <w:spacing w:val="0"/>
                <w:w w:val="100"/>
                <w:kern w:val="24"/>
                <w:position w:val="0"/>
                <w:sz w:val="21"/>
                <w:szCs w:val="21"/>
                <w:highlight w:val="none"/>
                <w:lang w:val="en-US" w:eastAsia="zh-CN"/>
              </w:rPr>
              <w:t>S13</w:t>
            </w:r>
          </w:p>
        </w:tc>
      </w:tr>
      <w:tr w14:paraId="7B28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54FEC012">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pH</w:t>
            </w:r>
          </w:p>
        </w:tc>
        <w:tc>
          <w:tcPr>
            <w:tcW w:w="1536" w:type="dxa"/>
            <w:vAlign w:val="center"/>
          </w:tcPr>
          <w:p w14:paraId="4C1B53A5">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7.74</w:t>
            </w:r>
          </w:p>
        </w:tc>
        <w:tc>
          <w:tcPr>
            <w:tcW w:w="1536" w:type="dxa"/>
            <w:vAlign w:val="center"/>
          </w:tcPr>
          <w:p w14:paraId="4F64CA5D">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7.94</w:t>
            </w:r>
          </w:p>
        </w:tc>
        <w:tc>
          <w:tcPr>
            <w:tcW w:w="1536" w:type="dxa"/>
            <w:vAlign w:val="center"/>
          </w:tcPr>
          <w:p w14:paraId="68B4416D">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8.01</w:t>
            </w:r>
          </w:p>
        </w:tc>
        <w:tc>
          <w:tcPr>
            <w:tcW w:w="1536" w:type="dxa"/>
            <w:shd w:val="clear" w:color="auto" w:fill="auto"/>
            <w:vAlign w:val="center"/>
          </w:tcPr>
          <w:p w14:paraId="6E316D6A">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7.77</w:t>
            </w:r>
          </w:p>
        </w:tc>
        <w:tc>
          <w:tcPr>
            <w:tcW w:w="1540" w:type="dxa"/>
            <w:shd w:val="clear" w:color="auto" w:fill="auto"/>
            <w:vAlign w:val="center"/>
          </w:tcPr>
          <w:p w14:paraId="798827E7">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8.06</w:t>
            </w:r>
          </w:p>
        </w:tc>
      </w:tr>
      <w:tr w14:paraId="6F65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15EA4BAF">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镉（Cd）</w:t>
            </w:r>
          </w:p>
        </w:tc>
        <w:tc>
          <w:tcPr>
            <w:tcW w:w="1536" w:type="dxa"/>
            <w:vAlign w:val="center"/>
          </w:tcPr>
          <w:p w14:paraId="586640BB">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08</w:t>
            </w:r>
          </w:p>
        </w:tc>
        <w:tc>
          <w:tcPr>
            <w:tcW w:w="1536" w:type="dxa"/>
            <w:vAlign w:val="center"/>
          </w:tcPr>
          <w:p w14:paraId="65CE1CB3">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10</w:t>
            </w:r>
          </w:p>
        </w:tc>
        <w:tc>
          <w:tcPr>
            <w:tcW w:w="1536" w:type="dxa"/>
            <w:vAlign w:val="center"/>
          </w:tcPr>
          <w:p w14:paraId="2F2FE5E8">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09</w:t>
            </w:r>
          </w:p>
        </w:tc>
        <w:tc>
          <w:tcPr>
            <w:tcW w:w="1536" w:type="dxa"/>
            <w:shd w:val="clear" w:color="auto" w:fill="auto"/>
            <w:vAlign w:val="center"/>
          </w:tcPr>
          <w:p w14:paraId="07341D3B">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09</w:t>
            </w:r>
          </w:p>
        </w:tc>
        <w:tc>
          <w:tcPr>
            <w:tcW w:w="1540" w:type="dxa"/>
            <w:shd w:val="clear" w:color="auto" w:fill="auto"/>
            <w:vAlign w:val="center"/>
          </w:tcPr>
          <w:p w14:paraId="78296CEF">
            <w:pPr>
              <w:spacing w:line="360" w:lineRule="exact"/>
              <w:jc w:val="center"/>
              <w:textAlignment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11</w:t>
            </w:r>
          </w:p>
        </w:tc>
      </w:tr>
      <w:tr w14:paraId="5CC8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603" w:type="dxa"/>
            <w:vAlign w:val="center"/>
          </w:tcPr>
          <w:p w14:paraId="4CFFB227">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汞（Hg）</w:t>
            </w:r>
          </w:p>
        </w:tc>
        <w:tc>
          <w:tcPr>
            <w:tcW w:w="1536" w:type="dxa"/>
            <w:vAlign w:val="center"/>
          </w:tcPr>
          <w:p w14:paraId="08626B39">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0.0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13</w:t>
            </w:r>
          </w:p>
        </w:tc>
        <w:tc>
          <w:tcPr>
            <w:tcW w:w="1536" w:type="dxa"/>
            <w:vAlign w:val="center"/>
          </w:tcPr>
          <w:p w14:paraId="42B81025">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0.0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16</w:t>
            </w:r>
          </w:p>
        </w:tc>
        <w:tc>
          <w:tcPr>
            <w:tcW w:w="1536" w:type="dxa"/>
            <w:vAlign w:val="center"/>
          </w:tcPr>
          <w:p w14:paraId="2A503C40">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0.0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17</w:t>
            </w:r>
          </w:p>
        </w:tc>
        <w:tc>
          <w:tcPr>
            <w:tcW w:w="1536" w:type="dxa"/>
            <w:shd w:val="clear" w:color="auto" w:fill="auto"/>
            <w:vAlign w:val="center"/>
          </w:tcPr>
          <w:p w14:paraId="7D80B91B">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0.0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14</w:t>
            </w:r>
          </w:p>
        </w:tc>
        <w:tc>
          <w:tcPr>
            <w:tcW w:w="1540" w:type="dxa"/>
            <w:shd w:val="clear" w:color="auto" w:fill="auto"/>
            <w:vAlign w:val="center"/>
          </w:tcPr>
          <w:p w14:paraId="715D9339">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0.0</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20</w:t>
            </w:r>
          </w:p>
        </w:tc>
      </w:tr>
      <w:tr w14:paraId="108A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03" w:type="dxa"/>
            <w:vAlign w:val="center"/>
          </w:tcPr>
          <w:p w14:paraId="7E71023C">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砷（As）</w:t>
            </w:r>
          </w:p>
        </w:tc>
        <w:tc>
          <w:tcPr>
            <w:tcW w:w="1536" w:type="dxa"/>
            <w:vAlign w:val="center"/>
          </w:tcPr>
          <w:p w14:paraId="506FA8DD">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3</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.40</w:t>
            </w:r>
          </w:p>
        </w:tc>
        <w:tc>
          <w:tcPr>
            <w:tcW w:w="1536" w:type="dxa"/>
            <w:vAlign w:val="center"/>
          </w:tcPr>
          <w:p w14:paraId="66AE03DE">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3.</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31</w:t>
            </w:r>
          </w:p>
        </w:tc>
        <w:tc>
          <w:tcPr>
            <w:tcW w:w="1536" w:type="dxa"/>
            <w:vAlign w:val="center"/>
          </w:tcPr>
          <w:p w14:paraId="3CD756D5">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3.</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35</w:t>
            </w:r>
          </w:p>
        </w:tc>
        <w:tc>
          <w:tcPr>
            <w:tcW w:w="1536" w:type="dxa"/>
            <w:shd w:val="clear" w:color="auto" w:fill="auto"/>
            <w:vAlign w:val="center"/>
          </w:tcPr>
          <w:p w14:paraId="29925663">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3</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.36</w:t>
            </w:r>
          </w:p>
        </w:tc>
        <w:tc>
          <w:tcPr>
            <w:tcW w:w="1540" w:type="dxa"/>
            <w:shd w:val="clear" w:color="auto" w:fill="auto"/>
            <w:vAlign w:val="center"/>
          </w:tcPr>
          <w:p w14:paraId="41F551CA">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3.</w:t>
            </w:r>
            <w:r>
              <w:rPr>
                <w:rFonts w:hint="eastAsia" w:ascii="Times New Roman" w:hAnsi="Times New Roman" w:eastAsia="宋体" w:cs="Times New Roman"/>
                <w:caps w:val="0"/>
                <w:smallCaps w:val="0"/>
                <w:color w:val="auto"/>
                <w:spacing w:val="0"/>
                <w:w w:val="100"/>
                <w:position w:val="0"/>
                <w:sz w:val="21"/>
                <w:szCs w:val="21"/>
                <w:highlight w:val="none"/>
                <w:lang w:val="en-US" w:eastAsia="zh-CN"/>
              </w:rPr>
              <w:t>27</w:t>
            </w:r>
          </w:p>
        </w:tc>
      </w:tr>
      <w:tr w14:paraId="78C4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06F3E65E">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铅（Pb）</w:t>
            </w:r>
          </w:p>
        </w:tc>
        <w:tc>
          <w:tcPr>
            <w:tcW w:w="1536" w:type="dxa"/>
            <w:vAlign w:val="center"/>
          </w:tcPr>
          <w:p w14:paraId="55D95946">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15</w:t>
            </w:r>
          </w:p>
        </w:tc>
        <w:tc>
          <w:tcPr>
            <w:tcW w:w="1536" w:type="dxa"/>
            <w:vAlign w:val="center"/>
          </w:tcPr>
          <w:p w14:paraId="0E42A3F4">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16</w:t>
            </w:r>
          </w:p>
        </w:tc>
        <w:tc>
          <w:tcPr>
            <w:tcW w:w="1536" w:type="dxa"/>
            <w:vAlign w:val="center"/>
          </w:tcPr>
          <w:p w14:paraId="2D989318">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14</w:t>
            </w:r>
          </w:p>
        </w:tc>
        <w:tc>
          <w:tcPr>
            <w:tcW w:w="1536" w:type="dxa"/>
            <w:shd w:val="clear" w:color="auto" w:fill="auto"/>
            <w:vAlign w:val="center"/>
          </w:tcPr>
          <w:p w14:paraId="213A5554">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15</w:t>
            </w:r>
          </w:p>
        </w:tc>
        <w:tc>
          <w:tcPr>
            <w:tcW w:w="1540" w:type="dxa"/>
            <w:shd w:val="clear" w:color="auto" w:fill="auto"/>
            <w:vAlign w:val="center"/>
          </w:tcPr>
          <w:p w14:paraId="6A3333CA">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12</w:t>
            </w:r>
          </w:p>
        </w:tc>
      </w:tr>
      <w:tr w14:paraId="6E20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7ED8BA70">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铬（Cr）</w:t>
            </w:r>
          </w:p>
        </w:tc>
        <w:tc>
          <w:tcPr>
            <w:tcW w:w="1536" w:type="dxa"/>
            <w:vAlign w:val="center"/>
          </w:tcPr>
          <w:p w14:paraId="5B755412">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46</w:t>
            </w:r>
          </w:p>
        </w:tc>
        <w:tc>
          <w:tcPr>
            <w:tcW w:w="1536" w:type="dxa"/>
            <w:vAlign w:val="center"/>
          </w:tcPr>
          <w:p w14:paraId="3F271A45">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53</w:t>
            </w:r>
          </w:p>
        </w:tc>
        <w:tc>
          <w:tcPr>
            <w:tcW w:w="1536" w:type="dxa"/>
            <w:vAlign w:val="center"/>
          </w:tcPr>
          <w:p w14:paraId="5A2799D6">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57</w:t>
            </w:r>
          </w:p>
        </w:tc>
        <w:tc>
          <w:tcPr>
            <w:tcW w:w="1536" w:type="dxa"/>
            <w:shd w:val="clear" w:color="auto" w:fill="auto"/>
            <w:vAlign w:val="center"/>
          </w:tcPr>
          <w:p w14:paraId="469401C2">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44</w:t>
            </w:r>
          </w:p>
        </w:tc>
        <w:tc>
          <w:tcPr>
            <w:tcW w:w="1540" w:type="dxa"/>
            <w:shd w:val="clear" w:color="auto" w:fill="auto"/>
            <w:vAlign w:val="center"/>
          </w:tcPr>
          <w:p w14:paraId="3603BD5D">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49</w:t>
            </w:r>
          </w:p>
        </w:tc>
      </w:tr>
      <w:tr w14:paraId="19EE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5608B042">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铜（Cu）</w:t>
            </w:r>
          </w:p>
        </w:tc>
        <w:tc>
          <w:tcPr>
            <w:tcW w:w="1536" w:type="dxa"/>
            <w:vAlign w:val="center"/>
          </w:tcPr>
          <w:p w14:paraId="265EC199">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21</w:t>
            </w:r>
          </w:p>
        </w:tc>
        <w:tc>
          <w:tcPr>
            <w:tcW w:w="1536" w:type="dxa"/>
            <w:vAlign w:val="center"/>
          </w:tcPr>
          <w:p w14:paraId="1C35DA75">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18</w:t>
            </w:r>
          </w:p>
        </w:tc>
        <w:tc>
          <w:tcPr>
            <w:tcW w:w="1536" w:type="dxa"/>
            <w:vAlign w:val="center"/>
          </w:tcPr>
          <w:p w14:paraId="590A861B">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16</w:t>
            </w:r>
          </w:p>
        </w:tc>
        <w:tc>
          <w:tcPr>
            <w:tcW w:w="1536" w:type="dxa"/>
            <w:shd w:val="clear" w:color="auto" w:fill="auto"/>
            <w:vAlign w:val="center"/>
          </w:tcPr>
          <w:p w14:paraId="299CEFE1">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12</w:t>
            </w:r>
          </w:p>
        </w:tc>
        <w:tc>
          <w:tcPr>
            <w:tcW w:w="1540" w:type="dxa"/>
            <w:shd w:val="clear" w:color="auto" w:fill="auto"/>
            <w:vAlign w:val="center"/>
          </w:tcPr>
          <w:p w14:paraId="6F662FDA">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17</w:t>
            </w:r>
          </w:p>
        </w:tc>
      </w:tr>
      <w:tr w14:paraId="6B37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1C0D66BE">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镍（Ni）</w:t>
            </w:r>
          </w:p>
        </w:tc>
        <w:tc>
          <w:tcPr>
            <w:tcW w:w="1536" w:type="dxa"/>
            <w:vAlign w:val="center"/>
          </w:tcPr>
          <w:p w14:paraId="492B5ACB">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23</w:t>
            </w:r>
          </w:p>
        </w:tc>
        <w:tc>
          <w:tcPr>
            <w:tcW w:w="1536" w:type="dxa"/>
            <w:vAlign w:val="center"/>
          </w:tcPr>
          <w:p w14:paraId="1F46FA6F">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21</w:t>
            </w:r>
          </w:p>
        </w:tc>
        <w:tc>
          <w:tcPr>
            <w:tcW w:w="1536" w:type="dxa"/>
            <w:vAlign w:val="center"/>
          </w:tcPr>
          <w:p w14:paraId="01024241">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20</w:t>
            </w:r>
          </w:p>
        </w:tc>
        <w:tc>
          <w:tcPr>
            <w:tcW w:w="1536" w:type="dxa"/>
            <w:shd w:val="clear" w:color="auto" w:fill="auto"/>
            <w:vAlign w:val="center"/>
          </w:tcPr>
          <w:p w14:paraId="3AE15A32">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19</w:t>
            </w:r>
          </w:p>
        </w:tc>
        <w:tc>
          <w:tcPr>
            <w:tcW w:w="1540" w:type="dxa"/>
            <w:shd w:val="clear" w:color="auto" w:fill="auto"/>
            <w:vAlign w:val="center"/>
          </w:tcPr>
          <w:p w14:paraId="073281EF">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22</w:t>
            </w:r>
          </w:p>
        </w:tc>
      </w:tr>
      <w:tr w14:paraId="4577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79F3293C">
            <w:pPr>
              <w:widowControl w:val="0"/>
              <w:adjustRightInd w:val="0"/>
              <w:snapToGrid w:val="0"/>
              <w:spacing w:line="280" w:lineRule="exact"/>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snapToGrid w:val="0"/>
                <w:color w:val="auto"/>
                <w:spacing w:val="0"/>
                <w:w w:val="100"/>
                <w:position w:val="0"/>
                <w:sz w:val="21"/>
                <w:szCs w:val="21"/>
                <w:highlight w:val="none"/>
              </w:rPr>
              <w:t>锌（Zn）</w:t>
            </w:r>
          </w:p>
        </w:tc>
        <w:tc>
          <w:tcPr>
            <w:tcW w:w="1536" w:type="dxa"/>
            <w:vAlign w:val="center"/>
          </w:tcPr>
          <w:p w14:paraId="0081CDA6">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56</w:t>
            </w:r>
          </w:p>
        </w:tc>
        <w:tc>
          <w:tcPr>
            <w:tcW w:w="1536" w:type="dxa"/>
            <w:vAlign w:val="center"/>
          </w:tcPr>
          <w:p w14:paraId="0EBB0DAF">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61</w:t>
            </w:r>
          </w:p>
        </w:tc>
        <w:tc>
          <w:tcPr>
            <w:tcW w:w="1536" w:type="dxa"/>
            <w:vAlign w:val="center"/>
          </w:tcPr>
          <w:p w14:paraId="3908A4C7">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49</w:t>
            </w:r>
          </w:p>
        </w:tc>
        <w:tc>
          <w:tcPr>
            <w:tcW w:w="1536" w:type="dxa"/>
            <w:shd w:val="clear" w:color="auto" w:fill="auto"/>
            <w:vAlign w:val="center"/>
          </w:tcPr>
          <w:p w14:paraId="30D84997">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47</w:t>
            </w:r>
          </w:p>
        </w:tc>
        <w:tc>
          <w:tcPr>
            <w:tcW w:w="1540" w:type="dxa"/>
            <w:shd w:val="clear" w:color="auto" w:fill="auto"/>
            <w:vAlign w:val="center"/>
          </w:tcPr>
          <w:p w14:paraId="7EF08C24">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53</w:t>
            </w:r>
          </w:p>
        </w:tc>
      </w:tr>
      <w:tr w14:paraId="6A49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53F5BA20">
            <w:pPr>
              <w:widowControl w:val="0"/>
              <w:adjustRightInd w:val="0"/>
              <w:snapToGrid w:val="0"/>
              <w:spacing w:line="280" w:lineRule="exact"/>
              <w:jc w:val="center"/>
              <w:rPr>
                <w:rFonts w:ascii="Times New Roman" w:hAnsi="Times New Roman" w:cs="Times New Roman"/>
                <w:caps w:val="0"/>
                <w:smallCaps w:val="0"/>
                <w:snapToGrid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石油烃（C</w:t>
            </w:r>
            <w:r>
              <w:rPr>
                <w:rFonts w:ascii="Times New Roman" w:hAnsi="Times New Roman" w:cs="Times New Roman"/>
                <w:caps w:val="0"/>
                <w:smallCaps w:val="0"/>
                <w:color w:val="auto"/>
                <w:spacing w:val="0"/>
                <w:w w:val="100"/>
                <w:position w:val="0"/>
                <w:sz w:val="21"/>
                <w:szCs w:val="21"/>
                <w:highlight w:val="none"/>
                <w:vertAlign w:val="subscript"/>
              </w:rPr>
              <w:t>10</w:t>
            </w:r>
            <w:r>
              <w:rPr>
                <w:rFonts w:ascii="Times New Roman" w:hAnsi="Times New Roman" w:cs="Times New Roman"/>
                <w:caps w:val="0"/>
                <w:smallCaps w:val="0"/>
                <w:color w:val="auto"/>
                <w:spacing w:val="0"/>
                <w:w w:val="100"/>
                <w:position w:val="0"/>
                <w:sz w:val="21"/>
                <w:szCs w:val="21"/>
                <w:highlight w:val="none"/>
              </w:rPr>
              <w:t>-C</w:t>
            </w:r>
            <w:r>
              <w:rPr>
                <w:rFonts w:ascii="Times New Roman" w:hAnsi="Times New Roman" w:cs="Times New Roman"/>
                <w:caps w:val="0"/>
                <w:smallCaps w:val="0"/>
                <w:color w:val="auto"/>
                <w:spacing w:val="0"/>
                <w:w w:val="100"/>
                <w:position w:val="0"/>
                <w:sz w:val="21"/>
                <w:szCs w:val="21"/>
                <w:highlight w:val="none"/>
                <w:vertAlign w:val="subscript"/>
              </w:rPr>
              <w:t>40</w:t>
            </w:r>
            <w:r>
              <w:rPr>
                <w:rFonts w:ascii="Times New Roman" w:hAnsi="Times New Roman" w:cs="Times New Roman"/>
                <w:caps w:val="0"/>
                <w:smallCaps w:val="0"/>
                <w:color w:val="auto"/>
                <w:spacing w:val="0"/>
                <w:w w:val="100"/>
                <w:position w:val="0"/>
                <w:sz w:val="21"/>
                <w:szCs w:val="21"/>
                <w:highlight w:val="none"/>
              </w:rPr>
              <w:t>）</w:t>
            </w:r>
          </w:p>
        </w:tc>
        <w:tc>
          <w:tcPr>
            <w:tcW w:w="1536" w:type="dxa"/>
            <w:vAlign w:val="center"/>
          </w:tcPr>
          <w:p w14:paraId="14F23C90">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c>
          <w:tcPr>
            <w:tcW w:w="1536" w:type="dxa"/>
            <w:vAlign w:val="center"/>
          </w:tcPr>
          <w:p w14:paraId="2C0A191C">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c>
          <w:tcPr>
            <w:tcW w:w="1536" w:type="dxa"/>
            <w:vAlign w:val="center"/>
          </w:tcPr>
          <w:p w14:paraId="1A7214E0">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c>
          <w:tcPr>
            <w:tcW w:w="1536" w:type="dxa"/>
            <w:shd w:val="clear" w:color="auto" w:fill="auto"/>
            <w:vAlign w:val="center"/>
          </w:tcPr>
          <w:p w14:paraId="534227D1">
            <w:pPr>
              <w:spacing w:line="360" w:lineRule="exact"/>
              <w:jc w:val="center"/>
              <w:textAlignment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c>
          <w:tcPr>
            <w:tcW w:w="1540" w:type="dxa"/>
            <w:shd w:val="clear" w:color="auto" w:fill="auto"/>
            <w:vAlign w:val="center"/>
          </w:tcPr>
          <w:p w14:paraId="662EEE76">
            <w:pPr>
              <w:spacing w:line="360" w:lineRule="exact"/>
              <w:jc w:val="center"/>
              <w:textAlignment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r>
      <w:tr w14:paraId="53CE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437DACF1">
            <w:pPr>
              <w:jc w:val="center"/>
              <w:textAlignment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石油烃（C</w:t>
            </w:r>
            <w:r>
              <w:rPr>
                <w:rFonts w:ascii="Times New Roman" w:hAnsi="Times New Roman" w:cs="Times New Roman"/>
                <w:caps w:val="0"/>
                <w:smallCaps w:val="0"/>
                <w:color w:val="auto"/>
                <w:spacing w:val="0"/>
                <w:w w:val="100"/>
                <w:position w:val="0"/>
                <w:sz w:val="21"/>
                <w:szCs w:val="21"/>
                <w:highlight w:val="none"/>
                <w:vertAlign w:val="subscript"/>
              </w:rPr>
              <w:t>6</w:t>
            </w:r>
            <w:r>
              <w:rPr>
                <w:rFonts w:ascii="Times New Roman" w:hAnsi="Times New Roman" w:cs="Times New Roman"/>
                <w:caps w:val="0"/>
                <w:smallCaps w:val="0"/>
                <w:color w:val="auto"/>
                <w:spacing w:val="0"/>
                <w:w w:val="100"/>
                <w:position w:val="0"/>
                <w:sz w:val="21"/>
                <w:szCs w:val="21"/>
                <w:highlight w:val="none"/>
              </w:rPr>
              <w:t>-C</w:t>
            </w:r>
            <w:r>
              <w:rPr>
                <w:rFonts w:ascii="Times New Roman" w:hAnsi="Times New Roman" w:cs="Times New Roman"/>
                <w:caps w:val="0"/>
                <w:smallCaps w:val="0"/>
                <w:color w:val="auto"/>
                <w:spacing w:val="0"/>
                <w:w w:val="100"/>
                <w:position w:val="0"/>
                <w:sz w:val="21"/>
                <w:szCs w:val="21"/>
                <w:highlight w:val="none"/>
                <w:vertAlign w:val="subscript"/>
              </w:rPr>
              <w:t>9</w:t>
            </w:r>
            <w:r>
              <w:rPr>
                <w:rFonts w:ascii="Times New Roman" w:hAnsi="Times New Roman" w:cs="Times New Roman"/>
                <w:caps w:val="0"/>
                <w:smallCaps w:val="0"/>
                <w:color w:val="auto"/>
                <w:spacing w:val="0"/>
                <w:w w:val="100"/>
                <w:position w:val="0"/>
                <w:sz w:val="21"/>
                <w:szCs w:val="21"/>
                <w:highlight w:val="none"/>
              </w:rPr>
              <w:t>）</w:t>
            </w:r>
          </w:p>
        </w:tc>
        <w:tc>
          <w:tcPr>
            <w:tcW w:w="1536" w:type="dxa"/>
            <w:vAlign w:val="center"/>
          </w:tcPr>
          <w:p w14:paraId="476077CF">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c>
          <w:tcPr>
            <w:tcW w:w="1536" w:type="dxa"/>
            <w:vAlign w:val="center"/>
          </w:tcPr>
          <w:p w14:paraId="5AE12D5E">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c>
          <w:tcPr>
            <w:tcW w:w="1536" w:type="dxa"/>
            <w:vAlign w:val="center"/>
          </w:tcPr>
          <w:p w14:paraId="0B9661F1">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c>
          <w:tcPr>
            <w:tcW w:w="1536" w:type="dxa"/>
            <w:shd w:val="clear" w:color="auto" w:fill="auto"/>
            <w:vAlign w:val="center"/>
          </w:tcPr>
          <w:p w14:paraId="4CBF05EF">
            <w:pPr>
              <w:spacing w:line="360" w:lineRule="exact"/>
              <w:jc w:val="center"/>
              <w:textAlignment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c>
          <w:tcPr>
            <w:tcW w:w="1540" w:type="dxa"/>
            <w:shd w:val="clear" w:color="auto" w:fill="auto"/>
            <w:vAlign w:val="center"/>
          </w:tcPr>
          <w:p w14:paraId="6B3617E2">
            <w:pPr>
              <w:spacing w:line="360" w:lineRule="exact"/>
              <w:jc w:val="center"/>
              <w:textAlignment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rPr>
              <w:t>未检出</w:t>
            </w:r>
          </w:p>
        </w:tc>
      </w:tr>
      <w:tr w14:paraId="4847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3A11621C">
            <w:pPr>
              <w:jc w:val="center"/>
              <w:textAlignment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水溶性盐总量</w:t>
            </w:r>
          </w:p>
        </w:tc>
        <w:tc>
          <w:tcPr>
            <w:tcW w:w="1536" w:type="dxa"/>
            <w:vAlign w:val="center"/>
          </w:tcPr>
          <w:p w14:paraId="47EDA410">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500</w:t>
            </w:r>
          </w:p>
        </w:tc>
        <w:tc>
          <w:tcPr>
            <w:tcW w:w="1536" w:type="dxa"/>
            <w:vAlign w:val="center"/>
          </w:tcPr>
          <w:p w14:paraId="02BBD621">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700</w:t>
            </w:r>
          </w:p>
        </w:tc>
        <w:tc>
          <w:tcPr>
            <w:tcW w:w="1536" w:type="dxa"/>
            <w:vAlign w:val="center"/>
          </w:tcPr>
          <w:p w14:paraId="7B125B12">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600</w:t>
            </w:r>
          </w:p>
        </w:tc>
        <w:tc>
          <w:tcPr>
            <w:tcW w:w="1536" w:type="dxa"/>
            <w:shd w:val="clear" w:color="auto" w:fill="auto"/>
            <w:vAlign w:val="center"/>
          </w:tcPr>
          <w:p w14:paraId="3534E4F8">
            <w:pPr>
              <w:spacing w:line="360" w:lineRule="exact"/>
              <w:jc w:val="center"/>
              <w:textAlignment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600</w:t>
            </w:r>
          </w:p>
        </w:tc>
        <w:tc>
          <w:tcPr>
            <w:tcW w:w="1540" w:type="dxa"/>
            <w:shd w:val="clear" w:color="auto" w:fill="auto"/>
            <w:vAlign w:val="center"/>
          </w:tcPr>
          <w:p w14:paraId="234DC6EC">
            <w:pPr>
              <w:spacing w:line="360" w:lineRule="exact"/>
              <w:jc w:val="center"/>
              <w:textAlignment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700</w:t>
            </w:r>
          </w:p>
        </w:tc>
      </w:tr>
      <w:tr w14:paraId="0C35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54AE43A1">
            <w:pPr>
              <w:widowControl w:val="0"/>
              <w:adjustRightInd w:val="0"/>
              <w:snapToGrid w:val="0"/>
              <w:spacing w:line="28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石油类</w:t>
            </w:r>
          </w:p>
        </w:tc>
        <w:tc>
          <w:tcPr>
            <w:tcW w:w="1536" w:type="dxa"/>
            <w:vAlign w:val="center"/>
          </w:tcPr>
          <w:p w14:paraId="3C656662">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10</w:t>
            </w:r>
          </w:p>
        </w:tc>
        <w:tc>
          <w:tcPr>
            <w:tcW w:w="1536" w:type="dxa"/>
            <w:vAlign w:val="center"/>
          </w:tcPr>
          <w:p w14:paraId="191590D9">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13</w:t>
            </w:r>
          </w:p>
        </w:tc>
        <w:tc>
          <w:tcPr>
            <w:tcW w:w="1536" w:type="dxa"/>
            <w:vAlign w:val="center"/>
          </w:tcPr>
          <w:p w14:paraId="6B62A71A">
            <w:pPr>
              <w:spacing w:line="360" w:lineRule="exact"/>
              <w:jc w:val="center"/>
              <w:textAlignment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11</w:t>
            </w:r>
          </w:p>
        </w:tc>
        <w:tc>
          <w:tcPr>
            <w:tcW w:w="1536" w:type="dxa"/>
            <w:shd w:val="clear" w:color="auto" w:fill="auto"/>
            <w:vAlign w:val="center"/>
          </w:tcPr>
          <w:p w14:paraId="43967EA0">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12</w:t>
            </w:r>
          </w:p>
        </w:tc>
        <w:tc>
          <w:tcPr>
            <w:tcW w:w="1540" w:type="dxa"/>
            <w:shd w:val="clear" w:color="auto" w:fill="auto"/>
            <w:vAlign w:val="center"/>
          </w:tcPr>
          <w:p w14:paraId="1AC0847C">
            <w:pPr>
              <w:spacing w:line="360" w:lineRule="exact"/>
              <w:jc w:val="center"/>
              <w:textAlignment w:val="center"/>
              <w:rPr>
                <w:rFonts w:hint="default"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10</w:t>
            </w:r>
          </w:p>
        </w:tc>
      </w:tr>
    </w:tbl>
    <w:p w14:paraId="60F4BEE9">
      <w:pPr>
        <w:widowControl w:val="0"/>
        <w:spacing w:line="440" w:lineRule="exact"/>
        <w:jc w:val="both"/>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4.3.5.3土壤环境质量现状评价</w:t>
      </w:r>
    </w:p>
    <w:p w14:paraId="243BACBF">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（1）评价方法</w:t>
      </w:r>
    </w:p>
    <w:p w14:paraId="6F275D2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评价方法采用标准指数法进行土壤环境质量现状评价，即通过指数的大小反应土壤环境受污染的程度，公式为：</w:t>
      </w:r>
    </w:p>
    <w:p w14:paraId="33BDD849">
      <w:pPr>
        <w:widowControl w:val="0"/>
        <w:spacing w:line="440" w:lineRule="exact"/>
        <w:jc w:val="center"/>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K</w:t>
      </w:r>
      <w:r>
        <w:rPr>
          <w:rFonts w:ascii="Times New Roman" w:hAnsi="Times New Roman" w:cs="Times New Roman" w:eastAsiaTheme="minorEastAsia"/>
          <w:caps w:val="0"/>
          <w:smallCaps w:val="0"/>
          <w:color w:val="auto"/>
          <w:spacing w:val="0"/>
          <w:w w:val="100"/>
          <w:position w:val="0"/>
          <w:highlight w:val="none"/>
          <w:vertAlign w:val="subscript"/>
        </w:rPr>
        <w:t>i</w:t>
      </w:r>
      <w:r>
        <w:rPr>
          <w:rFonts w:ascii="Times New Roman" w:hAnsi="Times New Roman" w:cs="Times New Roman" w:eastAsiaTheme="minorEastAsia"/>
          <w:caps w:val="0"/>
          <w:smallCaps w:val="0"/>
          <w:color w:val="auto"/>
          <w:spacing w:val="0"/>
          <w:w w:val="100"/>
          <w:position w:val="0"/>
          <w:highlight w:val="none"/>
        </w:rPr>
        <w:t>＝X</w:t>
      </w:r>
      <w:r>
        <w:rPr>
          <w:rFonts w:ascii="Times New Roman" w:hAnsi="Times New Roman" w:cs="Times New Roman" w:eastAsiaTheme="minorEastAsia"/>
          <w:caps w:val="0"/>
          <w:smallCaps w:val="0"/>
          <w:color w:val="auto"/>
          <w:spacing w:val="0"/>
          <w:w w:val="100"/>
          <w:position w:val="0"/>
          <w:highlight w:val="none"/>
          <w:vertAlign w:val="subscript"/>
        </w:rPr>
        <w:t>i</w:t>
      </w:r>
      <w:r>
        <w:rPr>
          <w:rFonts w:ascii="Times New Roman" w:hAnsi="Times New Roman" w:cs="Times New Roman" w:eastAsiaTheme="minorEastAsia"/>
          <w:caps w:val="0"/>
          <w:smallCaps w:val="0"/>
          <w:color w:val="auto"/>
          <w:spacing w:val="0"/>
          <w:w w:val="100"/>
          <w:position w:val="0"/>
          <w:highlight w:val="none"/>
        </w:rPr>
        <w:t>/Xo</w:t>
      </w:r>
      <w:r>
        <w:rPr>
          <w:rFonts w:ascii="Times New Roman" w:hAnsi="Times New Roman" w:cs="Times New Roman" w:eastAsiaTheme="minorEastAsia"/>
          <w:caps w:val="0"/>
          <w:smallCaps w:val="0"/>
          <w:color w:val="auto"/>
          <w:spacing w:val="0"/>
          <w:w w:val="100"/>
          <w:position w:val="0"/>
          <w:highlight w:val="none"/>
          <w:vertAlign w:val="subscript"/>
        </w:rPr>
        <w:t>i</w:t>
      </w:r>
    </w:p>
    <w:p w14:paraId="09E768E6">
      <w:pPr>
        <w:widowControl w:val="0"/>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式中：K</w:t>
      </w:r>
      <w:r>
        <w:rPr>
          <w:rFonts w:ascii="Times New Roman" w:hAnsi="Times New Roman" w:cs="Times New Roman" w:eastAsiaTheme="minorEastAsia"/>
          <w:caps w:val="0"/>
          <w:smallCaps w:val="0"/>
          <w:color w:val="auto"/>
          <w:spacing w:val="0"/>
          <w:w w:val="100"/>
          <w:position w:val="0"/>
          <w:highlight w:val="none"/>
          <w:vertAlign w:val="subscript"/>
        </w:rPr>
        <w:t>i</w:t>
      </w:r>
      <w:r>
        <w:rPr>
          <w:rFonts w:ascii="Times New Roman" w:hAnsi="Times New Roman" w:cs="Times New Roman" w:eastAsiaTheme="minorEastAsia"/>
          <w:caps w:val="0"/>
          <w:smallCaps w:val="0"/>
          <w:color w:val="auto"/>
          <w:spacing w:val="0"/>
          <w:w w:val="100"/>
          <w:position w:val="0"/>
          <w:highlight w:val="none"/>
        </w:rPr>
        <w:t>——第i项分指数；</w:t>
      </w:r>
    </w:p>
    <w:p w14:paraId="1442353C">
      <w:pPr>
        <w:widowControl w:val="0"/>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 xml:space="preserve">      X</w:t>
      </w:r>
      <w:r>
        <w:rPr>
          <w:rFonts w:ascii="Times New Roman" w:hAnsi="Times New Roman" w:cs="Times New Roman" w:eastAsiaTheme="minorEastAsia"/>
          <w:caps w:val="0"/>
          <w:smallCaps w:val="0"/>
          <w:color w:val="auto"/>
          <w:spacing w:val="0"/>
          <w:w w:val="100"/>
          <w:position w:val="0"/>
          <w:highlight w:val="none"/>
          <w:vertAlign w:val="subscript"/>
        </w:rPr>
        <w:t>i</w:t>
      </w:r>
      <w:r>
        <w:rPr>
          <w:rFonts w:ascii="Times New Roman" w:hAnsi="Times New Roman" w:cs="Times New Roman" w:eastAsiaTheme="minorEastAsia"/>
          <w:caps w:val="0"/>
          <w:smallCaps w:val="0"/>
          <w:color w:val="auto"/>
          <w:spacing w:val="0"/>
          <w:w w:val="100"/>
          <w:position w:val="0"/>
          <w:highlight w:val="none"/>
        </w:rPr>
        <w:t>——土壤中i污染物的实测含量，mg/kg；</w:t>
      </w:r>
    </w:p>
    <w:p w14:paraId="16AB487A">
      <w:pPr>
        <w:widowControl w:val="0"/>
        <w:spacing w:line="440" w:lineRule="exact"/>
        <w:ind w:firstLine="480" w:firstLineChars="200"/>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 xml:space="preserve">      Xo</w:t>
      </w:r>
      <w:r>
        <w:rPr>
          <w:rFonts w:ascii="Times New Roman" w:hAnsi="Times New Roman" w:cs="Times New Roman" w:eastAsiaTheme="minorEastAsia"/>
          <w:caps w:val="0"/>
          <w:smallCaps w:val="0"/>
          <w:color w:val="auto"/>
          <w:spacing w:val="0"/>
          <w:w w:val="100"/>
          <w:position w:val="0"/>
          <w:highlight w:val="none"/>
          <w:vertAlign w:val="subscript"/>
        </w:rPr>
        <w:t>i</w:t>
      </w:r>
      <w:r>
        <w:rPr>
          <w:rFonts w:ascii="Times New Roman" w:hAnsi="Times New Roman" w:cs="Times New Roman" w:eastAsiaTheme="minorEastAsia"/>
          <w:caps w:val="0"/>
          <w:smallCaps w:val="0"/>
          <w:color w:val="auto"/>
          <w:spacing w:val="0"/>
          <w:w w:val="100"/>
          <w:position w:val="0"/>
          <w:highlight w:val="none"/>
        </w:rPr>
        <w:t>——土壤中i污染物的标准值，mg/kg。</w:t>
      </w:r>
    </w:p>
    <w:p w14:paraId="3D387CF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（2）评价标准</w:t>
      </w:r>
    </w:p>
    <w:p w14:paraId="3BE2AE5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w:t>
      </w:r>
      <w:r>
        <w:rPr>
          <w:rFonts w:hint="eastAsia" w:ascii="Times New Roman" w:hAnsi="Times New Roman" w:cs="Times New Roman" w:eastAsiaTheme="minorEastAsia"/>
          <w:caps w:val="0"/>
          <w:smallCaps w:val="0"/>
          <w:color w:val="auto"/>
          <w:spacing w:val="0"/>
          <w:w w:val="100"/>
          <w:kern w:val="21"/>
          <w:position w:val="0"/>
          <w:highlight w:val="none"/>
        </w:rPr>
        <w:t>~4#</w:t>
      </w:r>
      <w:r>
        <w:rPr>
          <w:rFonts w:ascii="Times New Roman" w:hAnsi="Times New Roman" w:cs="Times New Roman" w:eastAsiaTheme="minorEastAsia"/>
          <w:caps w:val="0"/>
          <w:smallCaps w:val="0"/>
          <w:color w:val="auto"/>
          <w:spacing w:val="0"/>
          <w:w w:val="100"/>
          <w:kern w:val="21"/>
          <w:position w:val="0"/>
          <w:highlight w:val="none"/>
        </w:rPr>
        <w:t>监测点位土壤执行《土壤环境质量 建设用地土壤污染风险管控标准（试行）》（GB36600-2018）中第二类用地筛选值标准，</w:t>
      </w:r>
      <w:r>
        <w:rPr>
          <w:rFonts w:hint="eastAsia" w:ascii="Times New Roman" w:hAnsi="Times New Roman" w:cs="Times New Roman" w:eastAsiaTheme="minorEastAsia"/>
          <w:caps w:val="0"/>
          <w:smallCaps w:val="0"/>
          <w:color w:val="auto"/>
          <w:spacing w:val="0"/>
          <w:w w:val="100"/>
          <w:kern w:val="21"/>
          <w:position w:val="0"/>
          <w:highlight w:val="none"/>
        </w:rPr>
        <w:t>5</w:t>
      </w:r>
      <w:r>
        <w:rPr>
          <w:rFonts w:ascii="Times New Roman" w:hAnsi="Times New Roman" w:cs="Times New Roman" w:eastAsiaTheme="minorEastAsia"/>
          <w:caps w:val="0"/>
          <w:smallCaps w:val="0"/>
          <w:color w:val="auto"/>
          <w:spacing w:val="0"/>
          <w:w w:val="100"/>
          <w:kern w:val="21"/>
          <w:position w:val="0"/>
          <w:highlight w:val="none"/>
        </w:rPr>
        <w:t>#~</w:t>
      </w:r>
      <w:r>
        <w:rPr>
          <w:rFonts w:hint="eastAsia" w:ascii="Times New Roman" w:hAnsi="Times New Roman" w:cs="Times New Roman" w:eastAsiaTheme="minorEastAsia"/>
          <w:caps w:val="0"/>
          <w:smallCaps w:val="0"/>
          <w:color w:val="auto"/>
          <w:spacing w:val="0"/>
          <w:w w:val="100"/>
          <w:kern w:val="21"/>
          <w:position w:val="0"/>
          <w:highlight w:val="none"/>
        </w:rPr>
        <w:t>8</w:t>
      </w:r>
      <w:r>
        <w:rPr>
          <w:rFonts w:ascii="Times New Roman" w:hAnsi="Times New Roman" w:cs="Times New Roman" w:eastAsiaTheme="minorEastAsia"/>
          <w:caps w:val="0"/>
          <w:smallCaps w:val="0"/>
          <w:color w:val="auto"/>
          <w:spacing w:val="0"/>
          <w:w w:val="100"/>
          <w:kern w:val="21"/>
          <w:position w:val="0"/>
          <w:highlight w:val="none"/>
        </w:rPr>
        <w:t>#监测点位土壤执行《土壤环境质量 农用地土壤污染风险管控标准（试行）》（GB15618-2018）中农用地土壤风险筛选值。</w:t>
      </w:r>
    </w:p>
    <w:p w14:paraId="21326BD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（3）土壤现状评价结果分析</w:t>
      </w:r>
    </w:p>
    <w:p w14:paraId="641EE5A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建设用地土壤环境质量现状评价结果见表4.3-26。</w:t>
      </w:r>
      <w:r>
        <w:rPr>
          <w:rFonts w:ascii="Times New Roman" w:hAnsi="Times New Roman" w:cs="Times New Roman" w:eastAsiaTheme="minorEastAsia"/>
          <w:caps w:val="0"/>
          <w:smallCaps w:val="0"/>
          <w:color w:val="auto"/>
          <w:spacing w:val="0"/>
          <w:w w:val="100"/>
          <w:kern w:val="21"/>
          <w:position w:val="0"/>
          <w:highlight w:val="none"/>
        </w:rPr>
        <w:t>农用地土壤环境质量现状评价结果见表</w:t>
      </w:r>
      <w:r>
        <w:rPr>
          <w:rFonts w:ascii="Times New Roman" w:hAnsi="Times New Roman" w:cs="Times New Roman" w:eastAsiaTheme="minorEastAsia"/>
          <w:caps w:val="0"/>
          <w:smallCaps w:val="0"/>
          <w:color w:val="auto"/>
          <w:spacing w:val="0"/>
          <w:w w:val="100"/>
          <w:position w:val="0"/>
          <w:highlight w:val="none"/>
        </w:rPr>
        <w:t>4.3-27。</w:t>
      </w:r>
    </w:p>
    <w:p w14:paraId="4E77911E">
      <w:pPr>
        <w:widowControl w:val="0"/>
        <w:spacing w:line="440" w:lineRule="exact"/>
        <w:ind w:firstLine="482" w:firstLineChars="200"/>
        <w:rPr>
          <w:rFonts w:ascii="Times New Roman" w:hAnsi="Times New Roman" w:cs="Times New Roman" w:eastAsiaTheme="minorEastAsia"/>
          <w:b/>
          <w:caps w:val="0"/>
          <w:smallCaps w:val="0"/>
          <w:color w:val="auto"/>
          <w:spacing w:val="0"/>
          <w:w w:val="100"/>
          <w:kern w:val="21"/>
          <w:position w:val="0"/>
          <w:highlight w:val="none"/>
        </w:rPr>
      </w:pPr>
      <w:r>
        <w:rPr>
          <w:rFonts w:ascii="Times New Roman" w:hAnsi="Times New Roman" w:cs="Times New Roman" w:eastAsiaTheme="minorEastAsia"/>
          <w:b/>
          <w:caps w:val="0"/>
          <w:smallCaps w:val="0"/>
          <w:color w:val="auto"/>
          <w:spacing w:val="0"/>
          <w:w w:val="100"/>
          <w:kern w:val="21"/>
          <w:position w:val="0"/>
          <w:highlight w:val="none"/>
          <w:lang w:bidi="zh-CN"/>
        </w:rPr>
        <w:t>表</w:t>
      </w:r>
      <w:r>
        <w:rPr>
          <w:rFonts w:ascii="Times New Roman" w:hAnsi="Times New Roman" w:cs="Times New Roman" w:eastAsiaTheme="minorEastAsia"/>
          <w:b/>
          <w:caps w:val="0"/>
          <w:smallCaps w:val="0"/>
          <w:color w:val="auto"/>
          <w:spacing w:val="0"/>
          <w:w w:val="100"/>
          <w:kern w:val="2"/>
          <w:position w:val="0"/>
          <w:szCs w:val="20"/>
          <w:highlight w:val="none"/>
        </w:rPr>
        <w:t>4.3-26</w:t>
      </w:r>
      <w:r>
        <w:rPr>
          <w:rFonts w:ascii="Times New Roman" w:hAnsi="Times New Roman" w:cs="Times New Roman" w:eastAsiaTheme="minorEastAsia"/>
          <w:b/>
          <w:caps w:val="0"/>
          <w:smallCaps w:val="0"/>
          <w:color w:val="auto"/>
          <w:spacing w:val="0"/>
          <w:w w:val="100"/>
          <w:kern w:val="21"/>
          <w:position w:val="0"/>
          <w:highlight w:val="none"/>
          <w:lang w:bidi="zh-CN"/>
        </w:rPr>
        <w:t xml:space="preserve">    </w:t>
      </w:r>
      <w:r>
        <w:rPr>
          <w:rFonts w:ascii="Times New Roman" w:hAnsi="Times New Roman" w:cs="Times New Roman" w:eastAsiaTheme="minorEastAsia"/>
          <w:b/>
          <w:caps w:val="0"/>
          <w:smallCaps w:val="0"/>
          <w:color w:val="auto"/>
          <w:spacing w:val="0"/>
          <w:w w:val="100"/>
          <w:kern w:val="21"/>
          <w:position w:val="0"/>
          <w:highlight w:val="none"/>
        </w:rPr>
        <w:t xml:space="preserve">建设用地土壤环境质量现状评价结果  </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59"/>
        <w:gridCol w:w="846"/>
        <w:gridCol w:w="975"/>
        <w:gridCol w:w="853"/>
        <w:gridCol w:w="846"/>
        <w:gridCol w:w="975"/>
        <w:gridCol w:w="853"/>
        <w:gridCol w:w="846"/>
        <w:gridCol w:w="976"/>
        <w:gridCol w:w="858"/>
      </w:tblGrid>
      <w:tr w14:paraId="329D0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restart"/>
            <w:vAlign w:val="center"/>
          </w:tcPr>
          <w:p w14:paraId="18893B5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监测项目</w:t>
            </w:r>
          </w:p>
        </w:tc>
        <w:tc>
          <w:tcPr>
            <w:tcW w:w="4322" w:type="pct"/>
            <w:gridSpan w:val="9"/>
            <w:tcBorders>
              <w:left w:val="single" w:color="auto" w:sz="4" w:space="0"/>
            </w:tcBorders>
            <w:vAlign w:val="center"/>
          </w:tcPr>
          <w:p w14:paraId="3F90C81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监测点位及评价结果</w:t>
            </w:r>
          </w:p>
        </w:tc>
      </w:tr>
      <w:tr w14:paraId="1DE92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continue"/>
            <w:vAlign w:val="center"/>
          </w:tcPr>
          <w:p w14:paraId="77A6D1E1">
            <w:pPr>
              <w:snapToGrid w:val="0"/>
              <w:spacing w:line="360" w:lineRule="exact"/>
              <w:ind w:left="210"/>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1440" w:type="pct"/>
            <w:gridSpan w:val="3"/>
            <w:tcBorders>
              <w:left w:val="single" w:color="auto" w:sz="4" w:space="0"/>
              <w:right w:val="single" w:color="auto" w:sz="4" w:space="0"/>
            </w:tcBorders>
            <w:vAlign w:val="center"/>
          </w:tcPr>
          <w:p w14:paraId="529ADE3D">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w:t>
            </w:r>
          </w:p>
        </w:tc>
        <w:tc>
          <w:tcPr>
            <w:tcW w:w="1440" w:type="pct"/>
            <w:gridSpan w:val="3"/>
            <w:tcBorders>
              <w:left w:val="single" w:color="auto" w:sz="4" w:space="0"/>
              <w:right w:val="single" w:color="auto" w:sz="4" w:space="0"/>
            </w:tcBorders>
            <w:vAlign w:val="center"/>
          </w:tcPr>
          <w:p w14:paraId="58267147">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S2</w:t>
            </w:r>
          </w:p>
        </w:tc>
        <w:tc>
          <w:tcPr>
            <w:tcW w:w="1441" w:type="pct"/>
            <w:gridSpan w:val="3"/>
            <w:tcBorders>
              <w:left w:val="single" w:color="auto" w:sz="4" w:space="0"/>
              <w:right w:val="single" w:color="auto" w:sz="4" w:space="0"/>
            </w:tcBorders>
            <w:vAlign w:val="center"/>
          </w:tcPr>
          <w:p w14:paraId="0CC592C6">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S3</w:t>
            </w:r>
          </w:p>
        </w:tc>
      </w:tr>
      <w:tr w14:paraId="6F910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continue"/>
            <w:vAlign w:val="center"/>
          </w:tcPr>
          <w:p w14:paraId="3CCBB5EB">
            <w:pPr>
              <w:snapToGrid w:val="0"/>
              <w:spacing w:line="360" w:lineRule="exact"/>
              <w:ind w:left="210"/>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456" w:type="pct"/>
            <w:tcBorders>
              <w:left w:val="single" w:color="auto" w:sz="4" w:space="0"/>
              <w:right w:val="single" w:color="auto" w:sz="4" w:space="0"/>
            </w:tcBorders>
            <w:vAlign w:val="center"/>
          </w:tcPr>
          <w:p w14:paraId="6ADA1B1E">
            <w:pPr>
              <w:widowControl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0-0.5m</w:t>
            </w:r>
          </w:p>
        </w:tc>
        <w:tc>
          <w:tcPr>
            <w:tcW w:w="524" w:type="pct"/>
            <w:tcBorders>
              <w:left w:val="single" w:color="auto" w:sz="4" w:space="0"/>
            </w:tcBorders>
            <w:vAlign w:val="center"/>
          </w:tcPr>
          <w:p w14:paraId="27B63DD4">
            <w:pPr>
              <w:widowControl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0.5-1.5m</w:t>
            </w:r>
          </w:p>
        </w:tc>
        <w:tc>
          <w:tcPr>
            <w:tcW w:w="458" w:type="pct"/>
            <w:tcBorders>
              <w:left w:val="single" w:color="auto" w:sz="4" w:space="0"/>
            </w:tcBorders>
            <w:vAlign w:val="center"/>
          </w:tcPr>
          <w:p w14:paraId="3C1B1439">
            <w:pPr>
              <w:widowControl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1.5-3m</w:t>
            </w:r>
          </w:p>
        </w:tc>
        <w:tc>
          <w:tcPr>
            <w:tcW w:w="456" w:type="pct"/>
            <w:tcBorders>
              <w:left w:val="single" w:color="auto" w:sz="4" w:space="0"/>
            </w:tcBorders>
            <w:vAlign w:val="center"/>
          </w:tcPr>
          <w:p w14:paraId="48E0C129">
            <w:pPr>
              <w:widowControl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0-0.5m</w:t>
            </w:r>
          </w:p>
        </w:tc>
        <w:tc>
          <w:tcPr>
            <w:tcW w:w="524" w:type="pct"/>
            <w:tcBorders>
              <w:left w:val="single" w:color="auto" w:sz="4" w:space="0"/>
              <w:right w:val="single" w:color="auto" w:sz="4" w:space="0"/>
            </w:tcBorders>
            <w:vAlign w:val="center"/>
          </w:tcPr>
          <w:p w14:paraId="369CB691">
            <w:pPr>
              <w:widowControl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0.5-1.5m</w:t>
            </w:r>
          </w:p>
        </w:tc>
        <w:tc>
          <w:tcPr>
            <w:tcW w:w="458" w:type="pct"/>
            <w:tcBorders>
              <w:left w:val="single" w:color="auto" w:sz="4" w:space="0"/>
              <w:right w:val="single" w:color="auto" w:sz="4" w:space="0"/>
            </w:tcBorders>
            <w:vAlign w:val="center"/>
          </w:tcPr>
          <w:p w14:paraId="2A5E3983">
            <w:pPr>
              <w:widowControl w:val="0"/>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1.5-3m</w:t>
            </w:r>
          </w:p>
        </w:tc>
        <w:tc>
          <w:tcPr>
            <w:tcW w:w="456" w:type="pct"/>
            <w:tcBorders>
              <w:left w:val="single" w:color="auto" w:sz="4" w:space="0"/>
              <w:right w:val="single" w:color="auto" w:sz="4" w:space="0"/>
            </w:tcBorders>
            <w:shd w:val="clear" w:color="auto" w:fill="auto"/>
            <w:vAlign w:val="center"/>
          </w:tcPr>
          <w:p w14:paraId="34C8F530">
            <w:pPr>
              <w:widowControl w:val="0"/>
              <w:jc w:val="center"/>
              <w:rPr>
                <w:rFonts w:ascii="Times New Roman" w:hAnsi="Times New Roman" w:eastAsia="宋体" w:cs="Times New Roman"/>
                <w:caps w:val="0"/>
                <w:smallCaps w:val="0"/>
                <w:color w:val="auto"/>
                <w:spacing w:val="0"/>
                <w:w w:val="100"/>
                <w:position w:val="0"/>
                <w:sz w:val="21"/>
                <w:szCs w:val="21"/>
                <w:highlight w:val="none"/>
                <w:lang w:val="en-US" w:eastAsia="zh-CN" w:bidi="ar-SA"/>
              </w:rPr>
            </w:pPr>
            <w:r>
              <w:rPr>
                <w:rFonts w:ascii="Times New Roman" w:hAnsi="Times New Roman" w:cs="Times New Roman"/>
                <w:caps w:val="0"/>
                <w:smallCaps w:val="0"/>
                <w:color w:val="auto"/>
                <w:spacing w:val="0"/>
                <w:w w:val="100"/>
                <w:position w:val="0"/>
                <w:sz w:val="21"/>
                <w:szCs w:val="21"/>
                <w:highlight w:val="none"/>
              </w:rPr>
              <w:t>0-0.5m</w:t>
            </w:r>
          </w:p>
        </w:tc>
        <w:tc>
          <w:tcPr>
            <w:tcW w:w="525" w:type="pct"/>
            <w:tcBorders>
              <w:left w:val="single" w:color="auto" w:sz="4" w:space="0"/>
              <w:right w:val="single" w:color="auto" w:sz="4" w:space="0"/>
            </w:tcBorders>
            <w:shd w:val="clear" w:color="auto" w:fill="auto"/>
            <w:vAlign w:val="center"/>
          </w:tcPr>
          <w:p w14:paraId="5A9501D3">
            <w:pPr>
              <w:widowControl w:val="0"/>
              <w:jc w:val="center"/>
              <w:rPr>
                <w:rFonts w:ascii="Times New Roman" w:hAnsi="Times New Roman" w:eastAsia="宋体" w:cs="Times New Roman"/>
                <w:caps w:val="0"/>
                <w:smallCaps w:val="0"/>
                <w:color w:val="auto"/>
                <w:spacing w:val="0"/>
                <w:w w:val="100"/>
                <w:position w:val="0"/>
                <w:sz w:val="21"/>
                <w:szCs w:val="21"/>
                <w:highlight w:val="none"/>
                <w:lang w:val="en-US" w:eastAsia="zh-CN" w:bidi="ar-SA"/>
              </w:rPr>
            </w:pPr>
            <w:r>
              <w:rPr>
                <w:rFonts w:ascii="Times New Roman" w:hAnsi="Times New Roman" w:cs="Times New Roman"/>
                <w:caps w:val="0"/>
                <w:smallCaps w:val="0"/>
                <w:color w:val="auto"/>
                <w:spacing w:val="0"/>
                <w:w w:val="100"/>
                <w:position w:val="0"/>
                <w:sz w:val="21"/>
                <w:szCs w:val="21"/>
                <w:highlight w:val="none"/>
              </w:rPr>
              <w:t>0.5-1.5m</w:t>
            </w:r>
          </w:p>
        </w:tc>
        <w:tc>
          <w:tcPr>
            <w:tcW w:w="459" w:type="pct"/>
            <w:tcBorders>
              <w:left w:val="single" w:color="auto" w:sz="4" w:space="0"/>
              <w:right w:val="single" w:color="auto" w:sz="4" w:space="0"/>
            </w:tcBorders>
            <w:shd w:val="clear" w:color="auto" w:fill="auto"/>
            <w:vAlign w:val="center"/>
          </w:tcPr>
          <w:p w14:paraId="34122655">
            <w:pPr>
              <w:widowControl w:val="0"/>
              <w:jc w:val="center"/>
              <w:rPr>
                <w:rFonts w:ascii="Times New Roman" w:hAnsi="Times New Roman" w:eastAsia="宋体" w:cs="Times New Roman"/>
                <w:caps w:val="0"/>
                <w:smallCaps w:val="0"/>
                <w:color w:val="auto"/>
                <w:spacing w:val="0"/>
                <w:w w:val="100"/>
                <w:position w:val="0"/>
                <w:sz w:val="21"/>
                <w:szCs w:val="21"/>
                <w:highlight w:val="none"/>
                <w:lang w:val="en-US" w:eastAsia="zh-CN" w:bidi="ar-SA"/>
              </w:rPr>
            </w:pPr>
            <w:r>
              <w:rPr>
                <w:rFonts w:ascii="Times New Roman" w:hAnsi="Times New Roman" w:cs="Times New Roman"/>
                <w:caps w:val="0"/>
                <w:smallCaps w:val="0"/>
                <w:color w:val="auto"/>
                <w:spacing w:val="0"/>
                <w:w w:val="100"/>
                <w:position w:val="0"/>
                <w:sz w:val="21"/>
                <w:szCs w:val="21"/>
                <w:highlight w:val="none"/>
              </w:rPr>
              <w:t>1.5-3m</w:t>
            </w:r>
          </w:p>
        </w:tc>
      </w:tr>
      <w:tr w14:paraId="2FFA1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D8542C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镉（Cd）</w:t>
            </w:r>
          </w:p>
        </w:tc>
        <w:tc>
          <w:tcPr>
            <w:tcW w:w="456" w:type="pct"/>
            <w:vAlign w:val="center"/>
          </w:tcPr>
          <w:p w14:paraId="54680F29">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0.0014</w:t>
            </w:r>
          </w:p>
        </w:tc>
        <w:tc>
          <w:tcPr>
            <w:tcW w:w="524" w:type="pct"/>
            <w:vAlign w:val="center"/>
          </w:tcPr>
          <w:p w14:paraId="129BD1B7">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0.0018</w:t>
            </w:r>
          </w:p>
        </w:tc>
        <w:tc>
          <w:tcPr>
            <w:tcW w:w="458" w:type="pct"/>
            <w:vAlign w:val="center"/>
          </w:tcPr>
          <w:p w14:paraId="13A9E6D1">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0.0011</w:t>
            </w:r>
          </w:p>
        </w:tc>
        <w:tc>
          <w:tcPr>
            <w:tcW w:w="456" w:type="pct"/>
            <w:vAlign w:val="center"/>
          </w:tcPr>
          <w:p w14:paraId="1549AACF">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0.0015</w:t>
            </w:r>
          </w:p>
        </w:tc>
        <w:tc>
          <w:tcPr>
            <w:tcW w:w="524" w:type="pct"/>
            <w:vAlign w:val="center"/>
          </w:tcPr>
          <w:p w14:paraId="38E70642">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0.0011</w:t>
            </w:r>
          </w:p>
        </w:tc>
        <w:tc>
          <w:tcPr>
            <w:tcW w:w="458" w:type="pct"/>
            <w:vAlign w:val="center"/>
          </w:tcPr>
          <w:p w14:paraId="4ED4D3E0">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0.0009</w:t>
            </w:r>
          </w:p>
        </w:tc>
        <w:tc>
          <w:tcPr>
            <w:tcW w:w="456" w:type="pct"/>
            <w:vAlign w:val="center"/>
          </w:tcPr>
          <w:p w14:paraId="31F25624">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0.0014</w:t>
            </w:r>
          </w:p>
        </w:tc>
        <w:tc>
          <w:tcPr>
            <w:tcW w:w="525" w:type="pct"/>
            <w:vAlign w:val="center"/>
          </w:tcPr>
          <w:p w14:paraId="2AC11267">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0.0017</w:t>
            </w:r>
          </w:p>
        </w:tc>
        <w:tc>
          <w:tcPr>
            <w:tcW w:w="459" w:type="pct"/>
            <w:vAlign w:val="center"/>
          </w:tcPr>
          <w:p w14:paraId="693DCB04">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0.0015</w:t>
            </w:r>
          </w:p>
        </w:tc>
      </w:tr>
      <w:tr w14:paraId="58983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0DD50CD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汞（Hg）</w:t>
            </w:r>
          </w:p>
        </w:tc>
        <w:tc>
          <w:tcPr>
            <w:tcW w:w="456" w:type="pct"/>
            <w:vAlign w:val="center"/>
          </w:tcPr>
          <w:p w14:paraId="6E2EC3EE">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0.0005</w:t>
            </w:r>
          </w:p>
        </w:tc>
        <w:tc>
          <w:tcPr>
            <w:tcW w:w="524" w:type="pct"/>
            <w:vAlign w:val="center"/>
          </w:tcPr>
          <w:p w14:paraId="29981EC4">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0.0006</w:t>
            </w:r>
          </w:p>
        </w:tc>
        <w:tc>
          <w:tcPr>
            <w:tcW w:w="458" w:type="pct"/>
            <w:vAlign w:val="center"/>
          </w:tcPr>
          <w:p w14:paraId="2EDA8C53">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0.0005</w:t>
            </w:r>
          </w:p>
        </w:tc>
        <w:tc>
          <w:tcPr>
            <w:tcW w:w="456" w:type="pct"/>
            <w:vAlign w:val="center"/>
          </w:tcPr>
          <w:p w14:paraId="4C199B42">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0.0004</w:t>
            </w:r>
          </w:p>
        </w:tc>
        <w:tc>
          <w:tcPr>
            <w:tcW w:w="524" w:type="pct"/>
            <w:vAlign w:val="center"/>
          </w:tcPr>
          <w:p w14:paraId="563FF5EA">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0.0005</w:t>
            </w:r>
          </w:p>
        </w:tc>
        <w:tc>
          <w:tcPr>
            <w:tcW w:w="458" w:type="pct"/>
            <w:vAlign w:val="center"/>
          </w:tcPr>
          <w:p w14:paraId="49F1F67B">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0.0004</w:t>
            </w:r>
          </w:p>
        </w:tc>
        <w:tc>
          <w:tcPr>
            <w:tcW w:w="456" w:type="pct"/>
            <w:vAlign w:val="center"/>
          </w:tcPr>
          <w:p w14:paraId="02F7CC0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0.0006</w:t>
            </w:r>
          </w:p>
        </w:tc>
        <w:tc>
          <w:tcPr>
            <w:tcW w:w="525" w:type="pct"/>
            <w:vAlign w:val="center"/>
          </w:tcPr>
          <w:p w14:paraId="483F4C1D">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0.0004</w:t>
            </w:r>
          </w:p>
        </w:tc>
        <w:tc>
          <w:tcPr>
            <w:tcW w:w="459" w:type="pct"/>
            <w:vAlign w:val="center"/>
          </w:tcPr>
          <w:p w14:paraId="7D8DCBDD">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0.0004</w:t>
            </w:r>
          </w:p>
        </w:tc>
      </w:tr>
      <w:tr w14:paraId="3D46B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874B34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砷（As）</w:t>
            </w:r>
          </w:p>
        </w:tc>
        <w:tc>
          <w:tcPr>
            <w:tcW w:w="456" w:type="pct"/>
            <w:vAlign w:val="center"/>
          </w:tcPr>
          <w:p w14:paraId="015754B8">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0.0560</w:t>
            </w:r>
          </w:p>
        </w:tc>
        <w:tc>
          <w:tcPr>
            <w:tcW w:w="524" w:type="pct"/>
            <w:vAlign w:val="center"/>
          </w:tcPr>
          <w:p w14:paraId="58C97CA8">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0.0545</w:t>
            </w:r>
          </w:p>
        </w:tc>
        <w:tc>
          <w:tcPr>
            <w:tcW w:w="458" w:type="pct"/>
            <w:vAlign w:val="center"/>
          </w:tcPr>
          <w:p w14:paraId="6DB2CC5E">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0.0552</w:t>
            </w:r>
          </w:p>
        </w:tc>
        <w:tc>
          <w:tcPr>
            <w:tcW w:w="456" w:type="pct"/>
            <w:vAlign w:val="center"/>
          </w:tcPr>
          <w:p w14:paraId="227D749E">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0.0557</w:t>
            </w:r>
          </w:p>
        </w:tc>
        <w:tc>
          <w:tcPr>
            <w:tcW w:w="524" w:type="pct"/>
            <w:vAlign w:val="center"/>
          </w:tcPr>
          <w:p w14:paraId="2010406A">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0.0568</w:t>
            </w:r>
          </w:p>
        </w:tc>
        <w:tc>
          <w:tcPr>
            <w:tcW w:w="458" w:type="pct"/>
            <w:vAlign w:val="center"/>
          </w:tcPr>
          <w:p w14:paraId="13C29DDC">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0.0545</w:t>
            </w:r>
          </w:p>
        </w:tc>
        <w:tc>
          <w:tcPr>
            <w:tcW w:w="456" w:type="pct"/>
            <w:vAlign w:val="center"/>
          </w:tcPr>
          <w:p w14:paraId="7F9A0390">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0.0567</w:t>
            </w:r>
          </w:p>
        </w:tc>
        <w:tc>
          <w:tcPr>
            <w:tcW w:w="525" w:type="pct"/>
            <w:vAlign w:val="center"/>
          </w:tcPr>
          <w:p w14:paraId="1078AF41">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0.0562</w:t>
            </w:r>
          </w:p>
        </w:tc>
        <w:tc>
          <w:tcPr>
            <w:tcW w:w="459" w:type="pct"/>
            <w:vAlign w:val="center"/>
          </w:tcPr>
          <w:p w14:paraId="73DBE885">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0.0553</w:t>
            </w:r>
          </w:p>
        </w:tc>
      </w:tr>
      <w:tr w14:paraId="598E8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58713B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铅（Pb）</w:t>
            </w:r>
          </w:p>
        </w:tc>
        <w:tc>
          <w:tcPr>
            <w:tcW w:w="456" w:type="pct"/>
            <w:vAlign w:val="center"/>
          </w:tcPr>
          <w:p w14:paraId="66874E93">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0.0213</w:t>
            </w:r>
          </w:p>
        </w:tc>
        <w:tc>
          <w:tcPr>
            <w:tcW w:w="524" w:type="pct"/>
            <w:vAlign w:val="center"/>
          </w:tcPr>
          <w:p w14:paraId="391C07DA">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0.0263</w:t>
            </w:r>
          </w:p>
        </w:tc>
        <w:tc>
          <w:tcPr>
            <w:tcW w:w="458" w:type="pct"/>
            <w:vAlign w:val="center"/>
          </w:tcPr>
          <w:p w14:paraId="710FFFDE">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0.0225</w:t>
            </w:r>
          </w:p>
        </w:tc>
        <w:tc>
          <w:tcPr>
            <w:tcW w:w="456" w:type="pct"/>
            <w:vAlign w:val="center"/>
          </w:tcPr>
          <w:p w14:paraId="54F6DA3C">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0.0200</w:t>
            </w:r>
          </w:p>
        </w:tc>
        <w:tc>
          <w:tcPr>
            <w:tcW w:w="524" w:type="pct"/>
            <w:vAlign w:val="center"/>
          </w:tcPr>
          <w:p w14:paraId="76B4018C">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0.0175</w:t>
            </w:r>
          </w:p>
        </w:tc>
        <w:tc>
          <w:tcPr>
            <w:tcW w:w="458" w:type="pct"/>
            <w:vAlign w:val="center"/>
          </w:tcPr>
          <w:p w14:paraId="7D614498">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0.0213</w:t>
            </w:r>
          </w:p>
        </w:tc>
        <w:tc>
          <w:tcPr>
            <w:tcW w:w="456" w:type="pct"/>
            <w:vAlign w:val="center"/>
          </w:tcPr>
          <w:p w14:paraId="5EDEE10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0.0150</w:t>
            </w:r>
          </w:p>
        </w:tc>
        <w:tc>
          <w:tcPr>
            <w:tcW w:w="525" w:type="pct"/>
            <w:vAlign w:val="center"/>
          </w:tcPr>
          <w:p w14:paraId="3B3E4C3D">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0.0225</w:t>
            </w:r>
          </w:p>
        </w:tc>
        <w:tc>
          <w:tcPr>
            <w:tcW w:w="459" w:type="pct"/>
            <w:vAlign w:val="center"/>
          </w:tcPr>
          <w:p w14:paraId="6F4BAA57">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0.0138</w:t>
            </w:r>
          </w:p>
        </w:tc>
      </w:tr>
      <w:tr w14:paraId="66809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DCADBD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铬（六价）</w:t>
            </w:r>
          </w:p>
        </w:tc>
        <w:tc>
          <w:tcPr>
            <w:tcW w:w="456" w:type="pct"/>
            <w:vAlign w:val="center"/>
          </w:tcPr>
          <w:p w14:paraId="5E178E19">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524" w:type="pct"/>
            <w:vAlign w:val="center"/>
          </w:tcPr>
          <w:p w14:paraId="25FD8F89">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458" w:type="pct"/>
            <w:vAlign w:val="center"/>
          </w:tcPr>
          <w:p w14:paraId="69DD4117">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456" w:type="pct"/>
            <w:vAlign w:val="center"/>
          </w:tcPr>
          <w:p w14:paraId="70C9BD5B">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524" w:type="pct"/>
            <w:vAlign w:val="center"/>
          </w:tcPr>
          <w:p w14:paraId="37E1A97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458" w:type="pct"/>
            <w:vAlign w:val="center"/>
          </w:tcPr>
          <w:p w14:paraId="436E266D">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456" w:type="pct"/>
            <w:vAlign w:val="center"/>
          </w:tcPr>
          <w:p w14:paraId="75AD6D90">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525" w:type="pct"/>
            <w:vAlign w:val="center"/>
          </w:tcPr>
          <w:p w14:paraId="144B46D2">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459" w:type="pct"/>
            <w:vAlign w:val="center"/>
          </w:tcPr>
          <w:p w14:paraId="679E142C">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r>
      <w:tr w14:paraId="6A40D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EFE4F7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铜（Cu）</w:t>
            </w:r>
          </w:p>
        </w:tc>
        <w:tc>
          <w:tcPr>
            <w:tcW w:w="456" w:type="pct"/>
            <w:vAlign w:val="center"/>
          </w:tcPr>
          <w:p w14:paraId="20618F5D">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0.0008</w:t>
            </w:r>
          </w:p>
        </w:tc>
        <w:tc>
          <w:tcPr>
            <w:tcW w:w="524" w:type="pct"/>
            <w:vAlign w:val="center"/>
          </w:tcPr>
          <w:p w14:paraId="17CC2066">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0.0010</w:t>
            </w:r>
          </w:p>
        </w:tc>
        <w:tc>
          <w:tcPr>
            <w:tcW w:w="458" w:type="pct"/>
            <w:vAlign w:val="center"/>
          </w:tcPr>
          <w:p w14:paraId="64B2EE38">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0.0007</w:t>
            </w:r>
          </w:p>
        </w:tc>
        <w:tc>
          <w:tcPr>
            <w:tcW w:w="456" w:type="pct"/>
            <w:vAlign w:val="center"/>
          </w:tcPr>
          <w:p w14:paraId="0FEAA3FB">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0.0007</w:t>
            </w:r>
          </w:p>
        </w:tc>
        <w:tc>
          <w:tcPr>
            <w:tcW w:w="524" w:type="pct"/>
            <w:vAlign w:val="center"/>
          </w:tcPr>
          <w:p w14:paraId="7D22B15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0.0009</w:t>
            </w:r>
          </w:p>
        </w:tc>
        <w:tc>
          <w:tcPr>
            <w:tcW w:w="458" w:type="pct"/>
            <w:vAlign w:val="center"/>
          </w:tcPr>
          <w:p w14:paraId="27B18364">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0.0008</w:t>
            </w:r>
          </w:p>
        </w:tc>
        <w:tc>
          <w:tcPr>
            <w:tcW w:w="456" w:type="pct"/>
            <w:vAlign w:val="center"/>
          </w:tcPr>
          <w:p w14:paraId="366318FE">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0.0006</w:t>
            </w:r>
          </w:p>
        </w:tc>
        <w:tc>
          <w:tcPr>
            <w:tcW w:w="525" w:type="pct"/>
            <w:vAlign w:val="center"/>
          </w:tcPr>
          <w:p w14:paraId="658A8DE2">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0.0007</w:t>
            </w:r>
          </w:p>
        </w:tc>
        <w:tc>
          <w:tcPr>
            <w:tcW w:w="459" w:type="pct"/>
            <w:vAlign w:val="center"/>
          </w:tcPr>
          <w:p w14:paraId="2BC16644">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0.0009</w:t>
            </w:r>
          </w:p>
        </w:tc>
      </w:tr>
      <w:tr w14:paraId="32039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5D8E86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镍（Ni）</w:t>
            </w:r>
          </w:p>
        </w:tc>
        <w:tc>
          <w:tcPr>
            <w:tcW w:w="456" w:type="pct"/>
            <w:vAlign w:val="center"/>
          </w:tcPr>
          <w:p w14:paraId="5391401F">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0.0267</w:t>
            </w:r>
          </w:p>
        </w:tc>
        <w:tc>
          <w:tcPr>
            <w:tcW w:w="524" w:type="pct"/>
            <w:vAlign w:val="center"/>
          </w:tcPr>
          <w:p w14:paraId="21FEE61A">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0.0289</w:t>
            </w:r>
          </w:p>
        </w:tc>
        <w:tc>
          <w:tcPr>
            <w:tcW w:w="458" w:type="pct"/>
            <w:vAlign w:val="center"/>
          </w:tcPr>
          <w:p w14:paraId="45BD1D49">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0.0233</w:t>
            </w:r>
          </w:p>
        </w:tc>
        <w:tc>
          <w:tcPr>
            <w:tcW w:w="456" w:type="pct"/>
            <w:vAlign w:val="center"/>
          </w:tcPr>
          <w:p w14:paraId="08CBDD0D">
            <w:pPr>
              <w:widowControl w:val="0"/>
              <w:jc w:val="center"/>
              <w:rPr>
                <w:rFonts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0.0278</w:t>
            </w:r>
          </w:p>
        </w:tc>
        <w:tc>
          <w:tcPr>
            <w:tcW w:w="524" w:type="pct"/>
            <w:vAlign w:val="center"/>
          </w:tcPr>
          <w:p w14:paraId="6A0C2E94">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0.0222</w:t>
            </w:r>
          </w:p>
        </w:tc>
        <w:tc>
          <w:tcPr>
            <w:tcW w:w="458" w:type="pct"/>
            <w:vAlign w:val="center"/>
          </w:tcPr>
          <w:p w14:paraId="68FD30FC">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0.0211</w:t>
            </w:r>
          </w:p>
        </w:tc>
        <w:tc>
          <w:tcPr>
            <w:tcW w:w="456" w:type="pct"/>
            <w:vAlign w:val="center"/>
          </w:tcPr>
          <w:p w14:paraId="7C1B1C83">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0.0200</w:t>
            </w:r>
          </w:p>
        </w:tc>
        <w:tc>
          <w:tcPr>
            <w:tcW w:w="525" w:type="pct"/>
            <w:vAlign w:val="center"/>
          </w:tcPr>
          <w:p w14:paraId="4173C0BF">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0.0244</w:t>
            </w:r>
          </w:p>
        </w:tc>
        <w:tc>
          <w:tcPr>
            <w:tcW w:w="459" w:type="pct"/>
            <w:vAlign w:val="center"/>
          </w:tcPr>
          <w:p w14:paraId="1D9B6249">
            <w:pPr>
              <w:widowControl w:val="0"/>
              <w:jc w:val="center"/>
              <w:rPr>
                <w:rFonts w:hint="eastAsia" w:ascii="Times New Roman" w:hAnsi="Times New Roman" w:eastAsia="宋体" w:cs="Times New Roman"/>
                <w:caps w:val="0"/>
                <w:smallCaps w:val="0"/>
                <w:color w:val="auto"/>
                <w:spacing w:val="0"/>
                <w:w w:val="100"/>
                <w:position w:val="0"/>
                <w:sz w:val="21"/>
                <w:szCs w:val="21"/>
                <w:highlight w:val="none"/>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0.0233</w:t>
            </w:r>
          </w:p>
        </w:tc>
      </w:tr>
      <w:tr w14:paraId="433C9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A16DA1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苯</w:t>
            </w:r>
          </w:p>
        </w:tc>
        <w:tc>
          <w:tcPr>
            <w:tcW w:w="456" w:type="pct"/>
            <w:vAlign w:val="center"/>
          </w:tcPr>
          <w:p w14:paraId="05E79F0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2B5612E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FD70ED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7BB007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22B306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2B5370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3B86AA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7A7F081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76327DA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7FD01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2F6DA3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甲苯</w:t>
            </w:r>
          </w:p>
        </w:tc>
        <w:tc>
          <w:tcPr>
            <w:tcW w:w="456" w:type="pct"/>
            <w:vAlign w:val="center"/>
          </w:tcPr>
          <w:p w14:paraId="32C98CB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1826D78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991A4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D43509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7694C8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54DC17E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0ACFBAF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102F89F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50B9821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463A8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9206A8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乙苯</w:t>
            </w:r>
          </w:p>
        </w:tc>
        <w:tc>
          <w:tcPr>
            <w:tcW w:w="456" w:type="pct"/>
            <w:vAlign w:val="center"/>
          </w:tcPr>
          <w:p w14:paraId="160CE20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4F84EF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15AED1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39E9AA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78FDB49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A90AED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D70FB9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12B4D50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28E6C36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096C9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085EF7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氯苯</w:t>
            </w:r>
          </w:p>
        </w:tc>
        <w:tc>
          <w:tcPr>
            <w:tcW w:w="456" w:type="pct"/>
            <w:vAlign w:val="center"/>
          </w:tcPr>
          <w:p w14:paraId="2C00F79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543E81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03B82D6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B2F1FF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6FD6578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37511B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C6C355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45BAFB6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68C7A8F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615A4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2BD03E2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苯乙烯</w:t>
            </w:r>
          </w:p>
        </w:tc>
        <w:tc>
          <w:tcPr>
            <w:tcW w:w="456" w:type="pct"/>
            <w:vAlign w:val="center"/>
          </w:tcPr>
          <w:p w14:paraId="6736788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AA7DF4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5AFE80C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B5A38D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F544E1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1BFA73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C9B04A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11E13AB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009358A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4D2D7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056316F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间二甲苯+对二甲苯</w:t>
            </w:r>
          </w:p>
        </w:tc>
        <w:tc>
          <w:tcPr>
            <w:tcW w:w="456" w:type="pct"/>
            <w:vAlign w:val="center"/>
          </w:tcPr>
          <w:p w14:paraId="1D2AD49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96B44B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E29EA6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E73F6C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4D6DD4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3A44984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C45A47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4733D7F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6FBFFC6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4221D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25F52F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邻二甲苯</w:t>
            </w:r>
          </w:p>
        </w:tc>
        <w:tc>
          <w:tcPr>
            <w:tcW w:w="456" w:type="pct"/>
            <w:vAlign w:val="center"/>
          </w:tcPr>
          <w:p w14:paraId="73FB2E3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1DA1C13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51C45C5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B6C85D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685D55C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149D0B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0AF50A3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6064E89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4F46D9D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09326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3DBA093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氯乙烯</w:t>
            </w:r>
          </w:p>
        </w:tc>
        <w:tc>
          <w:tcPr>
            <w:tcW w:w="456" w:type="pct"/>
            <w:vAlign w:val="center"/>
          </w:tcPr>
          <w:p w14:paraId="2A1E2D1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866413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1F496B3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FF0491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FB1D24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47C872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0F109D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51F98E6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61350E2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10A9D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E21B42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1,2-二氯苯</w:t>
            </w:r>
          </w:p>
        </w:tc>
        <w:tc>
          <w:tcPr>
            <w:tcW w:w="456" w:type="pct"/>
            <w:vAlign w:val="center"/>
          </w:tcPr>
          <w:p w14:paraId="6204181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5D7286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E0E6ED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FA2FC7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AD5162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48C6C6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598E01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74A97D7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435EC4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00DBC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15A301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1,4-二氯苯</w:t>
            </w:r>
          </w:p>
        </w:tc>
        <w:tc>
          <w:tcPr>
            <w:tcW w:w="456" w:type="pct"/>
            <w:vAlign w:val="center"/>
          </w:tcPr>
          <w:p w14:paraId="5F2FBAC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22A67E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3474B57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0FAB7DD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5FAA53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178F204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3C23C5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37DADBC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48D6E5E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293C3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047FC0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四氯化碳</w:t>
            </w:r>
          </w:p>
        </w:tc>
        <w:tc>
          <w:tcPr>
            <w:tcW w:w="456" w:type="pct"/>
            <w:vAlign w:val="center"/>
          </w:tcPr>
          <w:p w14:paraId="32FAE0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6BBE556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D08004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91221D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78830E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4DE990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076A498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608753E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20FEAE8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0F117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255388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氯仿</w:t>
            </w:r>
          </w:p>
        </w:tc>
        <w:tc>
          <w:tcPr>
            <w:tcW w:w="456" w:type="pct"/>
            <w:vAlign w:val="center"/>
          </w:tcPr>
          <w:p w14:paraId="54C06A1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533C86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0B147A4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0947C6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9027B1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350BC16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5BE160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79E7CA4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12E434E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4888B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227D5B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氯甲烷</w:t>
            </w:r>
          </w:p>
        </w:tc>
        <w:tc>
          <w:tcPr>
            <w:tcW w:w="456" w:type="pct"/>
            <w:vAlign w:val="center"/>
          </w:tcPr>
          <w:p w14:paraId="3856996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6E30F55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DFBEC1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39588C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BD9715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1CB2A91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7254DC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71C3351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5CCF894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3886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AAC16F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1,1-二氯乙烷</w:t>
            </w:r>
          </w:p>
        </w:tc>
        <w:tc>
          <w:tcPr>
            <w:tcW w:w="456" w:type="pct"/>
            <w:vAlign w:val="center"/>
          </w:tcPr>
          <w:p w14:paraId="12231EB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EB87C6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FBA37B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0ABC55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C56017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5AE1BF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7EEBAB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47E734B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45964C3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2BD3C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4E83AB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1,2-二氯乙烷</w:t>
            </w:r>
          </w:p>
        </w:tc>
        <w:tc>
          <w:tcPr>
            <w:tcW w:w="456" w:type="pct"/>
            <w:vAlign w:val="center"/>
          </w:tcPr>
          <w:p w14:paraId="196B881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1BC81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456CB8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FCCFC2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260C50C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B1D6FE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2F9BC6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7B676E2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2FC15A4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20B8F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D3CFF3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1,1-二氯乙烯</w:t>
            </w:r>
          </w:p>
        </w:tc>
        <w:tc>
          <w:tcPr>
            <w:tcW w:w="456" w:type="pct"/>
            <w:vAlign w:val="center"/>
          </w:tcPr>
          <w:p w14:paraId="72DCB87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55652C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175A745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F07DEB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80D498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5F3F72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7F6423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024E0B6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7FC4AD9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3C5CE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B91C65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顺-1,2-二氯乙烯</w:t>
            </w:r>
          </w:p>
        </w:tc>
        <w:tc>
          <w:tcPr>
            <w:tcW w:w="456" w:type="pct"/>
            <w:vAlign w:val="center"/>
          </w:tcPr>
          <w:p w14:paraId="0DEE19C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E34DA8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0EC364B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18EDE3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259F4D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00A2D23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1B394D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15431BF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3541900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79829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5159B7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反-1,2-二氯乙烯</w:t>
            </w:r>
          </w:p>
        </w:tc>
        <w:tc>
          <w:tcPr>
            <w:tcW w:w="456" w:type="pct"/>
            <w:vAlign w:val="center"/>
          </w:tcPr>
          <w:p w14:paraId="7E650E4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24854D9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5205D81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A53D08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7C4C073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EF60CA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628F6B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788405E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5824658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71054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45FDA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二氯甲烷</w:t>
            </w:r>
          </w:p>
        </w:tc>
        <w:tc>
          <w:tcPr>
            <w:tcW w:w="456" w:type="pct"/>
            <w:vAlign w:val="center"/>
          </w:tcPr>
          <w:p w14:paraId="5CF3A55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892125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AB34C2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3F99B3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47A719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BD2504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980519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2D34450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547732A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35D68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2CCB45D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1,2-二氯丙烷</w:t>
            </w:r>
          </w:p>
        </w:tc>
        <w:tc>
          <w:tcPr>
            <w:tcW w:w="456" w:type="pct"/>
            <w:vAlign w:val="center"/>
          </w:tcPr>
          <w:p w14:paraId="062531B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0BEF15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07458E7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04E40A3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CDB05A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2A115E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16829B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6FC65D2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1652B6B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409C2F3B">
        <w:tblPrEx>
          <w:tblCellMar>
            <w:top w:w="0" w:type="dxa"/>
            <w:left w:w="108" w:type="dxa"/>
            <w:bottom w:w="0" w:type="dxa"/>
            <w:right w:w="108" w:type="dxa"/>
          </w:tblCellMar>
        </w:tblPrEx>
        <w:trPr>
          <w:trHeight w:val="340" w:hRule="atLeast"/>
          <w:jc w:val="center"/>
        </w:trPr>
        <w:tc>
          <w:tcPr>
            <w:tcW w:w="677" w:type="pct"/>
            <w:vAlign w:val="center"/>
          </w:tcPr>
          <w:p w14:paraId="44CDF29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1,1,1,2-四氯乙烷</w:t>
            </w:r>
          </w:p>
        </w:tc>
        <w:tc>
          <w:tcPr>
            <w:tcW w:w="456" w:type="pct"/>
            <w:vAlign w:val="center"/>
          </w:tcPr>
          <w:p w14:paraId="4880800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657F87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3EDEADD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898925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62DB13D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59A393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E3B9EE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018BB1D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510F83C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515C7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1CF745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1,1,2,2-四氯乙烷</w:t>
            </w:r>
          </w:p>
        </w:tc>
        <w:tc>
          <w:tcPr>
            <w:tcW w:w="456" w:type="pct"/>
            <w:vAlign w:val="center"/>
          </w:tcPr>
          <w:p w14:paraId="3077C7C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75FF83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F9AD89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6F99DB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CE8C60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FD3C91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61EEC1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0F3BE7A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1818B37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044D8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2A1B406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四氯乙烯</w:t>
            </w:r>
          </w:p>
        </w:tc>
        <w:tc>
          <w:tcPr>
            <w:tcW w:w="456" w:type="pct"/>
            <w:vAlign w:val="center"/>
          </w:tcPr>
          <w:p w14:paraId="313ED17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3FC88E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073757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F0CBE0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2CE928A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27F54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97E6E6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6C9C662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6069DB9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2842A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3D564E1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1,1,1-三氯乙烷</w:t>
            </w:r>
          </w:p>
        </w:tc>
        <w:tc>
          <w:tcPr>
            <w:tcW w:w="456" w:type="pct"/>
            <w:vAlign w:val="center"/>
          </w:tcPr>
          <w:p w14:paraId="7E010E6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5AFE47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305C18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4725F4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7D07E4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F1CABD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615ECA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6989B7B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0333555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4C8BF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40CB4B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1,1,2-三氯乙烷</w:t>
            </w:r>
          </w:p>
        </w:tc>
        <w:tc>
          <w:tcPr>
            <w:tcW w:w="456" w:type="pct"/>
            <w:vAlign w:val="center"/>
          </w:tcPr>
          <w:p w14:paraId="0BE5998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7F62FC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3F8F78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C8CA9B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21E05B5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BF5727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DAB23F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14457E1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3EE00C8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3DACF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6B3338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三氯乙烯</w:t>
            </w:r>
          </w:p>
        </w:tc>
        <w:tc>
          <w:tcPr>
            <w:tcW w:w="456" w:type="pct"/>
            <w:vAlign w:val="center"/>
          </w:tcPr>
          <w:p w14:paraId="2EEBE16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AC4374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4C3FB5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0EFAC9A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99AF04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3C3221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D15919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2731B1B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6252518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7E5B0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B84E7F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1,2,3-三氯丙烷</w:t>
            </w:r>
          </w:p>
        </w:tc>
        <w:tc>
          <w:tcPr>
            <w:tcW w:w="456" w:type="pct"/>
            <w:vAlign w:val="center"/>
          </w:tcPr>
          <w:p w14:paraId="43A180B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2E3E680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44AAD6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BDD2AA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85E730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0903F1D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730643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1AEBA5F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13078B4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19A5B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F059E7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硝基苯</w:t>
            </w:r>
          </w:p>
        </w:tc>
        <w:tc>
          <w:tcPr>
            <w:tcW w:w="456" w:type="pct"/>
            <w:vAlign w:val="center"/>
          </w:tcPr>
          <w:p w14:paraId="3A1BBAB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754152D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5E16258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C54EC6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57F524F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355D90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A33FA8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3F0C7DC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27922E7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00734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08ACD4F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苯胺</w:t>
            </w:r>
          </w:p>
        </w:tc>
        <w:tc>
          <w:tcPr>
            <w:tcW w:w="456" w:type="pct"/>
            <w:vAlign w:val="center"/>
          </w:tcPr>
          <w:p w14:paraId="25A4466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184618D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3627FF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BB76D3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2FF3FF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9D2C22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0BF217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6191B16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3889216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77CFD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077F1A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2-氯酚</w:t>
            </w:r>
          </w:p>
        </w:tc>
        <w:tc>
          <w:tcPr>
            <w:tcW w:w="456" w:type="pct"/>
            <w:vAlign w:val="center"/>
          </w:tcPr>
          <w:p w14:paraId="77AF978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AD6BDA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50B7B3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01B5F7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485F7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5C90803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7926E4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3D43919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4DD09EF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4C476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57AFF2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䓛</w:t>
            </w:r>
          </w:p>
        </w:tc>
        <w:tc>
          <w:tcPr>
            <w:tcW w:w="456" w:type="pct"/>
            <w:vAlign w:val="center"/>
          </w:tcPr>
          <w:p w14:paraId="6FDFAF1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1BCD1F1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3703AF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B4FFFE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1AF97CF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3D52E25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6683BFA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21D8407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7E2658C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1FFB2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3FBF085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萘</w:t>
            </w:r>
          </w:p>
        </w:tc>
        <w:tc>
          <w:tcPr>
            <w:tcW w:w="456" w:type="pct"/>
            <w:vAlign w:val="center"/>
          </w:tcPr>
          <w:p w14:paraId="50C57C1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2231974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33C1E1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5C0AE5F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F453F4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F88305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7B2BAB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3269C8B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22BFF81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1E218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C41B27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苯并[a]蒽</w:t>
            </w:r>
          </w:p>
        </w:tc>
        <w:tc>
          <w:tcPr>
            <w:tcW w:w="456" w:type="pct"/>
            <w:vAlign w:val="center"/>
          </w:tcPr>
          <w:p w14:paraId="68C2A24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79956C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06B5079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A0DA0C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F0F73A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17ADE1B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0B02B6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03D407A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1396D83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6C508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A0476D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苯并[b]荧蒽</w:t>
            </w:r>
          </w:p>
        </w:tc>
        <w:tc>
          <w:tcPr>
            <w:tcW w:w="456" w:type="pct"/>
            <w:vAlign w:val="center"/>
          </w:tcPr>
          <w:p w14:paraId="1B417D1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318063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5E72E6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98A36D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FC6EBC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971257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087E15D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4AAE8E3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4A6585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0CE1D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EE6EDE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苯并[k]荧蒽</w:t>
            </w:r>
          </w:p>
        </w:tc>
        <w:tc>
          <w:tcPr>
            <w:tcW w:w="456" w:type="pct"/>
            <w:vAlign w:val="center"/>
          </w:tcPr>
          <w:p w14:paraId="1467E23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78FEC1C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183AB0D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8CB8B3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692334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38FA0CC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5BE1D0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6336950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5FF00B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1D802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6500DA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苯并[a]芘</w:t>
            </w:r>
          </w:p>
        </w:tc>
        <w:tc>
          <w:tcPr>
            <w:tcW w:w="456" w:type="pct"/>
            <w:vAlign w:val="center"/>
          </w:tcPr>
          <w:p w14:paraId="2E21DF3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187CFCD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56EB373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8C1F4E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3236EA4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70FCA22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FD00A9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5228936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6BE77B6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22A95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16B47B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茚并[1,2,3-cd]芘</w:t>
            </w:r>
          </w:p>
        </w:tc>
        <w:tc>
          <w:tcPr>
            <w:tcW w:w="456" w:type="pct"/>
            <w:vAlign w:val="center"/>
          </w:tcPr>
          <w:p w14:paraId="244D8C8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678E686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251ED7B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2E4C1A2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143770D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0F5F81C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E392F5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53FD52D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30C2267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5A0B0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329ED3D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二苯并[a, h]蒽</w:t>
            </w:r>
          </w:p>
        </w:tc>
        <w:tc>
          <w:tcPr>
            <w:tcW w:w="456" w:type="pct"/>
            <w:vAlign w:val="center"/>
          </w:tcPr>
          <w:p w14:paraId="351ECC1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74AFDFA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529379A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3E514EB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499972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1B5E5E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1163A87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0E0D79C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4722A7D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5014D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9040A1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bookmarkStart w:id="727" w:name="_Hlk194866801"/>
            <w:r>
              <w:rPr>
                <w:rFonts w:ascii="Times New Roman" w:hAnsi="Times New Roman" w:cs="Times New Roman" w:eastAsiaTheme="minorEastAsia"/>
                <w:caps w:val="0"/>
                <w:smallCaps w:val="0"/>
                <w:color w:val="auto"/>
                <w:spacing w:val="0"/>
                <w:w w:val="100"/>
                <w:position w:val="0"/>
                <w:sz w:val="21"/>
                <w:szCs w:val="21"/>
                <w:highlight w:val="none"/>
              </w:rPr>
              <w:t>石油烃（C</w:t>
            </w:r>
            <w:r>
              <w:rPr>
                <w:rFonts w:ascii="Times New Roman" w:hAnsi="Times New Roman" w:cs="Times New Roman" w:eastAsiaTheme="minorEastAsia"/>
                <w:caps w:val="0"/>
                <w:smallCaps w:val="0"/>
                <w:color w:val="auto"/>
                <w:spacing w:val="0"/>
                <w:w w:val="100"/>
                <w:position w:val="0"/>
                <w:sz w:val="21"/>
                <w:szCs w:val="21"/>
                <w:highlight w:val="none"/>
                <w:vertAlign w:val="subscript"/>
              </w:rPr>
              <w:t>10</w:t>
            </w:r>
            <w:r>
              <w:rPr>
                <w:rFonts w:ascii="Times New Roman" w:hAnsi="Times New Roman" w:cs="Times New Roman" w:eastAsiaTheme="minorEastAsia"/>
                <w:caps w:val="0"/>
                <w:smallCaps w:val="0"/>
                <w:color w:val="auto"/>
                <w:spacing w:val="0"/>
                <w:w w:val="100"/>
                <w:position w:val="0"/>
                <w:sz w:val="21"/>
                <w:szCs w:val="21"/>
                <w:highlight w:val="none"/>
              </w:rPr>
              <w:t>-C</w:t>
            </w:r>
            <w:r>
              <w:rPr>
                <w:rFonts w:ascii="Times New Roman" w:hAnsi="Times New Roman" w:cs="Times New Roman" w:eastAsiaTheme="minorEastAsia"/>
                <w:caps w:val="0"/>
                <w:smallCaps w:val="0"/>
                <w:color w:val="auto"/>
                <w:spacing w:val="0"/>
                <w:w w:val="100"/>
                <w:position w:val="0"/>
                <w:sz w:val="21"/>
                <w:szCs w:val="21"/>
                <w:highlight w:val="none"/>
                <w:vertAlign w:val="subscript"/>
              </w:rPr>
              <w:t>40</w:t>
            </w:r>
            <w:r>
              <w:rPr>
                <w:rFonts w:ascii="Times New Roman" w:hAnsi="Times New Roman" w:cs="Times New Roman" w:eastAsiaTheme="minorEastAsia"/>
                <w:caps w:val="0"/>
                <w:smallCaps w:val="0"/>
                <w:color w:val="auto"/>
                <w:spacing w:val="0"/>
                <w:w w:val="100"/>
                <w:position w:val="0"/>
                <w:sz w:val="21"/>
                <w:szCs w:val="21"/>
                <w:highlight w:val="none"/>
              </w:rPr>
              <w:t>）</w:t>
            </w:r>
          </w:p>
        </w:tc>
        <w:tc>
          <w:tcPr>
            <w:tcW w:w="456" w:type="pct"/>
            <w:vAlign w:val="center"/>
          </w:tcPr>
          <w:p w14:paraId="7286891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4B8CE1F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4D0F84C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710D26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vAlign w:val="center"/>
          </w:tcPr>
          <w:p w14:paraId="08359B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vAlign w:val="center"/>
          </w:tcPr>
          <w:p w14:paraId="6D5BD8A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vAlign w:val="center"/>
          </w:tcPr>
          <w:p w14:paraId="46B2BF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5" w:type="pct"/>
            <w:vAlign w:val="center"/>
          </w:tcPr>
          <w:p w14:paraId="53740BE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9" w:type="pct"/>
            <w:vAlign w:val="center"/>
          </w:tcPr>
          <w:p w14:paraId="0A76F14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r w14:paraId="62E67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restart"/>
            <w:shd w:val="clear" w:color="auto" w:fill="auto"/>
            <w:vAlign w:val="center"/>
          </w:tcPr>
          <w:p w14:paraId="0B89E86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监测项目</w:t>
            </w:r>
          </w:p>
        </w:tc>
        <w:tc>
          <w:tcPr>
            <w:tcW w:w="4322" w:type="pct"/>
            <w:gridSpan w:val="9"/>
            <w:shd w:val="clear" w:color="auto" w:fill="auto"/>
            <w:vAlign w:val="center"/>
          </w:tcPr>
          <w:p w14:paraId="6623131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监测点位及评价结果</w:t>
            </w:r>
          </w:p>
        </w:tc>
      </w:tr>
      <w:tr w14:paraId="04729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continue"/>
            <w:vAlign w:val="center"/>
          </w:tcPr>
          <w:p w14:paraId="6C8C39E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56" w:type="pct"/>
            <w:shd w:val="clear" w:color="auto" w:fill="auto"/>
            <w:vAlign w:val="center"/>
          </w:tcPr>
          <w:p w14:paraId="1C04173E">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t>S4</w:t>
            </w:r>
          </w:p>
        </w:tc>
        <w:tc>
          <w:tcPr>
            <w:tcW w:w="524" w:type="pct"/>
            <w:shd w:val="clear" w:color="auto" w:fill="auto"/>
            <w:vAlign w:val="center"/>
          </w:tcPr>
          <w:p w14:paraId="47BE1B21">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t>S5</w:t>
            </w:r>
          </w:p>
        </w:tc>
        <w:tc>
          <w:tcPr>
            <w:tcW w:w="458" w:type="pct"/>
            <w:shd w:val="clear" w:color="auto" w:fill="auto"/>
            <w:vAlign w:val="center"/>
          </w:tcPr>
          <w:p w14:paraId="0A0C3C91">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t>S6</w:t>
            </w:r>
          </w:p>
        </w:tc>
        <w:tc>
          <w:tcPr>
            <w:tcW w:w="456" w:type="pct"/>
            <w:vAlign w:val="center"/>
          </w:tcPr>
          <w:p w14:paraId="1F5D205C">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S7</w:t>
            </w:r>
          </w:p>
        </w:tc>
        <w:tc>
          <w:tcPr>
            <w:tcW w:w="524" w:type="pct"/>
            <w:vAlign w:val="center"/>
          </w:tcPr>
          <w:p w14:paraId="36BA5331">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S8</w:t>
            </w:r>
          </w:p>
        </w:tc>
        <w:tc>
          <w:tcPr>
            <w:tcW w:w="458" w:type="pct"/>
            <w:vAlign w:val="center"/>
          </w:tcPr>
          <w:p w14:paraId="5E97D3A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56" w:type="pct"/>
            <w:vAlign w:val="center"/>
          </w:tcPr>
          <w:p w14:paraId="30CE28D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525" w:type="pct"/>
            <w:vAlign w:val="center"/>
          </w:tcPr>
          <w:p w14:paraId="6DAE161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59" w:type="pct"/>
            <w:vAlign w:val="center"/>
          </w:tcPr>
          <w:p w14:paraId="4D914BE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r>
      <w:tr w14:paraId="18472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continue"/>
            <w:vAlign w:val="center"/>
          </w:tcPr>
          <w:p w14:paraId="083A538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56" w:type="pct"/>
            <w:shd w:val="clear" w:color="auto" w:fill="auto"/>
            <w:vAlign w:val="center"/>
          </w:tcPr>
          <w:p w14:paraId="413ED7A0">
            <w:pPr>
              <w:widowControl w:val="0"/>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caps w:val="0"/>
                <w:smallCaps w:val="0"/>
                <w:color w:val="auto"/>
                <w:spacing w:val="0"/>
                <w:w w:val="100"/>
                <w:position w:val="0"/>
                <w:sz w:val="21"/>
                <w:szCs w:val="21"/>
                <w:highlight w:val="none"/>
              </w:rPr>
              <w:t>0-0.</w:t>
            </w:r>
            <w:r>
              <w:rPr>
                <w:rFonts w:hint="eastAsia" w:ascii="Times New Roman" w:hAnsi="Times New Roman" w:cs="Times New Roman"/>
                <w:caps w:val="0"/>
                <w:smallCaps w:val="0"/>
                <w:color w:val="auto"/>
                <w:spacing w:val="0"/>
                <w:w w:val="100"/>
                <w:position w:val="0"/>
                <w:sz w:val="21"/>
                <w:szCs w:val="21"/>
                <w:highlight w:val="none"/>
                <w:lang w:val="en-US" w:eastAsia="zh-CN"/>
              </w:rPr>
              <w:t>2</w:t>
            </w:r>
            <w:r>
              <w:rPr>
                <w:rFonts w:ascii="Times New Roman" w:hAnsi="Times New Roman" w:cs="Times New Roman"/>
                <w:caps w:val="0"/>
                <w:smallCaps w:val="0"/>
                <w:color w:val="auto"/>
                <w:spacing w:val="0"/>
                <w:w w:val="100"/>
                <w:position w:val="0"/>
                <w:sz w:val="21"/>
                <w:szCs w:val="21"/>
                <w:highlight w:val="none"/>
              </w:rPr>
              <w:t>m</w:t>
            </w:r>
          </w:p>
        </w:tc>
        <w:tc>
          <w:tcPr>
            <w:tcW w:w="524" w:type="pct"/>
            <w:shd w:val="clear" w:color="auto" w:fill="auto"/>
            <w:vAlign w:val="center"/>
          </w:tcPr>
          <w:p w14:paraId="4485F18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caps w:val="0"/>
                <w:smallCaps w:val="0"/>
                <w:color w:val="auto"/>
                <w:spacing w:val="0"/>
                <w:w w:val="100"/>
                <w:position w:val="0"/>
                <w:sz w:val="21"/>
                <w:szCs w:val="21"/>
                <w:highlight w:val="none"/>
              </w:rPr>
              <w:t>0-0.</w:t>
            </w:r>
            <w:r>
              <w:rPr>
                <w:rFonts w:hint="eastAsia" w:ascii="Times New Roman" w:hAnsi="Times New Roman" w:cs="Times New Roman"/>
                <w:caps w:val="0"/>
                <w:smallCaps w:val="0"/>
                <w:color w:val="auto"/>
                <w:spacing w:val="0"/>
                <w:w w:val="100"/>
                <w:position w:val="0"/>
                <w:sz w:val="21"/>
                <w:szCs w:val="21"/>
                <w:highlight w:val="none"/>
                <w:lang w:val="en-US" w:eastAsia="zh-CN"/>
              </w:rPr>
              <w:t>2</w:t>
            </w:r>
            <w:r>
              <w:rPr>
                <w:rFonts w:ascii="Times New Roman" w:hAnsi="Times New Roman" w:cs="Times New Roman"/>
                <w:caps w:val="0"/>
                <w:smallCaps w:val="0"/>
                <w:color w:val="auto"/>
                <w:spacing w:val="0"/>
                <w:w w:val="100"/>
                <w:position w:val="0"/>
                <w:sz w:val="21"/>
                <w:szCs w:val="21"/>
                <w:highlight w:val="none"/>
              </w:rPr>
              <w:t>m</w:t>
            </w:r>
          </w:p>
        </w:tc>
        <w:tc>
          <w:tcPr>
            <w:tcW w:w="458" w:type="pct"/>
            <w:shd w:val="clear" w:color="auto" w:fill="auto"/>
            <w:vAlign w:val="center"/>
          </w:tcPr>
          <w:p w14:paraId="0FED300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caps w:val="0"/>
                <w:smallCaps w:val="0"/>
                <w:color w:val="auto"/>
                <w:spacing w:val="0"/>
                <w:w w:val="100"/>
                <w:position w:val="0"/>
                <w:sz w:val="21"/>
                <w:szCs w:val="21"/>
                <w:highlight w:val="none"/>
              </w:rPr>
              <w:t>0-0.</w:t>
            </w:r>
            <w:r>
              <w:rPr>
                <w:rFonts w:hint="eastAsia" w:ascii="Times New Roman" w:hAnsi="Times New Roman" w:cs="Times New Roman"/>
                <w:caps w:val="0"/>
                <w:smallCaps w:val="0"/>
                <w:color w:val="auto"/>
                <w:spacing w:val="0"/>
                <w:w w:val="100"/>
                <w:position w:val="0"/>
                <w:sz w:val="21"/>
                <w:szCs w:val="21"/>
                <w:highlight w:val="none"/>
                <w:lang w:val="en-US" w:eastAsia="zh-CN"/>
              </w:rPr>
              <w:t>2</w:t>
            </w:r>
            <w:r>
              <w:rPr>
                <w:rFonts w:ascii="Times New Roman" w:hAnsi="Times New Roman" w:cs="Times New Roman"/>
                <w:caps w:val="0"/>
                <w:smallCaps w:val="0"/>
                <w:color w:val="auto"/>
                <w:spacing w:val="0"/>
                <w:w w:val="100"/>
                <w:position w:val="0"/>
                <w:sz w:val="21"/>
                <w:szCs w:val="21"/>
                <w:highlight w:val="none"/>
              </w:rPr>
              <w:t>m</w:t>
            </w:r>
          </w:p>
        </w:tc>
        <w:tc>
          <w:tcPr>
            <w:tcW w:w="456" w:type="pct"/>
            <w:shd w:val="clear" w:color="auto" w:fill="auto"/>
            <w:vAlign w:val="center"/>
          </w:tcPr>
          <w:p w14:paraId="012CB9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caps w:val="0"/>
                <w:smallCaps w:val="0"/>
                <w:color w:val="auto"/>
                <w:spacing w:val="0"/>
                <w:w w:val="100"/>
                <w:position w:val="0"/>
                <w:sz w:val="21"/>
                <w:szCs w:val="21"/>
                <w:highlight w:val="none"/>
              </w:rPr>
              <w:t>0-0.</w:t>
            </w:r>
            <w:r>
              <w:rPr>
                <w:rFonts w:hint="eastAsia" w:ascii="Times New Roman" w:hAnsi="Times New Roman" w:cs="Times New Roman"/>
                <w:caps w:val="0"/>
                <w:smallCaps w:val="0"/>
                <w:color w:val="auto"/>
                <w:spacing w:val="0"/>
                <w:w w:val="100"/>
                <w:position w:val="0"/>
                <w:sz w:val="21"/>
                <w:szCs w:val="21"/>
                <w:highlight w:val="none"/>
                <w:lang w:val="en-US" w:eastAsia="zh-CN"/>
              </w:rPr>
              <w:t>2</w:t>
            </w:r>
            <w:r>
              <w:rPr>
                <w:rFonts w:ascii="Times New Roman" w:hAnsi="Times New Roman" w:cs="Times New Roman"/>
                <w:caps w:val="0"/>
                <w:smallCaps w:val="0"/>
                <w:color w:val="auto"/>
                <w:spacing w:val="0"/>
                <w:w w:val="100"/>
                <w:position w:val="0"/>
                <w:sz w:val="21"/>
                <w:szCs w:val="21"/>
                <w:highlight w:val="none"/>
              </w:rPr>
              <w:t>m</w:t>
            </w:r>
          </w:p>
        </w:tc>
        <w:tc>
          <w:tcPr>
            <w:tcW w:w="524" w:type="pct"/>
            <w:shd w:val="clear" w:color="auto" w:fill="auto"/>
            <w:vAlign w:val="center"/>
          </w:tcPr>
          <w:p w14:paraId="395B357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caps w:val="0"/>
                <w:smallCaps w:val="0"/>
                <w:color w:val="auto"/>
                <w:spacing w:val="0"/>
                <w:w w:val="100"/>
                <w:position w:val="0"/>
                <w:sz w:val="21"/>
                <w:szCs w:val="21"/>
                <w:highlight w:val="none"/>
              </w:rPr>
              <w:t>0-0.</w:t>
            </w:r>
            <w:r>
              <w:rPr>
                <w:rFonts w:hint="eastAsia" w:ascii="Times New Roman" w:hAnsi="Times New Roman" w:cs="Times New Roman"/>
                <w:caps w:val="0"/>
                <w:smallCaps w:val="0"/>
                <w:color w:val="auto"/>
                <w:spacing w:val="0"/>
                <w:w w:val="100"/>
                <w:position w:val="0"/>
                <w:sz w:val="21"/>
                <w:szCs w:val="21"/>
                <w:highlight w:val="none"/>
                <w:lang w:val="en-US" w:eastAsia="zh-CN"/>
              </w:rPr>
              <w:t>2</w:t>
            </w:r>
            <w:r>
              <w:rPr>
                <w:rFonts w:ascii="Times New Roman" w:hAnsi="Times New Roman" w:cs="Times New Roman"/>
                <w:caps w:val="0"/>
                <w:smallCaps w:val="0"/>
                <w:color w:val="auto"/>
                <w:spacing w:val="0"/>
                <w:w w:val="100"/>
                <w:position w:val="0"/>
                <w:sz w:val="21"/>
                <w:szCs w:val="21"/>
                <w:highlight w:val="none"/>
              </w:rPr>
              <w:t>m</w:t>
            </w:r>
          </w:p>
        </w:tc>
        <w:tc>
          <w:tcPr>
            <w:tcW w:w="458" w:type="pct"/>
            <w:shd w:val="clear" w:color="auto" w:fill="auto"/>
            <w:vAlign w:val="center"/>
          </w:tcPr>
          <w:p w14:paraId="17B4922D">
            <w:pPr>
              <w:widowControl w:val="0"/>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5A2E6B65">
            <w:pPr>
              <w:widowControl w:val="0"/>
              <w:jc w:val="center"/>
              <w:rPr>
                <w:rFonts w:ascii="Times New Roman" w:hAnsi="Times New Roman" w:eastAsia="宋体" w:cs="Times New Roman"/>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66DE0E7E">
            <w:pPr>
              <w:widowControl w:val="0"/>
              <w:jc w:val="center"/>
              <w:rPr>
                <w:rFonts w:ascii="Times New Roman" w:hAnsi="Times New Roman" w:eastAsia="宋体" w:cs="Times New Roman"/>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690DEFB3">
            <w:pPr>
              <w:widowControl w:val="0"/>
              <w:jc w:val="center"/>
              <w:rPr>
                <w:rFonts w:ascii="Times New Roman" w:hAnsi="Times New Roman" w:eastAsia="宋体" w:cs="Times New Roman"/>
                <w:caps w:val="0"/>
                <w:smallCaps w:val="0"/>
                <w:color w:val="auto"/>
                <w:spacing w:val="0"/>
                <w:w w:val="100"/>
                <w:position w:val="0"/>
                <w:sz w:val="21"/>
                <w:szCs w:val="21"/>
                <w:highlight w:val="none"/>
                <w:lang w:val="en-US" w:eastAsia="zh-CN" w:bidi="ar-SA"/>
              </w:rPr>
            </w:pPr>
          </w:p>
        </w:tc>
      </w:tr>
      <w:tr w14:paraId="43FBC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F53429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镉（Cd）</w:t>
            </w:r>
          </w:p>
        </w:tc>
        <w:tc>
          <w:tcPr>
            <w:tcW w:w="456" w:type="pct"/>
            <w:shd w:val="clear" w:color="auto" w:fill="auto"/>
            <w:vAlign w:val="center"/>
          </w:tcPr>
          <w:p w14:paraId="1D28B934">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0.0020</w:t>
            </w:r>
          </w:p>
        </w:tc>
        <w:tc>
          <w:tcPr>
            <w:tcW w:w="524" w:type="pct"/>
            <w:shd w:val="clear" w:color="auto" w:fill="auto"/>
            <w:vAlign w:val="center"/>
          </w:tcPr>
          <w:p w14:paraId="5F46EA4D">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0.0018</w:t>
            </w:r>
          </w:p>
        </w:tc>
        <w:tc>
          <w:tcPr>
            <w:tcW w:w="458" w:type="pct"/>
            <w:shd w:val="clear" w:color="auto" w:fill="auto"/>
            <w:vAlign w:val="center"/>
          </w:tcPr>
          <w:p w14:paraId="07FB841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0.0017</w:t>
            </w:r>
          </w:p>
        </w:tc>
        <w:tc>
          <w:tcPr>
            <w:tcW w:w="456" w:type="pct"/>
            <w:shd w:val="clear" w:color="auto" w:fill="auto"/>
            <w:vAlign w:val="center"/>
          </w:tcPr>
          <w:p w14:paraId="0736F171">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0.0014</w:t>
            </w:r>
          </w:p>
        </w:tc>
        <w:tc>
          <w:tcPr>
            <w:tcW w:w="524" w:type="pct"/>
            <w:shd w:val="clear" w:color="auto" w:fill="auto"/>
            <w:vAlign w:val="center"/>
          </w:tcPr>
          <w:p w14:paraId="07825DE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0.0017</w:t>
            </w:r>
          </w:p>
        </w:tc>
        <w:tc>
          <w:tcPr>
            <w:tcW w:w="458" w:type="pct"/>
            <w:shd w:val="clear" w:color="auto" w:fill="auto"/>
            <w:vAlign w:val="center"/>
          </w:tcPr>
          <w:p w14:paraId="68DD6332">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3ADE1366">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0FCF6514">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79E8F8CB">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4B97C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9DAB6C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汞（Hg）</w:t>
            </w:r>
          </w:p>
        </w:tc>
        <w:tc>
          <w:tcPr>
            <w:tcW w:w="456" w:type="pct"/>
            <w:shd w:val="clear" w:color="auto" w:fill="auto"/>
            <w:vAlign w:val="center"/>
          </w:tcPr>
          <w:p w14:paraId="74FD3989">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0.0005</w:t>
            </w:r>
          </w:p>
        </w:tc>
        <w:tc>
          <w:tcPr>
            <w:tcW w:w="524" w:type="pct"/>
            <w:shd w:val="clear" w:color="auto" w:fill="auto"/>
            <w:vAlign w:val="center"/>
          </w:tcPr>
          <w:p w14:paraId="6FF76B5A">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0.0006</w:t>
            </w:r>
          </w:p>
        </w:tc>
        <w:tc>
          <w:tcPr>
            <w:tcW w:w="458" w:type="pct"/>
            <w:shd w:val="clear" w:color="auto" w:fill="auto"/>
            <w:vAlign w:val="center"/>
          </w:tcPr>
          <w:p w14:paraId="043FF621">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0.0006</w:t>
            </w:r>
          </w:p>
        </w:tc>
        <w:tc>
          <w:tcPr>
            <w:tcW w:w="456" w:type="pct"/>
            <w:shd w:val="clear" w:color="auto" w:fill="auto"/>
            <w:vAlign w:val="center"/>
          </w:tcPr>
          <w:p w14:paraId="4562CD5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0.0006</w:t>
            </w:r>
          </w:p>
        </w:tc>
        <w:tc>
          <w:tcPr>
            <w:tcW w:w="524" w:type="pct"/>
            <w:shd w:val="clear" w:color="auto" w:fill="auto"/>
            <w:vAlign w:val="center"/>
          </w:tcPr>
          <w:p w14:paraId="64E7B30D">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0.0005</w:t>
            </w:r>
          </w:p>
        </w:tc>
        <w:tc>
          <w:tcPr>
            <w:tcW w:w="458" w:type="pct"/>
            <w:shd w:val="clear" w:color="auto" w:fill="auto"/>
            <w:vAlign w:val="center"/>
          </w:tcPr>
          <w:p w14:paraId="6151373D">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4F4A6F55">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1095D4DB">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71ABDB86">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71AF0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253CE3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砷（As）</w:t>
            </w:r>
          </w:p>
        </w:tc>
        <w:tc>
          <w:tcPr>
            <w:tcW w:w="456" w:type="pct"/>
            <w:shd w:val="clear" w:color="auto" w:fill="auto"/>
            <w:vAlign w:val="center"/>
          </w:tcPr>
          <w:p w14:paraId="04290185">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0.0552</w:t>
            </w:r>
          </w:p>
        </w:tc>
        <w:tc>
          <w:tcPr>
            <w:tcW w:w="524" w:type="pct"/>
            <w:shd w:val="clear" w:color="auto" w:fill="auto"/>
            <w:vAlign w:val="center"/>
          </w:tcPr>
          <w:p w14:paraId="44DFD68F">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0.0545</w:t>
            </w:r>
          </w:p>
        </w:tc>
        <w:tc>
          <w:tcPr>
            <w:tcW w:w="458" w:type="pct"/>
            <w:shd w:val="clear" w:color="auto" w:fill="auto"/>
            <w:vAlign w:val="center"/>
          </w:tcPr>
          <w:p w14:paraId="5A5065CC">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0.0558</w:t>
            </w:r>
          </w:p>
        </w:tc>
        <w:tc>
          <w:tcPr>
            <w:tcW w:w="456" w:type="pct"/>
            <w:shd w:val="clear" w:color="auto" w:fill="auto"/>
            <w:vAlign w:val="center"/>
          </w:tcPr>
          <w:p w14:paraId="404D2EA3">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0.0560</w:t>
            </w:r>
          </w:p>
        </w:tc>
        <w:tc>
          <w:tcPr>
            <w:tcW w:w="524" w:type="pct"/>
            <w:shd w:val="clear" w:color="auto" w:fill="auto"/>
            <w:vAlign w:val="center"/>
          </w:tcPr>
          <w:p w14:paraId="1B0A8BFE">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0.0555</w:t>
            </w:r>
          </w:p>
        </w:tc>
        <w:tc>
          <w:tcPr>
            <w:tcW w:w="458" w:type="pct"/>
            <w:shd w:val="clear" w:color="auto" w:fill="auto"/>
            <w:vAlign w:val="center"/>
          </w:tcPr>
          <w:p w14:paraId="4F089929">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07D81646">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6F4D7509">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219405E9">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11AE4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0059B0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铅（Pb）</w:t>
            </w:r>
          </w:p>
        </w:tc>
        <w:tc>
          <w:tcPr>
            <w:tcW w:w="456" w:type="pct"/>
            <w:shd w:val="clear" w:color="auto" w:fill="auto"/>
            <w:vAlign w:val="center"/>
          </w:tcPr>
          <w:p w14:paraId="6D5802F8">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0.0213</w:t>
            </w:r>
          </w:p>
        </w:tc>
        <w:tc>
          <w:tcPr>
            <w:tcW w:w="524" w:type="pct"/>
            <w:shd w:val="clear" w:color="auto" w:fill="auto"/>
            <w:vAlign w:val="center"/>
          </w:tcPr>
          <w:p w14:paraId="42376F1F">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0.0275</w:t>
            </w:r>
          </w:p>
        </w:tc>
        <w:tc>
          <w:tcPr>
            <w:tcW w:w="458" w:type="pct"/>
            <w:shd w:val="clear" w:color="auto" w:fill="auto"/>
            <w:vAlign w:val="center"/>
          </w:tcPr>
          <w:p w14:paraId="5BCFEB82">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0.0225</w:t>
            </w:r>
          </w:p>
        </w:tc>
        <w:tc>
          <w:tcPr>
            <w:tcW w:w="456" w:type="pct"/>
            <w:shd w:val="clear" w:color="auto" w:fill="auto"/>
            <w:vAlign w:val="center"/>
          </w:tcPr>
          <w:p w14:paraId="2AD62B7D">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0.0238</w:t>
            </w:r>
          </w:p>
        </w:tc>
        <w:tc>
          <w:tcPr>
            <w:tcW w:w="524" w:type="pct"/>
            <w:shd w:val="clear" w:color="auto" w:fill="auto"/>
            <w:vAlign w:val="center"/>
          </w:tcPr>
          <w:p w14:paraId="4994998A">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0.0200</w:t>
            </w:r>
          </w:p>
        </w:tc>
        <w:tc>
          <w:tcPr>
            <w:tcW w:w="458" w:type="pct"/>
            <w:shd w:val="clear" w:color="auto" w:fill="auto"/>
            <w:vAlign w:val="center"/>
          </w:tcPr>
          <w:p w14:paraId="2754E8BA">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206A0A5D">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71DD6968">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4061CAC9">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5C344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30BF04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铬（六价）</w:t>
            </w:r>
          </w:p>
        </w:tc>
        <w:tc>
          <w:tcPr>
            <w:tcW w:w="456" w:type="pct"/>
            <w:shd w:val="clear" w:color="auto" w:fill="auto"/>
            <w:vAlign w:val="center"/>
          </w:tcPr>
          <w:p w14:paraId="51A696F9">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524" w:type="pct"/>
            <w:shd w:val="clear" w:color="auto" w:fill="auto"/>
            <w:vAlign w:val="center"/>
          </w:tcPr>
          <w:p w14:paraId="6ACFC8FD">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458" w:type="pct"/>
            <w:shd w:val="clear" w:color="auto" w:fill="auto"/>
            <w:vAlign w:val="center"/>
          </w:tcPr>
          <w:p w14:paraId="32D9026F">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456" w:type="pct"/>
            <w:shd w:val="clear" w:color="auto" w:fill="auto"/>
            <w:vAlign w:val="center"/>
          </w:tcPr>
          <w:p w14:paraId="5F2CEB60">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524" w:type="pct"/>
            <w:shd w:val="clear" w:color="auto" w:fill="auto"/>
            <w:vAlign w:val="center"/>
          </w:tcPr>
          <w:p w14:paraId="6C75C99B">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ND</w:t>
            </w:r>
          </w:p>
        </w:tc>
        <w:tc>
          <w:tcPr>
            <w:tcW w:w="458" w:type="pct"/>
            <w:shd w:val="clear" w:color="auto" w:fill="auto"/>
            <w:vAlign w:val="center"/>
          </w:tcPr>
          <w:p w14:paraId="049172E5">
            <w:pPr>
              <w:keepNext w:val="0"/>
              <w:keepLines w:val="0"/>
              <w:widowControl/>
              <w:suppressLineNumbers w:val="0"/>
              <w:jc w:val="lef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1B12406A">
            <w:pPr>
              <w:keepNext w:val="0"/>
              <w:keepLines w:val="0"/>
              <w:widowControl/>
              <w:suppressLineNumbers w:val="0"/>
              <w:jc w:val="lef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1DE22F6D">
            <w:pPr>
              <w:keepNext w:val="0"/>
              <w:keepLines w:val="0"/>
              <w:widowControl/>
              <w:suppressLineNumbers w:val="0"/>
              <w:jc w:val="lef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1F21223F">
            <w:pPr>
              <w:keepNext w:val="0"/>
              <w:keepLines w:val="0"/>
              <w:widowControl/>
              <w:suppressLineNumbers w:val="0"/>
              <w:jc w:val="lef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010CA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9B9D76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铜（Cu）</w:t>
            </w:r>
          </w:p>
        </w:tc>
        <w:tc>
          <w:tcPr>
            <w:tcW w:w="456" w:type="pct"/>
            <w:shd w:val="clear" w:color="auto" w:fill="auto"/>
            <w:vAlign w:val="center"/>
          </w:tcPr>
          <w:p w14:paraId="39A83FDC">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0.0007</w:t>
            </w:r>
          </w:p>
        </w:tc>
        <w:tc>
          <w:tcPr>
            <w:tcW w:w="524" w:type="pct"/>
            <w:shd w:val="clear" w:color="auto" w:fill="auto"/>
            <w:vAlign w:val="center"/>
          </w:tcPr>
          <w:p w14:paraId="7365377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0.0010</w:t>
            </w:r>
          </w:p>
        </w:tc>
        <w:tc>
          <w:tcPr>
            <w:tcW w:w="458" w:type="pct"/>
            <w:shd w:val="clear" w:color="auto" w:fill="auto"/>
            <w:vAlign w:val="center"/>
          </w:tcPr>
          <w:p w14:paraId="1B197560">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0.0007</w:t>
            </w:r>
          </w:p>
        </w:tc>
        <w:tc>
          <w:tcPr>
            <w:tcW w:w="456" w:type="pct"/>
            <w:shd w:val="clear" w:color="auto" w:fill="auto"/>
            <w:vAlign w:val="center"/>
          </w:tcPr>
          <w:p w14:paraId="540CF90B">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0.0009</w:t>
            </w:r>
          </w:p>
        </w:tc>
        <w:tc>
          <w:tcPr>
            <w:tcW w:w="524" w:type="pct"/>
            <w:shd w:val="clear" w:color="auto" w:fill="auto"/>
            <w:vAlign w:val="center"/>
          </w:tcPr>
          <w:p w14:paraId="59762803">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0.0008</w:t>
            </w:r>
          </w:p>
        </w:tc>
        <w:tc>
          <w:tcPr>
            <w:tcW w:w="458" w:type="pct"/>
            <w:shd w:val="clear" w:color="auto" w:fill="auto"/>
            <w:vAlign w:val="center"/>
          </w:tcPr>
          <w:p w14:paraId="636203A7">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19DA0F1E">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252E8DB1">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19B6B871">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322A2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CB6A0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镍（Ni）</w:t>
            </w:r>
          </w:p>
        </w:tc>
        <w:tc>
          <w:tcPr>
            <w:tcW w:w="456" w:type="pct"/>
            <w:shd w:val="clear" w:color="auto" w:fill="auto"/>
            <w:vAlign w:val="center"/>
          </w:tcPr>
          <w:p w14:paraId="55CAAC77">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0.0267</w:t>
            </w:r>
          </w:p>
        </w:tc>
        <w:tc>
          <w:tcPr>
            <w:tcW w:w="524" w:type="pct"/>
            <w:shd w:val="clear" w:color="auto" w:fill="auto"/>
            <w:vAlign w:val="center"/>
          </w:tcPr>
          <w:p w14:paraId="06711057">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0.0222</w:t>
            </w:r>
          </w:p>
        </w:tc>
        <w:tc>
          <w:tcPr>
            <w:tcW w:w="458" w:type="pct"/>
            <w:shd w:val="clear" w:color="auto" w:fill="auto"/>
            <w:vAlign w:val="center"/>
          </w:tcPr>
          <w:p w14:paraId="0D6DE978">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0.0211</w:t>
            </w:r>
          </w:p>
        </w:tc>
        <w:tc>
          <w:tcPr>
            <w:tcW w:w="456" w:type="pct"/>
            <w:shd w:val="clear" w:color="auto" w:fill="auto"/>
            <w:vAlign w:val="center"/>
          </w:tcPr>
          <w:p w14:paraId="0E62EE10">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0.0244</w:t>
            </w:r>
          </w:p>
        </w:tc>
        <w:tc>
          <w:tcPr>
            <w:tcW w:w="524" w:type="pct"/>
            <w:shd w:val="clear" w:color="auto" w:fill="auto"/>
            <w:vAlign w:val="center"/>
          </w:tcPr>
          <w:p w14:paraId="1D96C546">
            <w:pPr>
              <w:widowControl w:val="0"/>
              <w:jc w:val="center"/>
              <w:rPr>
                <w:rFonts w:hint="eastAsia" w:ascii="Times New Roman" w:hAnsi="Times New Roman" w:eastAsia="宋体" w:cs="Times New Roman"/>
                <w:caps w:val="0"/>
                <w:smallCaps w:val="0"/>
                <w:color w:val="auto"/>
                <w:spacing w:val="0"/>
                <w:w w:val="100"/>
                <w:position w:val="0"/>
                <w:sz w:val="21"/>
                <w:szCs w:val="21"/>
                <w:highlight w:val="none"/>
                <w:lang w:val="en-US" w:eastAsia="zh-CN"/>
              </w:rPr>
            </w:pPr>
            <w:r>
              <w:rPr>
                <w:rFonts w:hint="eastAsia" w:ascii="Times New Roman" w:hAnsi="Times New Roman" w:eastAsia="宋体" w:cs="Times New Roman"/>
                <w:caps w:val="0"/>
                <w:smallCaps w:val="0"/>
                <w:color w:val="auto"/>
                <w:spacing w:val="0"/>
                <w:w w:val="100"/>
                <w:position w:val="0"/>
                <w:sz w:val="21"/>
                <w:szCs w:val="21"/>
                <w:highlight w:val="none"/>
                <w:lang w:val="en-US" w:eastAsia="zh-CN"/>
              </w:rPr>
              <w:t>0.0267</w:t>
            </w:r>
          </w:p>
        </w:tc>
        <w:tc>
          <w:tcPr>
            <w:tcW w:w="458" w:type="pct"/>
            <w:shd w:val="clear" w:color="auto" w:fill="auto"/>
            <w:vAlign w:val="center"/>
          </w:tcPr>
          <w:p w14:paraId="562B3969">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425D99D7">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510907D4">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E933E98">
            <w:pPr>
              <w:keepNext w:val="0"/>
              <w:keepLines w:val="0"/>
              <w:widowControl/>
              <w:suppressLineNumbers w:val="0"/>
              <w:jc w:val="right"/>
              <w:textAlignment w:val="cente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6D583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4EBA13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苯</w:t>
            </w:r>
          </w:p>
        </w:tc>
        <w:tc>
          <w:tcPr>
            <w:tcW w:w="456" w:type="pct"/>
            <w:shd w:val="clear" w:color="auto" w:fill="auto"/>
            <w:vAlign w:val="center"/>
          </w:tcPr>
          <w:p w14:paraId="6230A19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467D8FE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9B0577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DD3AAA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138F95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19737EF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4B04AA3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1ACDC7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2B74E24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5A43A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36A579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甲苯</w:t>
            </w:r>
          </w:p>
        </w:tc>
        <w:tc>
          <w:tcPr>
            <w:tcW w:w="456" w:type="pct"/>
            <w:shd w:val="clear" w:color="auto" w:fill="auto"/>
            <w:vAlign w:val="center"/>
          </w:tcPr>
          <w:p w14:paraId="153669C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73DD8A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774480A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3053696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5428515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6658F5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5A24A12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52738D5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6F66D34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27022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786C6D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乙苯</w:t>
            </w:r>
          </w:p>
        </w:tc>
        <w:tc>
          <w:tcPr>
            <w:tcW w:w="456" w:type="pct"/>
            <w:shd w:val="clear" w:color="auto" w:fill="auto"/>
            <w:vAlign w:val="center"/>
          </w:tcPr>
          <w:p w14:paraId="1217E68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137AC6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4B86F8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64CFD54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521DB6E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FDBA86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2BFD220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5876620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3006AE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7A2B7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329806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氯苯</w:t>
            </w:r>
          </w:p>
        </w:tc>
        <w:tc>
          <w:tcPr>
            <w:tcW w:w="456" w:type="pct"/>
            <w:shd w:val="clear" w:color="auto" w:fill="auto"/>
            <w:vAlign w:val="center"/>
          </w:tcPr>
          <w:p w14:paraId="286E323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7C1CFFE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914853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016F8A6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8488DD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7C2689E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68EE705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144E9E8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07010D9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41014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15CC72C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苯乙烯</w:t>
            </w:r>
          </w:p>
        </w:tc>
        <w:tc>
          <w:tcPr>
            <w:tcW w:w="456" w:type="pct"/>
            <w:shd w:val="clear" w:color="auto" w:fill="auto"/>
            <w:vAlign w:val="center"/>
          </w:tcPr>
          <w:p w14:paraId="5748278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8501A5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17B15A1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373A856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4B24E1F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8AF8EB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309D7FB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16C9726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705AB7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5DCE8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4735F94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间二甲苯+对二甲苯</w:t>
            </w:r>
          </w:p>
        </w:tc>
        <w:tc>
          <w:tcPr>
            <w:tcW w:w="456" w:type="pct"/>
            <w:shd w:val="clear" w:color="auto" w:fill="auto"/>
            <w:vAlign w:val="center"/>
          </w:tcPr>
          <w:p w14:paraId="42476FC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5CE22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7E00C8F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119F5C4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714C3C9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219456A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168BF54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1CB228B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0FA35DF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33845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05DBD92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邻二甲苯</w:t>
            </w:r>
          </w:p>
        </w:tc>
        <w:tc>
          <w:tcPr>
            <w:tcW w:w="456" w:type="pct"/>
            <w:shd w:val="clear" w:color="auto" w:fill="auto"/>
            <w:vAlign w:val="center"/>
          </w:tcPr>
          <w:p w14:paraId="07006D5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56622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455509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4BD36B5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71E7E6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5C2A220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3E69DCB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626ADD1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496725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4413E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2D03A1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氯乙烯</w:t>
            </w:r>
          </w:p>
        </w:tc>
        <w:tc>
          <w:tcPr>
            <w:tcW w:w="456" w:type="pct"/>
            <w:shd w:val="clear" w:color="auto" w:fill="auto"/>
            <w:vAlign w:val="center"/>
          </w:tcPr>
          <w:p w14:paraId="06DC6A5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D75C45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895725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E5BA93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4060B2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5FDF0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657ABB8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6DFB0D8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55E1D7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192F4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30C087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1,2-二氯苯</w:t>
            </w:r>
          </w:p>
        </w:tc>
        <w:tc>
          <w:tcPr>
            <w:tcW w:w="456" w:type="pct"/>
            <w:shd w:val="clear" w:color="auto" w:fill="auto"/>
            <w:vAlign w:val="center"/>
          </w:tcPr>
          <w:p w14:paraId="1C5CAF2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A32618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060351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40FBFAC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EB01CC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B111BD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1B31E4A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3902C93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8607FE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12347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3B85C2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1,4-二氯苯</w:t>
            </w:r>
          </w:p>
        </w:tc>
        <w:tc>
          <w:tcPr>
            <w:tcW w:w="456" w:type="pct"/>
            <w:shd w:val="clear" w:color="auto" w:fill="auto"/>
            <w:vAlign w:val="center"/>
          </w:tcPr>
          <w:p w14:paraId="1CCD01D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BBEFA9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267970F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929465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C8B56F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BBEC04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1ACB292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73649AC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33BB17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058A9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CC3B04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四氯化碳</w:t>
            </w:r>
          </w:p>
        </w:tc>
        <w:tc>
          <w:tcPr>
            <w:tcW w:w="456" w:type="pct"/>
            <w:shd w:val="clear" w:color="auto" w:fill="auto"/>
            <w:vAlign w:val="center"/>
          </w:tcPr>
          <w:p w14:paraId="6ADFE44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78440E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5F37AAC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34B389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B7EFD9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58A9733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4696A7D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5221FEE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619DC27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41ADE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C891A4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氯仿</w:t>
            </w:r>
          </w:p>
        </w:tc>
        <w:tc>
          <w:tcPr>
            <w:tcW w:w="456" w:type="pct"/>
            <w:shd w:val="clear" w:color="auto" w:fill="auto"/>
            <w:vAlign w:val="center"/>
          </w:tcPr>
          <w:p w14:paraId="79E56AD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4C92C65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AF6571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3050BB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B5E256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5D52B39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33253BC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4548A77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0F6D8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3C24B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1A6C463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氯甲烷</w:t>
            </w:r>
          </w:p>
        </w:tc>
        <w:tc>
          <w:tcPr>
            <w:tcW w:w="456" w:type="pct"/>
            <w:shd w:val="clear" w:color="auto" w:fill="auto"/>
            <w:vAlign w:val="center"/>
          </w:tcPr>
          <w:p w14:paraId="5E9334F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6607FB8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0C2F82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51978E1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7F4F32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2C879FC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2CACE3A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436A901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268B67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0A122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0EE40F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1,1-二氯乙烷</w:t>
            </w:r>
          </w:p>
        </w:tc>
        <w:tc>
          <w:tcPr>
            <w:tcW w:w="456" w:type="pct"/>
            <w:shd w:val="clear" w:color="auto" w:fill="auto"/>
            <w:vAlign w:val="center"/>
          </w:tcPr>
          <w:p w14:paraId="6440F1A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7789320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4744726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2D1CB5B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C3DDA7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4FC806D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6E8543D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25015BE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2BDB264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1E393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BFD2C3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1,2-二氯乙烷</w:t>
            </w:r>
          </w:p>
        </w:tc>
        <w:tc>
          <w:tcPr>
            <w:tcW w:w="456" w:type="pct"/>
            <w:shd w:val="clear" w:color="auto" w:fill="auto"/>
            <w:vAlign w:val="center"/>
          </w:tcPr>
          <w:p w14:paraId="623B759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67A5570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4F654A6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3AF69D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52D2742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A692D2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7767BF2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24DFEF6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6AC514F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4D5F2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2AF1B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1,1-二氯乙烯</w:t>
            </w:r>
          </w:p>
        </w:tc>
        <w:tc>
          <w:tcPr>
            <w:tcW w:w="456" w:type="pct"/>
            <w:shd w:val="clear" w:color="auto" w:fill="auto"/>
            <w:vAlign w:val="center"/>
          </w:tcPr>
          <w:p w14:paraId="243E21B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63DCCEC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7EED75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320D8A7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2ECF5A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4E6FEF9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4040FE0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31B56A0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2A1BA77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53A72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9581D4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顺-1,2-二氯乙烯</w:t>
            </w:r>
          </w:p>
        </w:tc>
        <w:tc>
          <w:tcPr>
            <w:tcW w:w="456" w:type="pct"/>
            <w:shd w:val="clear" w:color="auto" w:fill="auto"/>
            <w:vAlign w:val="center"/>
          </w:tcPr>
          <w:p w14:paraId="5F86932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69DAAC0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4AEE538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3DD3F9B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80AD90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82A007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4362829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5C0DF0E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03294EB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7F3A2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A4E866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反-1,2-二氯乙烯</w:t>
            </w:r>
          </w:p>
        </w:tc>
        <w:tc>
          <w:tcPr>
            <w:tcW w:w="456" w:type="pct"/>
            <w:shd w:val="clear" w:color="auto" w:fill="auto"/>
            <w:vAlign w:val="center"/>
          </w:tcPr>
          <w:p w14:paraId="514E9C8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E32DD6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62B7FD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6E0B5ED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DFBD0A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C1284B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1C856BA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7528248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1AFC23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64490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D4F622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二氯甲烷</w:t>
            </w:r>
          </w:p>
        </w:tc>
        <w:tc>
          <w:tcPr>
            <w:tcW w:w="456" w:type="pct"/>
            <w:shd w:val="clear" w:color="auto" w:fill="auto"/>
            <w:vAlign w:val="center"/>
          </w:tcPr>
          <w:p w14:paraId="41CAF97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A19F41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681243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06F3F4D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5AC276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2213D3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02FC802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7B1A5A9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627B38E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722A9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491BC2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1,2-二氯丙烷</w:t>
            </w:r>
          </w:p>
        </w:tc>
        <w:tc>
          <w:tcPr>
            <w:tcW w:w="456" w:type="pct"/>
            <w:shd w:val="clear" w:color="auto" w:fill="auto"/>
            <w:vAlign w:val="center"/>
          </w:tcPr>
          <w:p w14:paraId="05735CE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5DA5F8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79FB8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329472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9A120F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282AF81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5972592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5AB93BA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2EC50D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32EF9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09981B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1,1,1,2-四氯乙烷</w:t>
            </w:r>
          </w:p>
        </w:tc>
        <w:tc>
          <w:tcPr>
            <w:tcW w:w="456" w:type="pct"/>
            <w:shd w:val="clear" w:color="auto" w:fill="auto"/>
            <w:vAlign w:val="center"/>
          </w:tcPr>
          <w:p w14:paraId="3DEDA41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5579B89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180761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51F6205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643E824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2255E0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6316576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2D92448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0301A04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6B527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0EAA9A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1,1,2,2-四氯乙烷</w:t>
            </w:r>
          </w:p>
        </w:tc>
        <w:tc>
          <w:tcPr>
            <w:tcW w:w="456" w:type="pct"/>
            <w:shd w:val="clear" w:color="auto" w:fill="auto"/>
            <w:vAlign w:val="center"/>
          </w:tcPr>
          <w:p w14:paraId="1229B8B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D43CB5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5F007C9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004397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6141C0B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4241DE0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5E35618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057B314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38E0096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05539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1A7E20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四氯乙烯</w:t>
            </w:r>
          </w:p>
        </w:tc>
        <w:tc>
          <w:tcPr>
            <w:tcW w:w="456" w:type="pct"/>
            <w:shd w:val="clear" w:color="auto" w:fill="auto"/>
            <w:vAlign w:val="center"/>
          </w:tcPr>
          <w:p w14:paraId="77B7940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A9071D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29EE8A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E18FA2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B0129F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60A968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3D4747E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3EC2193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6A5CF1E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2B345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596809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1,1,1-三氯乙烷</w:t>
            </w:r>
          </w:p>
        </w:tc>
        <w:tc>
          <w:tcPr>
            <w:tcW w:w="456" w:type="pct"/>
            <w:shd w:val="clear" w:color="auto" w:fill="auto"/>
            <w:vAlign w:val="center"/>
          </w:tcPr>
          <w:p w14:paraId="2E14C5F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5B35F04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221BE48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522CE7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C77642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528E77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1B28F97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68FA01C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65EB85D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7983A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08495A3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1,1,2-三氯乙烷</w:t>
            </w:r>
          </w:p>
        </w:tc>
        <w:tc>
          <w:tcPr>
            <w:tcW w:w="456" w:type="pct"/>
            <w:shd w:val="clear" w:color="auto" w:fill="auto"/>
            <w:vAlign w:val="center"/>
          </w:tcPr>
          <w:p w14:paraId="23A6276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EE0DB2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475FD4C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2543F4F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73D903D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A15AB3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29A5A79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63CB576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6FBB521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49759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0C8B4B7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三氯乙烯</w:t>
            </w:r>
          </w:p>
        </w:tc>
        <w:tc>
          <w:tcPr>
            <w:tcW w:w="456" w:type="pct"/>
            <w:shd w:val="clear" w:color="auto" w:fill="auto"/>
            <w:vAlign w:val="center"/>
          </w:tcPr>
          <w:p w14:paraId="4F86499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7EF1DDE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F8AC3C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325E205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4D7897E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1CFE09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2E5C064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420C538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608392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666B7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7BA2E6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1,2,3-三氯丙烷</w:t>
            </w:r>
          </w:p>
        </w:tc>
        <w:tc>
          <w:tcPr>
            <w:tcW w:w="456" w:type="pct"/>
            <w:shd w:val="clear" w:color="auto" w:fill="auto"/>
            <w:vAlign w:val="center"/>
          </w:tcPr>
          <w:p w14:paraId="0724885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5643BBB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CBE8C9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5145325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BF10E6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6A78965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786B48D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255BC09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19CBEA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13B5E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39DE5F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硝基苯</w:t>
            </w:r>
          </w:p>
        </w:tc>
        <w:tc>
          <w:tcPr>
            <w:tcW w:w="456" w:type="pct"/>
            <w:shd w:val="clear" w:color="auto" w:fill="auto"/>
            <w:vAlign w:val="center"/>
          </w:tcPr>
          <w:p w14:paraId="37D860A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1091F9B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0D8E418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50D6D76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DFA70C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5EC019B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194A82A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19B9F48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7B4391D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7BDDF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F46E68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苯胺</w:t>
            </w:r>
          </w:p>
        </w:tc>
        <w:tc>
          <w:tcPr>
            <w:tcW w:w="456" w:type="pct"/>
            <w:shd w:val="clear" w:color="auto" w:fill="auto"/>
            <w:vAlign w:val="center"/>
          </w:tcPr>
          <w:p w14:paraId="1D965C0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4FABBA3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087C97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3E0481B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538A3AF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789B973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295DAF9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2AA3353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3CF719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292B0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5A40BB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2-氯酚</w:t>
            </w:r>
          </w:p>
        </w:tc>
        <w:tc>
          <w:tcPr>
            <w:tcW w:w="456" w:type="pct"/>
            <w:shd w:val="clear" w:color="auto" w:fill="auto"/>
            <w:vAlign w:val="center"/>
          </w:tcPr>
          <w:p w14:paraId="4F7D5BF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A1C066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1A8E499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3CCEDDC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4662A9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2AB80B9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52CFC59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4397E7A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56899A3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076F0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7A95F5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䓛</w:t>
            </w:r>
          </w:p>
        </w:tc>
        <w:tc>
          <w:tcPr>
            <w:tcW w:w="456" w:type="pct"/>
            <w:shd w:val="clear" w:color="auto" w:fill="auto"/>
            <w:vAlign w:val="center"/>
          </w:tcPr>
          <w:p w14:paraId="4F98CFC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3D36F5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5C46B36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1A87810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237ECD0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16DCBC6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2114E54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75A39E2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7ED5892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1AC1A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90CA92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萘</w:t>
            </w:r>
          </w:p>
        </w:tc>
        <w:tc>
          <w:tcPr>
            <w:tcW w:w="456" w:type="pct"/>
            <w:shd w:val="clear" w:color="auto" w:fill="auto"/>
            <w:vAlign w:val="center"/>
          </w:tcPr>
          <w:p w14:paraId="6A987BD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DBC259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3F3CF6A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6" w:type="pct"/>
            <w:shd w:val="clear" w:color="auto" w:fill="auto"/>
            <w:vAlign w:val="center"/>
          </w:tcPr>
          <w:p w14:paraId="75CC0F1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43F61EA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458" w:type="pct"/>
            <w:shd w:val="clear" w:color="auto" w:fill="auto"/>
            <w:vAlign w:val="center"/>
          </w:tcPr>
          <w:p w14:paraId="15EEF58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6" w:type="pct"/>
            <w:shd w:val="clear" w:color="auto" w:fill="auto"/>
            <w:vAlign w:val="center"/>
          </w:tcPr>
          <w:p w14:paraId="051BB39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525" w:type="pct"/>
            <w:shd w:val="clear" w:color="auto" w:fill="auto"/>
            <w:vAlign w:val="center"/>
          </w:tcPr>
          <w:p w14:paraId="7D93071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459" w:type="pct"/>
            <w:shd w:val="clear" w:color="auto" w:fill="auto"/>
            <w:vAlign w:val="center"/>
          </w:tcPr>
          <w:p w14:paraId="3758A85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bookmarkEnd w:id="727"/>
      <w:tr w14:paraId="49251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650E178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苯并[a]蒽</w:t>
            </w:r>
          </w:p>
        </w:tc>
        <w:tc>
          <w:tcPr>
            <w:tcW w:w="0" w:type="auto"/>
            <w:shd w:val="clear" w:color="auto" w:fill="auto"/>
            <w:vAlign w:val="center"/>
          </w:tcPr>
          <w:p w14:paraId="429B848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4872FFC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0913ABB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3D3CC61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5957FC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07888CE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2937D0C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7DFD786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7C5C4C3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7C221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7E05B0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苯并[b]荧蒽</w:t>
            </w:r>
          </w:p>
        </w:tc>
        <w:tc>
          <w:tcPr>
            <w:tcW w:w="0" w:type="auto"/>
            <w:shd w:val="clear" w:color="auto" w:fill="auto"/>
            <w:vAlign w:val="center"/>
          </w:tcPr>
          <w:p w14:paraId="58E238D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7B2352E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4E17820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2ADB4C0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7496FCC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080D575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639B4C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367F387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7955845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31D66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7057EC3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苯并[k]荧蒽</w:t>
            </w:r>
          </w:p>
        </w:tc>
        <w:tc>
          <w:tcPr>
            <w:tcW w:w="0" w:type="auto"/>
            <w:shd w:val="clear" w:color="auto" w:fill="auto"/>
            <w:vAlign w:val="center"/>
          </w:tcPr>
          <w:p w14:paraId="20E88CC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64E7154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2E5D2B9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587AE20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693A6F2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7D1C4B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59F63D4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7A03A7D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2FB3CF9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1DD28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02F9F53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苯并[a]芘</w:t>
            </w:r>
          </w:p>
        </w:tc>
        <w:tc>
          <w:tcPr>
            <w:tcW w:w="0" w:type="auto"/>
            <w:shd w:val="clear" w:color="auto" w:fill="auto"/>
            <w:vAlign w:val="center"/>
          </w:tcPr>
          <w:p w14:paraId="0AE1B52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7964C2C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4E5846B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7E176D0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446A14F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6E7FF9E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6CD319A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7321C0C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32BEC1C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0F7DF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2C34C0C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茚并[1,2,3-cd]芘</w:t>
            </w:r>
          </w:p>
        </w:tc>
        <w:tc>
          <w:tcPr>
            <w:tcW w:w="0" w:type="auto"/>
            <w:shd w:val="clear" w:color="auto" w:fill="auto"/>
            <w:vAlign w:val="center"/>
          </w:tcPr>
          <w:p w14:paraId="1067CF7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3A0DB8B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509C4D4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5487564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7EE260A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3FE2314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739103A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43FEF8F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01F9F24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152A6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2338042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二苯并[a, h]蒽</w:t>
            </w:r>
          </w:p>
        </w:tc>
        <w:tc>
          <w:tcPr>
            <w:tcW w:w="0" w:type="auto"/>
            <w:shd w:val="clear" w:color="auto" w:fill="auto"/>
            <w:vAlign w:val="center"/>
          </w:tcPr>
          <w:p w14:paraId="42FC6B2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09EFD98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58B1397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31E7E58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0A73EF1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40BD5AC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0455A30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0C5D5FB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740F6CE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r w14:paraId="2EBD7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007B860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石油烃（C</w:t>
            </w:r>
            <w:r>
              <w:rPr>
                <w:rFonts w:ascii="Times New Roman" w:hAnsi="Times New Roman" w:cs="Times New Roman" w:eastAsiaTheme="minorEastAsia"/>
                <w:caps w:val="0"/>
                <w:smallCaps w:val="0"/>
                <w:color w:val="auto"/>
                <w:spacing w:val="0"/>
                <w:w w:val="100"/>
                <w:position w:val="0"/>
                <w:sz w:val="21"/>
                <w:szCs w:val="21"/>
                <w:highlight w:val="none"/>
                <w:vertAlign w:val="subscript"/>
              </w:rPr>
              <w:t>10</w:t>
            </w:r>
            <w:r>
              <w:rPr>
                <w:rFonts w:ascii="Times New Roman" w:hAnsi="Times New Roman" w:cs="Times New Roman" w:eastAsiaTheme="minorEastAsia"/>
                <w:caps w:val="0"/>
                <w:smallCaps w:val="0"/>
                <w:color w:val="auto"/>
                <w:spacing w:val="0"/>
                <w:w w:val="100"/>
                <w:position w:val="0"/>
                <w:sz w:val="21"/>
                <w:szCs w:val="21"/>
                <w:highlight w:val="none"/>
              </w:rPr>
              <w:t>-C</w:t>
            </w:r>
            <w:r>
              <w:rPr>
                <w:rFonts w:ascii="Times New Roman" w:hAnsi="Times New Roman" w:cs="Times New Roman" w:eastAsiaTheme="minorEastAsia"/>
                <w:caps w:val="0"/>
                <w:smallCaps w:val="0"/>
                <w:color w:val="auto"/>
                <w:spacing w:val="0"/>
                <w:w w:val="100"/>
                <w:position w:val="0"/>
                <w:sz w:val="21"/>
                <w:szCs w:val="21"/>
                <w:highlight w:val="none"/>
                <w:vertAlign w:val="subscript"/>
              </w:rPr>
              <w:t>40</w:t>
            </w:r>
            <w:r>
              <w:rPr>
                <w:rFonts w:ascii="Times New Roman" w:hAnsi="Times New Roman" w:cs="Times New Roman" w:eastAsiaTheme="minorEastAsia"/>
                <w:caps w:val="0"/>
                <w:smallCaps w:val="0"/>
                <w:color w:val="auto"/>
                <w:spacing w:val="0"/>
                <w:w w:val="100"/>
                <w:position w:val="0"/>
                <w:sz w:val="21"/>
                <w:szCs w:val="21"/>
                <w:highlight w:val="none"/>
              </w:rPr>
              <w:t>）</w:t>
            </w:r>
          </w:p>
        </w:tc>
        <w:tc>
          <w:tcPr>
            <w:tcW w:w="0" w:type="auto"/>
            <w:shd w:val="clear" w:color="auto" w:fill="auto"/>
            <w:vAlign w:val="center"/>
          </w:tcPr>
          <w:p w14:paraId="48F8634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05C7FF5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3818754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1BA240F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524" w:type="pct"/>
            <w:shd w:val="clear" w:color="auto" w:fill="auto"/>
            <w:vAlign w:val="center"/>
          </w:tcPr>
          <w:p w14:paraId="33EA672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0" w:type="auto"/>
            <w:shd w:val="clear" w:color="auto" w:fill="auto"/>
            <w:vAlign w:val="center"/>
          </w:tcPr>
          <w:p w14:paraId="0310BF3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5100F19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03A9C12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c>
          <w:tcPr>
            <w:tcW w:w="0" w:type="auto"/>
            <w:shd w:val="clear" w:color="auto" w:fill="auto"/>
            <w:vAlign w:val="center"/>
          </w:tcPr>
          <w:p w14:paraId="2DAA3A2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val="en-US" w:eastAsia="zh-CN" w:bidi="ar-SA"/>
              </w:rPr>
            </w:pPr>
          </w:p>
        </w:tc>
      </w:tr>
    </w:tbl>
    <w:p w14:paraId="61DE07B6">
      <w:pPr>
        <w:widowControl w:val="0"/>
        <w:spacing w:line="440" w:lineRule="exact"/>
        <w:ind w:firstLine="482" w:firstLineChars="200"/>
        <w:rPr>
          <w:rFonts w:ascii="Times New Roman" w:hAnsi="Times New Roman" w:cs="Times New Roman" w:eastAsiaTheme="minorEastAsia"/>
          <w:b/>
          <w:caps w:val="0"/>
          <w:smallCaps w:val="0"/>
          <w:color w:val="auto"/>
          <w:spacing w:val="0"/>
          <w:w w:val="100"/>
          <w:kern w:val="21"/>
          <w:position w:val="0"/>
          <w:highlight w:val="none"/>
        </w:rPr>
      </w:pPr>
      <w:r>
        <w:rPr>
          <w:rFonts w:ascii="Times New Roman" w:hAnsi="Times New Roman" w:cs="Times New Roman" w:eastAsiaTheme="minorEastAsia"/>
          <w:b/>
          <w:caps w:val="0"/>
          <w:smallCaps w:val="0"/>
          <w:color w:val="auto"/>
          <w:spacing w:val="0"/>
          <w:w w:val="100"/>
          <w:kern w:val="21"/>
          <w:position w:val="0"/>
          <w:highlight w:val="none"/>
          <w:lang w:bidi="zh-CN"/>
        </w:rPr>
        <w:t>表</w:t>
      </w:r>
      <w:r>
        <w:rPr>
          <w:rFonts w:ascii="Times New Roman" w:hAnsi="Times New Roman" w:cs="Times New Roman" w:eastAsiaTheme="minorEastAsia"/>
          <w:b/>
          <w:caps w:val="0"/>
          <w:smallCaps w:val="0"/>
          <w:color w:val="auto"/>
          <w:spacing w:val="0"/>
          <w:w w:val="100"/>
          <w:kern w:val="2"/>
          <w:position w:val="0"/>
          <w:szCs w:val="20"/>
          <w:highlight w:val="none"/>
        </w:rPr>
        <w:t>4.3-27</w:t>
      </w:r>
      <w:r>
        <w:rPr>
          <w:rFonts w:ascii="Times New Roman" w:hAnsi="Times New Roman" w:cs="Times New Roman" w:eastAsiaTheme="minorEastAsia"/>
          <w:b/>
          <w:caps w:val="0"/>
          <w:smallCaps w:val="0"/>
          <w:color w:val="auto"/>
          <w:spacing w:val="0"/>
          <w:w w:val="100"/>
          <w:kern w:val="21"/>
          <w:position w:val="0"/>
          <w:highlight w:val="none"/>
          <w:lang w:bidi="zh-CN"/>
        </w:rPr>
        <w:t xml:space="preserve">    </w:t>
      </w:r>
      <w:r>
        <w:rPr>
          <w:rFonts w:ascii="Times New Roman" w:hAnsi="Times New Roman" w:cs="Times New Roman" w:eastAsiaTheme="minorEastAsia"/>
          <w:b/>
          <w:caps w:val="0"/>
          <w:smallCaps w:val="0"/>
          <w:color w:val="auto"/>
          <w:spacing w:val="0"/>
          <w:w w:val="100"/>
          <w:kern w:val="21"/>
          <w:position w:val="0"/>
          <w:highlight w:val="none"/>
        </w:rPr>
        <w:t xml:space="preserve">农用地土壤环境质量现状评价结果    </w:t>
      </w:r>
    </w:p>
    <w:tbl>
      <w:tblPr>
        <w:tblStyle w:val="80"/>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48"/>
        <w:gridCol w:w="1506"/>
        <w:gridCol w:w="1506"/>
        <w:gridCol w:w="1506"/>
        <w:gridCol w:w="1506"/>
        <w:gridCol w:w="1508"/>
      </w:tblGrid>
      <w:tr w14:paraId="03098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Merge w:val="restart"/>
            <w:vAlign w:val="center"/>
          </w:tcPr>
          <w:p w14:paraId="26F94BB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监测项目</w:t>
            </w:r>
          </w:p>
        </w:tc>
        <w:tc>
          <w:tcPr>
            <w:tcW w:w="4058" w:type="pct"/>
            <w:gridSpan w:val="5"/>
            <w:vAlign w:val="center"/>
          </w:tcPr>
          <w:p w14:paraId="3AE17A0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监测点位及评价结果</w:t>
            </w:r>
          </w:p>
        </w:tc>
      </w:tr>
      <w:tr w14:paraId="270A3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Merge w:val="continue"/>
            <w:vAlign w:val="center"/>
          </w:tcPr>
          <w:p w14:paraId="26C230A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11" w:type="pct"/>
            <w:vAlign w:val="center"/>
          </w:tcPr>
          <w:p w14:paraId="1026E7EF">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S9</w:t>
            </w:r>
          </w:p>
        </w:tc>
        <w:tc>
          <w:tcPr>
            <w:tcW w:w="811" w:type="pct"/>
            <w:tcBorders>
              <w:right w:val="single" w:color="auto" w:sz="4" w:space="0"/>
            </w:tcBorders>
            <w:vAlign w:val="center"/>
          </w:tcPr>
          <w:p w14:paraId="703E7CFB">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S10</w:t>
            </w:r>
          </w:p>
        </w:tc>
        <w:tc>
          <w:tcPr>
            <w:tcW w:w="811" w:type="pct"/>
            <w:tcBorders>
              <w:left w:val="single" w:color="auto" w:sz="4" w:space="0"/>
            </w:tcBorders>
            <w:vAlign w:val="center"/>
          </w:tcPr>
          <w:p w14:paraId="369C41EA">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S11</w:t>
            </w:r>
          </w:p>
        </w:tc>
        <w:tc>
          <w:tcPr>
            <w:tcW w:w="811" w:type="pct"/>
            <w:tcBorders>
              <w:left w:val="single" w:color="auto" w:sz="4" w:space="0"/>
            </w:tcBorders>
            <w:vAlign w:val="center"/>
          </w:tcPr>
          <w:p w14:paraId="15163F38">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S12</w:t>
            </w:r>
          </w:p>
        </w:tc>
        <w:tc>
          <w:tcPr>
            <w:tcW w:w="812" w:type="pct"/>
            <w:tcBorders>
              <w:left w:val="single" w:color="auto" w:sz="4" w:space="0"/>
            </w:tcBorders>
            <w:vAlign w:val="center"/>
          </w:tcPr>
          <w:p w14:paraId="57FA8A25">
            <w:pPr>
              <w:spacing w:line="360" w:lineRule="exact"/>
              <w:jc w:val="cente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S13</w:t>
            </w:r>
          </w:p>
        </w:tc>
      </w:tr>
      <w:tr w14:paraId="39FEB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Merge w:val="continue"/>
            <w:vAlign w:val="center"/>
          </w:tcPr>
          <w:p w14:paraId="6F3B70D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811" w:type="pct"/>
            <w:vAlign w:val="center"/>
          </w:tcPr>
          <w:p w14:paraId="07B8994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0-20cm</w:t>
            </w:r>
          </w:p>
        </w:tc>
        <w:tc>
          <w:tcPr>
            <w:tcW w:w="811" w:type="pct"/>
            <w:vAlign w:val="center"/>
          </w:tcPr>
          <w:p w14:paraId="0F72CE0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0-20cm</w:t>
            </w:r>
          </w:p>
        </w:tc>
        <w:tc>
          <w:tcPr>
            <w:tcW w:w="811" w:type="pct"/>
            <w:vAlign w:val="center"/>
          </w:tcPr>
          <w:p w14:paraId="53C1234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0-20cm</w:t>
            </w:r>
          </w:p>
        </w:tc>
        <w:tc>
          <w:tcPr>
            <w:tcW w:w="811" w:type="pct"/>
            <w:vAlign w:val="center"/>
          </w:tcPr>
          <w:p w14:paraId="1DB000E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0-20cm</w:t>
            </w:r>
          </w:p>
        </w:tc>
        <w:tc>
          <w:tcPr>
            <w:tcW w:w="812" w:type="pct"/>
            <w:vAlign w:val="center"/>
          </w:tcPr>
          <w:p w14:paraId="70549E5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0-20cm</w:t>
            </w:r>
          </w:p>
        </w:tc>
      </w:tr>
      <w:tr w14:paraId="6D2AA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3D5C689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镉（Cd）</w:t>
            </w:r>
          </w:p>
        </w:tc>
        <w:tc>
          <w:tcPr>
            <w:tcW w:w="811" w:type="pct"/>
            <w:vAlign w:val="center"/>
          </w:tcPr>
          <w:p w14:paraId="4C46A60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0.1333</w:t>
            </w:r>
          </w:p>
        </w:tc>
        <w:tc>
          <w:tcPr>
            <w:tcW w:w="811" w:type="pct"/>
            <w:vAlign w:val="center"/>
          </w:tcPr>
          <w:p w14:paraId="5049A52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0.1667</w:t>
            </w:r>
          </w:p>
        </w:tc>
        <w:tc>
          <w:tcPr>
            <w:tcW w:w="811" w:type="pct"/>
            <w:vAlign w:val="center"/>
          </w:tcPr>
          <w:p w14:paraId="39CBB74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0.1500</w:t>
            </w:r>
          </w:p>
        </w:tc>
        <w:tc>
          <w:tcPr>
            <w:tcW w:w="811" w:type="pct"/>
            <w:vAlign w:val="center"/>
          </w:tcPr>
          <w:p w14:paraId="5616FFF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0.1500</w:t>
            </w:r>
          </w:p>
        </w:tc>
        <w:tc>
          <w:tcPr>
            <w:tcW w:w="812" w:type="pct"/>
            <w:vAlign w:val="center"/>
          </w:tcPr>
          <w:p w14:paraId="6D3DB0D2">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0.1833</w:t>
            </w:r>
          </w:p>
        </w:tc>
      </w:tr>
      <w:tr w14:paraId="38CA4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726BBEE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汞（Hg）</w:t>
            </w:r>
          </w:p>
        </w:tc>
        <w:tc>
          <w:tcPr>
            <w:tcW w:w="811" w:type="pct"/>
            <w:vAlign w:val="center"/>
          </w:tcPr>
          <w:p w14:paraId="0F58BFF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0.0038</w:t>
            </w:r>
          </w:p>
        </w:tc>
        <w:tc>
          <w:tcPr>
            <w:tcW w:w="811" w:type="pct"/>
            <w:vAlign w:val="center"/>
          </w:tcPr>
          <w:p w14:paraId="477C40B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0.0047</w:t>
            </w:r>
          </w:p>
        </w:tc>
        <w:tc>
          <w:tcPr>
            <w:tcW w:w="811" w:type="pct"/>
            <w:vAlign w:val="center"/>
          </w:tcPr>
          <w:p w14:paraId="68BD515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0.0050</w:t>
            </w:r>
          </w:p>
        </w:tc>
        <w:tc>
          <w:tcPr>
            <w:tcW w:w="811" w:type="pct"/>
            <w:vAlign w:val="center"/>
          </w:tcPr>
          <w:p w14:paraId="7BB2A49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0.0041</w:t>
            </w:r>
          </w:p>
        </w:tc>
        <w:tc>
          <w:tcPr>
            <w:tcW w:w="812" w:type="pct"/>
            <w:vAlign w:val="center"/>
          </w:tcPr>
          <w:p w14:paraId="2C3DD0DF">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0.0059</w:t>
            </w:r>
          </w:p>
        </w:tc>
      </w:tr>
      <w:tr w14:paraId="644CE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16A789B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砷（As）</w:t>
            </w:r>
          </w:p>
        </w:tc>
        <w:tc>
          <w:tcPr>
            <w:tcW w:w="811" w:type="pct"/>
            <w:vAlign w:val="center"/>
          </w:tcPr>
          <w:p w14:paraId="1B75FAD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0.1360</w:t>
            </w:r>
          </w:p>
        </w:tc>
        <w:tc>
          <w:tcPr>
            <w:tcW w:w="811" w:type="pct"/>
            <w:vAlign w:val="center"/>
          </w:tcPr>
          <w:p w14:paraId="3310158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0.1324</w:t>
            </w:r>
          </w:p>
        </w:tc>
        <w:tc>
          <w:tcPr>
            <w:tcW w:w="811" w:type="pct"/>
            <w:vAlign w:val="center"/>
          </w:tcPr>
          <w:p w14:paraId="6665BA2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0.1340</w:t>
            </w:r>
          </w:p>
        </w:tc>
        <w:tc>
          <w:tcPr>
            <w:tcW w:w="811" w:type="pct"/>
            <w:vAlign w:val="center"/>
          </w:tcPr>
          <w:p w14:paraId="087F2A5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0.1344</w:t>
            </w:r>
          </w:p>
        </w:tc>
        <w:tc>
          <w:tcPr>
            <w:tcW w:w="812" w:type="pct"/>
            <w:vAlign w:val="center"/>
          </w:tcPr>
          <w:p w14:paraId="33F19457">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0.1308</w:t>
            </w:r>
          </w:p>
        </w:tc>
      </w:tr>
      <w:tr w14:paraId="4FAFB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55471F4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铅（Pb）</w:t>
            </w:r>
          </w:p>
        </w:tc>
        <w:tc>
          <w:tcPr>
            <w:tcW w:w="811" w:type="pct"/>
            <w:vAlign w:val="center"/>
          </w:tcPr>
          <w:p w14:paraId="05DAA94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0.0882</w:t>
            </w:r>
          </w:p>
        </w:tc>
        <w:tc>
          <w:tcPr>
            <w:tcW w:w="811" w:type="pct"/>
            <w:vAlign w:val="center"/>
          </w:tcPr>
          <w:p w14:paraId="4CA61CF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0.0941</w:t>
            </w:r>
          </w:p>
        </w:tc>
        <w:tc>
          <w:tcPr>
            <w:tcW w:w="811" w:type="pct"/>
            <w:vAlign w:val="center"/>
          </w:tcPr>
          <w:p w14:paraId="12930B9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0.0824</w:t>
            </w:r>
          </w:p>
        </w:tc>
        <w:tc>
          <w:tcPr>
            <w:tcW w:w="811" w:type="pct"/>
            <w:vAlign w:val="center"/>
          </w:tcPr>
          <w:p w14:paraId="368FE19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0.0882</w:t>
            </w:r>
          </w:p>
        </w:tc>
        <w:tc>
          <w:tcPr>
            <w:tcW w:w="812" w:type="pct"/>
            <w:vAlign w:val="center"/>
          </w:tcPr>
          <w:p w14:paraId="6547CED1">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0.0706</w:t>
            </w:r>
          </w:p>
        </w:tc>
      </w:tr>
      <w:tr w14:paraId="525B2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5941BD1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铬（Cr）</w:t>
            </w:r>
          </w:p>
        </w:tc>
        <w:tc>
          <w:tcPr>
            <w:tcW w:w="811" w:type="pct"/>
            <w:vAlign w:val="center"/>
          </w:tcPr>
          <w:p w14:paraId="03E2268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0.1840</w:t>
            </w:r>
          </w:p>
        </w:tc>
        <w:tc>
          <w:tcPr>
            <w:tcW w:w="811" w:type="pct"/>
            <w:vAlign w:val="center"/>
          </w:tcPr>
          <w:p w14:paraId="610C6D6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0.2120</w:t>
            </w:r>
          </w:p>
        </w:tc>
        <w:tc>
          <w:tcPr>
            <w:tcW w:w="811" w:type="pct"/>
            <w:vAlign w:val="center"/>
          </w:tcPr>
          <w:p w14:paraId="025D45C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0.2280</w:t>
            </w:r>
          </w:p>
        </w:tc>
        <w:tc>
          <w:tcPr>
            <w:tcW w:w="811" w:type="pct"/>
            <w:vAlign w:val="center"/>
          </w:tcPr>
          <w:p w14:paraId="12AF140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0.1760</w:t>
            </w:r>
          </w:p>
        </w:tc>
        <w:tc>
          <w:tcPr>
            <w:tcW w:w="812" w:type="pct"/>
            <w:vAlign w:val="center"/>
          </w:tcPr>
          <w:p w14:paraId="78FF2677">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0.1960</w:t>
            </w:r>
          </w:p>
        </w:tc>
      </w:tr>
      <w:tr w14:paraId="27391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407CA2F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铜（Cu）</w:t>
            </w:r>
          </w:p>
        </w:tc>
        <w:tc>
          <w:tcPr>
            <w:tcW w:w="811" w:type="pct"/>
            <w:vAlign w:val="center"/>
          </w:tcPr>
          <w:p w14:paraId="5F56086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0.2100</w:t>
            </w:r>
          </w:p>
        </w:tc>
        <w:tc>
          <w:tcPr>
            <w:tcW w:w="811" w:type="pct"/>
            <w:vAlign w:val="center"/>
          </w:tcPr>
          <w:p w14:paraId="1F07BDF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0.1800</w:t>
            </w:r>
          </w:p>
        </w:tc>
        <w:tc>
          <w:tcPr>
            <w:tcW w:w="811" w:type="pct"/>
            <w:vAlign w:val="center"/>
          </w:tcPr>
          <w:p w14:paraId="61F995E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0.1600</w:t>
            </w:r>
          </w:p>
        </w:tc>
        <w:tc>
          <w:tcPr>
            <w:tcW w:w="811" w:type="pct"/>
            <w:vAlign w:val="center"/>
          </w:tcPr>
          <w:p w14:paraId="68CE38C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0.1200</w:t>
            </w:r>
          </w:p>
        </w:tc>
        <w:tc>
          <w:tcPr>
            <w:tcW w:w="812" w:type="pct"/>
            <w:vAlign w:val="center"/>
          </w:tcPr>
          <w:p w14:paraId="62151453">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0.1700</w:t>
            </w:r>
          </w:p>
        </w:tc>
      </w:tr>
      <w:tr w14:paraId="0F7A5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941" w:type="pct"/>
            <w:vAlign w:val="center"/>
          </w:tcPr>
          <w:p w14:paraId="2A6201F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镍（Ni）</w:t>
            </w:r>
          </w:p>
        </w:tc>
        <w:tc>
          <w:tcPr>
            <w:tcW w:w="811" w:type="pct"/>
            <w:vAlign w:val="center"/>
          </w:tcPr>
          <w:p w14:paraId="3709930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0.1211</w:t>
            </w:r>
          </w:p>
        </w:tc>
        <w:tc>
          <w:tcPr>
            <w:tcW w:w="811" w:type="pct"/>
            <w:vAlign w:val="center"/>
          </w:tcPr>
          <w:p w14:paraId="6DE1B0D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0.1105</w:t>
            </w:r>
          </w:p>
        </w:tc>
        <w:tc>
          <w:tcPr>
            <w:tcW w:w="811" w:type="pct"/>
            <w:vAlign w:val="center"/>
          </w:tcPr>
          <w:p w14:paraId="2E0FC4E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0.1053</w:t>
            </w:r>
          </w:p>
        </w:tc>
        <w:tc>
          <w:tcPr>
            <w:tcW w:w="811" w:type="pct"/>
            <w:vAlign w:val="center"/>
          </w:tcPr>
          <w:p w14:paraId="0B8BDF8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0.1000</w:t>
            </w:r>
          </w:p>
        </w:tc>
        <w:tc>
          <w:tcPr>
            <w:tcW w:w="812" w:type="pct"/>
            <w:vAlign w:val="center"/>
          </w:tcPr>
          <w:p w14:paraId="4FF0366A">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0.1158</w:t>
            </w:r>
          </w:p>
        </w:tc>
      </w:tr>
      <w:tr w14:paraId="39019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2C61BF9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锌（Zn）</w:t>
            </w:r>
          </w:p>
        </w:tc>
        <w:tc>
          <w:tcPr>
            <w:tcW w:w="811" w:type="pct"/>
            <w:vAlign w:val="center"/>
          </w:tcPr>
          <w:p w14:paraId="4F81037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0.1867</w:t>
            </w:r>
          </w:p>
        </w:tc>
        <w:tc>
          <w:tcPr>
            <w:tcW w:w="811" w:type="pct"/>
            <w:vAlign w:val="center"/>
          </w:tcPr>
          <w:p w14:paraId="6CA0D5A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0.2033</w:t>
            </w:r>
          </w:p>
        </w:tc>
        <w:tc>
          <w:tcPr>
            <w:tcW w:w="811" w:type="pct"/>
            <w:vAlign w:val="center"/>
          </w:tcPr>
          <w:p w14:paraId="40D5B90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0.1633</w:t>
            </w:r>
          </w:p>
        </w:tc>
        <w:tc>
          <w:tcPr>
            <w:tcW w:w="811" w:type="pct"/>
            <w:vAlign w:val="center"/>
          </w:tcPr>
          <w:p w14:paraId="4404519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0.1567</w:t>
            </w:r>
          </w:p>
        </w:tc>
        <w:tc>
          <w:tcPr>
            <w:tcW w:w="812" w:type="pct"/>
            <w:vAlign w:val="center"/>
          </w:tcPr>
          <w:p w14:paraId="452F286F">
            <w:pPr>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0.1767</w:t>
            </w:r>
          </w:p>
        </w:tc>
      </w:tr>
      <w:tr w14:paraId="17EBE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5009D86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石油烃（C</w:t>
            </w:r>
            <w:r>
              <w:rPr>
                <w:rFonts w:ascii="Times New Roman" w:hAnsi="Times New Roman" w:cs="Times New Roman" w:eastAsiaTheme="minorEastAsia"/>
                <w:caps w:val="0"/>
                <w:smallCaps w:val="0"/>
                <w:color w:val="auto"/>
                <w:spacing w:val="0"/>
                <w:w w:val="100"/>
                <w:position w:val="0"/>
                <w:sz w:val="21"/>
                <w:szCs w:val="21"/>
                <w:highlight w:val="none"/>
                <w:vertAlign w:val="subscript"/>
              </w:rPr>
              <w:t>10</w:t>
            </w:r>
            <w:r>
              <w:rPr>
                <w:rFonts w:ascii="Times New Roman" w:hAnsi="Times New Roman" w:cs="Times New Roman" w:eastAsiaTheme="minorEastAsia"/>
                <w:caps w:val="0"/>
                <w:smallCaps w:val="0"/>
                <w:color w:val="auto"/>
                <w:spacing w:val="0"/>
                <w:w w:val="100"/>
                <w:position w:val="0"/>
                <w:sz w:val="21"/>
                <w:szCs w:val="21"/>
                <w:highlight w:val="none"/>
              </w:rPr>
              <w:t>-C</w:t>
            </w:r>
            <w:r>
              <w:rPr>
                <w:rFonts w:ascii="Times New Roman" w:hAnsi="Times New Roman" w:cs="Times New Roman" w:eastAsiaTheme="minorEastAsia"/>
                <w:caps w:val="0"/>
                <w:smallCaps w:val="0"/>
                <w:color w:val="auto"/>
                <w:spacing w:val="0"/>
                <w:w w:val="100"/>
                <w:position w:val="0"/>
                <w:sz w:val="21"/>
                <w:szCs w:val="21"/>
                <w:highlight w:val="none"/>
                <w:vertAlign w:val="subscript"/>
              </w:rPr>
              <w:t>40</w:t>
            </w:r>
            <w:r>
              <w:rPr>
                <w:rFonts w:ascii="Times New Roman" w:hAnsi="Times New Roman" w:cs="Times New Roman" w:eastAsiaTheme="minorEastAsia"/>
                <w:caps w:val="0"/>
                <w:smallCaps w:val="0"/>
                <w:color w:val="auto"/>
                <w:spacing w:val="0"/>
                <w:w w:val="100"/>
                <w:position w:val="0"/>
                <w:sz w:val="21"/>
                <w:szCs w:val="21"/>
                <w:highlight w:val="none"/>
              </w:rPr>
              <w:t>）</w:t>
            </w:r>
          </w:p>
        </w:tc>
        <w:tc>
          <w:tcPr>
            <w:tcW w:w="811" w:type="pct"/>
            <w:vAlign w:val="bottom"/>
          </w:tcPr>
          <w:p w14:paraId="686AE54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811" w:type="pct"/>
            <w:vAlign w:val="bottom"/>
          </w:tcPr>
          <w:p w14:paraId="631E882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811" w:type="pct"/>
            <w:vAlign w:val="bottom"/>
          </w:tcPr>
          <w:p w14:paraId="347BDDC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811" w:type="pct"/>
            <w:vAlign w:val="bottom"/>
          </w:tcPr>
          <w:p w14:paraId="3F2CA5D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c>
          <w:tcPr>
            <w:tcW w:w="812" w:type="pct"/>
            <w:vAlign w:val="bottom"/>
          </w:tcPr>
          <w:p w14:paraId="4230DAC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ND</w:t>
            </w:r>
          </w:p>
        </w:tc>
      </w:tr>
    </w:tbl>
    <w:p w14:paraId="41A85C2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（4）评价结论</w:t>
      </w:r>
    </w:p>
    <w:p w14:paraId="046FD51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从表中可以看出，评价区域内土壤环境质量较好，没有出现超标情况。区块内现有井场及场站土壤满足《土壤环境质量 建设用地土壤污染风险管控标准（试行）》（GB36600-2018）中第二类用地筛选值标准，本项目管线临时占地内及周边农用地土壤满足《土壤环境质量 农用地土壤污染风险管控标准（试行）》（GB15618-2018）表1农用地土壤风险筛选值。</w:t>
      </w:r>
    </w:p>
    <w:p w14:paraId="1E122ED9">
      <w:pPr>
        <w:widowControl w:val="0"/>
        <w:spacing w:line="440" w:lineRule="exact"/>
        <w:jc w:val="both"/>
        <w:outlineLvl w:val="2"/>
        <w:rPr>
          <w:rFonts w:ascii="Times New Roman" w:hAnsi="Times New Roman" w:cs="Times New Roman"/>
          <w:b/>
          <w:bCs/>
          <w:caps w:val="0"/>
          <w:smallCaps w:val="0"/>
          <w:color w:val="auto"/>
          <w:spacing w:val="0"/>
          <w:w w:val="100"/>
          <w:kern w:val="2"/>
          <w:position w:val="0"/>
          <w:highlight w:val="none"/>
        </w:rPr>
      </w:pPr>
      <w:bookmarkStart w:id="728" w:name="_Toc186444326"/>
      <w:r>
        <w:rPr>
          <w:rFonts w:ascii="Times New Roman" w:hAnsi="Times New Roman" w:cs="Times New Roman"/>
          <w:b/>
          <w:bCs/>
          <w:caps w:val="0"/>
          <w:smallCaps w:val="0"/>
          <w:color w:val="auto"/>
          <w:spacing w:val="0"/>
          <w:w w:val="100"/>
          <w:kern w:val="2"/>
          <w:position w:val="0"/>
          <w:highlight w:val="none"/>
        </w:rPr>
        <w:t>4.3.6生态环境现状评价</w:t>
      </w:r>
      <w:bookmarkEnd w:id="728"/>
    </w:p>
    <w:p w14:paraId="34B8D252">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（1）生态功能区划</w:t>
      </w:r>
    </w:p>
    <w:p w14:paraId="5F1852D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根据《全国生态功能区划》（修编版，2015），本工程位于Ⅱ-01-04松嫩平原东部农产品提供功能区。该区主要生态问题包括农田侵占、土壤肥力下降、农业面源污染严重。农产品提供功能区生态保护的主要方向为严格保护基本农田，培养土壤肥力；加强农田基本建设，增强抗自然灾害的能力等。</w:t>
      </w:r>
    </w:p>
    <w:p w14:paraId="3FB53C2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在全国生态功能区划的基础上，结合黑龙江省详细的生态功能区划，对本工程所在的生态功能区划进行详细说明。根据黑龙江省人民政府批准的《黑龙江省生态功能区划》</w:t>
      </w:r>
      <w:r>
        <w:rPr>
          <w:rFonts w:hint="eastAsia" w:ascii="Times New Roman" w:hAnsi="Times New Roman" w:cs="Times New Roman" w:eastAsiaTheme="minorEastAsia"/>
          <w:caps w:val="0"/>
          <w:smallCaps w:val="0"/>
          <w:color w:val="auto"/>
          <w:spacing w:val="0"/>
          <w:w w:val="100"/>
          <w:position w:val="0"/>
          <w:highlight w:val="none"/>
        </w:rPr>
        <w:t>（</w:t>
      </w:r>
      <w:r>
        <w:rPr>
          <w:rFonts w:ascii="Times New Roman" w:hAnsi="Times New Roman" w:cs="Times New Roman" w:eastAsiaTheme="minorEastAsia"/>
          <w:caps w:val="0"/>
          <w:smallCaps w:val="0"/>
          <w:color w:val="auto"/>
          <w:spacing w:val="0"/>
          <w:w w:val="100"/>
          <w:position w:val="0"/>
          <w:highlight w:val="none"/>
        </w:rPr>
        <w:t>黑政函〔2006〕75号</w:t>
      </w:r>
      <w:r>
        <w:rPr>
          <w:rFonts w:hint="eastAsia" w:ascii="Times New Roman" w:hAnsi="Times New Roman" w:cs="Times New Roman" w:eastAsiaTheme="minorEastAsia"/>
          <w:caps w:val="0"/>
          <w:smallCaps w:val="0"/>
          <w:color w:val="auto"/>
          <w:spacing w:val="0"/>
          <w:w w:val="100"/>
          <w:position w:val="0"/>
          <w:highlight w:val="none"/>
        </w:rPr>
        <w:t>）</w:t>
      </w:r>
      <w:r>
        <w:rPr>
          <w:rFonts w:ascii="Times New Roman" w:hAnsi="Times New Roman" w:cs="Times New Roman" w:eastAsiaTheme="minorEastAsia"/>
          <w:caps w:val="0"/>
          <w:smallCaps w:val="0"/>
          <w:color w:val="auto"/>
          <w:spacing w:val="0"/>
          <w:w w:val="100"/>
          <w:position w:val="0"/>
          <w:highlight w:val="none"/>
        </w:rPr>
        <w:t>，本项目所在区域属于松嫩平原西部草甸草原生态区，松嫩平原西部草甸草原与农业生态亚区，</w:t>
      </w:r>
      <w:r>
        <w:rPr>
          <w:rFonts w:hint="eastAsia" w:ascii="Times New Roman" w:hAnsi="Times New Roman" w:cs="Times New Roman" w:eastAsiaTheme="minorEastAsia"/>
          <w:caps w:val="0"/>
          <w:smallCaps w:val="0"/>
          <w:color w:val="auto"/>
          <w:spacing w:val="0"/>
          <w:w w:val="100"/>
          <w:position w:val="0"/>
          <w:highlight w:val="none"/>
        </w:rPr>
        <w:t>安达-肇东-肇源农、牧业与盐渍化控制生态功能区</w:t>
      </w:r>
      <w:r>
        <w:rPr>
          <w:rFonts w:ascii="Times New Roman" w:hAnsi="Times New Roman" w:cs="Times New Roman" w:eastAsiaTheme="minorEastAsia"/>
          <w:caps w:val="0"/>
          <w:smallCaps w:val="0"/>
          <w:color w:val="auto"/>
          <w:spacing w:val="0"/>
          <w:w w:val="100"/>
          <w:position w:val="0"/>
          <w:highlight w:val="none"/>
        </w:rPr>
        <w:t>。本工程区生态功能区划见表4.3-30。</w:t>
      </w:r>
    </w:p>
    <w:p w14:paraId="3CD4DC56">
      <w:pPr>
        <w:widowControl w:val="0"/>
        <w:spacing w:line="440" w:lineRule="exact"/>
        <w:ind w:firstLine="482"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表4.3-30    本</w:t>
      </w:r>
      <w:r>
        <w:rPr>
          <w:rFonts w:ascii="Times New Roman" w:hAnsi="Times New Roman" w:cs="Times New Roman" w:eastAsiaTheme="minorEastAsia"/>
          <w:b/>
          <w:caps w:val="0"/>
          <w:smallCaps w:val="0"/>
          <w:color w:val="auto"/>
          <w:spacing w:val="0"/>
          <w:w w:val="100"/>
          <w:kern w:val="2"/>
          <w:position w:val="0"/>
          <w:szCs w:val="20"/>
          <w:highlight w:val="none"/>
        </w:rPr>
        <w:t>工程</w:t>
      </w:r>
      <w:r>
        <w:rPr>
          <w:rFonts w:ascii="Times New Roman" w:hAnsi="Times New Roman" w:cs="Times New Roman" w:eastAsiaTheme="minorEastAsia"/>
          <w:b/>
          <w:caps w:val="0"/>
          <w:smallCaps w:val="0"/>
          <w:color w:val="auto"/>
          <w:spacing w:val="0"/>
          <w:w w:val="100"/>
          <w:position w:val="0"/>
          <w:highlight w:val="none"/>
        </w:rPr>
        <w:t>区域生态功能区划表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0" w:type="dxa"/>
          <w:bottom w:w="0" w:type="dxa"/>
          <w:right w:w="30" w:type="dxa"/>
        </w:tblCellMar>
      </w:tblPr>
      <w:tblGrid>
        <w:gridCol w:w="995"/>
        <w:gridCol w:w="1715"/>
        <w:gridCol w:w="1571"/>
        <w:gridCol w:w="1857"/>
        <w:gridCol w:w="2993"/>
      </w:tblGrid>
      <w:tr w14:paraId="53D71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2344" w:type="pct"/>
            <w:gridSpan w:val="3"/>
            <w:vAlign w:val="center"/>
          </w:tcPr>
          <w:p w14:paraId="41751E78">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项目区生态功能分区单元</w:t>
            </w:r>
          </w:p>
        </w:tc>
        <w:tc>
          <w:tcPr>
            <w:tcW w:w="1017" w:type="pct"/>
            <w:vAlign w:val="center"/>
          </w:tcPr>
          <w:p w14:paraId="5A42A825">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主要生态系统服务</w:t>
            </w:r>
          </w:p>
          <w:p w14:paraId="6E17D15C">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功能</w:t>
            </w:r>
          </w:p>
        </w:tc>
        <w:tc>
          <w:tcPr>
            <w:tcW w:w="1639" w:type="pct"/>
            <w:vAlign w:val="center"/>
          </w:tcPr>
          <w:p w14:paraId="6340F21B">
            <w:pPr>
              <w:widowControl w:val="0"/>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保护措施与发展方向</w:t>
            </w:r>
          </w:p>
        </w:tc>
      </w:tr>
      <w:tr w14:paraId="6F5D6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995" w:type="dxa"/>
            <w:vAlign w:val="center"/>
          </w:tcPr>
          <w:p w14:paraId="5DA85C05">
            <w:pPr>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Ⅰ-6 松嫩平原西部草甸草原生态区</w:t>
            </w:r>
          </w:p>
        </w:tc>
        <w:tc>
          <w:tcPr>
            <w:tcW w:w="1715" w:type="dxa"/>
            <w:vAlign w:val="center"/>
          </w:tcPr>
          <w:p w14:paraId="4B0FD23E">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Ⅰ-6-1 松</w:t>
            </w:r>
          </w:p>
          <w:p w14:paraId="7F4F092A">
            <w:pPr>
              <w:adjustRightInd w:val="0"/>
              <w:snapToGrid w:val="0"/>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嫩平原西部草甸草原与农业生态亚区</w:t>
            </w:r>
          </w:p>
        </w:tc>
        <w:tc>
          <w:tcPr>
            <w:tcW w:w="1571" w:type="dxa"/>
            <w:vAlign w:val="center"/>
          </w:tcPr>
          <w:p w14:paraId="6DDEE39A">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Ⅰ-6-1-</w:t>
            </w:r>
            <w:r>
              <w:rPr>
                <w:rFonts w:hint="eastAsia" w:ascii="Times New Roman" w:hAnsi="Times New Roman" w:cs="Times New Roman"/>
                <w:caps w:val="0"/>
                <w:smallCaps w:val="0"/>
                <w:color w:val="auto"/>
                <w:spacing w:val="0"/>
                <w:w w:val="100"/>
                <w:kern w:val="2"/>
                <w:position w:val="0"/>
                <w:sz w:val="21"/>
                <w:szCs w:val="21"/>
                <w:highlight w:val="none"/>
              </w:rPr>
              <w:t>3安达-肇东-肇源农、牧业与盐渍化控制生态功能区</w:t>
            </w:r>
          </w:p>
        </w:tc>
        <w:tc>
          <w:tcPr>
            <w:tcW w:w="1857" w:type="dxa"/>
            <w:vAlign w:val="center"/>
          </w:tcPr>
          <w:p w14:paraId="2F9E3EDE">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盐渍化</w:t>
            </w:r>
            <w:r>
              <w:rPr>
                <w:rFonts w:ascii="Times New Roman" w:hAnsi="Times New Roman" w:cs="Times New Roman"/>
                <w:caps w:val="0"/>
                <w:smallCaps w:val="0"/>
                <w:color w:val="auto"/>
                <w:spacing w:val="0"/>
                <w:w w:val="100"/>
                <w:kern w:val="2"/>
                <w:position w:val="0"/>
                <w:sz w:val="21"/>
                <w:szCs w:val="21"/>
                <w:highlight w:val="none"/>
              </w:rPr>
              <w:t>控制、</w:t>
            </w:r>
            <w:r>
              <w:rPr>
                <w:rFonts w:hint="eastAsia" w:ascii="Times New Roman" w:hAnsi="Times New Roman" w:cs="Times New Roman"/>
                <w:caps w:val="0"/>
                <w:smallCaps w:val="0"/>
                <w:color w:val="auto"/>
                <w:spacing w:val="0"/>
                <w:w w:val="100"/>
                <w:kern w:val="2"/>
                <w:position w:val="0"/>
                <w:sz w:val="21"/>
                <w:szCs w:val="21"/>
                <w:highlight w:val="none"/>
              </w:rPr>
              <w:t>生态系统产品提供</w:t>
            </w:r>
          </w:p>
        </w:tc>
        <w:tc>
          <w:tcPr>
            <w:tcW w:w="2993" w:type="dxa"/>
            <w:vAlign w:val="center"/>
          </w:tcPr>
          <w:p w14:paraId="36462474">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对草地进行恢复，禁止盲目开荒，对家畜实行圈养或轮牧，加大生态农业建设</w:t>
            </w:r>
          </w:p>
        </w:tc>
      </w:tr>
    </w:tbl>
    <w:p w14:paraId="728F6571">
      <w:pPr>
        <w:widowControl w:val="0"/>
        <w:spacing w:line="440" w:lineRule="exact"/>
        <w:ind w:firstLine="480" w:firstLineChars="200"/>
        <w:jc w:val="both"/>
        <w:rPr>
          <w:rFonts w:hint="eastAsia"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lang w:val="zh-CN"/>
        </w:rPr>
        <w:t>项目主要是</w:t>
      </w:r>
      <w:r>
        <w:rPr>
          <w:rFonts w:hint="eastAsia" w:ascii="Times New Roman" w:hAnsi="Times New Roman" w:cs="Times New Roman"/>
          <w:caps w:val="0"/>
          <w:smallCaps w:val="0"/>
          <w:color w:val="auto"/>
          <w:spacing w:val="0"/>
          <w:w w:val="100"/>
          <w:kern w:val="2"/>
          <w:position w:val="0"/>
          <w:highlight w:val="none"/>
        </w:rPr>
        <w:t>管道</w:t>
      </w:r>
      <w:r>
        <w:rPr>
          <w:rFonts w:hint="eastAsia" w:ascii="Times New Roman" w:hAnsi="Times New Roman" w:cs="Times New Roman"/>
          <w:caps w:val="0"/>
          <w:smallCaps w:val="0"/>
          <w:color w:val="auto"/>
          <w:spacing w:val="0"/>
          <w:w w:val="100"/>
          <w:kern w:val="2"/>
          <w:position w:val="0"/>
          <w:highlight w:val="none"/>
          <w:lang w:val="zh-CN"/>
        </w:rPr>
        <w:t>工程</w:t>
      </w:r>
      <w:r>
        <w:rPr>
          <w:rFonts w:ascii="Times New Roman" w:hAnsi="Times New Roman" w:cs="Times New Roman"/>
          <w:caps w:val="0"/>
          <w:smallCaps w:val="0"/>
          <w:color w:val="auto"/>
          <w:spacing w:val="0"/>
          <w:w w:val="100"/>
          <w:kern w:val="2"/>
          <w:position w:val="0"/>
          <w:highlight w:val="none"/>
          <w:lang w:val="zh-CN"/>
        </w:rPr>
        <w:t>，对生态环境的影响主要体现在施工期，施工期具有临时性、短暂性特点。施工结束后，管沟回填，区域生态采取自然恢复措施及完善的防沙治沙及水土保持措施，不会对土壤盐渍化</w:t>
      </w:r>
      <w:r>
        <w:rPr>
          <w:rFonts w:hint="eastAsia" w:ascii="Times New Roman" w:hAnsi="Times New Roman" w:cs="Times New Roman"/>
          <w:caps w:val="0"/>
          <w:smallCaps w:val="0"/>
          <w:color w:val="auto"/>
          <w:spacing w:val="0"/>
          <w:w w:val="100"/>
          <w:kern w:val="2"/>
          <w:position w:val="0"/>
          <w:highlight w:val="none"/>
        </w:rPr>
        <w:t>及生物多样性</w:t>
      </w:r>
      <w:r>
        <w:rPr>
          <w:rFonts w:ascii="Times New Roman" w:hAnsi="Times New Roman" w:cs="Times New Roman"/>
          <w:caps w:val="0"/>
          <w:smallCaps w:val="0"/>
          <w:color w:val="auto"/>
          <w:spacing w:val="0"/>
          <w:w w:val="100"/>
          <w:kern w:val="2"/>
          <w:position w:val="0"/>
          <w:highlight w:val="none"/>
          <w:lang w:val="zh-CN"/>
        </w:rPr>
        <w:t>造成影响。综上所述，项目的建设实施与区域生态环境功能不冲突，对区域生态环境影响是可接受的。</w:t>
      </w:r>
    </w:p>
    <w:p w14:paraId="7F86E7A5">
      <w:pPr>
        <w:widowControl w:val="0"/>
        <w:spacing w:line="440" w:lineRule="exact"/>
        <w:jc w:val="both"/>
        <w:outlineLvl w:val="3"/>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 xml:space="preserve">4.3.6.1土地利用类型调查 </w:t>
      </w:r>
    </w:p>
    <w:p w14:paraId="5E9B739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本工程生态评价范围为拟建管线及废弃管线沿线两侧外扩300m区域，主要为</w:t>
      </w:r>
      <w:r>
        <w:rPr>
          <w:rFonts w:hint="eastAsia" w:ascii="Times New Roman" w:hAnsi="Times New Roman" w:cs="Times New Roman"/>
          <w:caps w:val="0"/>
          <w:smallCaps w:val="0"/>
          <w:color w:val="auto"/>
          <w:spacing w:val="0"/>
          <w:w w:val="100"/>
          <w:kern w:val="2"/>
          <w:position w:val="0"/>
          <w:highlight w:val="none"/>
          <w:lang w:val="en-US" w:eastAsia="zh-CN"/>
        </w:rPr>
        <w:t>耕地和草地</w:t>
      </w:r>
      <w:r>
        <w:rPr>
          <w:rFonts w:ascii="Times New Roman" w:hAnsi="Times New Roman" w:cs="Times New Roman"/>
          <w:caps w:val="0"/>
          <w:smallCaps w:val="0"/>
          <w:color w:val="auto"/>
          <w:spacing w:val="0"/>
          <w:w w:val="100"/>
          <w:kern w:val="2"/>
          <w:position w:val="0"/>
          <w:highlight w:val="none"/>
        </w:rPr>
        <w:t>。由于工程所在区域为油田开发区域，人类活动频繁，野生动物较少。评价区土地利用类型包括耕地、草地、交通运输用地、工矿仓储用地等。耕地主要为旱田，草地为</w:t>
      </w:r>
      <w:r>
        <w:rPr>
          <w:rFonts w:hint="eastAsia" w:ascii="Times New Roman" w:hAnsi="Times New Roman" w:cs="Times New Roman"/>
          <w:caps w:val="0"/>
          <w:smallCaps w:val="0"/>
          <w:color w:val="auto"/>
          <w:spacing w:val="0"/>
          <w:w w:val="100"/>
          <w:kern w:val="2"/>
          <w:position w:val="0"/>
          <w:highlight w:val="none"/>
        </w:rPr>
        <w:t>其它</w:t>
      </w:r>
      <w:r>
        <w:rPr>
          <w:rFonts w:ascii="Times New Roman" w:hAnsi="Times New Roman" w:cs="Times New Roman"/>
          <w:caps w:val="0"/>
          <w:smallCaps w:val="0"/>
          <w:color w:val="auto"/>
          <w:spacing w:val="0"/>
          <w:w w:val="100"/>
          <w:kern w:val="2"/>
          <w:position w:val="0"/>
          <w:highlight w:val="none"/>
        </w:rPr>
        <w:t>草地，交通运输用地主要为城镇村道路用地；工矿仓储用地主要为现有油田设施及区域其他工厂等。评价区内土地利用现状分析结果见下表，项目区域土地利用现状图见附图15。</w:t>
      </w:r>
    </w:p>
    <w:p w14:paraId="3B74B81F">
      <w:pPr>
        <w:widowControl w:val="0"/>
        <w:spacing w:line="440" w:lineRule="exact"/>
        <w:ind w:firstLine="482" w:firstLineChars="200"/>
        <w:jc w:val="both"/>
        <w:rPr>
          <w:rFonts w:ascii="Times New Roman" w:hAnsi="Times New Roman" w:cs="Times New Roman"/>
          <w:b/>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表4.3-31    评价区</w:t>
      </w:r>
      <w:r>
        <w:rPr>
          <w:rFonts w:ascii="Times New Roman" w:hAnsi="Times New Roman" w:cs="Times New Roman" w:eastAsiaTheme="minorEastAsia"/>
          <w:b/>
          <w:caps w:val="0"/>
          <w:smallCaps w:val="0"/>
          <w:color w:val="auto"/>
          <w:spacing w:val="0"/>
          <w:w w:val="100"/>
          <w:kern w:val="2"/>
          <w:position w:val="0"/>
          <w:szCs w:val="20"/>
          <w:highlight w:val="none"/>
        </w:rPr>
        <w:t>土地利用</w:t>
      </w:r>
      <w:r>
        <w:rPr>
          <w:rFonts w:ascii="Times New Roman" w:hAnsi="Times New Roman" w:cs="Times New Roman"/>
          <w:b/>
          <w:caps w:val="0"/>
          <w:smallCaps w:val="0"/>
          <w:color w:val="auto"/>
          <w:spacing w:val="0"/>
          <w:w w:val="100"/>
          <w:kern w:val="2"/>
          <w:position w:val="0"/>
          <w:highlight w:val="none"/>
        </w:rPr>
        <w:t>现状表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0" w:type="dxa"/>
          <w:bottom w:w="0" w:type="dxa"/>
          <w:right w:w="30" w:type="dxa"/>
        </w:tblCellMar>
      </w:tblPr>
      <w:tblGrid>
        <w:gridCol w:w="708"/>
        <w:gridCol w:w="2014"/>
        <w:gridCol w:w="2272"/>
        <w:gridCol w:w="2000"/>
        <w:gridCol w:w="2137"/>
      </w:tblGrid>
      <w:tr w14:paraId="2F76A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8" w:type="pct"/>
            <w:vMerge w:val="restart"/>
            <w:vAlign w:val="center"/>
          </w:tcPr>
          <w:p w14:paraId="61F5E41B">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序号</w:t>
            </w:r>
          </w:p>
        </w:tc>
        <w:tc>
          <w:tcPr>
            <w:tcW w:w="2347" w:type="pct"/>
            <w:gridSpan w:val="2"/>
            <w:vAlign w:val="center"/>
          </w:tcPr>
          <w:p w14:paraId="2274E606">
            <w:pPr>
              <w:widowControl w:val="0"/>
              <w:spacing w:before="3" w:line="242" w:lineRule="auto"/>
              <w:ind w:left="143" w:right="11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土地类型</w:t>
            </w:r>
          </w:p>
        </w:tc>
        <w:tc>
          <w:tcPr>
            <w:tcW w:w="1095" w:type="pct"/>
            <w:vMerge w:val="restart"/>
            <w:vAlign w:val="center"/>
          </w:tcPr>
          <w:p w14:paraId="04CCCF60">
            <w:pPr>
              <w:widowControl w:val="0"/>
              <w:spacing w:before="137" w:line="242" w:lineRule="auto"/>
              <w:ind w:left="139" w:right="11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面积（hm</w:t>
            </w:r>
            <w:r>
              <w:rPr>
                <w:rFonts w:ascii="Times New Roman" w:hAnsi="Times New Roman" w:cs="Times New Roman"/>
                <w:caps w:val="0"/>
                <w:smallCaps w:val="0"/>
                <w:color w:val="auto"/>
                <w:spacing w:val="0"/>
                <w:w w:val="100"/>
                <w:kern w:val="2"/>
                <w:position w:val="0"/>
                <w:sz w:val="21"/>
                <w:szCs w:val="21"/>
                <w:highlight w:val="none"/>
                <w:vertAlign w:val="superscript"/>
              </w:rPr>
              <w:t>2</w:t>
            </w:r>
            <w:r>
              <w:rPr>
                <w:rFonts w:ascii="Times New Roman" w:hAnsi="Times New Roman" w:cs="Times New Roman"/>
                <w:caps w:val="0"/>
                <w:smallCaps w:val="0"/>
                <w:color w:val="auto"/>
                <w:spacing w:val="0"/>
                <w:w w:val="100"/>
                <w:kern w:val="2"/>
                <w:position w:val="0"/>
                <w:sz w:val="21"/>
                <w:szCs w:val="21"/>
                <w:highlight w:val="none"/>
              </w:rPr>
              <w:t>）</w:t>
            </w:r>
          </w:p>
        </w:tc>
        <w:tc>
          <w:tcPr>
            <w:tcW w:w="1170" w:type="pct"/>
            <w:vMerge w:val="restart"/>
            <w:vAlign w:val="center"/>
          </w:tcPr>
          <w:p w14:paraId="5753AF75">
            <w:pPr>
              <w:widowControl w:val="0"/>
              <w:spacing w:before="1" w:line="242" w:lineRule="auto"/>
              <w:ind w:left="163" w:right="139"/>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占评价区面积比例（%）</w:t>
            </w:r>
          </w:p>
        </w:tc>
      </w:tr>
      <w:tr w14:paraId="16B79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8" w:type="pct"/>
            <w:vMerge w:val="continue"/>
            <w:vAlign w:val="center"/>
          </w:tcPr>
          <w:p w14:paraId="7BCB91CE">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1103" w:type="pct"/>
            <w:vAlign w:val="center"/>
          </w:tcPr>
          <w:p w14:paraId="39315B22">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一级类</w:t>
            </w:r>
          </w:p>
        </w:tc>
        <w:tc>
          <w:tcPr>
            <w:tcW w:w="1244" w:type="pct"/>
            <w:vAlign w:val="center"/>
          </w:tcPr>
          <w:p w14:paraId="08BB6869">
            <w:pPr>
              <w:widowControl w:val="0"/>
              <w:spacing w:before="3" w:line="242" w:lineRule="auto"/>
              <w:ind w:left="143" w:right="11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二级类</w:t>
            </w:r>
          </w:p>
        </w:tc>
        <w:tc>
          <w:tcPr>
            <w:tcW w:w="1095" w:type="pct"/>
            <w:vMerge w:val="continue"/>
            <w:vAlign w:val="center"/>
          </w:tcPr>
          <w:p w14:paraId="4AA1818F">
            <w:pPr>
              <w:widowControl w:val="0"/>
              <w:spacing w:before="137" w:line="242" w:lineRule="auto"/>
              <w:ind w:left="139" w:right="110"/>
              <w:jc w:val="center"/>
              <w:rPr>
                <w:rFonts w:ascii="Times New Roman" w:hAnsi="Times New Roman" w:cs="Times New Roman"/>
                <w:caps w:val="0"/>
                <w:smallCaps w:val="0"/>
                <w:color w:val="auto"/>
                <w:spacing w:val="0"/>
                <w:w w:val="100"/>
                <w:kern w:val="2"/>
                <w:position w:val="0"/>
                <w:sz w:val="21"/>
                <w:szCs w:val="21"/>
                <w:highlight w:val="none"/>
              </w:rPr>
            </w:pPr>
          </w:p>
        </w:tc>
        <w:tc>
          <w:tcPr>
            <w:tcW w:w="1170" w:type="pct"/>
            <w:vMerge w:val="continue"/>
            <w:vAlign w:val="center"/>
          </w:tcPr>
          <w:p w14:paraId="1BC2CBBE">
            <w:pPr>
              <w:widowControl w:val="0"/>
              <w:spacing w:before="1" w:line="242" w:lineRule="auto"/>
              <w:ind w:left="163" w:right="139"/>
              <w:jc w:val="center"/>
              <w:rPr>
                <w:rFonts w:ascii="Times New Roman" w:hAnsi="Times New Roman" w:cs="Times New Roman"/>
                <w:caps w:val="0"/>
                <w:smallCaps w:val="0"/>
                <w:color w:val="auto"/>
                <w:spacing w:val="0"/>
                <w:w w:val="100"/>
                <w:kern w:val="2"/>
                <w:position w:val="0"/>
                <w:sz w:val="21"/>
                <w:szCs w:val="21"/>
                <w:highlight w:val="none"/>
              </w:rPr>
            </w:pPr>
          </w:p>
        </w:tc>
      </w:tr>
      <w:tr w14:paraId="483D1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708" w:type="dxa"/>
            <w:vAlign w:val="center"/>
          </w:tcPr>
          <w:p w14:paraId="3A84D1A1">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bookmarkStart w:id="729" w:name="_Hlk192517298"/>
            <w:r>
              <w:rPr>
                <w:rFonts w:ascii="Times New Roman" w:hAnsi="Times New Roman" w:cs="Times New Roman"/>
                <w:caps w:val="0"/>
                <w:smallCaps w:val="0"/>
                <w:color w:val="auto"/>
                <w:spacing w:val="0"/>
                <w:w w:val="100"/>
                <w:kern w:val="2"/>
                <w:position w:val="0"/>
                <w:sz w:val="21"/>
                <w:szCs w:val="21"/>
                <w:highlight w:val="none"/>
              </w:rPr>
              <w:t>1</w:t>
            </w:r>
          </w:p>
        </w:tc>
        <w:tc>
          <w:tcPr>
            <w:tcW w:w="2014" w:type="dxa"/>
            <w:vAlign w:val="center"/>
          </w:tcPr>
          <w:p w14:paraId="60A21062">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林地</w:t>
            </w:r>
          </w:p>
        </w:tc>
        <w:tc>
          <w:tcPr>
            <w:tcW w:w="2272" w:type="dxa"/>
            <w:vAlign w:val="center"/>
          </w:tcPr>
          <w:p w14:paraId="03A995BD">
            <w:pPr>
              <w:spacing w:before="3" w:line="242" w:lineRule="auto"/>
              <w:ind w:left="143" w:leftChars="0" w:right="110" w:rightChars="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乔木林地</w:t>
            </w:r>
          </w:p>
        </w:tc>
        <w:tc>
          <w:tcPr>
            <w:tcW w:w="2000" w:type="dxa"/>
            <w:vAlign w:val="center"/>
          </w:tcPr>
          <w:p w14:paraId="1B34FA1E">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7.6</w:t>
            </w:r>
          </w:p>
        </w:tc>
        <w:tc>
          <w:tcPr>
            <w:tcW w:w="2137" w:type="dxa"/>
            <w:vAlign w:val="bottom"/>
          </w:tcPr>
          <w:p w14:paraId="2EF9EEC1">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 xml:space="preserve">2.65 </w:t>
            </w:r>
          </w:p>
        </w:tc>
      </w:tr>
      <w:tr w14:paraId="00FD3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708" w:type="dxa"/>
            <w:vAlign w:val="center"/>
          </w:tcPr>
          <w:p w14:paraId="381F11B6">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w:t>
            </w:r>
          </w:p>
        </w:tc>
        <w:tc>
          <w:tcPr>
            <w:tcW w:w="2014" w:type="dxa"/>
            <w:vAlign w:val="center"/>
          </w:tcPr>
          <w:p w14:paraId="457DB3DE">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耕地</w:t>
            </w:r>
          </w:p>
        </w:tc>
        <w:tc>
          <w:tcPr>
            <w:tcW w:w="2272" w:type="dxa"/>
            <w:vAlign w:val="center"/>
          </w:tcPr>
          <w:p w14:paraId="38669B17">
            <w:pPr>
              <w:spacing w:before="3" w:line="242" w:lineRule="auto"/>
              <w:ind w:left="143" w:leftChars="0" w:right="110" w:rightChars="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旱地</w:t>
            </w:r>
          </w:p>
        </w:tc>
        <w:tc>
          <w:tcPr>
            <w:tcW w:w="2000" w:type="dxa"/>
            <w:vAlign w:val="center"/>
          </w:tcPr>
          <w:p w14:paraId="45DDC3EA">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38.6</w:t>
            </w:r>
          </w:p>
        </w:tc>
        <w:tc>
          <w:tcPr>
            <w:tcW w:w="2137" w:type="dxa"/>
            <w:vAlign w:val="bottom"/>
          </w:tcPr>
          <w:p w14:paraId="0F8FC3B7">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 xml:space="preserve">13.48 </w:t>
            </w:r>
          </w:p>
        </w:tc>
      </w:tr>
      <w:tr w14:paraId="5F7A8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708" w:type="dxa"/>
            <w:vAlign w:val="center"/>
          </w:tcPr>
          <w:p w14:paraId="6FD8C1B8">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3</w:t>
            </w:r>
          </w:p>
        </w:tc>
        <w:tc>
          <w:tcPr>
            <w:tcW w:w="2014" w:type="dxa"/>
            <w:vAlign w:val="center"/>
          </w:tcPr>
          <w:p w14:paraId="4F347B3D">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草地</w:t>
            </w:r>
          </w:p>
        </w:tc>
        <w:tc>
          <w:tcPr>
            <w:tcW w:w="2272" w:type="dxa"/>
            <w:vAlign w:val="center"/>
          </w:tcPr>
          <w:p w14:paraId="7E50555C">
            <w:pPr>
              <w:spacing w:before="3" w:line="242" w:lineRule="auto"/>
              <w:ind w:left="143" w:leftChars="0" w:right="110" w:rightChars="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其他草地</w:t>
            </w:r>
          </w:p>
        </w:tc>
        <w:tc>
          <w:tcPr>
            <w:tcW w:w="2000" w:type="dxa"/>
            <w:vAlign w:val="center"/>
          </w:tcPr>
          <w:p w14:paraId="00A4D686">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196</w:t>
            </w:r>
          </w:p>
        </w:tc>
        <w:tc>
          <w:tcPr>
            <w:tcW w:w="2137" w:type="dxa"/>
            <w:vAlign w:val="bottom"/>
          </w:tcPr>
          <w:p w14:paraId="14D61F9F">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 xml:space="preserve">68.46 </w:t>
            </w:r>
          </w:p>
        </w:tc>
      </w:tr>
      <w:tr w14:paraId="6DFE2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708" w:type="dxa"/>
            <w:vMerge w:val="restart"/>
            <w:vAlign w:val="center"/>
          </w:tcPr>
          <w:p w14:paraId="2069017E">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w:t>
            </w:r>
          </w:p>
        </w:tc>
        <w:tc>
          <w:tcPr>
            <w:tcW w:w="2014" w:type="dxa"/>
            <w:vMerge w:val="restart"/>
            <w:vAlign w:val="center"/>
          </w:tcPr>
          <w:p w14:paraId="4343FB40">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工矿仓储用地</w:t>
            </w:r>
          </w:p>
        </w:tc>
        <w:tc>
          <w:tcPr>
            <w:tcW w:w="2272" w:type="dxa"/>
            <w:vAlign w:val="center"/>
          </w:tcPr>
          <w:p w14:paraId="5552C78D">
            <w:pPr>
              <w:spacing w:before="3" w:line="242" w:lineRule="auto"/>
              <w:ind w:left="143" w:leftChars="0" w:right="110" w:rightChars="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采矿用地</w:t>
            </w:r>
          </w:p>
        </w:tc>
        <w:tc>
          <w:tcPr>
            <w:tcW w:w="2000" w:type="dxa"/>
            <w:vAlign w:val="center"/>
          </w:tcPr>
          <w:p w14:paraId="630AB952">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25.5</w:t>
            </w:r>
          </w:p>
        </w:tc>
        <w:tc>
          <w:tcPr>
            <w:tcW w:w="2137" w:type="dxa"/>
            <w:vAlign w:val="bottom"/>
          </w:tcPr>
          <w:p w14:paraId="1CB6517C">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 xml:space="preserve">8.91 </w:t>
            </w:r>
          </w:p>
        </w:tc>
      </w:tr>
      <w:tr w14:paraId="10C62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708" w:type="dxa"/>
            <w:vMerge w:val="continue"/>
            <w:vAlign w:val="center"/>
          </w:tcPr>
          <w:p w14:paraId="38D5D829">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2014" w:type="dxa"/>
            <w:vMerge w:val="continue"/>
            <w:vAlign w:val="center"/>
          </w:tcPr>
          <w:p w14:paraId="3B12AA5F">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p>
        </w:tc>
        <w:tc>
          <w:tcPr>
            <w:tcW w:w="2272" w:type="dxa"/>
            <w:vAlign w:val="center"/>
          </w:tcPr>
          <w:p w14:paraId="61449BB1">
            <w:pPr>
              <w:spacing w:before="3" w:line="242" w:lineRule="auto"/>
              <w:ind w:left="143" w:leftChars="0" w:right="110" w:rightChars="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工业用地</w:t>
            </w:r>
          </w:p>
        </w:tc>
        <w:tc>
          <w:tcPr>
            <w:tcW w:w="2000" w:type="dxa"/>
            <w:vAlign w:val="center"/>
          </w:tcPr>
          <w:p w14:paraId="78F2BCAF">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5.2</w:t>
            </w:r>
          </w:p>
        </w:tc>
        <w:tc>
          <w:tcPr>
            <w:tcW w:w="2137" w:type="dxa"/>
            <w:vAlign w:val="bottom"/>
          </w:tcPr>
          <w:p w14:paraId="31BFB5EA">
            <w:pPr>
              <w:adjustRightInd w:val="0"/>
              <w:snapToGrid w:val="0"/>
              <w:spacing w:line="360" w:lineRule="exact"/>
              <w:jc w:val="center"/>
              <w:rPr>
                <w:rFonts w:hint="eastAsia"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 xml:space="preserve">1.82 </w:t>
            </w:r>
          </w:p>
        </w:tc>
      </w:tr>
      <w:tr w14:paraId="0DE28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708" w:type="dxa"/>
            <w:vAlign w:val="center"/>
          </w:tcPr>
          <w:p w14:paraId="58B94BE6">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5</w:t>
            </w:r>
          </w:p>
        </w:tc>
        <w:tc>
          <w:tcPr>
            <w:tcW w:w="2014" w:type="dxa"/>
            <w:vAlign w:val="center"/>
          </w:tcPr>
          <w:p w14:paraId="5CC09FA0">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交通运输用地</w:t>
            </w:r>
          </w:p>
        </w:tc>
        <w:tc>
          <w:tcPr>
            <w:tcW w:w="2272" w:type="dxa"/>
            <w:vAlign w:val="center"/>
          </w:tcPr>
          <w:p w14:paraId="05FE2F91">
            <w:pPr>
              <w:spacing w:before="3" w:line="242" w:lineRule="auto"/>
              <w:ind w:left="143" w:leftChars="0" w:right="110" w:rightChars="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城镇村道路用地</w:t>
            </w:r>
          </w:p>
        </w:tc>
        <w:tc>
          <w:tcPr>
            <w:tcW w:w="2000" w:type="dxa"/>
            <w:vAlign w:val="center"/>
          </w:tcPr>
          <w:p w14:paraId="63FB4CAE">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8.9</w:t>
            </w:r>
          </w:p>
        </w:tc>
        <w:tc>
          <w:tcPr>
            <w:tcW w:w="2137" w:type="dxa"/>
            <w:vAlign w:val="bottom"/>
          </w:tcPr>
          <w:p w14:paraId="60B1BE20">
            <w:pPr>
              <w:adjustRightInd w:val="0"/>
              <w:snapToGrid w:val="0"/>
              <w:spacing w:line="360" w:lineRule="exact"/>
              <w:jc w:val="center"/>
              <w:rPr>
                <w:rFonts w:hint="eastAsia"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 xml:space="preserve">3.11 </w:t>
            </w:r>
          </w:p>
        </w:tc>
      </w:tr>
      <w:tr w14:paraId="48421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708" w:type="dxa"/>
            <w:vAlign w:val="center"/>
          </w:tcPr>
          <w:p w14:paraId="348BE4E2">
            <w:pPr>
              <w:widowControl w:val="0"/>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6</w:t>
            </w:r>
          </w:p>
        </w:tc>
        <w:tc>
          <w:tcPr>
            <w:tcW w:w="2014" w:type="dxa"/>
            <w:vAlign w:val="center"/>
          </w:tcPr>
          <w:p w14:paraId="088E463C">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水域及水利设施用地</w:t>
            </w:r>
          </w:p>
        </w:tc>
        <w:tc>
          <w:tcPr>
            <w:tcW w:w="2272" w:type="dxa"/>
            <w:vAlign w:val="center"/>
          </w:tcPr>
          <w:p w14:paraId="56085C35">
            <w:pPr>
              <w:spacing w:before="3" w:line="242" w:lineRule="auto"/>
              <w:ind w:left="143" w:leftChars="0" w:right="110" w:rightChars="0"/>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坑塘水面</w:t>
            </w:r>
          </w:p>
        </w:tc>
        <w:tc>
          <w:tcPr>
            <w:tcW w:w="2000" w:type="dxa"/>
            <w:vAlign w:val="center"/>
          </w:tcPr>
          <w:p w14:paraId="1B86CD1F">
            <w:pPr>
              <w:adjustRightInd w:val="0"/>
              <w:snapToGrid w:val="0"/>
              <w:spacing w:line="36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4.4</w:t>
            </w:r>
          </w:p>
        </w:tc>
        <w:tc>
          <w:tcPr>
            <w:tcW w:w="2137" w:type="dxa"/>
            <w:vAlign w:val="bottom"/>
          </w:tcPr>
          <w:p w14:paraId="4117270D">
            <w:pPr>
              <w:adjustRightInd w:val="0"/>
              <w:snapToGrid w:val="0"/>
              <w:spacing w:line="360" w:lineRule="exact"/>
              <w:jc w:val="center"/>
              <w:rPr>
                <w:rFonts w:hint="eastAsia"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 xml:space="preserve">1.54 </w:t>
            </w:r>
          </w:p>
        </w:tc>
      </w:tr>
      <w:bookmarkEnd w:id="729"/>
    </w:tbl>
    <w:p w14:paraId="50172F93">
      <w:pPr>
        <w:widowControl w:val="0"/>
        <w:spacing w:line="440" w:lineRule="exact"/>
        <w:jc w:val="both"/>
        <w:outlineLvl w:val="3"/>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4.3.6.2植被及植物多样性</w:t>
      </w:r>
    </w:p>
    <w:p w14:paraId="3A33BA3D">
      <w:pPr>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本次植被及植物多样性调查工作采取资料收集、现场调查与遥感调查相结合的方法开展。</w:t>
      </w:r>
    </w:p>
    <w:p w14:paraId="2D5342E8">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（1）植物区系特征</w:t>
      </w:r>
    </w:p>
    <w:p w14:paraId="6E3A93C6">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本区植物区系成分主要包括长白植物区系、蒙古植物区系、华北植物区系和大兴安岭植物区系。以蒙古草原植物区系成分占优势，常见的优势种和伴生种多属蒙古植物区系成分，如羊草(</w:t>
      </w:r>
      <w:r>
        <w:rPr>
          <w:rFonts w:ascii="Times New Roman" w:hAnsi="Times New Roman" w:cs="Times New Roman"/>
          <w:i/>
          <w:iCs/>
          <w:caps w:val="0"/>
          <w:smallCaps w:val="0"/>
          <w:color w:val="auto"/>
          <w:spacing w:val="0"/>
          <w:w w:val="100"/>
          <w:position w:val="0"/>
          <w:highlight w:val="none"/>
        </w:rPr>
        <w:t>Leymus chinensis (Trin. ex Bunge) Tzvelev</w:t>
      </w:r>
      <w:r>
        <w:rPr>
          <w:rFonts w:ascii="Times New Roman" w:hAnsi="Times New Roman" w:cs="Times New Roman"/>
          <w:caps w:val="0"/>
          <w:smallCaps w:val="0"/>
          <w:color w:val="auto"/>
          <w:spacing w:val="0"/>
          <w:w w:val="100"/>
          <w:position w:val="0"/>
          <w:highlight w:val="none"/>
        </w:rPr>
        <w:t>)、贝加尔针茅(</w:t>
      </w:r>
      <w:r>
        <w:rPr>
          <w:rFonts w:ascii="Times New Roman" w:hAnsi="Times New Roman" w:cs="Times New Roman"/>
          <w:i/>
          <w:iCs/>
          <w:caps w:val="0"/>
          <w:smallCaps w:val="0"/>
          <w:color w:val="auto"/>
          <w:spacing w:val="0"/>
          <w:w w:val="100"/>
          <w:position w:val="0"/>
          <w:highlight w:val="none"/>
        </w:rPr>
        <w:t>Stipa baicalensis Roshev.</w:t>
      </w:r>
      <w:r>
        <w:rPr>
          <w:rFonts w:ascii="Times New Roman" w:hAnsi="Times New Roman" w:cs="Times New Roman"/>
          <w:caps w:val="0"/>
          <w:smallCaps w:val="0"/>
          <w:color w:val="auto"/>
          <w:spacing w:val="0"/>
          <w:w w:val="100"/>
          <w:position w:val="0"/>
          <w:highlight w:val="none"/>
        </w:rPr>
        <w:t>)、大针茅（</w:t>
      </w:r>
      <w:r>
        <w:rPr>
          <w:rFonts w:ascii="Times New Roman" w:hAnsi="Times New Roman" w:cs="Times New Roman"/>
          <w:i/>
          <w:iCs/>
          <w:caps w:val="0"/>
          <w:smallCaps w:val="0"/>
          <w:color w:val="auto"/>
          <w:spacing w:val="0"/>
          <w:w w:val="100"/>
          <w:position w:val="0"/>
          <w:highlight w:val="none"/>
        </w:rPr>
        <w:t>Stipa grandis P.A.Smirn.</w:t>
      </w:r>
      <w:r>
        <w:rPr>
          <w:rFonts w:ascii="Times New Roman" w:hAnsi="Times New Roman" w:cs="Times New Roman"/>
          <w:caps w:val="0"/>
          <w:smallCaps w:val="0"/>
          <w:color w:val="auto"/>
          <w:spacing w:val="0"/>
          <w:w w:val="100"/>
          <w:position w:val="0"/>
          <w:highlight w:val="none"/>
        </w:rPr>
        <w:t>）</w:t>
      </w:r>
      <w:r>
        <w:rPr>
          <w:rFonts w:hint="eastAsia" w:ascii="Times New Roman" w:hAnsi="Times New Roman" w:cs="Times New Roman"/>
          <w:caps w:val="0"/>
          <w:smallCaps w:val="0"/>
          <w:color w:val="auto"/>
          <w:spacing w:val="0"/>
          <w:w w:val="100"/>
          <w:position w:val="0"/>
          <w:highlight w:val="none"/>
        </w:rPr>
        <w:t>、</w:t>
      </w:r>
      <w:r>
        <w:rPr>
          <w:rFonts w:ascii="Times New Roman" w:hAnsi="Times New Roman" w:cs="Times New Roman"/>
          <w:caps w:val="0"/>
          <w:smallCaps w:val="0"/>
          <w:color w:val="auto"/>
          <w:spacing w:val="0"/>
          <w:w w:val="100"/>
          <w:position w:val="0"/>
          <w:highlight w:val="none"/>
        </w:rPr>
        <w:t>星星草（</w:t>
      </w:r>
      <w:r>
        <w:rPr>
          <w:rFonts w:ascii="Times New Roman" w:hAnsi="Times New Roman" w:cs="Times New Roman"/>
          <w:i/>
          <w:iCs/>
          <w:caps w:val="0"/>
          <w:smallCaps w:val="0"/>
          <w:color w:val="auto"/>
          <w:spacing w:val="0"/>
          <w:w w:val="100"/>
          <w:position w:val="0"/>
          <w:highlight w:val="none"/>
        </w:rPr>
        <w:t>Puccinellia tenuiflora (Griseb.) Scribn. &amp; Merr.</w:t>
      </w:r>
      <w:r>
        <w:rPr>
          <w:rFonts w:ascii="Times New Roman" w:hAnsi="Times New Roman" w:cs="Times New Roman"/>
          <w:caps w:val="0"/>
          <w:smallCaps w:val="0"/>
          <w:color w:val="auto"/>
          <w:spacing w:val="0"/>
          <w:w w:val="100"/>
          <w:position w:val="0"/>
          <w:highlight w:val="none"/>
        </w:rPr>
        <w:t>）等。</w:t>
      </w:r>
    </w:p>
    <w:p w14:paraId="5843F66F">
      <w:pPr>
        <w:widowControl w:val="0"/>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（2）主要植被类型</w:t>
      </w:r>
    </w:p>
    <w:p w14:paraId="4251E28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ascii="Times New Roman" w:hAnsi="Times New Roman" w:cs="Times New Roman"/>
          <w:caps w:val="0"/>
          <w:smallCaps w:val="0"/>
          <w:color w:val="auto"/>
          <w:spacing w:val="0"/>
          <w:w w:val="100"/>
          <w:kern w:val="2"/>
          <w:position w:val="0"/>
          <w:szCs w:val="28"/>
          <w:highlight w:val="none"/>
        </w:rPr>
        <w:t>根据调查，项目评价区域无《国家重点保护野生植物名录》中的重点保护野生植物。评价区域内植被类型以草甸和农田为主。</w:t>
      </w:r>
    </w:p>
    <w:p w14:paraId="5A6D4072">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caps w:val="0"/>
          <w:smallCaps w:val="0"/>
          <w:color w:val="auto"/>
          <w:spacing w:val="0"/>
          <w:w w:val="100"/>
          <w:kern w:val="2"/>
          <w:position w:val="0"/>
          <w:szCs w:val="28"/>
          <w:highlight w:val="none"/>
        </w:rPr>
        <w:t>①</w:t>
      </w:r>
      <w:r>
        <w:rPr>
          <w:rFonts w:ascii="Times New Roman" w:hAnsi="Times New Roman" w:cs="Times New Roman"/>
          <w:caps w:val="0"/>
          <w:smallCaps w:val="0"/>
          <w:color w:val="auto"/>
          <w:spacing w:val="0"/>
          <w:w w:val="100"/>
          <w:kern w:val="2"/>
          <w:position w:val="0"/>
          <w:szCs w:val="28"/>
          <w:highlight w:val="none"/>
        </w:rPr>
        <w:t>草甸植被</w:t>
      </w:r>
    </w:p>
    <w:p w14:paraId="2C4E2D9B">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ascii="Times New Roman" w:hAnsi="Times New Roman" w:cs="Times New Roman"/>
          <w:caps w:val="0"/>
          <w:smallCaps w:val="0"/>
          <w:color w:val="auto"/>
          <w:spacing w:val="0"/>
          <w:w w:val="100"/>
          <w:kern w:val="2"/>
          <w:position w:val="0"/>
          <w:szCs w:val="28"/>
          <w:highlight w:val="none"/>
        </w:rPr>
        <w:t>评价区域内草甸主要包括草甸草原植被和盐生草甸植被。</w:t>
      </w:r>
    </w:p>
    <w:p w14:paraId="4E386521">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ascii="Times New Roman" w:hAnsi="Times New Roman" w:cs="Times New Roman"/>
          <w:caps w:val="0"/>
          <w:smallCaps w:val="0"/>
          <w:color w:val="auto"/>
          <w:spacing w:val="0"/>
          <w:w w:val="100"/>
          <w:kern w:val="2"/>
          <w:position w:val="0"/>
          <w:szCs w:val="28"/>
          <w:highlight w:val="none"/>
        </w:rPr>
        <w:t>草甸草原植被：羊草草甸草原是欧亚大陆草原区东部一种特有和优势的草原类型，也是</w:t>
      </w:r>
      <w:r>
        <w:rPr>
          <w:rFonts w:hint="eastAsia" w:ascii="Times New Roman" w:hAnsi="Times New Roman" w:cs="Times New Roman"/>
          <w:caps w:val="0"/>
          <w:smallCaps w:val="0"/>
          <w:color w:val="auto"/>
          <w:spacing w:val="0"/>
          <w:w w:val="100"/>
          <w:kern w:val="2"/>
          <w:position w:val="0"/>
          <w:szCs w:val="28"/>
          <w:highlight w:val="none"/>
        </w:rPr>
        <w:t>区域</w:t>
      </w:r>
      <w:r>
        <w:rPr>
          <w:rFonts w:ascii="Times New Roman" w:hAnsi="Times New Roman" w:cs="Times New Roman"/>
          <w:caps w:val="0"/>
          <w:smallCaps w:val="0"/>
          <w:color w:val="auto"/>
          <w:spacing w:val="0"/>
          <w:w w:val="100"/>
          <w:kern w:val="2"/>
          <w:position w:val="0"/>
          <w:szCs w:val="28"/>
          <w:highlight w:val="none"/>
        </w:rPr>
        <w:t>主要的草甸草原类型。由于羊草具有强烈的根茎繁殖能力，排挤其它植物侵入，故种类组成比较单纯，在群落中羊草占绝对优势，是稳定的建群成分。但由于小生境，尤其是土壤类型和土壤盐碱含量的变化，群落组成结构有明显差异，可以区分若干群丛。如羊草-野古草群丛（</w:t>
      </w:r>
      <w:r>
        <w:rPr>
          <w:rFonts w:ascii="Times New Roman" w:hAnsi="Times New Roman" w:cs="Times New Roman"/>
          <w:i/>
          <w:caps w:val="0"/>
          <w:smallCaps w:val="0"/>
          <w:color w:val="auto"/>
          <w:spacing w:val="0"/>
          <w:w w:val="100"/>
          <w:kern w:val="2"/>
          <w:position w:val="0"/>
          <w:szCs w:val="28"/>
          <w:highlight w:val="none"/>
        </w:rPr>
        <w:t>Leymus chinensis-</w:t>
      </w:r>
      <w:r>
        <w:rPr>
          <w:rFonts w:ascii="Times New Roman" w:hAnsi="Times New Roman" w:cs="Times New Roman"/>
          <w:i/>
          <w:iCs/>
          <w:caps w:val="0"/>
          <w:smallCaps w:val="0"/>
          <w:color w:val="auto"/>
          <w:spacing w:val="0"/>
          <w:w w:val="100"/>
          <w:kern w:val="2"/>
          <w:position w:val="0"/>
          <w:szCs w:val="28"/>
          <w:highlight w:val="none"/>
        </w:rPr>
        <w:t>Arundinella hirta</w:t>
      </w:r>
      <w:r>
        <w:rPr>
          <w:rFonts w:ascii="Times New Roman" w:hAnsi="Times New Roman" w:cs="Times New Roman"/>
          <w:caps w:val="0"/>
          <w:smallCaps w:val="0"/>
          <w:color w:val="auto"/>
          <w:spacing w:val="0"/>
          <w:w w:val="100"/>
          <w:kern w:val="2"/>
          <w:position w:val="0"/>
          <w:szCs w:val="28"/>
          <w:highlight w:val="none"/>
        </w:rPr>
        <w:t>）、羊草-拂子茅群丛（</w:t>
      </w:r>
      <w:r>
        <w:rPr>
          <w:rFonts w:ascii="Times New Roman" w:hAnsi="Times New Roman" w:cs="Times New Roman"/>
          <w:i/>
          <w:caps w:val="0"/>
          <w:smallCaps w:val="0"/>
          <w:color w:val="auto"/>
          <w:spacing w:val="0"/>
          <w:w w:val="100"/>
          <w:kern w:val="2"/>
          <w:position w:val="0"/>
          <w:szCs w:val="28"/>
          <w:highlight w:val="none"/>
        </w:rPr>
        <w:t>Leymus Chinensis-Calamagrostis epigejos</w:t>
      </w:r>
      <w:r>
        <w:rPr>
          <w:rFonts w:ascii="Times New Roman" w:hAnsi="Times New Roman" w:cs="Times New Roman"/>
          <w:caps w:val="0"/>
          <w:smallCaps w:val="0"/>
          <w:color w:val="auto"/>
          <w:spacing w:val="0"/>
          <w:w w:val="100"/>
          <w:kern w:val="2"/>
          <w:position w:val="0"/>
          <w:szCs w:val="28"/>
          <w:highlight w:val="none"/>
        </w:rPr>
        <w:t>）、羊草-碱蒿群丛（</w:t>
      </w:r>
      <w:r>
        <w:rPr>
          <w:rFonts w:ascii="Times New Roman" w:hAnsi="Times New Roman" w:cs="Times New Roman"/>
          <w:i/>
          <w:caps w:val="0"/>
          <w:smallCaps w:val="0"/>
          <w:color w:val="auto"/>
          <w:spacing w:val="0"/>
          <w:w w:val="100"/>
          <w:kern w:val="2"/>
          <w:position w:val="0"/>
          <w:szCs w:val="28"/>
          <w:highlight w:val="none"/>
        </w:rPr>
        <w:t>Leymus Chinensis-</w:t>
      </w:r>
      <w:r>
        <w:rPr>
          <w:rFonts w:ascii="Times New Roman" w:hAnsi="Times New Roman" w:cs="Times New Roman"/>
          <w:i/>
          <w:iCs/>
          <w:caps w:val="0"/>
          <w:smallCaps w:val="0"/>
          <w:color w:val="auto"/>
          <w:spacing w:val="0"/>
          <w:w w:val="100"/>
          <w:kern w:val="2"/>
          <w:position w:val="0"/>
          <w:szCs w:val="28"/>
          <w:highlight w:val="none"/>
        </w:rPr>
        <w:t>Artemisia anethifolia</w:t>
      </w:r>
      <w:r>
        <w:rPr>
          <w:rFonts w:ascii="Times New Roman" w:hAnsi="Times New Roman" w:cs="Times New Roman"/>
          <w:caps w:val="0"/>
          <w:smallCaps w:val="0"/>
          <w:color w:val="auto"/>
          <w:spacing w:val="0"/>
          <w:w w:val="100"/>
          <w:kern w:val="2"/>
          <w:position w:val="0"/>
          <w:szCs w:val="28"/>
          <w:highlight w:val="none"/>
        </w:rPr>
        <w:t>）等。</w:t>
      </w:r>
    </w:p>
    <w:p w14:paraId="648C8A5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ascii="Times New Roman" w:hAnsi="Times New Roman" w:cs="Times New Roman"/>
          <w:caps w:val="0"/>
          <w:smallCaps w:val="0"/>
          <w:color w:val="auto"/>
          <w:spacing w:val="0"/>
          <w:w w:val="100"/>
          <w:kern w:val="2"/>
          <w:position w:val="0"/>
          <w:szCs w:val="28"/>
          <w:highlight w:val="none"/>
        </w:rPr>
        <w:t>盐生草甸植被：星星草草甸（</w:t>
      </w:r>
      <w:r>
        <w:rPr>
          <w:rFonts w:ascii="Times New Roman" w:hAnsi="Times New Roman" w:cs="Times New Roman"/>
          <w:i/>
          <w:caps w:val="0"/>
          <w:smallCaps w:val="0"/>
          <w:color w:val="auto"/>
          <w:spacing w:val="0"/>
          <w:w w:val="100"/>
          <w:kern w:val="2"/>
          <w:position w:val="0"/>
          <w:szCs w:val="28"/>
          <w:highlight w:val="none"/>
        </w:rPr>
        <w:t>Puccinellia tenuiflora</w:t>
      </w:r>
      <w:r>
        <w:rPr>
          <w:rFonts w:ascii="Times New Roman" w:hAnsi="Times New Roman" w:cs="Times New Roman"/>
          <w:caps w:val="0"/>
          <w:smallCaps w:val="0"/>
          <w:color w:val="auto"/>
          <w:spacing w:val="0"/>
          <w:w w:val="100"/>
          <w:kern w:val="2"/>
          <w:position w:val="0"/>
          <w:szCs w:val="28"/>
          <w:highlight w:val="none"/>
        </w:rPr>
        <w:t>）。广泛分布在退化草地的碱斑和盐碱化湖泡周围，但面积较小，生境较低湿，常有短期积水。此类草甸盖度变化很大，常以星星草为单优势，甚至无伴生种，可混有少量羊草、野大麦（</w:t>
      </w:r>
      <w:r>
        <w:rPr>
          <w:rFonts w:ascii="Times New Roman" w:hAnsi="Times New Roman" w:cs="Times New Roman"/>
          <w:i/>
          <w:iCs/>
          <w:caps w:val="0"/>
          <w:smallCaps w:val="0"/>
          <w:color w:val="auto"/>
          <w:spacing w:val="0"/>
          <w:w w:val="100"/>
          <w:kern w:val="2"/>
          <w:position w:val="0"/>
          <w:szCs w:val="28"/>
          <w:highlight w:val="none"/>
        </w:rPr>
        <w:t>Hordeum brevisubulatum</w:t>
      </w:r>
      <w:r>
        <w:rPr>
          <w:rFonts w:ascii="Times New Roman" w:hAnsi="Times New Roman" w:cs="Times New Roman"/>
          <w:i/>
          <w:caps w:val="0"/>
          <w:smallCaps w:val="0"/>
          <w:color w:val="auto"/>
          <w:spacing w:val="0"/>
          <w:w w:val="100"/>
          <w:kern w:val="2"/>
          <w:position w:val="0"/>
          <w:szCs w:val="28"/>
          <w:highlight w:val="none"/>
        </w:rPr>
        <w:t> (Trin.) Link</w:t>
      </w:r>
      <w:r>
        <w:rPr>
          <w:rFonts w:ascii="Times New Roman" w:hAnsi="Times New Roman" w:cs="Times New Roman"/>
          <w:caps w:val="0"/>
          <w:smallCaps w:val="0"/>
          <w:color w:val="auto"/>
          <w:spacing w:val="0"/>
          <w:w w:val="100"/>
          <w:kern w:val="2"/>
          <w:position w:val="0"/>
          <w:szCs w:val="28"/>
          <w:highlight w:val="none"/>
        </w:rPr>
        <w:t>）、朝鲜碱茅（</w:t>
      </w:r>
      <w:r>
        <w:rPr>
          <w:rFonts w:ascii="Times New Roman" w:hAnsi="Times New Roman" w:cs="Times New Roman"/>
          <w:i/>
          <w:iCs/>
          <w:caps w:val="0"/>
          <w:smallCaps w:val="0"/>
          <w:color w:val="auto"/>
          <w:spacing w:val="0"/>
          <w:w w:val="100"/>
          <w:kern w:val="2"/>
          <w:position w:val="0"/>
          <w:szCs w:val="28"/>
          <w:highlight w:val="none"/>
        </w:rPr>
        <w:t>Puccinellia chinampoensis</w:t>
      </w:r>
      <w:r>
        <w:rPr>
          <w:rFonts w:ascii="Times New Roman" w:hAnsi="Times New Roman" w:cs="Times New Roman"/>
          <w:i/>
          <w:caps w:val="0"/>
          <w:smallCaps w:val="0"/>
          <w:color w:val="auto"/>
          <w:spacing w:val="0"/>
          <w:w w:val="100"/>
          <w:kern w:val="2"/>
          <w:position w:val="0"/>
          <w:szCs w:val="28"/>
          <w:highlight w:val="none"/>
        </w:rPr>
        <w:t> Ohwi</w:t>
      </w:r>
      <w:r>
        <w:rPr>
          <w:rFonts w:ascii="Times New Roman" w:hAnsi="Times New Roman" w:cs="Times New Roman"/>
          <w:caps w:val="0"/>
          <w:smallCaps w:val="0"/>
          <w:color w:val="auto"/>
          <w:spacing w:val="0"/>
          <w:w w:val="100"/>
          <w:kern w:val="2"/>
          <w:position w:val="0"/>
          <w:szCs w:val="28"/>
          <w:highlight w:val="none"/>
        </w:rPr>
        <w:t>）、碱蒿（</w:t>
      </w:r>
      <w:r>
        <w:rPr>
          <w:rFonts w:ascii="Times New Roman" w:hAnsi="Times New Roman" w:cs="Times New Roman"/>
          <w:i/>
          <w:iCs/>
          <w:caps w:val="0"/>
          <w:smallCaps w:val="0"/>
          <w:color w:val="auto"/>
          <w:spacing w:val="0"/>
          <w:w w:val="100"/>
          <w:kern w:val="2"/>
          <w:position w:val="0"/>
          <w:szCs w:val="28"/>
          <w:highlight w:val="none"/>
        </w:rPr>
        <w:t>Artemisia anethifolia</w:t>
      </w:r>
      <w:r>
        <w:rPr>
          <w:rFonts w:ascii="Times New Roman" w:hAnsi="Times New Roman" w:cs="Times New Roman"/>
          <w:caps w:val="0"/>
          <w:smallCaps w:val="0"/>
          <w:color w:val="auto"/>
          <w:spacing w:val="0"/>
          <w:w w:val="100"/>
          <w:kern w:val="2"/>
          <w:position w:val="0"/>
          <w:szCs w:val="28"/>
          <w:highlight w:val="none"/>
        </w:rPr>
        <w:t>），以及常混有少量一年生的碱蓬（</w:t>
      </w:r>
      <w:r>
        <w:rPr>
          <w:rFonts w:ascii="Times New Roman" w:hAnsi="Times New Roman" w:cs="Times New Roman"/>
          <w:i/>
          <w:iCs/>
          <w:caps w:val="0"/>
          <w:smallCaps w:val="0"/>
          <w:color w:val="auto"/>
          <w:spacing w:val="0"/>
          <w:w w:val="100"/>
          <w:kern w:val="2"/>
          <w:position w:val="0"/>
          <w:szCs w:val="28"/>
          <w:highlight w:val="none"/>
        </w:rPr>
        <w:t>Suaeda glauca </w:t>
      </w:r>
      <w:r>
        <w:rPr>
          <w:rFonts w:ascii="Times New Roman" w:hAnsi="Times New Roman" w:cs="Times New Roman"/>
          <w:i/>
          <w:caps w:val="0"/>
          <w:smallCaps w:val="0"/>
          <w:color w:val="auto"/>
          <w:spacing w:val="0"/>
          <w:w w:val="100"/>
          <w:kern w:val="2"/>
          <w:position w:val="0"/>
          <w:szCs w:val="28"/>
          <w:highlight w:val="none"/>
        </w:rPr>
        <w:t>(Bunge) Bunge</w:t>
      </w:r>
      <w:r>
        <w:rPr>
          <w:rFonts w:ascii="Times New Roman" w:hAnsi="Times New Roman" w:cs="Times New Roman"/>
          <w:caps w:val="0"/>
          <w:smallCaps w:val="0"/>
          <w:color w:val="auto"/>
          <w:spacing w:val="0"/>
          <w:w w:val="100"/>
          <w:kern w:val="2"/>
          <w:position w:val="0"/>
          <w:szCs w:val="28"/>
          <w:highlight w:val="none"/>
        </w:rPr>
        <w:t>）和角碱蓬（</w:t>
      </w:r>
      <w:r>
        <w:rPr>
          <w:rFonts w:ascii="Times New Roman" w:hAnsi="Times New Roman" w:cs="Times New Roman"/>
          <w:i/>
          <w:caps w:val="0"/>
          <w:smallCaps w:val="0"/>
          <w:color w:val="auto"/>
          <w:spacing w:val="0"/>
          <w:w w:val="100"/>
          <w:kern w:val="2"/>
          <w:position w:val="0"/>
          <w:szCs w:val="28"/>
          <w:highlight w:val="none"/>
        </w:rPr>
        <w:t>Suaeda corniculata Bunge</w:t>
      </w:r>
      <w:r>
        <w:rPr>
          <w:rFonts w:ascii="Times New Roman" w:hAnsi="Times New Roman" w:cs="Times New Roman"/>
          <w:caps w:val="0"/>
          <w:smallCaps w:val="0"/>
          <w:color w:val="auto"/>
          <w:spacing w:val="0"/>
          <w:w w:val="100"/>
          <w:kern w:val="2"/>
          <w:position w:val="0"/>
          <w:szCs w:val="28"/>
          <w:highlight w:val="none"/>
        </w:rPr>
        <w:t>）等。马蔺草甸（</w:t>
      </w:r>
      <w:r>
        <w:rPr>
          <w:rFonts w:ascii="Times New Roman" w:hAnsi="Times New Roman" w:cs="Times New Roman"/>
          <w:i/>
          <w:iCs/>
          <w:caps w:val="0"/>
          <w:smallCaps w:val="0"/>
          <w:color w:val="auto"/>
          <w:spacing w:val="0"/>
          <w:w w:val="100"/>
          <w:kern w:val="2"/>
          <w:position w:val="0"/>
          <w:szCs w:val="28"/>
          <w:highlight w:val="none"/>
        </w:rPr>
        <w:t>Iris lactea </w:t>
      </w:r>
      <w:r>
        <w:rPr>
          <w:rFonts w:ascii="Times New Roman" w:hAnsi="Times New Roman" w:cs="Times New Roman"/>
          <w:i/>
          <w:caps w:val="0"/>
          <w:smallCaps w:val="0"/>
          <w:color w:val="auto"/>
          <w:spacing w:val="0"/>
          <w:w w:val="100"/>
          <w:kern w:val="2"/>
          <w:position w:val="0"/>
          <w:szCs w:val="28"/>
          <w:highlight w:val="none"/>
        </w:rPr>
        <w:t>Pall.</w:t>
      </w:r>
      <w:r>
        <w:rPr>
          <w:rFonts w:ascii="Times New Roman" w:hAnsi="Times New Roman" w:cs="Times New Roman"/>
          <w:caps w:val="0"/>
          <w:smallCaps w:val="0"/>
          <w:color w:val="auto"/>
          <w:spacing w:val="0"/>
          <w:w w:val="100"/>
          <w:kern w:val="2"/>
          <w:position w:val="0"/>
          <w:szCs w:val="28"/>
          <w:highlight w:val="none"/>
        </w:rPr>
        <w:t>）。主要分布在草地的碱斑周围。组成以马蔺为优势，伴生种随着小生境土壤的盐分、湿润度的不同而有变化，主要有无脉苔草（</w:t>
      </w:r>
      <w:r>
        <w:rPr>
          <w:rFonts w:ascii="Times New Roman" w:hAnsi="Times New Roman" w:cs="Times New Roman"/>
          <w:i/>
          <w:caps w:val="0"/>
          <w:smallCaps w:val="0"/>
          <w:color w:val="auto"/>
          <w:spacing w:val="0"/>
          <w:w w:val="100"/>
          <w:kern w:val="2"/>
          <w:position w:val="0"/>
          <w:szCs w:val="28"/>
          <w:highlight w:val="none"/>
        </w:rPr>
        <w:t>Carex enervis C. A. Mey.</w:t>
      </w:r>
      <w:r>
        <w:rPr>
          <w:rFonts w:ascii="Times New Roman" w:hAnsi="Times New Roman" w:cs="Times New Roman"/>
          <w:caps w:val="0"/>
          <w:smallCaps w:val="0"/>
          <w:color w:val="auto"/>
          <w:spacing w:val="0"/>
          <w:w w:val="100"/>
          <w:kern w:val="2"/>
          <w:position w:val="0"/>
          <w:szCs w:val="28"/>
          <w:highlight w:val="none"/>
        </w:rPr>
        <w:t>）、羊草、赖草及芨芨草（</w:t>
      </w:r>
      <w:r>
        <w:rPr>
          <w:rFonts w:ascii="Times New Roman" w:hAnsi="Times New Roman" w:cs="Times New Roman"/>
          <w:i/>
          <w:iCs/>
          <w:caps w:val="0"/>
          <w:smallCaps w:val="0"/>
          <w:color w:val="auto"/>
          <w:spacing w:val="0"/>
          <w:w w:val="100"/>
          <w:kern w:val="2"/>
          <w:position w:val="0"/>
          <w:szCs w:val="28"/>
          <w:highlight w:val="none"/>
        </w:rPr>
        <w:t>Neotrinia splendens</w:t>
      </w:r>
      <w:r>
        <w:rPr>
          <w:rFonts w:ascii="Times New Roman" w:hAnsi="Times New Roman" w:cs="Times New Roman"/>
          <w:i/>
          <w:caps w:val="0"/>
          <w:smallCaps w:val="0"/>
          <w:color w:val="auto"/>
          <w:spacing w:val="0"/>
          <w:w w:val="100"/>
          <w:kern w:val="2"/>
          <w:position w:val="0"/>
          <w:szCs w:val="28"/>
          <w:highlight w:val="none"/>
        </w:rPr>
        <w:t> (Trin.) M. Nobis, P. D. Gudkova &amp; A. Nowak</w:t>
      </w:r>
      <w:r>
        <w:rPr>
          <w:rFonts w:ascii="Times New Roman" w:hAnsi="Times New Roman" w:cs="Times New Roman"/>
          <w:caps w:val="0"/>
          <w:smallCaps w:val="0"/>
          <w:color w:val="auto"/>
          <w:spacing w:val="0"/>
          <w:w w:val="100"/>
          <w:kern w:val="2"/>
          <w:position w:val="0"/>
          <w:szCs w:val="28"/>
          <w:highlight w:val="none"/>
        </w:rPr>
        <w:t>），其次间或混有少量的各类杂类草。碱蓬草甸广泛分布在碱湖周围的碱土和严重退化草地的碱斑上，是草地土壤严重碱化的标志之一。组成群落的种类简单，多为盐生植物，碱蓬和碱蒿在群落中占主要地位，虎尾草在某些地段也可有较多数量。</w:t>
      </w:r>
    </w:p>
    <w:p w14:paraId="4AD9D211">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caps w:val="0"/>
          <w:smallCaps w:val="0"/>
          <w:color w:val="auto"/>
          <w:spacing w:val="0"/>
          <w:w w:val="100"/>
          <w:kern w:val="2"/>
          <w:position w:val="0"/>
          <w:szCs w:val="28"/>
          <w:highlight w:val="none"/>
        </w:rPr>
        <w:t>②</w:t>
      </w:r>
      <w:r>
        <w:rPr>
          <w:rFonts w:ascii="Times New Roman" w:hAnsi="Times New Roman" w:cs="Times New Roman"/>
          <w:caps w:val="0"/>
          <w:smallCaps w:val="0"/>
          <w:color w:val="auto"/>
          <w:spacing w:val="0"/>
          <w:w w:val="100"/>
          <w:kern w:val="2"/>
          <w:position w:val="0"/>
          <w:szCs w:val="28"/>
          <w:highlight w:val="none"/>
        </w:rPr>
        <w:t>农田植被</w:t>
      </w:r>
    </w:p>
    <w:p w14:paraId="2E1D6BA6">
      <w:pPr>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kern w:val="2"/>
          <w:position w:val="0"/>
          <w:szCs w:val="28"/>
          <w:highlight w:val="none"/>
        </w:rPr>
        <w:t>评价区属于松嫩平原区，粮食耕作历史悠久，栽培植被是最重要的植被类型，区域内的农田粮食作物主要为玉米</w:t>
      </w:r>
      <w:r>
        <w:rPr>
          <w:rFonts w:ascii="Times New Roman" w:hAnsi="Times New Roman" w:cs="Times New Roman"/>
          <w:caps w:val="0"/>
          <w:smallCaps w:val="0"/>
          <w:color w:val="auto"/>
          <w:spacing w:val="0"/>
          <w:w w:val="100"/>
          <w:position w:val="0"/>
          <w:highlight w:val="none"/>
        </w:rPr>
        <w:t>。</w:t>
      </w:r>
    </w:p>
    <w:p w14:paraId="0F303EA3">
      <w:pPr>
        <w:widowControl w:val="0"/>
        <w:autoSpaceDE w:val="0"/>
        <w:autoSpaceDN w:val="0"/>
        <w:spacing w:line="440" w:lineRule="exact"/>
        <w:ind w:firstLine="48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w:t>
      </w:r>
      <w:r>
        <w:rPr>
          <w:rFonts w:hint="eastAsia" w:ascii="Times New Roman" w:hAnsi="Times New Roman" w:cs="Times New Roman"/>
          <w:caps w:val="0"/>
          <w:smallCaps w:val="0"/>
          <w:color w:val="auto"/>
          <w:spacing w:val="0"/>
          <w:w w:val="100"/>
          <w:position w:val="0"/>
          <w:highlight w:val="none"/>
          <w:lang w:val="zh-CN" w:bidi="zh-CN"/>
        </w:rPr>
        <w:t>3</w:t>
      </w:r>
      <w:r>
        <w:rPr>
          <w:rFonts w:ascii="Times New Roman" w:hAnsi="Times New Roman" w:cs="Times New Roman"/>
          <w:caps w:val="0"/>
          <w:smallCaps w:val="0"/>
          <w:color w:val="auto"/>
          <w:spacing w:val="0"/>
          <w:w w:val="100"/>
          <w:position w:val="0"/>
          <w:highlight w:val="none"/>
          <w:lang w:val="zh-CN" w:bidi="zh-CN"/>
        </w:rPr>
        <w:t>）重要野生植物及古树名木</w:t>
      </w:r>
    </w:p>
    <w:p w14:paraId="48DF9B87">
      <w:pPr>
        <w:widowControl w:val="0"/>
        <w:autoSpaceDE w:val="0"/>
        <w:autoSpaceDN w:val="0"/>
        <w:spacing w:line="440" w:lineRule="exact"/>
        <w:ind w:firstLine="48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根据《国家重点保护野生植物名录》</w:t>
      </w:r>
      <w:r>
        <w:rPr>
          <w:rFonts w:hint="eastAsia" w:ascii="Times New Roman" w:hAnsi="Times New Roman" w:cs="Times New Roman"/>
          <w:caps w:val="0"/>
          <w:smallCaps w:val="0"/>
          <w:color w:val="auto"/>
          <w:spacing w:val="0"/>
          <w:w w:val="100"/>
          <w:position w:val="0"/>
          <w:highlight w:val="none"/>
          <w:lang w:val="zh-CN" w:bidi="zh-CN"/>
        </w:rPr>
        <w:t>和</w:t>
      </w:r>
      <w:r>
        <w:rPr>
          <w:rFonts w:hint="eastAsia" w:ascii="Times New Roman" w:hAnsi="Times New Roman" w:cs="Times New Roman"/>
          <w:bCs/>
          <w:caps w:val="0"/>
          <w:smallCaps w:val="0"/>
          <w:color w:val="auto"/>
          <w:spacing w:val="0"/>
          <w:w w:val="100"/>
          <w:kern w:val="2"/>
          <w:position w:val="0"/>
          <w:szCs w:val="28"/>
          <w:highlight w:val="none"/>
        </w:rPr>
        <w:t>《黑龙江省重点保护野生植物名录（第一批）》</w:t>
      </w:r>
      <w:r>
        <w:rPr>
          <w:rFonts w:ascii="Times New Roman" w:hAnsi="Times New Roman" w:cs="Times New Roman"/>
          <w:caps w:val="0"/>
          <w:smallCaps w:val="0"/>
          <w:color w:val="auto"/>
          <w:spacing w:val="0"/>
          <w:w w:val="100"/>
          <w:position w:val="0"/>
          <w:highlight w:val="none"/>
          <w:lang w:val="zh-CN" w:bidi="zh-CN"/>
        </w:rPr>
        <w:t>，本工程所在行政区内关于国家重点保护野生植物的相关资料，结合现场调查，评价范围内未发现重点野生保护植物分布。</w:t>
      </w:r>
    </w:p>
    <w:p w14:paraId="455E593E">
      <w:pPr>
        <w:widowControl w:val="0"/>
        <w:autoSpaceDE w:val="0"/>
        <w:autoSpaceDN w:val="0"/>
        <w:spacing w:line="440" w:lineRule="exact"/>
        <w:ind w:firstLine="48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根据《黑龙江省古树名木资源保护规划》（2020-2029）古树名木资源普查结果，全省现有古树名木4322株，其中，古树4303株，含4个古树群2283株，名木19株，本项目评价区域无古树名木。</w:t>
      </w:r>
    </w:p>
    <w:p w14:paraId="01E20C97">
      <w:pPr>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lang w:val="zh-CN" w:bidi="zh-CN"/>
        </w:rPr>
        <w:t>综上，评价范围内植被类型比较简单，植被包括自然植被及人工植被，植被覆盖度整体不高，且无重点野生保护植物</w:t>
      </w:r>
      <w:r>
        <w:rPr>
          <w:rFonts w:hint="eastAsia" w:ascii="Times New Roman" w:hAnsi="Times New Roman" w:cs="Times New Roman"/>
          <w:caps w:val="0"/>
          <w:smallCaps w:val="0"/>
          <w:color w:val="auto"/>
          <w:spacing w:val="0"/>
          <w:w w:val="100"/>
          <w:position w:val="0"/>
          <w:highlight w:val="none"/>
          <w:lang w:val="zh-CN" w:bidi="zh-CN"/>
        </w:rPr>
        <w:t>。</w:t>
      </w:r>
    </w:p>
    <w:p w14:paraId="7A8BD801">
      <w:pPr>
        <w:widowControl w:val="0"/>
        <w:spacing w:line="440" w:lineRule="exact"/>
        <w:jc w:val="both"/>
        <w:outlineLvl w:val="3"/>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4.3.6.3</w:t>
      </w:r>
      <w:r>
        <w:rPr>
          <w:rFonts w:ascii="Times New Roman" w:hAnsi="Times New Roman" w:eastAsia="黑体" w:cs="Times New Roman"/>
          <w:b/>
          <w:caps w:val="0"/>
          <w:smallCaps w:val="0"/>
          <w:color w:val="auto"/>
          <w:spacing w:val="0"/>
          <w:w w:val="100"/>
          <w:position w:val="0"/>
          <w:highlight w:val="none"/>
        </w:rPr>
        <w:t>动物现状调查</w:t>
      </w:r>
    </w:p>
    <w:p w14:paraId="5269DE66">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根据调查，项目评价区域无《国家重点保护野生动物名录》中的重点保护野生动物，无《中国生物多样性红色名录》中珍稀濒危野生动物，</w:t>
      </w:r>
      <w:r>
        <w:rPr>
          <w:rFonts w:hint="eastAsia" w:ascii="Times New Roman" w:hAnsi="Times New Roman" w:cs="Times New Roman"/>
          <w:caps w:val="0"/>
          <w:smallCaps w:val="0"/>
          <w:color w:val="auto"/>
          <w:spacing w:val="0"/>
          <w:w w:val="100"/>
          <w:position w:val="0"/>
          <w:highlight w:val="none"/>
        </w:rPr>
        <w:t>无</w:t>
      </w:r>
      <w:r>
        <w:rPr>
          <w:rFonts w:hint="eastAsia" w:ascii="Times New Roman" w:hAnsi="Times New Roman" w:cs="Times New Roman"/>
          <w:bCs/>
          <w:caps w:val="0"/>
          <w:smallCaps w:val="0"/>
          <w:color w:val="auto"/>
          <w:spacing w:val="0"/>
          <w:w w:val="100"/>
          <w:position w:val="0"/>
          <w:highlight w:val="none"/>
        </w:rPr>
        <w:t>《黑龙江省重点保护野生动物名录（第一批）》中野生动物</w:t>
      </w:r>
      <w:r>
        <w:rPr>
          <w:rFonts w:ascii="Times New Roman" w:hAnsi="Times New Roman" w:cs="Times New Roman"/>
          <w:caps w:val="0"/>
          <w:smallCaps w:val="0"/>
          <w:color w:val="auto"/>
          <w:spacing w:val="0"/>
          <w:w w:val="100"/>
          <w:position w:val="0"/>
          <w:highlight w:val="none"/>
        </w:rPr>
        <w:t>，无国家列入拯救保护的极小种群、特有种等动物资源的主要的天然集中分布区和繁殖区。</w:t>
      </w:r>
    </w:p>
    <w:p w14:paraId="4285D050">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（1）陆生哺乳动物</w:t>
      </w:r>
    </w:p>
    <w:p w14:paraId="22955E10">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评价区为典型农区，其动物的组成与分布具有明显的村栖型特点。主要分布有小家鼠（MusmusculusL.）、大仓鼠（Cricetulustriton）、普通田鼠（Microtusarvalis）等啮齿目动物。由于人类活动的干扰，较大型哺乳类动物基本绝迹，但小型哺乳类特别是鼠类仍为常见种。</w:t>
      </w:r>
    </w:p>
    <w:p w14:paraId="57464CD9">
      <w:pPr>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（2）鸟类</w:t>
      </w:r>
    </w:p>
    <w:p w14:paraId="3EFF1426">
      <w:pPr>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项目区域内人类生产活动频繁，因此鸟类的种类和分布亦较少。经调查，区域内无国家和地方受保护的珍稀濒危野生动物，常见鸟类主要为喜鹊（P.picasericeaGould）、小嘴乌鸦（C.coroneorientalisEvers）、麻雀（P.montanusmontanus）、家燕（H.rusticagutturalisScopoli）等村栖型鸟类。</w:t>
      </w:r>
    </w:p>
    <w:p w14:paraId="07AF7E51">
      <w:pPr>
        <w:spacing w:line="440" w:lineRule="exact"/>
        <w:ind w:firstLine="480" w:firstLineChars="200"/>
        <w:jc w:val="both"/>
        <w:rPr>
          <w:rFonts w:ascii="Times New Roman" w:hAnsi="Times New Roman" w:cs="Times New Roman"/>
          <w:caps w:val="0"/>
          <w:smallCaps w:val="0"/>
          <w:color w:val="auto"/>
          <w:spacing w:val="0"/>
          <w:w w:val="100"/>
          <w:position w:val="0"/>
          <w:highlight w:val="none"/>
        </w:rPr>
      </w:pPr>
    </w:p>
    <w:p w14:paraId="6EABB6CC">
      <w:pPr>
        <w:widowControl w:val="0"/>
        <w:spacing w:line="440" w:lineRule="exact"/>
        <w:jc w:val="both"/>
        <w:outlineLvl w:val="3"/>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4.3.6.4生态景观类型调查</w:t>
      </w:r>
    </w:p>
    <w:p w14:paraId="25D190A2">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采用地理信息系统技术并结合地面实际调查，对油田开发区所涉及区域内的生态景观构成进行调查。景观调查以工程用地为中心，采用国家生态环境现状调查所用分类系统进行分类。区域内的景观共分为</w:t>
      </w:r>
      <w:r>
        <w:rPr>
          <w:rFonts w:hint="eastAsia" w:ascii="Times New Roman" w:hAnsi="Times New Roman" w:cs="Times New Roman"/>
          <w:caps w:val="0"/>
          <w:smallCaps w:val="0"/>
          <w:color w:val="auto"/>
          <w:spacing w:val="0"/>
          <w:w w:val="100"/>
          <w:kern w:val="2"/>
          <w:position w:val="0"/>
          <w:highlight w:val="none"/>
        </w:rPr>
        <w:t>两</w:t>
      </w:r>
      <w:r>
        <w:rPr>
          <w:rFonts w:ascii="Times New Roman" w:hAnsi="Times New Roman" w:cs="Times New Roman"/>
          <w:caps w:val="0"/>
          <w:smallCaps w:val="0"/>
          <w:color w:val="auto"/>
          <w:spacing w:val="0"/>
          <w:w w:val="100"/>
          <w:kern w:val="2"/>
          <w:position w:val="0"/>
          <w:highlight w:val="none"/>
        </w:rPr>
        <w:t>类，主要由耕地景观</w:t>
      </w:r>
      <w:r>
        <w:rPr>
          <w:rFonts w:hint="eastAsia" w:ascii="Times New Roman" w:hAnsi="Times New Roman" w:cs="Times New Roman"/>
          <w:caps w:val="0"/>
          <w:smallCaps w:val="0"/>
          <w:color w:val="auto"/>
          <w:spacing w:val="0"/>
          <w:w w:val="100"/>
          <w:kern w:val="2"/>
          <w:position w:val="0"/>
          <w:highlight w:val="none"/>
        </w:rPr>
        <w:t>和草地</w:t>
      </w:r>
      <w:r>
        <w:rPr>
          <w:rFonts w:ascii="Times New Roman" w:hAnsi="Times New Roman" w:cs="Times New Roman"/>
          <w:caps w:val="0"/>
          <w:smallCaps w:val="0"/>
          <w:color w:val="auto"/>
          <w:spacing w:val="0"/>
          <w:w w:val="100"/>
          <w:kern w:val="2"/>
          <w:position w:val="0"/>
          <w:highlight w:val="none"/>
        </w:rPr>
        <w:t>景观构成。</w:t>
      </w:r>
    </w:p>
    <w:p w14:paraId="73A6611B">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（1）耕地景观是分布面积较大的景观类型，总面积</w:t>
      </w:r>
      <w:r>
        <w:rPr>
          <w:rFonts w:hint="eastAsia" w:ascii="Times New Roman" w:hAnsi="Times New Roman" w:cs="Times New Roman"/>
          <w:caps w:val="0"/>
          <w:smallCaps w:val="0"/>
          <w:color w:val="auto"/>
          <w:spacing w:val="0"/>
          <w:w w:val="100"/>
          <w:kern w:val="2"/>
          <w:position w:val="0"/>
          <w:highlight w:val="none"/>
        </w:rPr>
        <w:t>38.6</w:t>
      </w:r>
      <w:r>
        <w:rPr>
          <w:rFonts w:ascii="Times New Roman" w:hAnsi="Times New Roman" w:cs="Times New Roman"/>
          <w:caps w:val="0"/>
          <w:smallCaps w:val="0"/>
          <w:color w:val="auto"/>
          <w:spacing w:val="0"/>
          <w:w w:val="100"/>
          <w:kern w:val="2"/>
          <w:position w:val="0"/>
          <w:highlight w:val="none"/>
        </w:rPr>
        <w:t>hm</w:t>
      </w:r>
      <w:r>
        <w:rPr>
          <w:rFonts w:ascii="Times New Roman" w:hAnsi="Times New Roman" w:cs="Times New Roman"/>
          <w:caps w:val="0"/>
          <w:smallCaps w:val="0"/>
          <w:color w:val="auto"/>
          <w:spacing w:val="0"/>
          <w:w w:val="100"/>
          <w:kern w:val="2"/>
          <w:position w:val="0"/>
          <w:highlight w:val="none"/>
          <w:vertAlign w:val="superscript"/>
        </w:rPr>
        <w:t>2</w:t>
      </w:r>
      <w:r>
        <w:rPr>
          <w:rFonts w:ascii="Times New Roman" w:hAnsi="Times New Roman" w:cs="Times New Roman"/>
          <w:caps w:val="0"/>
          <w:smallCaps w:val="0"/>
          <w:color w:val="auto"/>
          <w:spacing w:val="0"/>
          <w:w w:val="100"/>
          <w:kern w:val="2"/>
          <w:position w:val="0"/>
          <w:highlight w:val="none"/>
        </w:rPr>
        <w:t>，占评价区域总面积的</w:t>
      </w:r>
      <w:r>
        <w:rPr>
          <w:rFonts w:hint="eastAsia" w:ascii="Times New Roman" w:hAnsi="Times New Roman" w:cs="Times New Roman"/>
          <w:caps w:val="0"/>
          <w:smallCaps w:val="0"/>
          <w:color w:val="auto"/>
          <w:spacing w:val="0"/>
          <w:w w:val="100"/>
          <w:kern w:val="2"/>
          <w:position w:val="0"/>
          <w:highlight w:val="none"/>
        </w:rPr>
        <w:t>13.48</w:t>
      </w:r>
      <w:r>
        <w:rPr>
          <w:rFonts w:ascii="Times New Roman" w:hAnsi="Times New Roman" w:cs="Times New Roman"/>
          <w:caps w:val="0"/>
          <w:smallCaps w:val="0"/>
          <w:color w:val="auto"/>
          <w:spacing w:val="0"/>
          <w:w w:val="100"/>
          <w:kern w:val="2"/>
          <w:position w:val="0"/>
          <w:highlight w:val="none"/>
        </w:rPr>
        <w:t>%。主要种植以玉米为主的农作物。</w:t>
      </w:r>
    </w:p>
    <w:p w14:paraId="1B045782">
      <w:pPr>
        <w:widowControl w:val="0"/>
        <w:spacing w:line="440" w:lineRule="exact"/>
        <w:jc w:val="both"/>
        <w:outlineLvl w:val="3"/>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（2）</w:t>
      </w:r>
      <w:r>
        <w:rPr>
          <w:rFonts w:hint="eastAsia" w:ascii="Times New Roman" w:hAnsi="Times New Roman" w:cs="Times New Roman"/>
          <w:caps w:val="0"/>
          <w:smallCaps w:val="0"/>
          <w:color w:val="auto"/>
          <w:spacing w:val="0"/>
          <w:w w:val="100"/>
          <w:kern w:val="2"/>
          <w:position w:val="0"/>
          <w:highlight w:val="none"/>
        </w:rPr>
        <w:t>草地</w:t>
      </w:r>
      <w:r>
        <w:rPr>
          <w:rFonts w:ascii="Times New Roman" w:hAnsi="Times New Roman" w:cs="Times New Roman"/>
          <w:caps w:val="0"/>
          <w:smallCaps w:val="0"/>
          <w:color w:val="auto"/>
          <w:spacing w:val="0"/>
          <w:w w:val="100"/>
          <w:kern w:val="2"/>
          <w:position w:val="0"/>
          <w:highlight w:val="none"/>
        </w:rPr>
        <w:t>景观主要为</w:t>
      </w:r>
      <w:r>
        <w:rPr>
          <w:rFonts w:hint="eastAsia" w:ascii="Times New Roman" w:hAnsi="Times New Roman" w:cs="Times New Roman"/>
          <w:caps w:val="0"/>
          <w:smallCaps w:val="0"/>
          <w:color w:val="auto"/>
          <w:spacing w:val="0"/>
          <w:w w:val="100"/>
          <w:kern w:val="2"/>
          <w:position w:val="0"/>
          <w:highlight w:val="none"/>
        </w:rPr>
        <w:t>其他草地</w:t>
      </w:r>
      <w:r>
        <w:rPr>
          <w:rFonts w:ascii="Times New Roman" w:hAnsi="Times New Roman" w:cs="Times New Roman"/>
          <w:caps w:val="0"/>
          <w:smallCaps w:val="0"/>
          <w:color w:val="auto"/>
          <w:spacing w:val="0"/>
          <w:w w:val="100"/>
          <w:kern w:val="2"/>
          <w:position w:val="0"/>
          <w:highlight w:val="none"/>
        </w:rPr>
        <w:t>，总面积</w:t>
      </w:r>
      <w:r>
        <w:rPr>
          <w:rFonts w:hint="eastAsia" w:ascii="Times New Roman" w:hAnsi="Times New Roman" w:cs="Times New Roman"/>
          <w:caps w:val="0"/>
          <w:smallCaps w:val="0"/>
          <w:color w:val="auto"/>
          <w:spacing w:val="0"/>
          <w:w w:val="100"/>
          <w:kern w:val="2"/>
          <w:position w:val="0"/>
          <w:highlight w:val="none"/>
        </w:rPr>
        <w:t>196</w:t>
      </w:r>
      <w:r>
        <w:rPr>
          <w:rFonts w:ascii="Times New Roman" w:hAnsi="Times New Roman" w:cs="Times New Roman"/>
          <w:caps w:val="0"/>
          <w:smallCaps w:val="0"/>
          <w:color w:val="auto"/>
          <w:spacing w:val="0"/>
          <w:w w:val="100"/>
          <w:kern w:val="2"/>
          <w:position w:val="0"/>
          <w:highlight w:val="none"/>
        </w:rPr>
        <w:t>hm</w:t>
      </w:r>
      <w:r>
        <w:rPr>
          <w:rFonts w:ascii="Times New Roman" w:hAnsi="Times New Roman" w:cs="Times New Roman"/>
          <w:caps w:val="0"/>
          <w:smallCaps w:val="0"/>
          <w:color w:val="auto"/>
          <w:spacing w:val="0"/>
          <w:w w:val="100"/>
          <w:kern w:val="2"/>
          <w:position w:val="0"/>
          <w:highlight w:val="none"/>
          <w:vertAlign w:val="superscript"/>
        </w:rPr>
        <w:t>2</w:t>
      </w:r>
      <w:r>
        <w:rPr>
          <w:rFonts w:ascii="Times New Roman" w:hAnsi="Times New Roman" w:cs="Times New Roman"/>
          <w:caps w:val="0"/>
          <w:smallCaps w:val="0"/>
          <w:color w:val="auto"/>
          <w:spacing w:val="0"/>
          <w:w w:val="100"/>
          <w:kern w:val="2"/>
          <w:position w:val="0"/>
          <w:highlight w:val="none"/>
        </w:rPr>
        <w:t>，占评价区总面积的</w:t>
      </w:r>
      <w:r>
        <w:rPr>
          <w:rFonts w:hint="eastAsia" w:ascii="Times New Roman" w:hAnsi="Times New Roman" w:cs="Times New Roman"/>
          <w:caps w:val="0"/>
          <w:smallCaps w:val="0"/>
          <w:color w:val="auto"/>
          <w:spacing w:val="0"/>
          <w:w w:val="100"/>
          <w:kern w:val="2"/>
          <w:position w:val="0"/>
          <w:highlight w:val="none"/>
        </w:rPr>
        <w:t>68.46</w:t>
      </w:r>
      <w:r>
        <w:rPr>
          <w:rFonts w:ascii="Times New Roman" w:hAnsi="Times New Roman" w:cs="Times New Roman"/>
          <w:caps w:val="0"/>
          <w:smallCaps w:val="0"/>
          <w:color w:val="auto"/>
          <w:spacing w:val="0"/>
          <w:w w:val="100"/>
          <w:kern w:val="2"/>
          <w:position w:val="0"/>
          <w:highlight w:val="none"/>
        </w:rPr>
        <w:t>%</w:t>
      </w:r>
      <w:r>
        <w:rPr>
          <w:rFonts w:ascii="Times New Roman" w:hAnsi="Times New Roman" w:cs="Times New Roman"/>
          <w:caps w:val="0"/>
          <w:smallCaps w:val="0"/>
          <w:color w:val="auto"/>
          <w:spacing w:val="0"/>
          <w:w w:val="100"/>
          <w:kern w:val="2"/>
          <w:position w:val="0"/>
          <w:highlight w:val="none"/>
        </w:rPr>
        <w:t>。</w:t>
      </w:r>
    </w:p>
    <w:p w14:paraId="2CD7326C">
      <w:pPr>
        <w:widowControl w:val="0"/>
        <w:spacing w:line="440" w:lineRule="exact"/>
        <w:jc w:val="both"/>
        <w:outlineLvl w:val="3"/>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 xml:space="preserve">4.3.6.5生态敏感区调查 </w:t>
      </w:r>
    </w:p>
    <w:p w14:paraId="190D3CC2">
      <w:pPr>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本项目位于绥化市安达市昌德镇，根据勘查，项</w:t>
      </w:r>
      <w:r>
        <w:rPr>
          <w:rFonts w:ascii="Times New Roman" w:hAnsi="Times New Roman" w:cs="Times New Roman"/>
          <w:caps w:val="0"/>
          <w:smallCaps w:val="0"/>
          <w:color w:val="auto"/>
          <w:spacing w:val="0"/>
          <w:w w:val="100"/>
          <w:position w:val="0"/>
          <w:highlight w:val="none"/>
        </w:rPr>
        <w:t>目区域内无国家公园、自然保护区、自然公园等自然保护地、世界自然遗产、生态保护红线等区域，无重要物种的天然集中分布区、栖息地，重要水生生物的产卵场、索饵场、越冬场和洄游通道，迁徙鸟类的重要繁殖地、停歇地、越冬地以及野生动物迁徙通道等重要生境，无其他具有重要生态功能、对保护生物多样性具有重要意义的区域。根据《环境影响评价技术导则</w:t>
      </w:r>
      <w:r>
        <w:rPr>
          <w:rFonts w:hint="eastAsia" w:ascii="Times New Roman" w:hAnsi="Times New Roman" w:cs="Times New Roman"/>
          <w:caps w:val="0"/>
          <w:smallCaps w:val="0"/>
          <w:color w:val="auto"/>
          <w:spacing w:val="0"/>
          <w:w w:val="100"/>
          <w:position w:val="0"/>
          <w:highlight w:val="none"/>
        </w:rPr>
        <w:t xml:space="preserve"> </w:t>
      </w:r>
      <w:r>
        <w:rPr>
          <w:rFonts w:ascii="Times New Roman" w:hAnsi="Times New Roman" w:cs="Times New Roman"/>
          <w:caps w:val="0"/>
          <w:smallCaps w:val="0"/>
          <w:color w:val="auto"/>
          <w:spacing w:val="0"/>
          <w:w w:val="100"/>
          <w:position w:val="0"/>
          <w:highlight w:val="none"/>
        </w:rPr>
        <w:t>生态影响》（HJ19-2022）中生态敏感区定义，本项目生态</w:t>
      </w:r>
      <w:r>
        <w:rPr>
          <w:rFonts w:hint="eastAsia" w:ascii="Times New Roman" w:hAnsi="Times New Roman" w:cs="Times New Roman"/>
          <w:caps w:val="0"/>
          <w:smallCaps w:val="0"/>
          <w:color w:val="auto"/>
          <w:spacing w:val="0"/>
          <w:w w:val="100"/>
          <w:position w:val="0"/>
          <w:highlight w:val="none"/>
        </w:rPr>
        <w:t>评价</w:t>
      </w:r>
      <w:r>
        <w:rPr>
          <w:rFonts w:ascii="Times New Roman" w:hAnsi="Times New Roman" w:cs="Times New Roman"/>
          <w:caps w:val="0"/>
          <w:smallCaps w:val="0"/>
          <w:color w:val="auto"/>
          <w:spacing w:val="0"/>
          <w:w w:val="100"/>
          <w:position w:val="0"/>
          <w:highlight w:val="none"/>
        </w:rPr>
        <w:t>范围内不涉及生态敏感区</w:t>
      </w:r>
      <w:r>
        <w:rPr>
          <w:rFonts w:hint="eastAsia" w:ascii="Times New Roman" w:hAnsi="Times New Roman" w:cs="Times New Roman"/>
          <w:caps w:val="0"/>
          <w:smallCaps w:val="0"/>
          <w:color w:val="auto"/>
          <w:spacing w:val="0"/>
          <w:w w:val="100"/>
          <w:position w:val="0"/>
          <w:highlight w:val="none"/>
        </w:rPr>
        <w:t>，</w:t>
      </w:r>
      <w:r>
        <w:rPr>
          <w:rFonts w:ascii="Times New Roman" w:hAnsi="Times New Roman" w:cs="Times New Roman"/>
          <w:caps w:val="0"/>
          <w:smallCaps w:val="0"/>
          <w:color w:val="auto"/>
          <w:spacing w:val="0"/>
          <w:w w:val="100"/>
          <w:position w:val="0"/>
          <w:highlight w:val="none"/>
        </w:rPr>
        <w:t>项目所在区域为一般区域。</w:t>
      </w:r>
    </w:p>
    <w:p w14:paraId="61A51C95">
      <w:pPr>
        <w:keepNext/>
        <w:keepLines/>
        <w:spacing w:line="440" w:lineRule="exact"/>
        <w:outlineLvl w:val="3"/>
        <w:rPr>
          <w:rFonts w:ascii="Times New Roman" w:hAnsi="Times New Roman" w:cs="Times New Roman"/>
          <w:b/>
          <w:bCs/>
          <w:caps w:val="0"/>
          <w:smallCaps w:val="0"/>
          <w:color w:val="auto"/>
          <w:spacing w:val="0"/>
          <w:w w:val="100"/>
          <w:position w:val="0"/>
          <w:szCs w:val="20"/>
          <w:highlight w:val="none"/>
        </w:rPr>
      </w:pPr>
      <w:r>
        <w:rPr>
          <w:rFonts w:ascii="Times New Roman" w:hAnsi="Times New Roman" w:cs="Times New Roman"/>
          <w:b/>
          <w:bCs/>
          <w:caps w:val="0"/>
          <w:smallCaps w:val="0"/>
          <w:color w:val="auto"/>
          <w:spacing w:val="0"/>
          <w:w w:val="100"/>
          <w:position w:val="0"/>
          <w:szCs w:val="20"/>
          <w:highlight w:val="none"/>
        </w:rPr>
        <w:t>4.3.6.</w:t>
      </w:r>
      <w:r>
        <w:rPr>
          <w:rFonts w:hint="eastAsia" w:ascii="Times New Roman" w:hAnsi="Times New Roman" w:cs="Times New Roman"/>
          <w:b/>
          <w:bCs/>
          <w:caps w:val="0"/>
          <w:smallCaps w:val="0"/>
          <w:color w:val="auto"/>
          <w:spacing w:val="0"/>
          <w:w w:val="100"/>
          <w:position w:val="0"/>
          <w:szCs w:val="20"/>
          <w:highlight w:val="none"/>
          <w:lang w:val="en-US" w:eastAsia="zh-CN"/>
        </w:rPr>
        <w:t>6</w:t>
      </w:r>
      <w:r>
        <w:rPr>
          <w:rFonts w:ascii="Times New Roman" w:hAnsi="Times New Roman" w:cs="Times New Roman"/>
          <w:b/>
          <w:bCs/>
          <w:caps w:val="0"/>
          <w:smallCaps w:val="0"/>
          <w:color w:val="auto"/>
          <w:spacing w:val="0"/>
          <w:w w:val="100"/>
          <w:position w:val="0"/>
          <w:szCs w:val="20"/>
          <w:highlight w:val="none"/>
        </w:rPr>
        <w:t>既有工程实际生态影响到及措施调查</w:t>
      </w:r>
    </w:p>
    <w:p w14:paraId="4CDBB704">
      <w:pPr>
        <w:widowControl w:val="0"/>
        <w:snapToGrid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根据现场调查，为保护区域生态环境，第</w:t>
      </w:r>
      <w:r>
        <w:rPr>
          <w:rFonts w:hint="eastAsia" w:ascii="Times New Roman" w:hAnsi="Times New Roman" w:cs="Times New Roman"/>
          <w:bCs/>
          <w:caps w:val="0"/>
          <w:smallCaps w:val="0"/>
          <w:color w:val="auto"/>
          <w:spacing w:val="0"/>
          <w:w w:val="100"/>
          <w:position w:val="0"/>
          <w:highlight w:val="none"/>
          <w:lang w:val="en-US" w:eastAsia="zh-CN"/>
        </w:rPr>
        <w:t>十一</w:t>
      </w:r>
      <w:r>
        <w:rPr>
          <w:rFonts w:ascii="Times New Roman" w:hAnsi="Times New Roman" w:cs="Times New Roman"/>
          <w:bCs/>
          <w:caps w:val="0"/>
          <w:smallCaps w:val="0"/>
          <w:color w:val="auto"/>
          <w:spacing w:val="0"/>
          <w:w w:val="100"/>
          <w:position w:val="0"/>
          <w:highlight w:val="none"/>
        </w:rPr>
        <w:t>采油厂在施工过程中采取了生态保护措施保护区域内生态系统，例如严格控制了井场的临时及永久占地，井场钻井工程施工结束后及时对临时占地进行了生态恢复，最大力度降低了油田开发对区域草地生态系统的影响。并严格控制了该区域油田作业范围，严格运行期管理，减小了对区域生态系统的扰动，保证了不因油田开发活动加重生态系统的退化、沙化、盐碱化等。针对水土流失，第</w:t>
      </w:r>
      <w:r>
        <w:rPr>
          <w:rFonts w:hint="eastAsia" w:ascii="Times New Roman" w:hAnsi="Times New Roman" w:cs="Times New Roman"/>
          <w:bCs/>
          <w:caps w:val="0"/>
          <w:smallCaps w:val="0"/>
          <w:color w:val="auto"/>
          <w:spacing w:val="0"/>
          <w:w w:val="100"/>
          <w:position w:val="0"/>
          <w:highlight w:val="none"/>
          <w:lang w:val="en-US" w:eastAsia="zh-CN"/>
        </w:rPr>
        <w:t>十一</w:t>
      </w:r>
      <w:r>
        <w:rPr>
          <w:rFonts w:ascii="Times New Roman" w:hAnsi="Times New Roman" w:cs="Times New Roman"/>
          <w:bCs/>
          <w:caps w:val="0"/>
          <w:smallCaps w:val="0"/>
          <w:color w:val="auto"/>
          <w:spacing w:val="0"/>
          <w:w w:val="100"/>
          <w:position w:val="0"/>
          <w:highlight w:val="none"/>
        </w:rPr>
        <w:t>采油厂采取了井场平整、压实，开挖土方已合理利用填埋；施工期间</w:t>
      </w:r>
      <w:r>
        <w:rPr>
          <w:rFonts w:ascii="Times New Roman" w:hAnsi="Times New Roman" w:cs="Times New Roman"/>
          <w:caps w:val="0"/>
          <w:smallCaps w:val="0"/>
          <w:color w:val="auto"/>
          <w:spacing w:val="0"/>
          <w:w w:val="100"/>
          <w:position w:val="0"/>
          <w:highlight w:val="none"/>
        </w:rPr>
        <w:t>未对占地外的地表植被造成碾压和破坏；在油田道路地势较低，容易汇水形成径流冲刷的路段，设置了钢筋砼板涵，保证了道路两侧洪沟的畅通；生产期已严格作好道路泄洪桥涵洞的疏通、维修工作，保证了各类设施的泄洪能力；管道工程施工期间，划定了施工活动范围，车辆均采用“一”字型作业法，严格避免开辟新路，管沟挖、填方作业做到了互补平衡，未造成弃土方堆积和过多借土，未增加新的水土流失，管沟回填阶段均按层回填，回填后予以平整、压实，施工期间对开发建设施工材料划定了适宜的堆料场，未破坏占地外的植被，未增加裸地面积而新增的水土流失。</w:t>
      </w:r>
    </w:p>
    <w:p w14:paraId="232966B9">
      <w:pPr>
        <w:widowControl w:val="0"/>
        <w:snapToGrid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在生产运营期，区块内油水井作业均在永久占地范围内进行，同时在作业时铺设防渗布，并将产生的污水用罐车拉运到</w:t>
      </w:r>
      <w:r>
        <w:rPr>
          <w:rFonts w:hint="eastAsia" w:ascii="Times New Roman" w:hAnsi="Times New Roman" w:cs="Times New Roman"/>
          <w:bCs/>
          <w:caps w:val="0"/>
          <w:smallCaps w:val="0"/>
          <w:color w:val="auto"/>
          <w:spacing w:val="0"/>
          <w:w w:val="100"/>
          <w:position w:val="0"/>
          <w:highlight w:val="none"/>
        </w:rPr>
        <w:t>卫一联</w:t>
      </w:r>
      <w:r>
        <w:rPr>
          <w:rFonts w:ascii="Times New Roman" w:hAnsi="Times New Roman" w:cs="Times New Roman"/>
          <w:bCs/>
          <w:caps w:val="0"/>
          <w:smallCaps w:val="0"/>
          <w:color w:val="auto"/>
          <w:spacing w:val="0"/>
          <w:w w:val="100"/>
          <w:position w:val="0"/>
          <w:highlight w:val="none"/>
        </w:rPr>
        <w:t>含油污水</w:t>
      </w:r>
      <w:r>
        <w:rPr>
          <w:rFonts w:hint="eastAsia" w:ascii="Times New Roman" w:hAnsi="Times New Roman" w:cs="Times New Roman"/>
          <w:bCs/>
          <w:caps w:val="0"/>
          <w:smallCaps w:val="0"/>
          <w:color w:val="auto"/>
          <w:spacing w:val="0"/>
          <w:w w:val="100"/>
          <w:position w:val="0"/>
          <w:highlight w:val="none"/>
        </w:rPr>
        <w:t>深度</w:t>
      </w:r>
      <w:r>
        <w:rPr>
          <w:rFonts w:ascii="Times New Roman" w:hAnsi="Times New Roman" w:cs="Times New Roman"/>
          <w:bCs/>
          <w:caps w:val="0"/>
          <w:smallCaps w:val="0"/>
          <w:color w:val="auto"/>
          <w:spacing w:val="0"/>
          <w:w w:val="100"/>
          <w:position w:val="0"/>
          <w:highlight w:val="none"/>
        </w:rPr>
        <w:t>处理站处理，防止了污油污水污染周围生态环境，运行期间区域土壤环境质量整体良好，该区域油田开发对区域生态环境影响不大。</w:t>
      </w:r>
    </w:p>
    <w:p w14:paraId="1D31718E">
      <w:pPr>
        <w:widowControl w:val="0"/>
        <w:snapToGrid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本工程区域内已建井的井场永久性占地面积符合要求，井场地面均进行了平整，场站内道路两侧和场站院墙内外均已绿化，生态恢复较好。井场永久性占地面积符合设计要求，井场地面均进行了平整，在临时性占地范围内，地表基本进行了平整，并已完成了生态恢复。</w:t>
      </w:r>
    </w:p>
    <w:p w14:paraId="51FABE7A">
      <w:pPr>
        <w:widowControl w:val="0"/>
        <w:snapToGrid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综上所述，现有区块内生态环境保护措施都基本得到了落实，目前所采取的各项环保措施是有效的，未发现生态环境问题。</w:t>
      </w:r>
    </w:p>
    <w:p w14:paraId="4E4A7143">
      <w:pPr>
        <w:keepNext/>
        <w:keepLines/>
        <w:spacing w:line="440" w:lineRule="exact"/>
        <w:outlineLvl w:val="3"/>
        <w:rPr>
          <w:rFonts w:ascii="Times New Roman" w:hAnsi="Times New Roman" w:cs="Times New Roman"/>
          <w:b/>
          <w:bCs/>
          <w:caps w:val="0"/>
          <w:smallCaps w:val="0"/>
          <w:color w:val="auto"/>
          <w:spacing w:val="0"/>
          <w:w w:val="100"/>
          <w:position w:val="0"/>
          <w:szCs w:val="20"/>
          <w:highlight w:val="none"/>
        </w:rPr>
      </w:pPr>
      <w:r>
        <w:rPr>
          <w:rFonts w:ascii="Times New Roman" w:hAnsi="Times New Roman" w:cs="Times New Roman"/>
          <w:b/>
          <w:bCs/>
          <w:caps w:val="0"/>
          <w:smallCaps w:val="0"/>
          <w:color w:val="auto"/>
          <w:spacing w:val="0"/>
          <w:w w:val="100"/>
          <w:position w:val="0"/>
          <w:szCs w:val="20"/>
          <w:highlight w:val="none"/>
        </w:rPr>
        <w:t>4.3.6.</w:t>
      </w:r>
      <w:r>
        <w:rPr>
          <w:rFonts w:hint="eastAsia" w:ascii="Times New Roman" w:hAnsi="Times New Roman" w:cs="Times New Roman"/>
          <w:b/>
          <w:bCs/>
          <w:caps w:val="0"/>
          <w:smallCaps w:val="0"/>
          <w:color w:val="auto"/>
          <w:spacing w:val="0"/>
          <w:w w:val="100"/>
          <w:position w:val="0"/>
          <w:szCs w:val="20"/>
          <w:highlight w:val="none"/>
          <w:lang w:val="en-US" w:eastAsia="zh-CN"/>
        </w:rPr>
        <w:t>7</w:t>
      </w:r>
      <w:r>
        <w:rPr>
          <w:rFonts w:ascii="Times New Roman" w:hAnsi="Times New Roman" w:cs="Times New Roman"/>
          <w:b/>
          <w:bCs/>
          <w:caps w:val="0"/>
          <w:smallCaps w:val="0"/>
          <w:color w:val="auto"/>
          <w:spacing w:val="0"/>
          <w:w w:val="100"/>
          <w:position w:val="0"/>
          <w:szCs w:val="20"/>
          <w:highlight w:val="none"/>
        </w:rPr>
        <w:t>生态环境现状评价结论</w:t>
      </w:r>
    </w:p>
    <w:p w14:paraId="534D694D">
      <w:pPr>
        <w:tabs>
          <w:tab w:val="left" w:pos="6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40" w:lineRule="exact"/>
        <w:ind w:firstLine="480" w:firstLineChars="200"/>
        <w:rPr>
          <w:rFonts w:ascii="Times New Roman" w:hAnsi="Times New Roman" w:cs="Times New Roman"/>
          <w:caps w:val="0"/>
          <w:smallCaps w:val="0"/>
          <w:color w:val="auto"/>
          <w:spacing w:val="0"/>
          <w:w w:val="100"/>
          <w:position w:val="0"/>
          <w:highlight w:val="none"/>
        </w:rPr>
      </w:pPr>
      <w:bookmarkStart w:id="730" w:name="OLE_LINK53"/>
      <w:bookmarkStart w:id="731" w:name="_Toc16483"/>
      <w:r>
        <w:rPr>
          <w:rFonts w:ascii="Times New Roman" w:hAnsi="Times New Roman" w:cs="Times New Roman" w:eastAsiaTheme="minorEastAsia"/>
          <w:caps w:val="0"/>
          <w:smallCaps w:val="0"/>
          <w:color w:val="auto"/>
          <w:spacing w:val="0"/>
          <w:w w:val="100"/>
          <w:kern w:val="2"/>
          <w:position w:val="0"/>
          <w:szCs w:val="28"/>
          <w:highlight w:val="none"/>
        </w:rPr>
        <w:t>本项目评价范围内生态系统类型主要为草地及农田生态系统。本项目评价范围内土地利用类型以草地及耕地为主，工程所在区域内主要土壤类型以</w:t>
      </w:r>
      <w:r>
        <w:rPr>
          <w:rFonts w:ascii="Times New Roman" w:hAnsi="Times New Roman" w:cs="Times New Roman" w:eastAsiaTheme="minorEastAsia"/>
          <w:caps w:val="0"/>
          <w:smallCaps w:val="0"/>
          <w:color w:val="auto"/>
          <w:spacing w:val="0"/>
          <w:w w:val="100"/>
          <w:kern w:val="2"/>
          <w:position w:val="0"/>
          <w:szCs w:val="28"/>
          <w:highlight w:val="none"/>
        </w:rPr>
        <w:t>草甸土</w:t>
      </w:r>
      <w:r>
        <w:rPr>
          <w:rFonts w:ascii="Times New Roman" w:hAnsi="Times New Roman" w:cs="Times New Roman" w:eastAsiaTheme="minorEastAsia"/>
          <w:caps w:val="0"/>
          <w:smallCaps w:val="0"/>
          <w:color w:val="auto"/>
          <w:spacing w:val="0"/>
          <w:w w:val="100"/>
          <w:kern w:val="2"/>
          <w:position w:val="0"/>
          <w:szCs w:val="28"/>
          <w:highlight w:val="none"/>
        </w:rPr>
        <w:t>为主，工程所在区域人类活动频繁，野生动物较少，区域生态环境总体质量较好。</w:t>
      </w:r>
      <w:bookmarkEnd w:id="730"/>
    </w:p>
    <w:p w14:paraId="3B03BF70">
      <w:pPr>
        <w:widowControl w:val="0"/>
        <w:spacing w:before="120" w:after="120" w:line="440" w:lineRule="exact"/>
        <w:jc w:val="both"/>
        <w:outlineLvl w:val="1"/>
        <w:rPr>
          <w:rFonts w:ascii="Times New Roman" w:hAnsi="Times New Roman" w:cs="Times New Roman"/>
          <w:b/>
          <w:caps w:val="0"/>
          <w:smallCaps w:val="0"/>
          <w:color w:val="auto"/>
          <w:spacing w:val="0"/>
          <w:w w:val="100"/>
          <w:position w:val="0"/>
          <w:sz w:val="28"/>
          <w:szCs w:val="32"/>
          <w:highlight w:val="none"/>
        </w:rPr>
      </w:pPr>
      <w:bookmarkStart w:id="732" w:name="_Toc186444327"/>
      <w:bookmarkStart w:id="733" w:name="_Toc219900394"/>
      <w:r>
        <w:rPr>
          <w:rFonts w:ascii="Times New Roman" w:hAnsi="Times New Roman" w:cs="Times New Roman"/>
          <w:b/>
          <w:caps w:val="0"/>
          <w:smallCaps w:val="0"/>
          <w:color w:val="auto"/>
          <w:spacing w:val="0"/>
          <w:w w:val="100"/>
          <w:position w:val="0"/>
          <w:sz w:val="28"/>
          <w:szCs w:val="32"/>
          <w:highlight w:val="none"/>
        </w:rPr>
        <w:t>4.4区域污染源调查</w:t>
      </w:r>
      <w:bookmarkEnd w:id="731"/>
      <w:bookmarkEnd w:id="732"/>
      <w:bookmarkEnd w:id="733"/>
    </w:p>
    <w:p w14:paraId="6E205817">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hint="eastAsia" w:ascii="Times New Roman" w:hAnsi="Times New Roman" w:cs="Times New Roman"/>
          <w:caps w:val="0"/>
          <w:smallCaps w:val="0"/>
          <w:color w:val="auto"/>
          <w:spacing w:val="0"/>
          <w:w w:val="100"/>
          <w:position w:val="0"/>
          <w:highlight w:val="none"/>
          <w:lang w:val="zh-CN" w:bidi="zh-CN"/>
        </w:rPr>
        <w:t>通过现场调查，项目评价区域内主要为农田、村庄以及油田生产设施等，油田生产设施主要包括油井井场、集油管线、场站，周边无其他工业企业</w:t>
      </w:r>
      <w:r>
        <w:rPr>
          <w:rFonts w:ascii="Times New Roman" w:hAnsi="Times New Roman" w:cs="Times New Roman"/>
          <w:caps w:val="0"/>
          <w:smallCaps w:val="0"/>
          <w:color w:val="auto"/>
          <w:spacing w:val="0"/>
          <w:w w:val="100"/>
          <w:position w:val="0"/>
          <w:highlight w:val="none"/>
          <w:lang w:val="zh-CN" w:bidi="zh-CN"/>
        </w:rPr>
        <w:t>。</w:t>
      </w:r>
    </w:p>
    <w:p w14:paraId="66E51192">
      <w:pPr>
        <w:keepNext/>
        <w:keepLines/>
        <w:widowControl w:val="0"/>
        <w:tabs>
          <w:tab w:val="left" w:pos="892"/>
        </w:tabs>
        <w:spacing w:before="60" w:after="60" w:line="440" w:lineRule="exact"/>
        <w:jc w:val="both"/>
        <w:outlineLvl w:val="2"/>
        <w:rPr>
          <w:rFonts w:ascii="Times New Roman" w:hAnsi="Times New Roman" w:cs="Times New Roman"/>
          <w:b/>
          <w:bCs/>
          <w:caps w:val="0"/>
          <w:smallCaps w:val="0"/>
          <w:color w:val="auto"/>
          <w:spacing w:val="0"/>
          <w:w w:val="100"/>
          <w:position w:val="0"/>
          <w:highlight w:val="none"/>
          <w:lang w:bidi="zh-CN"/>
        </w:rPr>
      </w:pPr>
      <w:r>
        <w:rPr>
          <w:rFonts w:ascii="Times New Roman" w:hAnsi="Times New Roman" w:cs="Times New Roman"/>
          <w:b/>
          <w:bCs/>
          <w:caps w:val="0"/>
          <w:smallCaps w:val="0"/>
          <w:color w:val="auto"/>
          <w:spacing w:val="0"/>
          <w:w w:val="100"/>
          <w:position w:val="0"/>
          <w:highlight w:val="none"/>
          <w:lang w:bidi="zh-CN"/>
        </w:rPr>
        <w:t>4.4.1 大气污染源调查</w:t>
      </w:r>
    </w:p>
    <w:p w14:paraId="467051AE">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hint="eastAsia" w:ascii="Times New Roman" w:hAnsi="Times New Roman" w:cs="Times New Roman"/>
          <w:caps w:val="0"/>
          <w:smallCaps w:val="0"/>
          <w:color w:val="auto"/>
          <w:spacing w:val="0"/>
          <w:w w:val="100"/>
          <w:position w:val="0"/>
          <w:highlight w:val="none"/>
          <w:lang w:val="zh-CN" w:bidi="zh-CN"/>
        </w:rPr>
        <w:t>通过现场调查，项目评价区域内主要为农田、村庄以及油田生产设施等，油田生产设施主要包括油井井场、集油管线、场站，周边无其他工业企业</w:t>
      </w:r>
      <w:r>
        <w:rPr>
          <w:rFonts w:ascii="Times New Roman" w:hAnsi="Times New Roman" w:cs="Times New Roman"/>
          <w:caps w:val="0"/>
          <w:smallCaps w:val="0"/>
          <w:color w:val="auto"/>
          <w:spacing w:val="0"/>
          <w:w w:val="100"/>
          <w:position w:val="0"/>
          <w:highlight w:val="none"/>
          <w:lang w:val="zh-CN" w:bidi="zh-CN"/>
        </w:rPr>
        <w:t>。</w:t>
      </w:r>
    </w:p>
    <w:p w14:paraId="53D8FBD1">
      <w:pPr>
        <w:keepNext/>
        <w:keepLines/>
        <w:widowControl w:val="0"/>
        <w:tabs>
          <w:tab w:val="left" w:pos="892"/>
        </w:tabs>
        <w:spacing w:before="60" w:after="60" w:line="440" w:lineRule="exact"/>
        <w:jc w:val="both"/>
        <w:outlineLvl w:val="2"/>
        <w:rPr>
          <w:rFonts w:ascii="Times New Roman" w:hAnsi="Times New Roman" w:cs="Times New Roman"/>
          <w:b/>
          <w:bCs/>
          <w:caps w:val="0"/>
          <w:smallCaps w:val="0"/>
          <w:color w:val="auto"/>
          <w:spacing w:val="0"/>
          <w:w w:val="100"/>
          <w:position w:val="0"/>
          <w:highlight w:val="none"/>
          <w:lang w:bidi="zh-CN"/>
        </w:rPr>
      </w:pPr>
      <w:bookmarkStart w:id="734" w:name="_Toc186444329"/>
      <w:r>
        <w:rPr>
          <w:rFonts w:ascii="Times New Roman" w:hAnsi="Times New Roman" w:cs="Times New Roman"/>
          <w:b/>
          <w:bCs/>
          <w:caps w:val="0"/>
          <w:smallCaps w:val="0"/>
          <w:color w:val="auto"/>
          <w:spacing w:val="0"/>
          <w:w w:val="100"/>
          <w:position w:val="0"/>
          <w:highlight w:val="none"/>
          <w:lang w:bidi="zh-CN"/>
        </w:rPr>
        <w:t>4.4.2废水污染源调查</w:t>
      </w:r>
      <w:bookmarkEnd w:id="734"/>
    </w:p>
    <w:p w14:paraId="788A2951">
      <w:pPr>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ascii="Times New Roman" w:hAnsi="Times New Roman" w:cs="Times New Roman"/>
          <w:caps w:val="0"/>
          <w:smallCaps w:val="0"/>
          <w:color w:val="auto"/>
          <w:spacing w:val="0"/>
          <w:w w:val="100"/>
          <w:kern w:val="2"/>
          <w:position w:val="0"/>
          <w:szCs w:val="28"/>
          <w:highlight w:val="none"/>
        </w:rPr>
        <w:t>（1）工业污水污染源</w:t>
      </w:r>
    </w:p>
    <w:p w14:paraId="676001F5">
      <w:pPr>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ascii="Times New Roman" w:hAnsi="Times New Roman" w:cs="Times New Roman"/>
          <w:caps w:val="0"/>
          <w:smallCaps w:val="0"/>
          <w:color w:val="auto"/>
          <w:spacing w:val="0"/>
          <w:w w:val="100"/>
          <w:kern w:val="2"/>
          <w:position w:val="0"/>
          <w:szCs w:val="28"/>
          <w:highlight w:val="none"/>
        </w:rPr>
        <w:t>工业废水污染源主要为油田采出水、油井作业污水、洗井污水，废水污染物为SS、石油类等，排放至卫一联含油污水深度处理站处理，处理后</w:t>
      </w:r>
      <w:r>
        <w:rPr>
          <w:rFonts w:ascii="Times New Roman" w:hAnsi="Times New Roman" w:cs="Times New Roman"/>
          <w:bCs/>
          <w:caps w:val="0"/>
          <w:smallCaps w:val="0"/>
          <w:color w:val="auto"/>
          <w:spacing w:val="0"/>
          <w:w w:val="100"/>
          <w:kern w:val="2"/>
          <w:position w:val="0"/>
          <w:szCs w:val="28"/>
          <w:highlight w:val="none"/>
        </w:rPr>
        <w:t>满足《大庆油田地面工程建设设计规定》（Q/SYDQ0639-2015）及《碎屑岩油藏注水水质指标技术要求及分析方法》（SY/T5329-2022）限值要求后回注油层</w:t>
      </w:r>
      <w:r>
        <w:rPr>
          <w:rFonts w:ascii="Times New Roman" w:hAnsi="Times New Roman" w:cs="Times New Roman"/>
          <w:caps w:val="0"/>
          <w:smallCaps w:val="0"/>
          <w:color w:val="auto"/>
          <w:spacing w:val="0"/>
          <w:w w:val="100"/>
          <w:kern w:val="2"/>
          <w:position w:val="0"/>
          <w:szCs w:val="28"/>
          <w:highlight w:val="none"/>
        </w:rPr>
        <w:t>，不外排。</w:t>
      </w:r>
    </w:p>
    <w:p w14:paraId="693805D1">
      <w:pPr>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ascii="Times New Roman" w:hAnsi="Times New Roman" w:cs="Times New Roman"/>
          <w:caps w:val="0"/>
          <w:smallCaps w:val="0"/>
          <w:color w:val="auto"/>
          <w:spacing w:val="0"/>
          <w:w w:val="100"/>
          <w:kern w:val="2"/>
          <w:position w:val="0"/>
          <w:szCs w:val="28"/>
          <w:highlight w:val="none"/>
        </w:rPr>
        <w:t xml:space="preserve">（2）生活污水污染源 </w:t>
      </w:r>
    </w:p>
    <w:p w14:paraId="25441FC2">
      <w:pPr>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ascii="Times New Roman" w:hAnsi="Times New Roman" w:cs="Times New Roman"/>
          <w:caps w:val="0"/>
          <w:smallCaps w:val="0"/>
          <w:color w:val="auto"/>
          <w:spacing w:val="0"/>
          <w:w w:val="100"/>
          <w:kern w:val="2"/>
          <w:position w:val="0"/>
          <w:szCs w:val="28"/>
          <w:highlight w:val="none"/>
        </w:rPr>
        <w:t>区域生活污水污染源主要来源于场站办公设施，其污染物主要为COD、BOD</w:t>
      </w:r>
      <w:r>
        <w:rPr>
          <w:rFonts w:hint="eastAsia" w:ascii="Times New Roman" w:hAnsi="Times New Roman" w:cs="Times New Roman"/>
          <w:caps w:val="0"/>
          <w:smallCaps w:val="0"/>
          <w:color w:val="auto"/>
          <w:spacing w:val="0"/>
          <w:w w:val="100"/>
          <w:kern w:val="2"/>
          <w:position w:val="0"/>
          <w:szCs w:val="28"/>
          <w:highlight w:val="none"/>
          <w:vertAlign w:val="subscript"/>
        </w:rPr>
        <w:t>5</w:t>
      </w:r>
      <w:r>
        <w:rPr>
          <w:rFonts w:hint="eastAsia" w:ascii="Times New Roman" w:hAnsi="Times New Roman" w:cs="Times New Roman"/>
          <w:caps w:val="0"/>
          <w:smallCaps w:val="0"/>
          <w:color w:val="auto"/>
          <w:spacing w:val="0"/>
          <w:w w:val="100"/>
          <w:kern w:val="2"/>
          <w:position w:val="0"/>
          <w:szCs w:val="28"/>
          <w:highlight w:val="none"/>
        </w:rPr>
        <w:t>、SS、NH</w:t>
      </w:r>
      <w:r>
        <w:rPr>
          <w:rFonts w:hint="eastAsia" w:ascii="Times New Roman" w:hAnsi="Times New Roman" w:cs="Times New Roman"/>
          <w:caps w:val="0"/>
          <w:smallCaps w:val="0"/>
          <w:color w:val="auto"/>
          <w:spacing w:val="0"/>
          <w:w w:val="100"/>
          <w:kern w:val="2"/>
          <w:position w:val="0"/>
          <w:szCs w:val="28"/>
          <w:highlight w:val="none"/>
          <w:vertAlign w:val="subscript"/>
        </w:rPr>
        <w:t>3</w:t>
      </w:r>
      <w:r>
        <w:rPr>
          <w:rFonts w:hint="eastAsia" w:ascii="Times New Roman" w:hAnsi="Times New Roman" w:cs="Times New Roman"/>
          <w:caps w:val="0"/>
          <w:smallCaps w:val="0"/>
          <w:color w:val="auto"/>
          <w:spacing w:val="0"/>
          <w:w w:val="100"/>
          <w:kern w:val="2"/>
          <w:position w:val="0"/>
          <w:szCs w:val="28"/>
          <w:highlight w:val="none"/>
        </w:rPr>
        <w:t>-N等，排入场站防渗旱厕，拉运至当地污水处理厂处理后排放。</w:t>
      </w:r>
    </w:p>
    <w:p w14:paraId="1E4444B4">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hint="eastAsia" w:ascii="Times New Roman" w:hAnsi="Times New Roman" w:cs="Times New Roman"/>
          <w:caps w:val="0"/>
          <w:smallCaps w:val="0"/>
          <w:color w:val="auto"/>
          <w:spacing w:val="0"/>
          <w:w w:val="100"/>
          <w:kern w:val="2"/>
          <w:position w:val="0"/>
          <w:szCs w:val="28"/>
          <w:highlight w:val="none"/>
        </w:rPr>
        <w:t>建设项目地下水评价区域内地下水污染源主要为周边农业生产使用化肥、农药以及居民生活排放的生活污水等，随着地表径流携带污染物入渗地下水体</w:t>
      </w:r>
      <w:r>
        <w:rPr>
          <w:rFonts w:ascii="Times New Roman" w:hAnsi="Times New Roman" w:cs="Times New Roman"/>
          <w:bCs/>
          <w:caps w:val="0"/>
          <w:smallCaps w:val="0"/>
          <w:color w:val="auto"/>
          <w:spacing w:val="0"/>
          <w:w w:val="100"/>
          <w:position w:val="0"/>
          <w:highlight w:val="none"/>
          <w:lang w:bidi="zh-CN"/>
        </w:rPr>
        <w:t>。</w:t>
      </w:r>
    </w:p>
    <w:p w14:paraId="6F230879">
      <w:pPr>
        <w:keepNext/>
        <w:keepLines/>
        <w:widowControl w:val="0"/>
        <w:tabs>
          <w:tab w:val="left" w:pos="892"/>
        </w:tabs>
        <w:spacing w:before="60" w:after="60" w:line="440" w:lineRule="exact"/>
        <w:jc w:val="both"/>
        <w:outlineLvl w:val="2"/>
        <w:rPr>
          <w:rFonts w:ascii="Times New Roman" w:hAnsi="Times New Roman" w:cs="Times New Roman"/>
          <w:b/>
          <w:bCs/>
          <w:caps w:val="0"/>
          <w:smallCaps w:val="0"/>
          <w:color w:val="auto"/>
          <w:spacing w:val="0"/>
          <w:w w:val="100"/>
          <w:position w:val="0"/>
          <w:highlight w:val="none"/>
          <w:lang w:bidi="zh-CN"/>
        </w:rPr>
      </w:pPr>
      <w:bookmarkStart w:id="735" w:name="_Toc186444330"/>
      <w:r>
        <w:rPr>
          <w:rFonts w:ascii="Times New Roman" w:hAnsi="Times New Roman" w:cs="Times New Roman"/>
          <w:b/>
          <w:bCs/>
          <w:caps w:val="0"/>
          <w:smallCaps w:val="0"/>
          <w:color w:val="auto"/>
          <w:spacing w:val="0"/>
          <w:w w:val="100"/>
          <w:position w:val="0"/>
          <w:highlight w:val="none"/>
          <w:lang w:bidi="zh-CN"/>
        </w:rPr>
        <w:t>4.4.3噪声污染源调查</w:t>
      </w:r>
      <w:bookmarkEnd w:id="735"/>
    </w:p>
    <w:p w14:paraId="38875F68">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hint="eastAsia" w:ascii="Times New Roman" w:hAnsi="Times New Roman" w:cs="Times New Roman"/>
          <w:caps w:val="0"/>
          <w:smallCaps w:val="0"/>
          <w:color w:val="auto"/>
          <w:spacing w:val="0"/>
          <w:w w:val="100"/>
          <w:position w:val="0"/>
          <w:highlight w:val="none"/>
          <w:lang w:bidi="zh-CN"/>
        </w:rPr>
        <w:t>项目评价区域内噪声污染源主要为周边油田井场和场站噪声、运输车辆噪声等，声环境质量现状良好</w:t>
      </w:r>
      <w:r>
        <w:rPr>
          <w:rFonts w:ascii="Times New Roman" w:hAnsi="Times New Roman" w:cs="Times New Roman"/>
          <w:bCs/>
          <w:caps w:val="0"/>
          <w:smallCaps w:val="0"/>
          <w:color w:val="auto"/>
          <w:spacing w:val="0"/>
          <w:w w:val="100"/>
          <w:position w:val="0"/>
          <w:highlight w:val="none"/>
          <w:lang w:bidi="zh-CN"/>
        </w:rPr>
        <w:t>。</w:t>
      </w:r>
    </w:p>
    <w:p w14:paraId="407F4994">
      <w:pPr>
        <w:keepNext/>
        <w:keepLines/>
        <w:widowControl w:val="0"/>
        <w:tabs>
          <w:tab w:val="left" w:pos="892"/>
        </w:tabs>
        <w:spacing w:before="60" w:after="60" w:line="440" w:lineRule="exact"/>
        <w:jc w:val="both"/>
        <w:outlineLvl w:val="2"/>
        <w:rPr>
          <w:rFonts w:ascii="Times New Roman" w:hAnsi="Times New Roman" w:cs="Times New Roman"/>
          <w:b/>
          <w:bCs/>
          <w:caps w:val="0"/>
          <w:smallCaps w:val="0"/>
          <w:color w:val="auto"/>
          <w:spacing w:val="0"/>
          <w:w w:val="100"/>
          <w:position w:val="0"/>
          <w:highlight w:val="none"/>
          <w:lang w:bidi="zh-CN"/>
        </w:rPr>
      </w:pPr>
      <w:bookmarkStart w:id="736" w:name="_Toc186444331"/>
      <w:r>
        <w:rPr>
          <w:rFonts w:ascii="Times New Roman" w:hAnsi="Times New Roman" w:cs="Times New Roman"/>
          <w:b/>
          <w:bCs/>
          <w:caps w:val="0"/>
          <w:smallCaps w:val="0"/>
          <w:color w:val="auto"/>
          <w:spacing w:val="0"/>
          <w:w w:val="100"/>
          <w:position w:val="0"/>
          <w:highlight w:val="none"/>
          <w:lang w:bidi="zh-CN"/>
        </w:rPr>
        <w:t>4.4.4固体废物污染源分析</w:t>
      </w:r>
      <w:bookmarkEnd w:id="736"/>
    </w:p>
    <w:p w14:paraId="0AD24BA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ascii="Times New Roman" w:hAnsi="Times New Roman" w:cs="Times New Roman"/>
          <w:caps w:val="0"/>
          <w:smallCaps w:val="0"/>
          <w:color w:val="auto"/>
          <w:spacing w:val="0"/>
          <w:w w:val="100"/>
          <w:position w:val="0"/>
          <w:highlight w:val="none"/>
          <w:lang w:bidi="zh-CN"/>
        </w:rPr>
        <w:t>根据现状调查和工程分析，区域排放的固体废弃物有一般工业固体废物、生活垃圾和危险废物。生活垃圾主要场站工作人员日常生活中产生的厨卫垃圾、废弃的日常用品等，统一收集后运至安达市生活垃圾填埋场；工业固废和危险废物主要来自于油田工业生产，一般工业固体废物送第八采油厂工业固废填埋场处理，危险废物委托资质单位处理，固体废物均按相关规范处置利用</w:t>
      </w:r>
      <w:r>
        <w:rPr>
          <w:rFonts w:ascii="Times New Roman" w:hAnsi="Times New Roman" w:cs="Times New Roman"/>
          <w:caps w:val="0"/>
          <w:smallCaps w:val="0"/>
          <w:color w:val="auto"/>
          <w:spacing w:val="0"/>
          <w:w w:val="100"/>
          <w:kern w:val="2"/>
          <w:position w:val="0"/>
          <w:highlight w:val="none"/>
        </w:rPr>
        <w:t>。</w:t>
      </w:r>
    </w:p>
    <w:p w14:paraId="00313953">
      <w:pPr>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r>
        <w:rPr>
          <w:rFonts w:hint="eastAsia" w:ascii="Times New Roman" w:hAnsi="Times New Roman" w:cs="Times New Roman"/>
          <w:b/>
          <w:bCs/>
          <w:caps w:val="0"/>
          <w:smallCaps w:val="0"/>
          <w:color w:val="auto"/>
          <w:spacing w:val="0"/>
          <w:w w:val="100"/>
          <w:kern w:val="2"/>
          <w:position w:val="0"/>
          <w:highlight w:val="none"/>
        </w:rPr>
        <w:t>4.4.5生态环境调查</w:t>
      </w:r>
    </w:p>
    <w:p w14:paraId="3788879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ascii="Times New Roman" w:hAnsi="Times New Roman" w:cs="Times New Roman"/>
          <w:caps w:val="0"/>
          <w:smallCaps w:val="0"/>
          <w:color w:val="auto"/>
          <w:spacing w:val="0"/>
          <w:w w:val="100"/>
          <w:position w:val="0"/>
          <w:highlight w:val="none"/>
        </w:rPr>
        <w:t>本项目新建管道占地为耕地和草地，沿线主要分布油田采油井场等生产设施，</w:t>
      </w:r>
      <w:r>
        <w:rPr>
          <w:rFonts w:ascii="Times New Roman" w:hAnsi="Times New Roman" w:cs="Times New Roman"/>
          <w:caps w:val="0"/>
          <w:smallCaps w:val="0"/>
          <w:color w:val="auto"/>
          <w:spacing w:val="0"/>
          <w:w w:val="100"/>
          <w:position w:val="0"/>
          <w:highlight w:val="none"/>
        </w:rPr>
        <w:t>井场严格遵守了《石油天然气工程项目用地控制指标》要求，</w:t>
      </w:r>
      <w:r>
        <w:rPr>
          <w:rFonts w:hint="eastAsia" w:ascii="Times New Roman" w:hAnsi="Times New Roman" w:cs="Times New Roman"/>
          <w:caps w:val="0"/>
          <w:smallCaps w:val="0"/>
          <w:color w:val="auto"/>
          <w:spacing w:val="0"/>
          <w:w w:val="100"/>
          <w:position w:val="0"/>
          <w:highlight w:val="none"/>
        </w:rPr>
        <w:t>黑土耕地井场以平台井场为主，</w:t>
      </w:r>
      <w:r>
        <w:rPr>
          <w:rFonts w:ascii="Times New Roman" w:hAnsi="Times New Roman" w:cs="Times New Roman"/>
          <w:caps w:val="0"/>
          <w:smallCaps w:val="0"/>
          <w:color w:val="auto"/>
          <w:spacing w:val="0"/>
          <w:w w:val="100"/>
          <w:position w:val="0"/>
          <w:highlight w:val="none"/>
        </w:rPr>
        <w:t>尽可能减少了占地。</w:t>
      </w:r>
      <w:r>
        <w:rPr>
          <w:rFonts w:hint="eastAsia" w:ascii="Times New Roman" w:hAnsi="Times New Roman" w:cs="Times New Roman"/>
          <w:caps w:val="0"/>
          <w:smallCaps w:val="0"/>
          <w:color w:val="auto"/>
          <w:spacing w:val="0"/>
          <w:w w:val="100"/>
          <w:position w:val="0"/>
          <w:highlight w:val="none"/>
        </w:rPr>
        <w:t>建设单位</w:t>
      </w:r>
      <w:r>
        <w:rPr>
          <w:rFonts w:ascii="Times New Roman" w:hAnsi="Times New Roman" w:cs="Times New Roman"/>
          <w:bCs/>
          <w:caps w:val="0"/>
          <w:smallCaps w:val="0"/>
          <w:color w:val="auto"/>
          <w:spacing w:val="0"/>
          <w:w w:val="100"/>
          <w:position w:val="0"/>
          <w:highlight w:val="none"/>
        </w:rPr>
        <w:t>已建立较完善的应急预案体系</w:t>
      </w:r>
      <w:r>
        <w:rPr>
          <w:rFonts w:hint="eastAsia" w:ascii="Times New Roman" w:hAnsi="Times New Roman" w:cs="Times New Roman"/>
          <w:bCs/>
          <w:caps w:val="0"/>
          <w:smallCaps w:val="0"/>
          <w:color w:val="auto"/>
          <w:spacing w:val="0"/>
          <w:w w:val="100"/>
          <w:position w:val="0"/>
          <w:highlight w:val="none"/>
        </w:rPr>
        <w:t>，</w:t>
      </w:r>
      <w:r>
        <w:rPr>
          <w:rFonts w:ascii="Times New Roman" w:hAnsi="Times New Roman" w:cs="Times New Roman"/>
          <w:bCs/>
          <w:caps w:val="0"/>
          <w:smallCaps w:val="0"/>
          <w:color w:val="auto"/>
          <w:spacing w:val="0"/>
          <w:w w:val="100"/>
          <w:position w:val="0"/>
          <w:highlight w:val="none"/>
        </w:rPr>
        <w:t>定期开展应急演练</w:t>
      </w:r>
      <w:r>
        <w:rPr>
          <w:rFonts w:hint="eastAsia" w:ascii="Times New Roman" w:hAnsi="Times New Roman" w:cs="Times New Roman"/>
          <w:bCs/>
          <w:caps w:val="0"/>
          <w:smallCaps w:val="0"/>
          <w:color w:val="auto"/>
          <w:spacing w:val="0"/>
          <w:w w:val="100"/>
          <w:position w:val="0"/>
          <w:highlight w:val="none"/>
        </w:rPr>
        <w:t>。</w:t>
      </w:r>
      <w:r>
        <w:rPr>
          <w:rFonts w:hint="eastAsia" w:ascii="Times New Roman" w:hAnsi="Times New Roman" w:cs="Times New Roman"/>
          <w:caps w:val="0"/>
          <w:smallCaps w:val="0"/>
          <w:color w:val="auto"/>
          <w:spacing w:val="0"/>
          <w:w w:val="100"/>
          <w:position w:val="0"/>
          <w:highlight w:val="none"/>
        </w:rPr>
        <w:t>井场地面无油污，不存在生态环境问题</w:t>
      </w:r>
    </w:p>
    <w:p w14:paraId="292C0953">
      <w:pPr>
        <w:widowControl w:val="0"/>
        <w:spacing w:line="440" w:lineRule="exact"/>
        <w:ind w:firstLine="480" w:firstLineChars="200"/>
        <w:jc w:val="both"/>
        <w:rPr>
          <w:rFonts w:hint="eastAsia" w:ascii="Times New Roman" w:hAnsi="Times New Roman" w:eastAsia="宋体" w:cs="Times New Roman"/>
          <w:caps w:val="0"/>
          <w:smallCaps w:val="0"/>
          <w:color w:val="auto"/>
          <w:spacing w:val="0"/>
          <w:w w:val="100"/>
          <w:position w:val="0"/>
          <w:highlight w:val="none"/>
          <w:lang w:val="en-US" w:eastAsia="zh-CN" w:bidi="zh-CN"/>
        </w:rPr>
        <w:sectPr>
          <w:pgSz w:w="11907" w:h="16840"/>
          <w:pgMar w:top="1418" w:right="1418" w:bottom="1418" w:left="1418" w:header="851" w:footer="425" w:gutter="0"/>
          <w:cols w:space="720" w:num="1"/>
          <w:docGrid w:linePitch="326" w:charSpace="0"/>
        </w:sectPr>
      </w:pPr>
    </w:p>
    <w:bookmarkEnd w:id="621"/>
    <w:bookmarkEnd w:id="622"/>
    <w:bookmarkEnd w:id="623"/>
    <w:bookmarkEnd w:id="624"/>
    <w:bookmarkEnd w:id="625"/>
    <w:bookmarkEnd w:id="626"/>
    <w:p w14:paraId="0C2C7873">
      <w:pPr>
        <w:pStyle w:val="3"/>
        <w:widowControl w:val="0"/>
        <w:spacing w:before="180" w:after="180" w:line="500" w:lineRule="exact"/>
        <w:rPr>
          <w:rFonts w:ascii="Times New Roman" w:hAnsi="Times New Roman" w:eastAsiaTheme="minorEastAsia"/>
          <w:b/>
          <w:caps w:val="0"/>
          <w:smallCaps w:val="0"/>
          <w:snapToGrid w:val="0"/>
          <w:color w:val="auto"/>
          <w:spacing w:val="0"/>
          <w:w w:val="100"/>
          <w:position w:val="0"/>
          <w:sz w:val="30"/>
          <w:szCs w:val="30"/>
          <w:highlight w:val="none"/>
        </w:rPr>
      </w:pPr>
      <w:bookmarkStart w:id="737" w:name="_Toc219900395"/>
      <w:bookmarkStart w:id="738" w:name="_Toc480447673"/>
      <w:bookmarkStart w:id="739" w:name="_Toc502736513"/>
      <w:r>
        <w:rPr>
          <w:rFonts w:ascii="Times New Roman" w:hAnsi="Times New Roman" w:eastAsiaTheme="minorEastAsia"/>
          <w:b/>
          <w:caps w:val="0"/>
          <w:smallCaps w:val="0"/>
          <w:snapToGrid w:val="0"/>
          <w:color w:val="auto"/>
          <w:spacing w:val="0"/>
          <w:w w:val="100"/>
          <w:position w:val="0"/>
          <w:sz w:val="30"/>
          <w:szCs w:val="30"/>
          <w:highlight w:val="none"/>
        </w:rPr>
        <w:t>5环境影响预测与评价</w:t>
      </w:r>
      <w:bookmarkEnd w:id="737"/>
    </w:p>
    <w:p w14:paraId="43CD4E76">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740" w:name="_Toc57976719"/>
      <w:bookmarkStart w:id="741" w:name="_Toc502736499"/>
      <w:bookmarkStart w:id="742" w:name="_Toc57707967"/>
      <w:bookmarkStart w:id="743" w:name="_Toc9760"/>
      <w:bookmarkStart w:id="744" w:name="_Toc57203297"/>
      <w:bookmarkStart w:id="745" w:name="_Toc17898220"/>
      <w:bookmarkStart w:id="746" w:name="_Toc219900396"/>
      <w:r>
        <w:rPr>
          <w:rFonts w:ascii="Times New Roman" w:hAnsi="Times New Roman" w:eastAsiaTheme="minorEastAsia"/>
          <w:b/>
          <w:caps w:val="0"/>
          <w:smallCaps w:val="0"/>
          <w:snapToGrid w:val="0"/>
          <w:color w:val="auto"/>
          <w:spacing w:val="0"/>
          <w:w w:val="100"/>
          <w:position w:val="0"/>
          <w:highlight w:val="none"/>
        </w:rPr>
        <w:t>5.1大气环境影响</w:t>
      </w:r>
      <w:bookmarkEnd w:id="740"/>
      <w:bookmarkEnd w:id="741"/>
      <w:bookmarkEnd w:id="742"/>
      <w:bookmarkEnd w:id="743"/>
      <w:bookmarkEnd w:id="744"/>
      <w:bookmarkEnd w:id="745"/>
      <w:r>
        <w:rPr>
          <w:rFonts w:ascii="Times New Roman" w:hAnsi="Times New Roman" w:eastAsiaTheme="minorEastAsia"/>
          <w:b/>
          <w:caps w:val="0"/>
          <w:smallCaps w:val="0"/>
          <w:snapToGrid w:val="0"/>
          <w:color w:val="auto"/>
          <w:spacing w:val="0"/>
          <w:w w:val="100"/>
          <w:position w:val="0"/>
          <w:highlight w:val="none"/>
        </w:rPr>
        <w:t>预测与评价</w:t>
      </w:r>
      <w:bookmarkEnd w:id="746"/>
    </w:p>
    <w:p w14:paraId="4EC8CA0A">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bookmarkStart w:id="747" w:name="_Toc85640808"/>
      <w:bookmarkStart w:id="748" w:name="_Toc110438524"/>
      <w:bookmarkStart w:id="749" w:name="_Toc84929284"/>
      <w:bookmarkStart w:id="750" w:name="_Toc70050233"/>
      <w:bookmarkStart w:id="751" w:name="_Toc80588307"/>
      <w:bookmarkStart w:id="752" w:name="_Toc78816512"/>
      <w:bookmarkStart w:id="753" w:name="_Toc83209529"/>
      <w:bookmarkStart w:id="754" w:name="_Toc80971429"/>
      <w:bookmarkStart w:id="755" w:name="_Toc77067710"/>
      <w:bookmarkStart w:id="756" w:name="_Toc67860184"/>
      <w:bookmarkStart w:id="757" w:name="_Toc76976298"/>
      <w:bookmarkStart w:id="758" w:name="_Toc86141983"/>
      <w:bookmarkStart w:id="759" w:name="_Toc11047899"/>
      <w:r>
        <w:rPr>
          <w:rFonts w:eastAsiaTheme="minorEastAsia"/>
          <w:b/>
          <w:caps w:val="0"/>
          <w:smallCaps w:val="0"/>
          <w:color w:val="auto"/>
          <w:spacing w:val="0"/>
          <w:w w:val="100"/>
          <w:kern w:val="2"/>
          <w:position w:val="0"/>
          <w:sz w:val="24"/>
          <w:szCs w:val="24"/>
          <w:highlight w:val="none"/>
        </w:rPr>
        <w:t>5.1.1施工期</w:t>
      </w:r>
      <w:bookmarkEnd w:id="747"/>
      <w:bookmarkEnd w:id="748"/>
      <w:bookmarkEnd w:id="749"/>
      <w:bookmarkEnd w:id="750"/>
      <w:bookmarkEnd w:id="751"/>
      <w:bookmarkEnd w:id="752"/>
      <w:bookmarkEnd w:id="753"/>
      <w:bookmarkEnd w:id="754"/>
      <w:bookmarkEnd w:id="755"/>
      <w:bookmarkEnd w:id="756"/>
      <w:bookmarkEnd w:id="757"/>
      <w:bookmarkEnd w:id="758"/>
    </w:p>
    <w:p w14:paraId="0CDF6E29">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本工程施工期对大气环境的影响主要为管沟开挖、管道敷设、管沟覆土回填等过程中施工产生的扬尘、施工机械及运输车辆排放的尾气、管道焊接过程会产生焊接烟尘。</w:t>
      </w:r>
    </w:p>
    <w:p w14:paraId="7291C23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（1）施工扬尘</w:t>
      </w:r>
    </w:p>
    <w:p w14:paraId="4CB5545F">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本项目施工期对环境空气质量的影响主要来自于管道建设施工中管沟的开挖和回填、管材运输等过程产生的扬尘，如遇干旱无雨季节，在大风时，施工扬尘将更严重。施工活动的扬尘排放数量与施工面积和施工水平有关。根据相关工程的现场模拟数据调查，施工时产生的场界扬尘约为1.15mg/m</w:t>
      </w:r>
      <w:r>
        <w:rPr>
          <w:rFonts w:ascii="Times New Roman" w:hAnsi="Times New Roman" w:cs="Times New Roman"/>
          <w:caps w:val="0"/>
          <w:smallCaps w:val="0"/>
          <w:color w:val="auto"/>
          <w:spacing w:val="0"/>
          <w:w w:val="100"/>
          <w:position w:val="0"/>
          <w:highlight w:val="none"/>
          <w:vertAlign w:val="superscript"/>
          <w:lang w:val="zh-CN" w:bidi="zh-CN"/>
        </w:rPr>
        <w:t>3</w:t>
      </w:r>
      <w:r>
        <w:rPr>
          <w:rFonts w:ascii="Times New Roman" w:hAnsi="Times New Roman" w:cs="Times New Roman"/>
          <w:caps w:val="0"/>
          <w:smallCaps w:val="0"/>
          <w:color w:val="auto"/>
          <w:spacing w:val="0"/>
          <w:w w:val="100"/>
          <w:position w:val="0"/>
          <w:highlight w:val="none"/>
          <w:lang w:val="zh-CN" w:bidi="zh-CN"/>
        </w:rPr>
        <w:t>。施工扬尘对空气环境影响的最主要的两个途径分别是：</w:t>
      </w:r>
      <w:r>
        <w:rPr>
          <w:rFonts w:hint="eastAsia" w:ascii="Times New Roman" w:hAnsi="Times New Roman" w:cs="Times New Roman"/>
          <w:caps w:val="0"/>
          <w:smallCaps w:val="0"/>
          <w:color w:val="auto"/>
          <w:spacing w:val="0"/>
          <w:w w:val="100"/>
          <w:position w:val="0"/>
          <w:highlight w:val="none"/>
          <w:lang w:val="zh-CN" w:bidi="zh-CN"/>
        </w:rPr>
        <w:t>一是</w:t>
      </w:r>
      <w:r>
        <w:rPr>
          <w:rFonts w:ascii="Times New Roman" w:hAnsi="Times New Roman" w:cs="Times New Roman"/>
          <w:caps w:val="0"/>
          <w:smallCaps w:val="0"/>
          <w:color w:val="auto"/>
          <w:spacing w:val="0"/>
          <w:w w:val="100"/>
          <w:position w:val="0"/>
          <w:highlight w:val="none"/>
          <w:lang w:val="zh-CN" w:bidi="zh-CN"/>
        </w:rPr>
        <w:t>运输车辆在运料过程产生的扬尘和在施工场地中所带起的扬尘；</w:t>
      </w:r>
      <w:r>
        <w:rPr>
          <w:rFonts w:hint="eastAsia" w:ascii="Times New Roman" w:hAnsi="Times New Roman" w:cs="Times New Roman"/>
          <w:caps w:val="0"/>
          <w:smallCaps w:val="0"/>
          <w:color w:val="auto"/>
          <w:spacing w:val="0"/>
          <w:w w:val="100"/>
          <w:position w:val="0"/>
          <w:highlight w:val="none"/>
          <w:lang w:val="zh-CN" w:bidi="zh-CN"/>
        </w:rPr>
        <w:t>二是</w:t>
      </w:r>
      <w:r>
        <w:rPr>
          <w:rFonts w:ascii="Times New Roman" w:hAnsi="Times New Roman" w:cs="Times New Roman"/>
          <w:caps w:val="0"/>
          <w:smallCaps w:val="0"/>
          <w:color w:val="auto"/>
          <w:spacing w:val="0"/>
          <w:w w:val="100"/>
          <w:position w:val="0"/>
          <w:highlight w:val="none"/>
          <w:lang w:val="zh-CN" w:bidi="zh-CN"/>
        </w:rPr>
        <w:t>施工过程中产生的松散的土壤在自然风力的作用下产生的扬尘。</w:t>
      </w:r>
    </w:p>
    <w:p w14:paraId="6372AB35">
      <w:pPr>
        <w:widowControl w:val="0"/>
        <w:autoSpaceDE w:val="0"/>
        <w:autoSpaceDN w:val="0"/>
        <w:spacing w:line="440" w:lineRule="exact"/>
        <w:ind w:firstLine="420"/>
        <w:jc w:val="both"/>
        <w:rPr>
          <w:rFonts w:ascii="Times New Roman" w:hAnsi="Times New Roman" w:cs="Times New Roman"/>
          <w:caps w:val="0"/>
          <w:smallCaps w:val="0"/>
          <w:color w:val="auto"/>
          <w:spacing w:val="0"/>
          <w:w w:val="100"/>
          <w:position w:val="0"/>
          <w:highlight w:val="none"/>
          <w:lang w:val="zh-CN" w:bidi="zh-CN"/>
        </w:rPr>
      </w:pPr>
      <w:r>
        <w:rPr>
          <w:rFonts w:hint="eastAsia" w:ascii="Times New Roman" w:hAnsi="Times New Roman" w:cs="Times New Roman"/>
          <w:caps w:val="0"/>
          <w:smallCaps w:val="0"/>
          <w:color w:val="auto"/>
          <w:spacing w:val="0"/>
          <w:w w:val="100"/>
          <w:position w:val="0"/>
          <w:highlight w:val="none"/>
          <w:lang w:val="zh-CN" w:bidi="zh-CN"/>
        </w:rPr>
        <w:t>①车辆扬尘</w:t>
      </w:r>
    </w:p>
    <w:p w14:paraId="411F0345">
      <w:pPr>
        <w:widowControl w:val="0"/>
        <w:autoSpaceDE w:val="0"/>
        <w:autoSpaceDN w:val="0"/>
        <w:spacing w:line="440" w:lineRule="exact"/>
        <w:ind w:firstLine="42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施工工地由运输车辆行驶产生的扬尘约占扬尘总量的60%，主要与道路路面及车辆行驶速度有关。在同样路面清洁情况下，车速越快，扬尘量越大；而在同样车速情况下，路面清洁度越差，则扬尘量越大。抑制扬尘的一个简洁有效的措施是洒水。表5.1-1为施工场地洒水抑尘的试验结果。由该表数据可看出对施工场地实施每天洒水4-5 次进行抑尘，可将TSP污染距离缩小到20-50m范围。</w:t>
      </w:r>
    </w:p>
    <w:p w14:paraId="5DCD40F0">
      <w:pPr>
        <w:widowControl w:val="0"/>
        <w:autoSpaceDE w:val="0"/>
        <w:autoSpaceDN w:val="0"/>
        <w:adjustRightInd w:val="0"/>
        <w:spacing w:line="440" w:lineRule="exact"/>
        <w:ind w:firstLine="482" w:firstLineChars="200"/>
        <w:jc w:val="both"/>
        <w:rPr>
          <w:rFonts w:ascii="Times New Roman" w:hAnsi="Times New Roman" w:cs="Times New Roman"/>
          <w:b/>
          <w:bCs/>
          <w:caps w:val="0"/>
          <w:smallCaps w:val="0"/>
          <w:color w:val="auto"/>
          <w:spacing w:val="0"/>
          <w:w w:val="100"/>
          <w:kern w:val="24"/>
          <w:position w:val="0"/>
          <w:highlight w:val="none"/>
        </w:rPr>
      </w:pPr>
      <w:r>
        <w:rPr>
          <w:rFonts w:ascii="Times New Roman" w:hAnsi="Times New Roman" w:cs="Times New Roman"/>
          <w:b/>
          <w:bCs/>
          <w:caps w:val="0"/>
          <w:smallCaps w:val="0"/>
          <w:color w:val="auto"/>
          <w:spacing w:val="0"/>
          <w:w w:val="100"/>
          <w:kern w:val="24"/>
          <w:position w:val="0"/>
          <w:highlight w:val="none"/>
        </w:rPr>
        <w:t>表5.1-</w:t>
      </w:r>
      <w:r>
        <w:rPr>
          <w:rFonts w:hint="eastAsia" w:ascii="Times New Roman" w:hAnsi="Times New Roman" w:cs="Times New Roman"/>
          <w:b/>
          <w:bCs/>
          <w:caps w:val="0"/>
          <w:smallCaps w:val="0"/>
          <w:color w:val="auto"/>
          <w:spacing w:val="0"/>
          <w:w w:val="100"/>
          <w:kern w:val="24"/>
          <w:position w:val="0"/>
          <w:highlight w:val="none"/>
        </w:rPr>
        <w:t>1</w:t>
      </w:r>
      <w:r>
        <w:rPr>
          <w:rFonts w:ascii="Times New Roman" w:hAnsi="Times New Roman" w:cs="Times New Roman"/>
          <w:b/>
          <w:bCs/>
          <w:caps w:val="0"/>
          <w:smallCaps w:val="0"/>
          <w:color w:val="auto"/>
          <w:spacing w:val="0"/>
          <w:w w:val="100"/>
          <w:kern w:val="24"/>
          <w:position w:val="0"/>
          <w:highlight w:val="none"/>
        </w:rPr>
        <w:t xml:space="preserve">     施工场地洒水抑尘试验结果 </w:t>
      </w:r>
      <w:r>
        <w:rPr>
          <w:rFonts w:hint="eastAsia" w:ascii="Times New Roman" w:hAnsi="Times New Roman" w:cs="Times New Roman"/>
          <w:b/>
          <w:bCs/>
          <w:caps w:val="0"/>
          <w:smallCaps w:val="0"/>
          <w:color w:val="auto"/>
          <w:spacing w:val="0"/>
          <w:w w:val="100"/>
          <w:kern w:val="24"/>
          <w:position w:val="0"/>
          <w:highlight w:val="none"/>
        </w:rPr>
        <w:t xml:space="preserve">   </w:t>
      </w:r>
      <w:r>
        <w:rPr>
          <w:rFonts w:ascii="Times New Roman" w:hAnsi="Times New Roman" w:cs="Times New Roman"/>
          <w:b/>
          <w:bCs/>
          <w:caps w:val="0"/>
          <w:smallCaps w:val="0"/>
          <w:color w:val="auto"/>
          <w:spacing w:val="0"/>
          <w:w w:val="100"/>
          <w:kern w:val="24"/>
          <w:position w:val="0"/>
          <w:highlight w:val="none"/>
        </w:rPr>
        <w:t xml:space="preserve"> 单位：mg/m</w:t>
      </w:r>
      <w:r>
        <w:rPr>
          <w:rFonts w:ascii="Times New Roman" w:hAnsi="Times New Roman" w:cs="Times New Roman"/>
          <w:b/>
          <w:bCs/>
          <w:caps w:val="0"/>
          <w:smallCaps w:val="0"/>
          <w:color w:val="auto"/>
          <w:spacing w:val="0"/>
          <w:w w:val="100"/>
          <w:kern w:val="24"/>
          <w:position w:val="0"/>
          <w:highlight w:val="none"/>
          <w:vertAlign w:val="superscript"/>
        </w:rPr>
        <w:t>3</w:t>
      </w:r>
    </w:p>
    <w:tbl>
      <w:tblPr>
        <w:tblStyle w:val="2803"/>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87"/>
        <w:gridCol w:w="1117"/>
        <w:gridCol w:w="1442"/>
        <w:gridCol w:w="1651"/>
        <w:gridCol w:w="1431"/>
        <w:gridCol w:w="1449"/>
      </w:tblGrid>
      <w:tr w14:paraId="244F7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1710" w:type="pct"/>
            <w:gridSpan w:val="2"/>
            <w:vAlign w:val="center"/>
          </w:tcPr>
          <w:p w14:paraId="26410CFB">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距离</w:t>
            </w:r>
          </w:p>
        </w:tc>
        <w:tc>
          <w:tcPr>
            <w:tcW w:w="794" w:type="pct"/>
            <w:vAlign w:val="center"/>
          </w:tcPr>
          <w:p w14:paraId="289BD233">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5m</w:t>
            </w:r>
          </w:p>
        </w:tc>
        <w:tc>
          <w:tcPr>
            <w:tcW w:w="909" w:type="pct"/>
            <w:vAlign w:val="center"/>
          </w:tcPr>
          <w:p w14:paraId="7CDBC045">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20m</w:t>
            </w:r>
          </w:p>
        </w:tc>
        <w:tc>
          <w:tcPr>
            <w:tcW w:w="788" w:type="pct"/>
            <w:vAlign w:val="center"/>
          </w:tcPr>
          <w:p w14:paraId="156C1DCA">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50m</w:t>
            </w:r>
          </w:p>
        </w:tc>
        <w:tc>
          <w:tcPr>
            <w:tcW w:w="798" w:type="pct"/>
            <w:vAlign w:val="center"/>
          </w:tcPr>
          <w:p w14:paraId="6FBF98A2">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100m</w:t>
            </w:r>
          </w:p>
        </w:tc>
      </w:tr>
      <w:tr w14:paraId="79037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095" w:type="pct"/>
            <w:vMerge w:val="restart"/>
            <w:tcBorders>
              <w:bottom w:val="nil"/>
            </w:tcBorders>
            <w:vAlign w:val="center"/>
          </w:tcPr>
          <w:p w14:paraId="18D2AD86">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TSP小时平均浓度</w:t>
            </w:r>
          </w:p>
        </w:tc>
        <w:tc>
          <w:tcPr>
            <w:tcW w:w="615" w:type="pct"/>
            <w:vAlign w:val="center"/>
          </w:tcPr>
          <w:p w14:paraId="6557A247">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不洒水</w:t>
            </w:r>
          </w:p>
        </w:tc>
        <w:tc>
          <w:tcPr>
            <w:tcW w:w="794" w:type="pct"/>
            <w:vAlign w:val="center"/>
          </w:tcPr>
          <w:p w14:paraId="6DF96B43">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10.14</w:t>
            </w:r>
          </w:p>
        </w:tc>
        <w:tc>
          <w:tcPr>
            <w:tcW w:w="909" w:type="pct"/>
            <w:vAlign w:val="center"/>
          </w:tcPr>
          <w:p w14:paraId="1494D1A5">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2.89</w:t>
            </w:r>
          </w:p>
        </w:tc>
        <w:tc>
          <w:tcPr>
            <w:tcW w:w="788" w:type="pct"/>
            <w:vAlign w:val="center"/>
          </w:tcPr>
          <w:p w14:paraId="2C3B546D">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1.15</w:t>
            </w:r>
          </w:p>
        </w:tc>
        <w:tc>
          <w:tcPr>
            <w:tcW w:w="798" w:type="pct"/>
            <w:vAlign w:val="center"/>
          </w:tcPr>
          <w:p w14:paraId="7B2296E3">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0.86</w:t>
            </w:r>
          </w:p>
        </w:tc>
      </w:tr>
      <w:tr w14:paraId="1972D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095" w:type="pct"/>
            <w:vMerge w:val="continue"/>
            <w:tcBorders>
              <w:top w:val="nil"/>
            </w:tcBorders>
            <w:vAlign w:val="center"/>
          </w:tcPr>
          <w:p w14:paraId="1451878C">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p>
        </w:tc>
        <w:tc>
          <w:tcPr>
            <w:tcW w:w="615" w:type="pct"/>
            <w:vAlign w:val="center"/>
          </w:tcPr>
          <w:p w14:paraId="16C9BF7B">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洒水</w:t>
            </w:r>
          </w:p>
        </w:tc>
        <w:tc>
          <w:tcPr>
            <w:tcW w:w="794" w:type="pct"/>
            <w:vAlign w:val="center"/>
          </w:tcPr>
          <w:p w14:paraId="54C39F4F">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2.01</w:t>
            </w:r>
          </w:p>
        </w:tc>
        <w:tc>
          <w:tcPr>
            <w:tcW w:w="909" w:type="pct"/>
            <w:vAlign w:val="center"/>
          </w:tcPr>
          <w:p w14:paraId="6FC37A6E">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1.40</w:t>
            </w:r>
          </w:p>
        </w:tc>
        <w:tc>
          <w:tcPr>
            <w:tcW w:w="788" w:type="pct"/>
            <w:vAlign w:val="center"/>
          </w:tcPr>
          <w:p w14:paraId="393CBAE8">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0.67</w:t>
            </w:r>
          </w:p>
        </w:tc>
        <w:tc>
          <w:tcPr>
            <w:tcW w:w="798" w:type="pct"/>
            <w:vAlign w:val="center"/>
          </w:tcPr>
          <w:p w14:paraId="69DB3450">
            <w:pPr>
              <w:widowControl w:val="0"/>
              <w:autoSpaceDE w:val="0"/>
              <w:autoSpaceDN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0.60</w:t>
            </w:r>
          </w:p>
        </w:tc>
      </w:tr>
    </w:tbl>
    <w:p w14:paraId="66FC6217">
      <w:pPr>
        <w:widowControl w:val="0"/>
        <w:autoSpaceDE w:val="0"/>
        <w:autoSpaceDN w:val="0"/>
        <w:spacing w:line="440" w:lineRule="exact"/>
        <w:ind w:firstLine="420"/>
        <w:jc w:val="both"/>
        <w:rPr>
          <w:rFonts w:ascii="Times New Roman" w:hAnsi="Times New Roman" w:cs="Times New Roman"/>
          <w:caps w:val="0"/>
          <w:smallCaps w:val="0"/>
          <w:color w:val="auto"/>
          <w:spacing w:val="0"/>
          <w:w w:val="100"/>
          <w:position w:val="0"/>
          <w:highlight w:val="none"/>
          <w:lang w:val="zh-CN" w:bidi="zh-CN"/>
        </w:rPr>
      </w:pPr>
      <w:r>
        <w:rPr>
          <w:rFonts w:hint="eastAsia" w:ascii="Times New Roman" w:hAnsi="Times New Roman" w:cs="Times New Roman"/>
          <w:caps w:val="0"/>
          <w:smallCaps w:val="0"/>
          <w:color w:val="auto"/>
          <w:spacing w:val="0"/>
          <w:w w:val="100"/>
          <w:position w:val="0"/>
          <w:highlight w:val="none"/>
          <w:lang w:val="zh-CN" w:bidi="zh-CN"/>
        </w:rPr>
        <w:t>②自然风力扬尘</w:t>
      </w:r>
    </w:p>
    <w:p w14:paraId="7B4BEF8F">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扬尘在空气中的飘扬距离与空气动力特性有关，主要是与风速和大气稳定度关系密切。在大气稳定度处于稳定状态时，其传播距离较近，风速较小时，其传播距离也较近</w:t>
      </w:r>
      <w:r>
        <w:rPr>
          <w:rFonts w:hint="eastAsia" w:ascii="Times New Roman" w:hAnsi="Times New Roman" w:cs="Times New Roman"/>
          <w:caps w:val="0"/>
          <w:smallCaps w:val="0"/>
          <w:color w:val="auto"/>
          <w:spacing w:val="0"/>
          <w:w w:val="100"/>
          <w:position w:val="0"/>
          <w:highlight w:val="none"/>
          <w:lang w:val="zh-CN" w:bidi="zh-CN"/>
        </w:rPr>
        <w:t>。</w:t>
      </w:r>
      <w:r>
        <w:rPr>
          <w:rFonts w:ascii="Times New Roman" w:hAnsi="Times New Roman" w:cs="Times New Roman"/>
          <w:caps w:val="0"/>
          <w:smallCaps w:val="0"/>
          <w:color w:val="auto"/>
          <w:spacing w:val="0"/>
          <w:w w:val="100"/>
          <w:position w:val="0"/>
          <w:highlight w:val="none"/>
          <w:lang w:val="zh-CN" w:bidi="zh-CN"/>
        </w:rPr>
        <w:t>地区内大气特征及地面风场特征以中性D类稳定度为主，只是在春季大风天气较多，其特征气象条件较不利于扬尘扩散。根据类比调查，一般情况下，施工场地、施工道路在自然风作用下产生的扬尘所影响的范围在100m以内</w:t>
      </w:r>
      <w:r>
        <w:rPr>
          <w:rFonts w:hint="eastAsia" w:ascii="Times New Roman" w:hAnsi="Times New Roman" w:cs="Times New Roman"/>
          <w:caps w:val="0"/>
          <w:smallCaps w:val="0"/>
          <w:color w:val="auto"/>
          <w:spacing w:val="0"/>
          <w:w w:val="100"/>
          <w:position w:val="0"/>
          <w:highlight w:val="none"/>
          <w:lang w:val="zh-CN" w:bidi="zh-CN"/>
        </w:rPr>
        <w:t>，</w:t>
      </w:r>
      <w:r>
        <w:rPr>
          <w:rFonts w:ascii="Times New Roman" w:hAnsi="Times New Roman" w:cs="Times New Roman"/>
          <w:caps w:val="0"/>
          <w:smallCaps w:val="0"/>
          <w:color w:val="auto"/>
          <w:spacing w:val="0"/>
          <w:w w:val="100"/>
          <w:position w:val="0"/>
          <w:highlight w:val="none"/>
          <w:lang w:val="zh-CN" w:bidi="zh-CN"/>
        </w:rPr>
        <w:t>距施工场地50m处的扬尘</w:t>
      </w:r>
      <w:r>
        <w:rPr>
          <w:rFonts w:hint="eastAsia" w:ascii="Times New Roman" w:hAnsi="Times New Roman" w:cs="Times New Roman"/>
          <w:caps w:val="0"/>
          <w:smallCaps w:val="0"/>
          <w:color w:val="auto"/>
          <w:spacing w:val="0"/>
          <w:w w:val="100"/>
          <w:position w:val="0"/>
          <w:highlight w:val="none"/>
          <w:lang w:val="zh-CN" w:bidi="zh-CN"/>
        </w:rPr>
        <w:t>（</w:t>
      </w:r>
      <w:r>
        <w:rPr>
          <w:rFonts w:ascii="Times New Roman" w:hAnsi="Times New Roman" w:cs="Times New Roman"/>
          <w:caps w:val="0"/>
          <w:smallCaps w:val="0"/>
          <w:color w:val="auto"/>
          <w:spacing w:val="0"/>
          <w:w w:val="100"/>
          <w:position w:val="0"/>
          <w:highlight w:val="none"/>
          <w:lang w:val="zh-CN" w:bidi="zh-CN"/>
        </w:rPr>
        <w:t>TSP</w:t>
      </w:r>
      <w:r>
        <w:rPr>
          <w:rFonts w:hint="eastAsia" w:ascii="Times New Roman" w:hAnsi="Times New Roman" w:cs="Times New Roman"/>
          <w:caps w:val="0"/>
          <w:smallCaps w:val="0"/>
          <w:color w:val="auto"/>
          <w:spacing w:val="0"/>
          <w:w w:val="100"/>
          <w:position w:val="0"/>
          <w:highlight w:val="none"/>
          <w:lang w:val="zh-CN" w:bidi="zh-CN"/>
        </w:rPr>
        <w:t>）</w:t>
      </w:r>
      <w:r>
        <w:rPr>
          <w:rFonts w:ascii="Times New Roman" w:hAnsi="Times New Roman" w:cs="Times New Roman"/>
          <w:caps w:val="0"/>
          <w:smallCaps w:val="0"/>
          <w:color w:val="auto"/>
          <w:spacing w:val="0"/>
          <w:w w:val="100"/>
          <w:position w:val="0"/>
          <w:highlight w:val="none"/>
          <w:lang w:val="zh-CN" w:bidi="zh-CN"/>
        </w:rPr>
        <w:t>可降至1.0mg/m</w:t>
      </w:r>
      <w:r>
        <w:rPr>
          <w:rFonts w:ascii="Times New Roman" w:hAnsi="Times New Roman" w:cs="Times New Roman"/>
          <w:caps w:val="0"/>
          <w:smallCaps w:val="0"/>
          <w:color w:val="auto"/>
          <w:spacing w:val="0"/>
          <w:w w:val="100"/>
          <w:position w:val="0"/>
          <w:highlight w:val="none"/>
          <w:vertAlign w:val="superscript"/>
          <w:lang w:val="zh-CN" w:bidi="zh-CN"/>
        </w:rPr>
        <w:t>3</w:t>
      </w:r>
      <w:r>
        <w:rPr>
          <w:rFonts w:ascii="Times New Roman" w:hAnsi="Times New Roman" w:cs="Times New Roman"/>
          <w:caps w:val="0"/>
          <w:smallCaps w:val="0"/>
          <w:color w:val="auto"/>
          <w:spacing w:val="0"/>
          <w:w w:val="100"/>
          <w:position w:val="0"/>
          <w:highlight w:val="none"/>
          <w:lang w:val="zh-CN" w:bidi="zh-CN"/>
        </w:rPr>
        <w:t>。</w:t>
      </w:r>
    </w:p>
    <w:p w14:paraId="23A4743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lang w:val="zh-CN" w:bidi="zh-CN"/>
        </w:rPr>
        <w:t>施工中产生的扬尘对周围空气环境的影响范围大约在施工场地100m以内，本项目施工管线两侧</w:t>
      </w:r>
      <w:r>
        <w:rPr>
          <w:rFonts w:hint="eastAsia" w:ascii="Times New Roman" w:hAnsi="Times New Roman" w:cs="Times New Roman"/>
          <w:caps w:val="0"/>
          <w:smallCaps w:val="0"/>
          <w:color w:val="auto"/>
          <w:spacing w:val="0"/>
          <w:w w:val="100"/>
          <w:position w:val="0"/>
          <w:highlight w:val="none"/>
          <w:lang w:val="zh-CN" w:bidi="zh-CN"/>
        </w:rPr>
        <w:t>200m范围内无村屯等保护目标</w:t>
      </w:r>
      <w:r>
        <w:rPr>
          <w:rFonts w:ascii="Times New Roman" w:hAnsi="Times New Roman" w:cs="Times New Roman"/>
          <w:caps w:val="0"/>
          <w:smallCaps w:val="0"/>
          <w:color w:val="auto"/>
          <w:spacing w:val="0"/>
          <w:w w:val="100"/>
          <w:position w:val="0"/>
          <w:highlight w:val="none"/>
          <w:lang w:val="zh-CN" w:bidi="zh-CN"/>
        </w:rPr>
        <w:t>，项目管线施工时间</w:t>
      </w:r>
      <w:r>
        <w:rPr>
          <w:rFonts w:hint="eastAsia" w:ascii="Times New Roman" w:hAnsi="Times New Roman" w:cs="Times New Roman"/>
          <w:caps w:val="0"/>
          <w:smallCaps w:val="0"/>
          <w:color w:val="auto"/>
          <w:spacing w:val="0"/>
          <w:w w:val="100"/>
          <w:position w:val="0"/>
          <w:highlight w:val="none"/>
          <w:lang w:val="zh-CN" w:bidi="zh-CN"/>
        </w:rPr>
        <w:t>较短</w:t>
      </w:r>
      <w:r>
        <w:rPr>
          <w:rFonts w:ascii="Times New Roman" w:hAnsi="Times New Roman" w:cs="Times New Roman"/>
          <w:caps w:val="0"/>
          <w:smallCaps w:val="0"/>
          <w:color w:val="auto"/>
          <w:spacing w:val="0"/>
          <w:w w:val="100"/>
          <w:position w:val="0"/>
          <w:highlight w:val="none"/>
          <w:lang w:val="zh-CN" w:bidi="zh-CN"/>
        </w:rPr>
        <w:t>，施工过程中对施工区域进行洒水降尘，尤其是距离居民区较近的管线施工过程增加洒水降尘次数，</w:t>
      </w:r>
      <w:r>
        <w:rPr>
          <w:rFonts w:hint="eastAsia" w:ascii="Times New Roman" w:hAnsi="Times New Roman" w:cs="Times New Roman"/>
          <w:caps w:val="0"/>
          <w:smallCaps w:val="0"/>
          <w:color w:val="auto"/>
          <w:spacing w:val="0"/>
          <w:w w:val="100"/>
          <w:position w:val="0"/>
          <w:highlight w:val="none"/>
          <w:lang w:val="zh-CN" w:bidi="zh-CN"/>
        </w:rPr>
        <w:t>并在靠近村屯一侧设施工围挡，</w:t>
      </w:r>
      <w:r>
        <w:rPr>
          <w:rFonts w:ascii="Times New Roman" w:hAnsi="Times New Roman" w:cs="Times New Roman"/>
          <w:caps w:val="0"/>
          <w:smallCaps w:val="0"/>
          <w:color w:val="auto"/>
          <w:spacing w:val="0"/>
          <w:w w:val="100"/>
          <w:position w:val="0"/>
          <w:highlight w:val="none"/>
          <w:lang w:val="zh-CN" w:bidi="zh-CN"/>
        </w:rPr>
        <w:t>施工结束后及时恢复施工占地的原有地面。因此施工扬尘对沿线敏感目标影响具有一定的时段性，并且这种影响随着施工期的结束而消失</w:t>
      </w:r>
      <w:r>
        <w:rPr>
          <w:rFonts w:ascii="Times New Roman" w:hAnsi="Times New Roman" w:cs="Times New Roman" w:eastAsiaTheme="minorEastAsia"/>
          <w:caps w:val="0"/>
          <w:smallCaps w:val="0"/>
          <w:color w:val="auto"/>
          <w:spacing w:val="0"/>
          <w:w w:val="100"/>
          <w:position w:val="0"/>
          <w:highlight w:val="none"/>
        </w:rPr>
        <w:t>。</w:t>
      </w:r>
    </w:p>
    <w:p w14:paraId="770C107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（2）施工机械及</w:t>
      </w:r>
      <w:r>
        <w:rPr>
          <w:rFonts w:ascii="Times New Roman" w:hAnsi="Times New Roman" w:cs="Times New Roman"/>
          <w:caps w:val="0"/>
          <w:smallCaps w:val="0"/>
          <w:color w:val="auto"/>
          <w:spacing w:val="0"/>
          <w:w w:val="100"/>
          <w:position w:val="0"/>
          <w:highlight w:val="none"/>
        </w:rPr>
        <w:t>运输车辆尾气</w:t>
      </w:r>
    </w:p>
    <w:p w14:paraId="24E089F0">
      <w:pPr>
        <w:widowControl w:val="0"/>
        <w:spacing w:line="440" w:lineRule="exact"/>
        <w:ind w:firstLine="480" w:firstLineChars="200"/>
        <w:jc w:val="both"/>
        <w:rPr>
          <w:rFonts w:ascii="Times New Roman" w:hAnsi="Times New Roman" w:eastAsia="黑体"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本工程施工期各类施工机械及运输车辆排放的尾气会对大气环境造成一定污染，排放主要污染物为NOx、CO、HC等，均属于无组织排放，施工所处地区宽阔，地形简单，污染物在大气中可快速扩散，由于车辆排放的尾气为流动的线源，影响范围较大，但其污染不集中且扩散能力相对较快，因此对环境的空气的影响不是很大。</w:t>
      </w:r>
    </w:p>
    <w:p w14:paraId="5518747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（3）焊接烟尘</w:t>
      </w:r>
    </w:p>
    <w:p w14:paraId="2638962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lang w:val="zh-CN"/>
        </w:rPr>
      </w:pPr>
      <w:r>
        <w:rPr>
          <w:rFonts w:ascii="Times New Roman" w:hAnsi="Times New Roman" w:cs="Times New Roman" w:eastAsiaTheme="minorEastAsia"/>
          <w:caps w:val="0"/>
          <w:smallCaps w:val="0"/>
          <w:color w:val="auto"/>
          <w:spacing w:val="0"/>
          <w:w w:val="100"/>
          <w:position w:val="0"/>
          <w:highlight w:val="none"/>
          <w:lang w:val="zh-CN"/>
        </w:rPr>
        <w:t>项目管道焊接主要方式为电焊，焊接过程中会产生少量焊接烟尘，焊接烟气中有毒有害气体的成份主要为CO、CO</w:t>
      </w:r>
      <w:r>
        <w:rPr>
          <w:rFonts w:ascii="Times New Roman" w:hAnsi="Times New Roman" w:cs="Times New Roman" w:eastAsiaTheme="minorEastAsia"/>
          <w:caps w:val="0"/>
          <w:smallCaps w:val="0"/>
          <w:color w:val="auto"/>
          <w:spacing w:val="0"/>
          <w:w w:val="100"/>
          <w:position w:val="0"/>
          <w:highlight w:val="none"/>
          <w:vertAlign w:val="subscript"/>
          <w:lang w:val="zh-CN"/>
        </w:rPr>
        <w:t>2</w:t>
      </w:r>
      <w:r>
        <w:rPr>
          <w:rFonts w:ascii="Times New Roman" w:hAnsi="Times New Roman" w:cs="Times New Roman" w:eastAsiaTheme="minorEastAsia"/>
          <w:caps w:val="0"/>
          <w:smallCaps w:val="0"/>
          <w:color w:val="auto"/>
          <w:spacing w:val="0"/>
          <w:w w:val="100"/>
          <w:position w:val="0"/>
          <w:highlight w:val="none"/>
          <w:lang w:val="zh-CN"/>
        </w:rPr>
        <w:t>、O</w:t>
      </w:r>
      <w:r>
        <w:rPr>
          <w:rFonts w:ascii="Times New Roman" w:hAnsi="Times New Roman" w:cs="Times New Roman" w:eastAsiaTheme="minorEastAsia"/>
          <w:caps w:val="0"/>
          <w:smallCaps w:val="0"/>
          <w:color w:val="auto"/>
          <w:spacing w:val="0"/>
          <w:w w:val="100"/>
          <w:position w:val="0"/>
          <w:highlight w:val="none"/>
          <w:vertAlign w:val="subscript"/>
          <w:lang w:val="zh-CN"/>
        </w:rPr>
        <w:t>3</w:t>
      </w:r>
      <w:r>
        <w:rPr>
          <w:rFonts w:ascii="Times New Roman" w:hAnsi="Times New Roman" w:cs="Times New Roman" w:eastAsiaTheme="minorEastAsia"/>
          <w:caps w:val="0"/>
          <w:smallCaps w:val="0"/>
          <w:color w:val="auto"/>
          <w:spacing w:val="0"/>
          <w:w w:val="100"/>
          <w:position w:val="0"/>
          <w:highlight w:val="none"/>
          <w:lang w:val="zh-CN"/>
        </w:rPr>
        <w:t>、NO</w:t>
      </w:r>
      <w:r>
        <w:rPr>
          <w:rFonts w:ascii="Times New Roman" w:hAnsi="Times New Roman" w:cs="Times New Roman" w:eastAsiaTheme="minorEastAsia"/>
          <w:caps w:val="0"/>
          <w:smallCaps w:val="0"/>
          <w:color w:val="auto"/>
          <w:spacing w:val="0"/>
          <w:w w:val="100"/>
          <w:position w:val="0"/>
          <w:highlight w:val="none"/>
          <w:vertAlign w:val="subscript"/>
          <w:lang w:val="zh-CN"/>
        </w:rPr>
        <w:t>x</w:t>
      </w:r>
      <w:r>
        <w:rPr>
          <w:rFonts w:ascii="Times New Roman" w:hAnsi="Times New Roman" w:cs="Times New Roman" w:eastAsiaTheme="minorEastAsia"/>
          <w:caps w:val="0"/>
          <w:smallCaps w:val="0"/>
          <w:color w:val="auto"/>
          <w:spacing w:val="0"/>
          <w:w w:val="100"/>
          <w:position w:val="0"/>
          <w:highlight w:val="none"/>
          <w:lang w:val="zh-CN"/>
        </w:rPr>
        <w:t>、CH</w:t>
      </w:r>
      <w:r>
        <w:rPr>
          <w:rFonts w:ascii="Times New Roman" w:hAnsi="Times New Roman" w:cs="Times New Roman" w:eastAsiaTheme="minorEastAsia"/>
          <w:caps w:val="0"/>
          <w:smallCaps w:val="0"/>
          <w:color w:val="auto"/>
          <w:spacing w:val="0"/>
          <w:w w:val="100"/>
          <w:position w:val="0"/>
          <w:highlight w:val="none"/>
          <w:vertAlign w:val="subscript"/>
          <w:lang w:val="zh-CN"/>
        </w:rPr>
        <w:t>4</w:t>
      </w:r>
      <w:r>
        <w:rPr>
          <w:rFonts w:ascii="Times New Roman" w:hAnsi="Times New Roman" w:cs="Times New Roman" w:eastAsiaTheme="minorEastAsia"/>
          <w:caps w:val="0"/>
          <w:smallCaps w:val="0"/>
          <w:color w:val="auto"/>
          <w:spacing w:val="0"/>
          <w:w w:val="100"/>
          <w:position w:val="0"/>
          <w:highlight w:val="none"/>
          <w:lang w:val="zh-CN"/>
        </w:rPr>
        <w:t>等，其中以CO所占的比例最大，但由于项目焊接点较少，产生的焊接烟尘量较小，且项目位于室外，空气扩散条件较好，对大气环境影响较小。</w:t>
      </w:r>
    </w:p>
    <w:p w14:paraId="63E5345A">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采取以上措施后，本项目施工期对大气环境的影响较小，且施工期结束后对环境的影响即消失，对周围环境产生的影响较小。</w:t>
      </w:r>
    </w:p>
    <w:p w14:paraId="7F465B47">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760" w:name="_Toc77067711"/>
      <w:bookmarkStart w:id="761" w:name="_Toc67860185"/>
      <w:bookmarkStart w:id="762" w:name="_Toc78816513"/>
      <w:bookmarkStart w:id="763" w:name="_Toc80588308"/>
      <w:bookmarkStart w:id="764" w:name="_Toc76976299"/>
      <w:bookmarkStart w:id="765" w:name="_Toc80971430"/>
      <w:bookmarkStart w:id="766" w:name="_Toc83209530"/>
      <w:bookmarkStart w:id="767" w:name="_Toc110438525"/>
      <w:bookmarkStart w:id="768" w:name="_Toc84929285"/>
      <w:bookmarkStart w:id="769" w:name="_Toc85640809"/>
      <w:bookmarkStart w:id="770" w:name="_Toc70050234"/>
      <w:bookmarkStart w:id="771" w:name="_Toc86141984"/>
      <w:r>
        <w:rPr>
          <w:rFonts w:eastAsiaTheme="minorEastAsia"/>
          <w:b/>
          <w:caps w:val="0"/>
          <w:smallCaps w:val="0"/>
          <w:color w:val="auto"/>
          <w:spacing w:val="0"/>
          <w:w w:val="100"/>
          <w:kern w:val="2"/>
          <w:position w:val="0"/>
          <w:sz w:val="24"/>
          <w:szCs w:val="24"/>
          <w:highlight w:val="none"/>
        </w:rPr>
        <w:t>5.1.2运行期</w:t>
      </w:r>
      <w:bookmarkEnd w:id="760"/>
      <w:bookmarkEnd w:id="761"/>
      <w:bookmarkEnd w:id="762"/>
      <w:bookmarkEnd w:id="763"/>
      <w:bookmarkEnd w:id="764"/>
      <w:bookmarkEnd w:id="765"/>
      <w:bookmarkEnd w:id="766"/>
      <w:bookmarkEnd w:id="767"/>
      <w:bookmarkEnd w:id="768"/>
      <w:bookmarkEnd w:id="769"/>
      <w:bookmarkEnd w:id="770"/>
      <w:bookmarkEnd w:id="771"/>
    </w:p>
    <w:p w14:paraId="7620AB5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本项目运营期采用密闭集输工艺输送原油、</w:t>
      </w:r>
      <w:r>
        <w:rPr>
          <w:rFonts w:hint="eastAsia" w:ascii="Times New Roman" w:hAnsi="Times New Roman" w:cs="Times New Roman" w:eastAsiaTheme="minorEastAsia"/>
          <w:caps w:val="0"/>
          <w:smallCaps w:val="0"/>
          <w:color w:val="auto"/>
          <w:spacing w:val="0"/>
          <w:w w:val="100"/>
          <w:position w:val="0"/>
          <w:highlight w:val="none"/>
          <w:lang w:val="en-US" w:eastAsia="zh-CN"/>
        </w:rPr>
        <w:t>含油污水</w:t>
      </w:r>
      <w:r>
        <w:rPr>
          <w:rFonts w:ascii="Times New Roman" w:hAnsi="Times New Roman" w:cs="Times New Roman" w:eastAsiaTheme="minorEastAsia"/>
          <w:caps w:val="0"/>
          <w:smallCaps w:val="0"/>
          <w:color w:val="auto"/>
          <w:spacing w:val="0"/>
          <w:w w:val="100"/>
          <w:position w:val="0"/>
          <w:highlight w:val="none"/>
        </w:rPr>
        <w:t>，正常运营期无废污染物排放。因此，项目建设对环境空气质量影响很小。</w:t>
      </w:r>
    </w:p>
    <w:p w14:paraId="3CA3EBAC">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772" w:name="_Toc186444336"/>
      <w:bookmarkStart w:id="773" w:name="_Toc86141985"/>
      <w:bookmarkStart w:id="774" w:name="_Toc80971431"/>
      <w:bookmarkStart w:id="775" w:name="_Toc80588309"/>
      <w:bookmarkStart w:id="776" w:name="_Toc85640810"/>
      <w:bookmarkStart w:id="777" w:name="_Toc78816514"/>
      <w:bookmarkStart w:id="778" w:name="_Toc110438526"/>
      <w:bookmarkStart w:id="779" w:name="_Toc84929286"/>
      <w:bookmarkStart w:id="780" w:name="_Toc83209531"/>
      <w:r>
        <w:rPr>
          <w:rFonts w:eastAsiaTheme="minorEastAsia"/>
          <w:b/>
          <w:caps w:val="0"/>
          <w:smallCaps w:val="0"/>
          <w:color w:val="auto"/>
          <w:spacing w:val="0"/>
          <w:w w:val="100"/>
          <w:kern w:val="2"/>
          <w:position w:val="0"/>
          <w:sz w:val="24"/>
          <w:szCs w:val="24"/>
          <w:highlight w:val="none"/>
        </w:rPr>
        <w:t>5.1.3退役期</w:t>
      </w:r>
      <w:bookmarkEnd w:id="772"/>
    </w:p>
    <w:p w14:paraId="1C0AE502">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本项目退役期对大气环境的影响主要是施工产生的扬尘、施工机械及车辆排放的尾气。</w:t>
      </w:r>
    </w:p>
    <w:p w14:paraId="6CBBD36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（1）施工扬尘</w:t>
      </w:r>
    </w:p>
    <w:p w14:paraId="5DC47E3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本项目退役期废气主要为管线封堵直埋作业时产生的施工扬尘，由于施工时间较短，产生的施工扬尘较少。通过洒水抑尘、运输车辆采取遮盖措施、大风天停止作业等措施，施工扬尘对周围大气环境的影响较小。</w:t>
      </w:r>
    </w:p>
    <w:p w14:paraId="1D85957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（2）</w:t>
      </w:r>
      <w:r>
        <w:rPr>
          <w:rFonts w:ascii="Times New Roman" w:hAnsi="Times New Roman" w:cs="Times New Roman"/>
          <w:caps w:val="0"/>
          <w:smallCaps w:val="0"/>
          <w:color w:val="auto"/>
          <w:spacing w:val="0"/>
          <w:w w:val="100"/>
          <w:position w:val="0"/>
          <w:highlight w:val="none"/>
        </w:rPr>
        <w:t>车辆尾气</w:t>
      </w:r>
    </w:p>
    <w:p w14:paraId="7E385561">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本项目退役期各类工程及运输车辆排放的尾气会对大气环境造成一定污染，排放主要污染物为NOx、CO、HC等，均属于无组织排放，施工所处地区宽阔，地形简单，污染物在大气中可快速扩散，由于车辆排放的尾气为流动的线源，其污染不集中且扩散能力相对较快，因此对环境的空气的影响不是很大。</w:t>
      </w:r>
    </w:p>
    <w:p w14:paraId="19517AAC">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5.1.4评价结论</w:t>
      </w:r>
      <w:bookmarkEnd w:id="773"/>
      <w:bookmarkEnd w:id="774"/>
      <w:bookmarkEnd w:id="775"/>
      <w:bookmarkEnd w:id="776"/>
      <w:bookmarkEnd w:id="777"/>
      <w:bookmarkEnd w:id="778"/>
      <w:bookmarkEnd w:id="779"/>
      <w:bookmarkEnd w:id="780"/>
    </w:p>
    <w:p w14:paraId="7CE8E4D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通过在施工期及退役期采用洒水抑尘、设置施工围挡、遮盖等措施后对周围大气影响较小，且环境影响施工结束后影响即消除；运营期采用密闭集输工艺输送原油、</w:t>
      </w:r>
      <w:r>
        <w:rPr>
          <w:rFonts w:hint="eastAsia" w:ascii="Times New Roman" w:hAnsi="Times New Roman" w:cs="Times New Roman"/>
          <w:caps w:val="0"/>
          <w:smallCaps w:val="0"/>
          <w:color w:val="auto"/>
          <w:spacing w:val="0"/>
          <w:w w:val="100"/>
          <w:kern w:val="2"/>
          <w:position w:val="0"/>
          <w:szCs w:val="20"/>
          <w:highlight w:val="none"/>
          <w:lang w:val="en-US" w:eastAsia="zh-CN"/>
        </w:rPr>
        <w:t>含油污水</w:t>
      </w:r>
      <w:r>
        <w:rPr>
          <w:rFonts w:ascii="Times New Roman" w:hAnsi="Times New Roman" w:cs="Times New Roman"/>
          <w:caps w:val="0"/>
          <w:smallCaps w:val="0"/>
          <w:color w:val="auto"/>
          <w:spacing w:val="0"/>
          <w:w w:val="100"/>
          <w:kern w:val="2"/>
          <w:position w:val="0"/>
          <w:szCs w:val="20"/>
          <w:highlight w:val="none"/>
        </w:rPr>
        <w:t>，正常运营期无废污染物排放，不会对周边大气敏感点产生影响。大气环境影响评价自查表见附表1。</w:t>
      </w:r>
    </w:p>
    <w:p w14:paraId="2388A68F">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781" w:name="_Toc219900397"/>
      <w:r>
        <w:rPr>
          <w:rFonts w:ascii="Times New Roman" w:hAnsi="Times New Roman" w:eastAsiaTheme="minorEastAsia"/>
          <w:b/>
          <w:caps w:val="0"/>
          <w:smallCaps w:val="0"/>
          <w:snapToGrid w:val="0"/>
          <w:color w:val="auto"/>
          <w:spacing w:val="0"/>
          <w:w w:val="100"/>
          <w:position w:val="0"/>
          <w:highlight w:val="none"/>
        </w:rPr>
        <w:t>5.2地表水环境影响预测与评价</w:t>
      </w:r>
      <w:bookmarkEnd w:id="781"/>
    </w:p>
    <w:p w14:paraId="41A71F32">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本项目评价范围内无地表水体，施工期对地表水体可能造成污染的污染源主要是生活污水、新建试压废水、废弃管线清洗废水，污染因子主要为COD、氨氮、SS。正常运营期无废水污染物排放。</w:t>
      </w:r>
    </w:p>
    <w:p w14:paraId="29191896">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782" w:name="_Toc86141987"/>
      <w:bookmarkStart w:id="783" w:name="_Toc85640812"/>
      <w:bookmarkStart w:id="784" w:name="_Toc110438528"/>
      <w:r>
        <w:rPr>
          <w:rFonts w:eastAsiaTheme="minorEastAsia"/>
          <w:b/>
          <w:caps w:val="0"/>
          <w:smallCaps w:val="0"/>
          <w:color w:val="auto"/>
          <w:spacing w:val="0"/>
          <w:w w:val="100"/>
          <w:kern w:val="2"/>
          <w:position w:val="0"/>
          <w:sz w:val="24"/>
          <w:szCs w:val="24"/>
          <w:highlight w:val="none"/>
        </w:rPr>
        <w:t>5.2.1施工期</w:t>
      </w:r>
      <w:bookmarkEnd w:id="782"/>
      <w:bookmarkEnd w:id="783"/>
      <w:bookmarkEnd w:id="784"/>
    </w:p>
    <w:p w14:paraId="2B97C26A">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（1）新建管线试压废水、现有管线清洗废水</w:t>
      </w:r>
    </w:p>
    <w:p w14:paraId="2E40BC86">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新建管线试压废水及废弃管线清洗废水由罐车拉运至</w:t>
      </w:r>
      <w:r>
        <w:rPr>
          <w:rFonts w:hint="eastAsia" w:eastAsiaTheme="minorEastAsia"/>
          <w:bCs/>
          <w:caps w:val="0"/>
          <w:smallCaps w:val="0"/>
          <w:color w:val="auto"/>
          <w:spacing w:val="0"/>
          <w:w w:val="100"/>
          <w:position w:val="0"/>
          <w:sz w:val="24"/>
          <w:highlight w:val="none"/>
        </w:rPr>
        <w:t>卫一联含油污水深度处理站</w:t>
      </w:r>
      <w:r>
        <w:rPr>
          <w:rFonts w:eastAsiaTheme="minorEastAsia"/>
          <w:bCs/>
          <w:caps w:val="0"/>
          <w:smallCaps w:val="0"/>
          <w:color w:val="auto"/>
          <w:spacing w:val="0"/>
          <w:w w:val="100"/>
          <w:position w:val="0"/>
          <w:sz w:val="24"/>
          <w:highlight w:val="none"/>
        </w:rPr>
        <w:t>处理满足《大庆油田地面工程建设设计规定》（Q/SYDQ0639-2015）及《碎屑岩油藏注水水质指标技术要求及分析方法》（SY/T5329-2022）限值要求后回注油层，不外排。管线试压废水不会对周边地表水体产生明显影响。</w:t>
      </w:r>
    </w:p>
    <w:p w14:paraId="10444CFB">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（2）生活污水</w:t>
      </w:r>
    </w:p>
    <w:p w14:paraId="00257C19">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本项目不设施工营地，且本项目均在昼间进行施工，施工期施工人员产生的生活污水排入附近计量间或场站已建防渗旱厕，定期由</w:t>
      </w:r>
      <w:r>
        <w:rPr>
          <w:rFonts w:hint="eastAsia" w:eastAsiaTheme="minorEastAsia"/>
          <w:bCs/>
          <w:caps w:val="0"/>
          <w:smallCaps w:val="0"/>
          <w:color w:val="auto"/>
          <w:spacing w:val="0"/>
          <w:w w:val="100"/>
          <w:position w:val="0"/>
          <w:sz w:val="24"/>
          <w:highlight w:val="none"/>
          <w:lang w:eastAsia="zh-CN"/>
        </w:rPr>
        <w:t>安达市同昌油田工程有限公司拉运至大庆市净源环保科技有限公司进行处理</w:t>
      </w:r>
      <w:r>
        <w:rPr>
          <w:rFonts w:eastAsiaTheme="minorEastAsia"/>
          <w:bCs/>
          <w:caps w:val="0"/>
          <w:smallCaps w:val="0"/>
          <w:color w:val="auto"/>
          <w:spacing w:val="0"/>
          <w:w w:val="100"/>
          <w:position w:val="0"/>
          <w:sz w:val="24"/>
          <w:highlight w:val="none"/>
        </w:rPr>
        <w:t>。生活污水不会对周边地表水体产生明显影响。</w:t>
      </w:r>
    </w:p>
    <w:p w14:paraId="4AA4ECB3">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（3）施工期对地表水的环境影响分析</w:t>
      </w:r>
    </w:p>
    <w:p w14:paraId="7AA93365">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hint="eastAsia" w:eastAsiaTheme="minorEastAsia"/>
          <w:bCs/>
          <w:caps w:val="0"/>
          <w:smallCaps w:val="0"/>
          <w:color w:val="auto"/>
          <w:spacing w:val="0"/>
          <w:w w:val="100"/>
          <w:position w:val="0"/>
          <w:sz w:val="24"/>
          <w:highlight w:val="none"/>
        </w:rPr>
        <w:t>本项目管线对周围地表水体的主要影响途径为：项目集输管线在施工期发生原油泄漏等事故将对周围地表水造成的污染影响。事故状态下，管线等事故造成大量的含水原油外泄，如果泄漏的油品不能及时完全回收可能直接或随地表径流进入周围地表水环境，会对其造成严重污染。本项目施工期较短，严格按照施工技术要求施工，此外，项目建设单位还应制定专门的水体生态保护和污染防治方案，保护水体的自然生态环境。同时施工时间选取冰封期进行施工，将可能对周边地表水发生的风险事故影响降至最低。在施工时应将临时的取弃土石方加盖苫布后，堆放在指定地点，并加强对施工人员进行环保措施的宣传教育。</w:t>
      </w:r>
    </w:p>
    <w:p w14:paraId="3C6823C3">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hint="eastAsia" w:eastAsiaTheme="minorEastAsia"/>
          <w:bCs/>
          <w:caps w:val="0"/>
          <w:smallCaps w:val="0"/>
          <w:color w:val="auto"/>
          <w:spacing w:val="0"/>
          <w:w w:val="100"/>
          <w:position w:val="0"/>
          <w:sz w:val="24"/>
          <w:highlight w:val="none"/>
        </w:rPr>
        <w:t>综上，本项目施工期废水均得到合理有效的处理，不排入外环境。施工过程均采取有效的污染防治措施，对周边地表水影响较小。</w:t>
      </w:r>
    </w:p>
    <w:p w14:paraId="1948A72C">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785" w:name="_Toc110438529"/>
      <w:bookmarkStart w:id="786" w:name="_Toc85640813"/>
      <w:bookmarkStart w:id="787" w:name="_Toc86141988"/>
      <w:r>
        <w:rPr>
          <w:rFonts w:eastAsiaTheme="minorEastAsia"/>
          <w:b/>
          <w:caps w:val="0"/>
          <w:smallCaps w:val="0"/>
          <w:color w:val="auto"/>
          <w:spacing w:val="0"/>
          <w:w w:val="100"/>
          <w:kern w:val="2"/>
          <w:position w:val="0"/>
          <w:sz w:val="24"/>
          <w:szCs w:val="24"/>
          <w:highlight w:val="none"/>
        </w:rPr>
        <w:t>5.2.2运营期</w:t>
      </w:r>
      <w:bookmarkEnd w:id="785"/>
      <w:bookmarkEnd w:id="786"/>
      <w:bookmarkEnd w:id="787"/>
    </w:p>
    <w:p w14:paraId="76859984">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本项目为油田内部</w:t>
      </w:r>
      <w:r>
        <w:rPr>
          <w:rFonts w:hint="eastAsia" w:eastAsiaTheme="minorEastAsia"/>
          <w:bCs/>
          <w:caps w:val="0"/>
          <w:smallCaps w:val="0"/>
          <w:color w:val="auto"/>
          <w:spacing w:val="0"/>
          <w:w w:val="100"/>
          <w:position w:val="0"/>
          <w:sz w:val="24"/>
          <w:highlight w:val="none"/>
          <w:lang w:val="en-US" w:eastAsia="zh-CN"/>
        </w:rPr>
        <w:t>集输</w:t>
      </w:r>
      <w:r>
        <w:rPr>
          <w:rFonts w:eastAsiaTheme="minorEastAsia"/>
          <w:bCs/>
          <w:caps w:val="0"/>
          <w:smallCaps w:val="0"/>
          <w:color w:val="auto"/>
          <w:spacing w:val="0"/>
          <w:w w:val="100"/>
          <w:position w:val="0"/>
          <w:sz w:val="24"/>
          <w:highlight w:val="none"/>
        </w:rPr>
        <w:t>管道建设项目，工程运行期正常工况下无废水产生，不会对周边地表水体造成影响。</w:t>
      </w:r>
    </w:p>
    <w:p w14:paraId="0DEB7A4A">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本项目事故状态下可能对地表水体造成污染的污染途径主要为</w:t>
      </w:r>
      <w:r>
        <w:rPr>
          <w:rFonts w:hint="eastAsia" w:eastAsiaTheme="minorEastAsia"/>
          <w:bCs/>
          <w:caps w:val="0"/>
          <w:smallCaps w:val="0"/>
          <w:color w:val="auto"/>
          <w:spacing w:val="0"/>
          <w:w w:val="100"/>
          <w:position w:val="0"/>
          <w:sz w:val="24"/>
          <w:highlight w:val="none"/>
          <w:lang w:val="en-US" w:eastAsia="zh-CN"/>
        </w:rPr>
        <w:t>集输</w:t>
      </w:r>
      <w:r>
        <w:rPr>
          <w:rFonts w:eastAsiaTheme="minorEastAsia"/>
          <w:bCs/>
          <w:caps w:val="0"/>
          <w:smallCaps w:val="0"/>
          <w:color w:val="auto"/>
          <w:spacing w:val="0"/>
          <w:w w:val="100"/>
          <w:position w:val="0"/>
          <w:sz w:val="24"/>
          <w:highlight w:val="none"/>
        </w:rPr>
        <w:t>管道泄漏事故，从而可能导致</w:t>
      </w:r>
      <w:r>
        <w:rPr>
          <w:rFonts w:hint="eastAsia" w:eastAsiaTheme="minorEastAsia"/>
          <w:bCs/>
          <w:caps w:val="0"/>
          <w:smallCaps w:val="0"/>
          <w:color w:val="auto"/>
          <w:spacing w:val="0"/>
          <w:w w:val="100"/>
          <w:position w:val="0"/>
          <w:sz w:val="24"/>
          <w:highlight w:val="none"/>
        </w:rPr>
        <w:t>原油</w:t>
      </w:r>
      <w:r>
        <w:rPr>
          <w:rFonts w:eastAsiaTheme="minorEastAsia"/>
          <w:bCs/>
          <w:caps w:val="0"/>
          <w:smallCaps w:val="0"/>
          <w:color w:val="auto"/>
          <w:spacing w:val="0"/>
          <w:w w:val="100"/>
          <w:position w:val="0"/>
          <w:sz w:val="24"/>
          <w:highlight w:val="none"/>
        </w:rPr>
        <w:t>泄漏直接进入或者通过地表径流进入周边地表水，对地表水环境造成污染影响。</w:t>
      </w:r>
    </w:p>
    <w:p w14:paraId="38D11989">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在油田生产建设及运营过程中，应加强管理，同时确保各项污染控制措施及事故应急措施切实落实，可有效的避免石油或含油污水的泄漏对周围地表水的环境影响，主要控制措施如下：</w:t>
      </w:r>
    </w:p>
    <w:p w14:paraId="67B1E496">
      <w:pPr>
        <w:widowControl w:val="0"/>
        <w:spacing w:line="360" w:lineRule="exact"/>
        <w:ind w:firstLine="480" w:firstLineChars="200"/>
        <w:jc w:val="both"/>
        <w:rPr>
          <w:rFonts w:hint="eastAsia" w:ascii="宋体" w:hAnsi="宋体" w:cs="宋体" w:eastAsiaTheme="minorEastAsia"/>
          <w:bCs/>
          <w:caps w:val="0"/>
          <w:smallCaps w:val="0"/>
          <w:color w:val="auto"/>
          <w:spacing w:val="0"/>
          <w:w w:val="100"/>
          <w:position w:val="0"/>
          <w:sz w:val="24"/>
          <w:highlight w:val="none"/>
          <w:lang w:val="en-US" w:eastAsia="zh-CN"/>
        </w:rPr>
      </w:pPr>
      <w:r>
        <w:rPr>
          <w:rFonts w:eastAsiaTheme="minorEastAsia"/>
          <w:bCs/>
          <w:caps w:val="0"/>
          <w:smallCaps w:val="0"/>
          <w:color w:val="auto"/>
          <w:spacing w:val="0"/>
          <w:w w:val="100"/>
          <w:position w:val="0"/>
          <w:sz w:val="24"/>
          <w:highlight w:val="none"/>
        </w:rPr>
        <w:t>（1）新建输油管道及输气管道采用无缝钢管，管道的连接方式采用焊接</w:t>
      </w:r>
      <w:r>
        <w:rPr>
          <w:rFonts w:ascii="宋体" w:hAnsi="宋体" w:cs="宋体" w:eastAsiaTheme="minorEastAsia"/>
          <w:bCs/>
          <w:caps w:val="0"/>
          <w:smallCaps w:val="0"/>
          <w:color w:val="auto"/>
          <w:spacing w:val="0"/>
          <w:w w:val="100"/>
          <w:position w:val="0"/>
          <w:sz w:val="24"/>
          <w:highlight w:val="none"/>
        </w:rPr>
        <w:t>，管道内</w:t>
      </w:r>
      <w:r>
        <w:rPr>
          <w:rFonts w:hint="eastAsia" w:ascii="宋体" w:hAnsi="宋体" w:cs="宋体" w:eastAsiaTheme="minorEastAsia"/>
          <w:bCs/>
          <w:caps w:val="0"/>
          <w:smallCaps w:val="0"/>
          <w:color w:val="auto"/>
          <w:spacing w:val="0"/>
          <w:w w:val="100"/>
          <w:position w:val="0"/>
          <w:sz w:val="24"/>
          <w:highlight w:val="none"/>
          <w:lang w:val="en-US" w:eastAsia="zh-CN"/>
        </w:rPr>
        <w:t>防腐采用</w:t>
      </w:r>
      <w:r>
        <w:rPr>
          <w:rFonts w:ascii="宋体" w:hAnsi="宋体" w:cs="宋体" w:eastAsiaTheme="minorEastAsia"/>
          <w:bCs/>
          <w:caps w:val="0"/>
          <w:smallCaps w:val="0"/>
          <w:color w:val="auto"/>
          <w:spacing w:val="0"/>
          <w:w w:val="100"/>
          <w:position w:val="0"/>
          <w:sz w:val="24"/>
          <w:highlight w:val="none"/>
          <w:lang w:val="en-US" w:eastAsia="zh-CN"/>
        </w:rPr>
        <w:t>内缠聚乙烯胶带普通级防腐聚</w:t>
      </w:r>
      <w:r>
        <w:rPr>
          <w:rFonts w:hint="default" w:ascii="宋体" w:hAnsi="宋体" w:cs="宋体" w:eastAsiaTheme="minorEastAsia"/>
          <w:bCs/>
          <w:caps w:val="0"/>
          <w:smallCaps w:val="0"/>
          <w:color w:val="auto"/>
          <w:spacing w:val="0"/>
          <w:w w:val="100"/>
          <w:position w:val="0"/>
          <w:sz w:val="24"/>
          <w:highlight w:val="none"/>
          <w:lang w:val="en-US" w:eastAsia="zh-CN"/>
        </w:rPr>
        <w:t>氨酯保温聚乙烯保护成品管</w:t>
      </w:r>
      <w:r>
        <w:rPr>
          <w:rFonts w:hint="eastAsia" w:ascii="宋体" w:hAnsi="宋体" w:cs="宋体" w:eastAsiaTheme="minorEastAsia"/>
          <w:bCs/>
          <w:caps w:val="0"/>
          <w:smallCaps w:val="0"/>
          <w:color w:val="auto"/>
          <w:spacing w:val="0"/>
          <w:w w:val="100"/>
          <w:position w:val="0"/>
          <w:sz w:val="24"/>
          <w:highlight w:val="none"/>
          <w:lang w:val="en-US" w:eastAsia="zh-CN"/>
        </w:rPr>
        <w:t>，套管内外壁防腐采用环氧煤沥青涂料普通级，1底4面。</w:t>
      </w:r>
    </w:p>
    <w:p w14:paraId="1FCC7034">
      <w:pPr>
        <w:widowControl w:val="0"/>
        <w:spacing w:line="360" w:lineRule="exact"/>
        <w:ind w:firstLine="480" w:firstLineChars="200"/>
        <w:jc w:val="both"/>
        <w:rPr>
          <w:rFonts w:ascii="宋体" w:hAnsi="宋体" w:cs="宋体" w:eastAsiaTheme="minorEastAsia"/>
          <w:bCs/>
          <w:caps w:val="0"/>
          <w:smallCaps w:val="0"/>
          <w:color w:val="auto"/>
          <w:spacing w:val="0"/>
          <w:w w:val="100"/>
          <w:position w:val="0"/>
          <w:sz w:val="24"/>
          <w:highlight w:val="none"/>
        </w:rPr>
      </w:pPr>
      <w:r>
        <w:rPr>
          <w:rFonts w:hint="eastAsia" w:ascii="宋体" w:hAnsi="宋体" w:cs="宋体" w:eastAsiaTheme="minorEastAsia"/>
          <w:bCs/>
          <w:caps w:val="0"/>
          <w:smallCaps w:val="0"/>
          <w:color w:val="auto"/>
          <w:spacing w:val="0"/>
          <w:w w:val="100"/>
          <w:position w:val="0"/>
          <w:sz w:val="24"/>
          <w:highlight w:val="none"/>
          <w:lang w:val="en-US" w:eastAsia="zh-CN"/>
        </w:rPr>
        <w:t>防腐补口采用配套聚乙烯黏胶带。保温补口采用配套硬质聚氨酯管壳补口。保护层补口采用配套2PE交联聚乙烯热收缩带补口。 沥青防腐胶带补口采用无溶剂环氧底漆+沥青防腐胶带，加强级，胶带缠2遍</w:t>
      </w:r>
      <w:r>
        <w:rPr>
          <w:rFonts w:ascii="宋体" w:hAnsi="宋体" w:cs="宋体" w:eastAsiaTheme="minorEastAsia"/>
          <w:bCs/>
          <w:caps w:val="0"/>
          <w:smallCaps w:val="0"/>
          <w:color w:val="auto"/>
          <w:spacing w:val="0"/>
          <w:w w:val="100"/>
          <w:position w:val="0"/>
          <w:sz w:val="24"/>
          <w:highlight w:val="none"/>
        </w:rPr>
        <w:t>，能有效防止管线泄漏污染地表水。</w:t>
      </w:r>
    </w:p>
    <w:p w14:paraId="00DE0CEC">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（2）定期对新建</w:t>
      </w:r>
      <w:r>
        <w:rPr>
          <w:rFonts w:hint="eastAsia" w:eastAsiaTheme="minorEastAsia"/>
          <w:bCs/>
          <w:caps w:val="0"/>
          <w:smallCaps w:val="0"/>
          <w:color w:val="auto"/>
          <w:spacing w:val="0"/>
          <w:w w:val="100"/>
          <w:position w:val="0"/>
          <w:sz w:val="24"/>
          <w:highlight w:val="none"/>
          <w:lang w:val="en-US" w:eastAsia="zh-CN"/>
        </w:rPr>
        <w:t>集输</w:t>
      </w:r>
      <w:r>
        <w:rPr>
          <w:rFonts w:eastAsiaTheme="minorEastAsia"/>
          <w:bCs/>
          <w:caps w:val="0"/>
          <w:smallCaps w:val="0"/>
          <w:color w:val="auto"/>
          <w:spacing w:val="0"/>
          <w:w w:val="100"/>
          <w:position w:val="0"/>
          <w:sz w:val="24"/>
          <w:highlight w:val="none"/>
        </w:rPr>
        <w:t>管道腐蚀情况进行检测，定期检测管道壁厚，发现问题及时处理，可有效的防止泄漏事故发生。</w:t>
      </w:r>
    </w:p>
    <w:p w14:paraId="08E22E74">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3）项目设有专职人员对集输管线进行定期巡检，加大巡线频率，提高巡线的有效性；每天检查管道施工带，查看地表情况，并关注在此地带的人员活动情况，发现对管道安全有影响的行为，应及时制止、采取相应措施并向上级报告。</w:t>
      </w:r>
    </w:p>
    <w:p w14:paraId="2528E3B8">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（4）项目依托现有管线压力监控系统进行实时压力监控，一旦发生泄漏管道压力就会出现异常，工作人员可第一时间发现，发现后采取关闭机泵等措施进行控制。</w:t>
      </w:r>
    </w:p>
    <w:p w14:paraId="26CBEB62">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（5）第</w:t>
      </w:r>
      <w:r>
        <w:rPr>
          <w:rFonts w:hint="eastAsia" w:eastAsiaTheme="minorEastAsia"/>
          <w:bCs/>
          <w:caps w:val="0"/>
          <w:smallCaps w:val="0"/>
          <w:color w:val="auto"/>
          <w:spacing w:val="0"/>
          <w:w w:val="100"/>
          <w:position w:val="0"/>
          <w:sz w:val="24"/>
          <w:highlight w:val="none"/>
          <w:lang w:val="en-US" w:eastAsia="zh-CN"/>
        </w:rPr>
        <w:t>十一</w:t>
      </w:r>
      <w:r>
        <w:rPr>
          <w:rFonts w:eastAsiaTheme="minorEastAsia"/>
          <w:bCs/>
          <w:caps w:val="0"/>
          <w:smallCaps w:val="0"/>
          <w:color w:val="auto"/>
          <w:spacing w:val="0"/>
          <w:w w:val="100"/>
          <w:position w:val="0"/>
          <w:sz w:val="24"/>
          <w:highlight w:val="none"/>
        </w:rPr>
        <w:t>采油厂在管线运营管理中制定严格有效的日常管理和抢险维修制度，加强穿越管段的日常巡检和各种内外检测工作，做好应急抢险演练，及时发现第三方施工、地质灾害等危及管道安全的现象，提高应对管道风险能力。</w:t>
      </w:r>
    </w:p>
    <w:p w14:paraId="06BD5C94">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（6）第</w:t>
      </w:r>
      <w:r>
        <w:rPr>
          <w:rFonts w:hint="eastAsia" w:eastAsiaTheme="minorEastAsia"/>
          <w:bCs/>
          <w:caps w:val="0"/>
          <w:smallCaps w:val="0"/>
          <w:color w:val="auto"/>
          <w:spacing w:val="0"/>
          <w:w w:val="100"/>
          <w:position w:val="0"/>
          <w:sz w:val="24"/>
          <w:highlight w:val="none"/>
          <w:lang w:val="en-US" w:eastAsia="zh-CN"/>
        </w:rPr>
        <w:t>十一</w:t>
      </w:r>
      <w:r>
        <w:rPr>
          <w:rFonts w:eastAsiaTheme="minorEastAsia"/>
          <w:bCs/>
          <w:caps w:val="0"/>
          <w:smallCaps w:val="0"/>
          <w:color w:val="auto"/>
          <w:spacing w:val="0"/>
          <w:w w:val="100"/>
          <w:position w:val="0"/>
          <w:sz w:val="24"/>
          <w:highlight w:val="none"/>
        </w:rPr>
        <w:t>采油厂配备有围油栏、吸油毡、消油剂、接油桶等应急物资，若一旦原油泄漏到地表水体，可在发生泄漏事故时对产生的污水进行及时回收和处理。可将事故造成的影响降至最小，避免对周围地表水环境产生大面积污染。</w:t>
      </w:r>
    </w:p>
    <w:p w14:paraId="7E25095B">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综上，事故状态下，在采取以上措施后，运营期对地表水环境产生的影响较小。</w:t>
      </w:r>
    </w:p>
    <w:p w14:paraId="58C81E64">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788" w:name="_Toc186444340"/>
      <w:r>
        <w:rPr>
          <w:rFonts w:eastAsiaTheme="minorEastAsia"/>
          <w:b/>
          <w:caps w:val="0"/>
          <w:smallCaps w:val="0"/>
          <w:color w:val="auto"/>
          <w:spacing w:val="0"/>
          <w:w w:val="100"/>
          <w:kern w:val="2"/>
          <w:position w:val="0"/>
          <w:sz w:val="24"/>
          <w:szCs w:val="24"/>
          <w:highlight w:val="none"/>
        </w:rPr>
        <w:t>5.2.3退役期</w:t>
      </w:r>
      <w:bookmarkEnd w:id="788"/>
    </w:p>
    <w:p w14:paraId="471304BE">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hint="eastAsia" w:eastAsiaTheme="minorEastAsia"/>
          <w:bCs/>
          <w:caps w:val="0"/>
          <w:smallCaps w:val="0"/>
          <w:color w:val="auto"/>
          <w:spacing w:val="0"/>
          <w:w w:val="100"/>
          <w:position w:val="0"/>
          <w:sz w:val="24"/>
          <w:highlight w:val="none"/>
        </w:rPr>
        <w:t>退役管线清洗废水由罐车拉运至卫一联含油污水深度处理站</w:t>
      </w:r>
      <w:r>
        <w:rPr>
          <w:rFonts w:eastAsiaTheme="minorEastAsia"/>
          <w:bCs/>
          <w:caps w:val="0"/>
          <w:smallCaps w:val="0"/>
          <w:color w:val="auto"/>
          <w:spacing w:val="0"/>
          <w:w w:val="100"/>
          <w:position w:val="0"/>
          <w:sz w:val="24"/>
          <w:highlight w:val="none"/>
        </w:rPr>
        <w:t>处理满足《大庆油田地面工程建设设计规定》（Q/SYDQ0639-2015）及《碎屑岩油藏注水水质指标技术要求及分析方法》（SY/T5329-2022）限值要求后回注油层，不外排，不会对周边地表水产生影响。退役期生活污水排入附近计量间或场站已建防渗旱厕，定期由</w:t>
      </w:r>
      <w:r>
        <w:rPr>
          <w:rFonts w:hint="eastAsia" w:eastAsiaTheme="minorEastAsia"/>
          <w:bCs/>
          <w:caps w:val="0"/>
          <w:smallCaps w:val="0"/>
          <w:color w:val="auto"/>
          <w:spacing w:val="0"/>
          <w:w w:val="100"/>
          <w:position w:val="0"/>
          <w:sz w:val="24"/>
          <w:highlight w:val="none"/>
          <w:lang w:eastAsia="zh-CN"/>
        </w:rPr>
        <w:t>安达市同昌油田工程有限公司拉运至大庆市净源环保科技有限公司进行处理</w:t>
      </w:r>
      <w:r>
        <w:rPr>
          <w:rFonts w:eastAsiaTheme="minorEastAsia"/>
          <w:bCs/>
          <w:caps w:val="0"/>
          <w:smallCaps w:val="0"/>
          <w:color w:val="auto"/>
          <w:spacing w:val="0"/>
          <w:w w:val="100"/>
          <w:position w:val="0"/>
          <w:sz w:val="24"/>
          <w:highlight w:val="none"/>
        </w:rPr>
        <w:t>。本项目退役期废水均得到合理有效的处理，不会对区域内地表水体产生不良影响。</w:t>
      </w:r>
    </w:p>
    <w:p w14:paraId="36959D58">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789" w:name="_Toc86141989"/>
      <w:bookmarkStart w:id="790" w:name="_Toc110438530"/>
      <w:bookmarkStart w:id="791" w:name="_Toc85640814"/>
      <w:r>
        <w:rPr>
          <w:rFonts w:eastAsiaTheme="minorEastAsia"/>
          <w:b/>
          <w:caps w:val="0"/>
          <w:smallCaps w:val="0"/>
          <w:color w:val="auto"/>
          <w:spacing w:val="0"/>
          <w:w w:val="100"/>
          <w:kern w:val="2"/>
          <w:position w:val="0"/>
          <w:sz w:val="24"/>
          <w:szCs w:val="24"/>
          <w:highlight w:val="none"/>
        </w:rPr>
        <w:t>5.2.4地表水环境影响评价结论</w:t>
      </w:r>
      <w:bookmarkEnd w:id="789"/>
      <w:bookmarkEnd w:id="790"/>
      <w:bookmarkEnd w:id="791"/>
    </w:p>
    <w:p w14:paraId="178EC0BF">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在施工期、运营期、退役期采取了较为完善的环境保护措施，对地表水环境不会产生不良影响。在事故状态下，尤其是发生输油管道及输气管道泄漏的情况下，若发现或处理不及时会对地表水环境产生一定影响。因此，运营期应加强检测、巡检巡视，及时发现问题及时处理，尽量避免事故的发生，降低事故发生后对环境的影响程度和范围。</w:t>
      </w:r>
    </w:p>
    <w:p w14:paraId="37A3D779">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792" w:name="_Toc219900398"/>
      <w:r>
        <w:rPr>
          <w:rFonts w:ascii="Times New Roman" w:hAnsi="Times New Roman" w:eastAsiaTheme="minorEastAsia"/>
          <w:b/>
          <w:caps w:val="0"/>
          <w:smallCaps w:val="0"/>
          <w:snapToGrid w:val="0"/>
          <w:color w:val="auto"/>
          <w:spacing w:val="0"/>
          <w:w w:val="100"/>
          <w:position w:val="0"/>
          <w:highlight w:val="none"/>
        </w:rPr>
        <w:t>5.3地下水环境影响预测与评价</w:t>
      </w:r>
      <w:bookmarkEnd w:id="792"/>
    </w:p>
    <w:p w14:paraId="03058432">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793" w:name="_Toc83209533"/>
      <w:bookmarkStart w:id="794" w:name="_Toc86141991"/>
      <w:bookmarkStart w:id="795" w:name="_Toc80971433"/>
      <w:bookmarkStart w:id="796" w:name="_Toc85640816"/>
      <w:bookmarkStart w:id="797" w:name="_Toc80588311"/>
      <w:bookmarkStart w:id="798" w:name="_Toc77067713"/>
      <w:bookmarkStart w:id="799" w:name="_Toc70050236"/>
      <w:bookmarkStart w:id="800" w:name="_Toc76976301"/>
      <w:bookmarkStart w:id="801" w:name="_Toc84929288"/>
      <w:bookmarkStart w:id="802" w:name="_Toc67860187"/>
      <w:bookmarkStart w:id="803" w:name="_Toc78816516"/>
      <w:bookmarkStart w:id="804" w:name="_Toc110438532"/>
      <w:r>
        <w:rPr>
          <w:rFonts w:eastAsiaTheme="minorEastAsia"/>
          <w:b/>
          <w:caps w:val="0"/>
          <w:smallCaps w:val="0"/>
          <w:color w:val="auto"/>
          <w:spacing w:val="0"/>
          <w:w w:val="100"/>
          <w:kern w:val="2"/>
          <w:position w:val="0"/>
          <w:sz w:val="24"/>
          <w:szCs w:val="24"/>
          <w:highlight w:val="none"/>
        </w:rPr>
        <w:t>5.3.1正常工况下地下水环境影响分析</w:t>
      </w:r>
      <w:bookmarkEnd w:id="793"/>
      <w:bookmarkEnd w:id="794"/>
      <w:bookmarkEnd w:id="795"/>
      <w:bookmarkEnd w:id="796"/>
      <w:bookmarkEnd w:id="797"/>
      <w:bookmarkEnd w:id="798"/>
      <w:bookmarkEnd w:id="799"/>
      <w:bookmarkEnd w:id="800"/>
      <w:bookmarkEnd w:id="801"/>
      <w:bookmarkEnd w:id="802"/>
      <w:bookmarkEnd w:id="803"/>
      <w:bookmarkEnd w:id="804"/>
    </w:p>
    <w:p w14:paraId="400D7F7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（1）施工期</w:t>
      </w:r>
    </w:p>
    <w:p w14:paraId="3625373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正常情况下施工期新建</w:t>
      </w:r>
      <w:r>
        <w:rPr>
          <w:rFonts w:ascii="Times New Roman" w:hAnsi="Times New Roman" w:cs="Times New Roman"/>
          <w:bCs/>
          <w:caps w:val="0"/>
          <w:smallCaps w:val="0"/>
          <w:color w:val="auto"/>
          <w:spacing w:val="0"/>
          <w:w w:val="100"/>
          <w:kern w:val="2"/>
          <w:position w:val="0"/>
          <w:szCs w:val="20"/>
          <w:highlight w:val="none"/>
        </w:rPr>
        <w:t>管线试压废水及</w:t>
      </w:r>
      <w:r>
        <w:rPr>
          <w:rFonts w:hint="eastAsia" w:ascii="Times New Roman" w:hAnsi="Times New Roman" w:cs="Times New Roman"/>
          <w:bCs/>
          <w:caps w:val="0"/>
          <w:smallCaps w:val="0"/>
          <w:color w:val="auto"/>
          <w:spacing w:val="0"/>
          <w:w w:val="100"/>
          <w:kern w:val="2"/>
          <w:position w:val="0"/>
          <w:szCs w:val="20"/>
          <w:highlight w:val="none"/>
          <w:lang w:val="en-US" w:eastAsia="zh-CN"/>
        </w:rPr>
        <w:t>废弃</w:t>
      </w:r>
      <w:r>
        <w:rPr>
          <w:rFonts w:ascii="Times New Roman" w:hAnsi="Times New Roman" w:cs="Times New Roman"/>
          <w:bCs/>
          <w:caps w:val="0"/>
          <w:smallCaps w:val="0"/>
          <w:color w:val="auto"/>
          <w:spacing w:val="0"/>
          <w:w w:val="100"/>
          <w:kern w:val="2"/>
          <w:position w:val="0"/>
          <w:szCs w:val="20"/>
          <w:highlight w:val="none"/>
        </w:rPr>
        <w:t>管线清洗废水</w:t>
      </w:r>
      <w:r>
        <w:rPr>
          <w:rFonts w:hint="eastAsia" w:ascii="Times New Roman" w:hAnsi="Times New Roman" w:cs="Times New Roman"/>
          <w:bCs/>
          <w:caps w:val="0"/>
          <w:smallCaps w:val="0"/>
          <w:color w:val="auto"/>
          <w:spacing w:val="0"/>
          <w:w w:val="100"/>
          <w:kern w:val="2"/>
          <w:position w:val="0"/>
          <w:szCs w:val="20"/>
          <w:highlight w:val="none"/>
          <w:lang w:val="en-US" w:eastAsia="zh-CN"/>
        </w:rPr>
        <w:t>罐车拉运至</w:t>
      </w:r>
      <w:r>
        <w:rPr>
          <w:rFonts w:hint="eastAsia" w:eastAsiaTheme="minorEastAsia"/>
          <w:bCs/>
          <w:caps w:val="0"/>
          <w:smallCaps w:val="0"/>
          <w:color w:val="auto"/>
          <w:spacing w:val="0"/>
          <w:w w:val="100"/>
          <w:position w:val="0"/>
          <w:sz w:val="24"/>
          <w:highlight w:val="none"/>
        </w:rPr>
        <w:t>卫一联含油污水深度处理站</w:t>
      </w:r>
      <w:r>
        <w:rPr>
          <w:rFonts w:ascii="Times New Roman" w:hAnsi="Times New Roman" w:cs="Times New Roman"/>
          <w:bCs/>
          <w:caps w:val="0"/>
          <w:smallCaps w:val="0"/>
          <w:color w:val="auto"/>
          <w:spacing w:val="0"/>
          <w:w w:val="100"/>
          <w:kern w:val="2"/>
          <w:position w:val="0"/>
          <w:szCs w:val="20"/>
          <w:highlight w:val="none"/>
        </w:rPr>
        <w:t>处理满足《大庆油田地面工程建设设计规定》（Q/SYDQ0639-2015）及《碎屑岩油藏注水水质指标技术要求及分析方法》（SY/T5329-2022）限值要求后回注油层，不外排。施工人员产生的生活污水排入</w:t>
      </w:r>
      <w:r>
        <w:rPr>
          <w:rFonts w:hint="eastAsia" w:ascii="Times New Roman" w:hAnsi="Times New Roman" w:cs="Times New Roman"/>
          <w:bCs/>
          <w:caps w:val="0"/>
          <w:smallCaps w:val="0"/>
          <w:color w:val="auto"/>
          <w:spacing w:val="0"/>
          <w:w w:val="100"/>
          <w:kern w:val="2"/>
          <w:position w:val="0"/>
          <w:szCs w:val="20"/>
          <w:highlight w:val="none"/>
          <w:lang w:val="en-US" w:eastAsia="zh-CN"/>
        </w:rPr>
        <w:t>附近集油阀组间防渗旱厕</w:t>
      </w:r>
      <w:r>
        <w:rPr>
          <w:rFonts w:ascii="Times New Roman" w:hAnsi="Times New Roman" w:cs="Times New Roman"/>
          <w:bCs/>
          <w:caps w:val="0"/>
          <w:smallCaps w:val="0"/>
          <w:color w:val="auto"/>
          <w:spacing w:val="0"/>
          <w:w w:val="100"/>
          <w:kern w:val="2"/>
          <w:position w:val="0"/>
          <w:szCs w:val="20"/>
          <w:highlight w:val="none"/>
        </w:rPr>
        <w:t>，</w:t>
      </w:r>
      <w:r>
        <w:rPr>
          <w:rFonts w:hint="eastAsia" w:ascii="Times New Roman" w:hAnsi="Times New Roman" w:cs="Times New Roman"/>
          <w:bCs/>
          <w:caps w:val="0"/>
          <w:smallCaps w:val="0"/>
          <w:color w:val="auto"/>
          <w:spacing w:val="0"/>
          <w:w w:val="100"/>
          <w:kern w:val="2"/>
          <w:position w:val="0"/>
          <w:szCs w:val="20"/>
          <w:highlight w:val="none"/>
          <w:lang w:val="en-US" w:eastAsia="zh-CN"/>
        </w:rPr>
        <w:t>定期由安达市同昌油田工程有限公司拉运至大庆市净源环保科技有限公司进行处理</w:t>
      </w:r>
      <w:r>
        <w:rPr>
          <w:rFonts w:ascii="Times New Roman" w:hAnsi="Times New Roman" w:cs="Times New Roman"/>
          <w:bCs/>
          <w:caps w:val="0"/>
          <w:smallCaps w:val="0"/>
          <w:color w:val="auto"/>
          <w:spacing w:val="0"/>
          <w:w w:val="100"/>
          <w:kern w:val="2"/>
          <w:position w:val="0"/>
          <w:szCs w:val="20"/>
          <w:highlight w:val="none"/>
        </w:rPr>
        <w:t>。</w:t>
      </w:r>
    </w:p>
    <w:p w14:paraId="43EE3F9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eastAsiaTheme="minorEastAsia"/>
          <w:bCs/>
          <w:caps w:val="0"/>
          <w:smallCaps w:val="0"/>
          <w:color w:val="auto"/>
          <w:spacing w:val="0"/>
          <w:w w:val="100"/>
          <w:position w:val="0"/>
          <w:highlight w:val="none"/>
        </w:rPr>
        <w:t>本项目施工期正常情况下不会对地下水产生影响。</w:t>
      </w:r>
    </w:p>
    <w:p w14:paraId="04D1EF7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（2）运行期</w:t>
      </w:r>
    </w:p>
    <w:p w14:paraId="6900B637">
      <w:pPr>
        <w:widowControl w:val="0"/>
        <w:spacing w:line="440" w:lineRule="exact"/>
        <w:ind w:firstLine="480" w:firstLineChars="200"/>
        <w:jc w:val="both"/>
        <w:rPr>
          <w:rFonts w:hint="eastAsia" w:ascii="Times New Roman" w:hAnsi="Times New Roman" w:cs="Times New Roman"/>
          <w:bCs/>
          <w:caps w:val="0"/>
          <w:smallCaps w:val="0"/>
          <w:color w:val="auto"/>
          <w:spacing w:val="0"/>
          <w:w w:val="100"/>
          <w:kern w:val="2"/>
          <w:position w:val="0"/>
          <w:szCs w:val="20"/>
          <w:highlight w:val="none"/>
          <w:lang w:val="en-US" w:eastAsia="zh-CN"/>
        </w:rPr>
      </w:pPr>
      <w:r>
        <w:rPr>
          <w:rFonts w:ascii="Times New Roman" w:hAnsi="Times New Roman" w:cs="Times New Roman"/>
          <w:caps w:val="0"/>
          <w:smallCaps w:val="0"/>
          <w:color w:val="auto"/>
          <w:spacing w:val="0"/>
          <w:w w:val="100"/>
          <w:kern w:val="2"/>
          <w:position w:val="0"/>
          <w:szCs w:val="20"/>
          <w:highlight w:val="none"/>
        </w:rPr>
        <w:t>项目运营期</w:t>
      </w:r>
      <w:r>
        <w:rPr>
          <w:rFonts w:ascii="Times New Roman" w:hAnsi="Times New Roman" w:cs="Times New Roman"/>
          <w:bCs/>
          <w:caps w:val="0"/>
          <w:smallCaps w:val="0"/>
          <w:color w:val="auto"/>
          <w:spacing w:val="0"/>
          <w:w w:val="100"/>
          <w:kern w:val="2"/>
          <w:position w:val="0"/>
          <w:szCs w:val="20"/>
          <w:highlight w:val="none"/>
        </w:rPr>
        <w:t>新建输油管道及输气管道采用无缝钢管，管道的连接方式采用焊接，管道内</w:t>
      </w:r>
      <w:r>
        <w:rPr>
          <w:rFonts w:hint="eastAsia" w:ascii="Times New Roman" w:hAnsi="Times New Roman" w:cs="Times New Roman"/>
          <w:bCs/>
          <w:caps w:val="0"/>
          <w:smallCaps w:val="0"/>
          <w:color w:val="auto"/>
          <w:spacing w:val="0"/>
          <w:w w:val="100"/>
          <w:kern w:val="2"/>
          <w:position w:val="0"/>
          <w:szCs w:val="20"/>
          <w:highlight w:val="none"/>
          <w:lang w:val="en-US" w:eastAsia="zh-CN"/>
        </w:rPr>
        <w:t>防腐采用</w:t>
      </w:r>
      <w:r>
        <w:rPr>
          <w:rFonts w:ascii="Times New Roman" w:hAnsi="Times New Roman" w:cs="Times New Roman"/>
          <w:bCs/>
          <w:caps w:val="0"/>
          <w:smallCaps w:val="0"/>
          <w:color w:val="auto"/>
          <w:spacing w:val="0"/>
          <w:w w:val="100"/>
          <w:kern w:val="2"/>
          <w:position w:val="0"/>
          <w:szCs w:val="20"/>
          <w:highlight w:val="none"/>
          <w:lang w:val="en-US" w:eastAsia="zh-CN"/>
        </w:rPr>
        <w:t>内缠聚乙烯胶带普通级防腐聚</w:t>
      </w:r>
      <w:r>
        <w:rPr>
          <w:rFonts w:hint="default" w:ascii="Times New Roman" w:hAnsi="Times New Roman" w:cs="Times New Roman"/>
          <w:bCs/>
          <w:caps w:val="0"/>
          <w:smallCaps w:val="0"/>
          <w:color w:val="auto"/>
          <w:spacing w:val="0"/>
          <w:w w:val="100"/>
          <w:kern w:val="2"/>
          <w:position w:val="0"/>
          <w:szCs w:val="20"/>
          <w:highlight w:val="none"/>
          <w:lang w:val="en-US" w:eastAsia="zh-CN"/>
        </w:rPr>
        <w:t>氨酯保温聚乙烯保护成品管</w:t>
      </w:r>
      <w:r>
        <w:rPr>
          <w:rFonts w:hint="eastAsia" w:ascii="Times New Roman" w:hAnsi="Times New Roman" w:cs="Times New Roman"/>
          <w:bCs/>
          <w:caps w:val="0"/>
          <w:smallCaps w:val="0"/>
          <w:color w:val="auto"/>
          <w:spacing w:val="0"/>
          <w:w w:val="100"/>
          <w:kern w:val="2"/>
          <w:position w:val="0"/>
          <w:szCs w:val="20"/>
          <w:highlight w:val="none"/>
          <w:lang w:val="en-US" w:eastAsia="zh-CN"/>
        </w:rPr>
        <w:t>，套管内外壁防腐采用环氧煤沥青涂料普通级，1底4面。</w:t>
      </w:r>
    </w:p>
    <w:p w14:paraId="23487204">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bCs/>
          <w:caps w:val="0"/>
          <w:smallCaps w:val="0"/>
          <w:color w:val="auto"/>
          <w:spacing w:val="0"/>
          <w:w w:val="100"/>
          <w:kern w:val="2"/>
          <w:position w:val="0"/>
          <w:szCs w:val="20"/>
          <w:highlight w:val="none"/>
          <w:lang w:val="en-US" w:eastAsia="zh-CN"/>
        </w:rPr>
        <w:t>防腐补口采用配套聚乙烯黏胶带。保温补口采用配套硬质聚氨酯管壳补口。保护层补口采用配套2PE交联聚乙烯热收缩带补口。 沥青防腐胶带补口采用无溶剂环氧底漆+沥青防腐胶带，加强级，胶带缠2遍</w:t>
      </w:r>
      <w:r>
        <w:rPr>
          <w:rFonts w:ascii="Times New Roman" w:hAnsi="Times New Roman" w:cs="Times New Roman"/>
          <w:bCs/>
          <w:caps w:val="0"/>
          <w:smallCaps w:val="0"/>
          <w:color w:val="auto"/>
          <w:spacing w:val="0"/>
          <w:w w:val="100"/>
          <w:kern w:val="2"/>
          <w:position w:val="0"/>
          <w:szCs w:val="20"/>
          <w:highlight w:val="none"/>
        </w:rPr>
        <w:t>。正常工况下，新建输油管道及输气管道不会对地下水环境造成影响。</w:t>
      </w:r>
    </w:p>
    <w:p w14:paraId="4361288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（3）退役期</w:t>
      </w:r>
    </w:p>
    <w:p w14:paraId="7ABA08C5">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bCs/>
          <w:caps w:val="0"/>
          <w:smallCaps w:val="0"/>
          <w:color w:val="auto"/>
          <w:spacing w:val="0"/>
          <w:w w:val="100"/>
          <w:kern w:val="2"/>
          <w:position w:val="0"/>
          <w:szCs w:val="20"/>
          <w:highlight w:val="none"/>
        </w:rPr>
        <w:t>退役管线清洗废水</w:t>
      </w:r>
      <w:r>
        <w:rPr>
          <w:rFonts w:hint="eastAsia" w:ascii="Times New Roman" w:hAnsi="Times New Roman" w:cs="Times New Roman"/>
          <w:bCs/>
          <w:caps w:val="0"/>
          <w:smallCaps w:val="0"/>
          <w:color w:val="auto"/>
          <w:spacing w:val="0"/>
          <w:w w:val="100"/>
          <w:kern w:val="2"/>
          <w:position w:val="0"/>
          <w:szCs w:val="20"/>
          <w:highlight w:val="none"/>
          <w:lang w:val="en-US" w:eastAsia="zh-CN"/>
        </w:rPr>
        <w:t>罐车拉运至</w:t>
      </w:r>
      <w:r>
        <w:rPr>
          <w:rFonts w:hint="eastAsia" w:ascii="Times New Roman" w:hAnsi="Times New Roman" w:cs="Times New Roman"/>
          <w:bCs/>
          <w:caps w:val="0"/>
          <w:smallCaps w:val="0"/>
          <w:color w:val="auto"/>
          <w:spacing w:val="0"/>
          <w:w w:val="100"/>
          <w:kern w:val="2"/>
          <w:position w:val="0"/>
          <w:szCs w:val="20"/>
          <w:highlight w:val="none"/>
        </w:rPr>
        <w:t>卫一联含油污水深度处理站</w:t>
      </w:r>
      <w:r>
        <w:rPr>
          <w:rFonts w:ascii="Times New Roman" w:hAnsi="Times New Roman" w:cs="Times New Roman"/>
          <w:bCs/>
          <w:caps w:val="0"/>
          <w:smallCaps w:val="0"/>
          <w:color w:val="auto"/>
          <w:spacing w:val="0"/>
          <w:w w:val="100"/>
          <w:kern w:val="2"/>
          <w:position w:val="0"/>
          <w:szCs w:val="20"/>
          <w:highlight w:val="none"/>
        </w:rPr>
        <w:t>处理满足《大庆油田地面工程建设设计规定》（Q/SYDQ0639-2015）及《碎屑岩油藏注水水质指标技术要求及分析方法》（SY/T5329-2022）限值要求后回注油层，不外排。管线两端采用混凝土封堵后直埋于地下，退役期管线不会对地下水环境造成影响。</w:t>
      </w:r>
    </w:p>
    <w:p w14:paraId="64A1580B">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805" w:name="_Toc85640817"/>
      <w:bookmarkStart w:id="806" w:name="_Toc84929289"/>
      <w:bookmarkStart w:id="807" w:name="_Toc83209534"/>
      <w:bookmarkStart w:id="808" w:name="_Toc80588312"/>
      <w:bookmarkStart w:id="809" w:name="_Toc77067714"/>
      <w:bookmarkStart w:id="810" w:name="_Toc76976302"/>
      <w:bookmarkStart w:id="811" w:name="_Toc86141992"/>
      <w:bookmarkStart w:id="812" w:name="_Toc80971434"/>
      <w:bookmarkStart w:id="813" w:name="_Toc110438533"/>
      <w:bookmarkStart w:id="814" w:name="_Toc78816517"/>
      <w:r>
        <w:rPr>
          <w:rFonts w:eastAsiaTheme="minorEastAsia"/>
          <w:b/>
          <w:caps w:val="0"/>
          <w:smallCaps w:val="0"/>
          <w:color w:val="auto"/>
          <w:spacing w:val="0"/>
          <w:w w:val="100"/>
          <w:kern w:val="2"/>
          <w:position w:val="0"/>
          <w:sz w:val="24"/>
          <w:szCs w:val="24"/>
          <w:highlight w:val="none"/>
        </w:rPr>
        <w:t>5.3.2</w:t>
      </w:r>
      <w:r>
        <w:rPr>
          <w:rFonts w:hint="eastAsia" w:eastAsiaTheme="minorEastAsia"/>
          <w:b/>
          <w:caps w:val="0"/>
          <w:smallCaps w:val="0"/>
          <w:color w:val="auto"/>
          <w:spacing w:val="0"/>
          <w:w w:val="100"/>
          <w:kern w:val="2"/>
          <w:position w:val="0"/>
          <w:sz w:val="24"/>
          <w:szCs w:val="24"/>
          <w:highlight w:val="none"/>
        </w:rPr>
        <w:t>非</w:t>
      </w:r>
      <w:r>
        <w:rPr>
          <w:rFonts w:eastAsiaTheme="minorEastAsia"/>
          <w:b/>
          <w:caps w:val="0"/>
          <w:smallCaps w:val="0"/>
          <w:color w:val="auto"/>
          <w:spacing w:val="0"/>
          <w:w w:val="100"/>
          <w:kern w:val="2"/>
          <w:position w:val="0"/>
          <w:sz w:val="24"/>
          <w:szCs w:val="24"/>
          <w:highlight w:val="none"/>
        </w:rPr>
        <w:t>正常状况下地下水环境影响分析</w:t>
      </w:r>
      <w:bookmarkEnd w:id="805"/>
      <w:bookmarkEnd w:id="806"/>
      <w:bookmarkEnd w:id="807"/>
      <w:bookmarkEnd w:id="808"/>
      <w:bookmarkEnd w:id="809"/>
      <w:bookmarkEnd w:id="810"/>
      <w:bookmarkEnd w:id="811"/>
      <w:bookmarkEnd w:id="812"/>
      <w:bookmarkEnd w:id="813"/>
      <w:bookmarkEnd w:id="814"/>
    </w:p>
    <w:p w14:paraId="15912EC8">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（1）污染途径</w:t>
      </w:r>
    </w:p>
    <w:p w14:paraId="0C65BC0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运营期间，可能因管道老化、腐蚀穿孔引起含油污水泄漏，多发生在投产若干年后，一旦管道泄漏会有</w:t>
      </w:r>
      <w:r>
        <w:rPr>
          <w:rFonts w:hint="eastAsia" w:ascii="Times New Roman" w:hAnsi="Times New Roman" w:cs="Times New Roman"/>
          <w:caps w:val="0"/>
          <w:smallCaps w:val="0"/>
          <w:color w:val="auto"/>
          <w:spacing w:val="0"/>
          <w:w w:val="100"/>
          <w:kern w:val="2"/>
          <w:position w:val="0"/>
          <w:szCs w:val="20"/>
          <w:highlight w:val="none"/>
        </w:rPr>
        <w:t>原油</w:t>
      </w:r>
      <w:r>
        <w:rPr>
          <w:rFonts w:ascii="Times New Roman" w:hAnsi="Times New Roman" w:cs="Times New Roman"/>
          <w:caps w:val="0"/>
          <w:smallCaps w:val="0"/>
          <w:color w:val="auto"/>
          <w:spacing w:val="0"/>
          <w:w w:val="100"/>
          <w:kern w:val="2"/>
          <w:position w:val="0"/>
          <w:szCs w:val="20"/>
          <w:highlight w:val="none"/>
        </w:rPr>
        <w:t>溢出，对环境造成污染，但发生管线泄漏时因管道的压力变化较易发现，及时采取必要的处理措施后，使造成的污染可控制在局部地区，不会造成大面积的区域性污染。管道泄漏原油首先进入土壤，经过土壤下渗到达潜水层，会对土壤、潜水产生影响；承压水含水层上有隔水层阻隔，管道泄漏一般不会对承压水造成影响。</w:t>
      </w:r>
    </w:p>
    <w:p w14:paraId="14DAAC28">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（2）预测情景模式</w:t>
      </w:r>
    </w:p>
    <w:p w14:paraId="4992D232">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本项目预测情景模式见表5.3-1。</w:t>
      </w:r>
    </w:p>
    <w:p w14:paraId="0CCEF2E8">
      <w:pPr>
        <w:widowControl w:val="0"/>
        <w:spacing w:line="440" w:lineRule="exact"/>
        <w:ind w:firstLine="482" w:firstLineChars="200"/>
        <w:jc w:val="both"/>
        <w:rPr>
          <w:rFonts w:ascii="Times New Roman" w:hAnsi="Times New Roman" w:cs="Times New Roman"/>
          <w:b/>
          <w:caps w:val="0"/>
          <w:smallCaps w:val="0"/>
          <w:color w:val="auto"/>
          <w:spacing w:val="0"/>
          <w:w w:val="100"/>
          <w:kern w:val="2"/>
          <w:position w:val="0"/>
          <w:szCs w:val="20"/>
          <w:highlight w:val="none"/>
        </w:rPr>
      </w:pPr>
      <w:r>
        <w:rPr>
          <w:rFonts w:ascii="Times New Roman" w:hAnsi="Times New Roman" w:cs="Times New Roman"/>
          <w:b/>
          <w:caps w:val="0"/>
          <w:smallCaps w:val="0"/>
          <w:color w:val="auto"/>
          <w:spacing w:val="0"/>
          <w:w w:val="100"/>
          <w:kern w:val="2"/>
          <w:position w:val="0"/>
          <w:szCs w:val="20"/>
          <w:highlight w:val="none"/>
        </w:rPr>
        <w:t>表5.3-1    地下水预测情景模式一览表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1"/>
        <w:gridCol w:w="1919"/>
        <w:gridCol w:w="1428"/>
        <w:gridCol w:w="1521"/>
        <w:gridCol w:w="1728"/>
      </w:tblGrid>
      <w:tr w14:paraId="380B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82" w:type="pct"/>
            <w:gridSpan w:val="2"/>
            <w:vMerge w:val="restart"/>
            <w:vAlign w:val="center"/>
          </w:tcPr>
          <w:p w14:paraId="1EB54569">
            <w:pPr>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泄漏类型</w:t>
            </w:r>
          </w:p>
        </w:tc>
        <w:tc>
          <w:tcPr>
            <w:tcW w:w="769" w:type="pct"/>
            <w:vMerge w:val="restart"/>
            <w:vAlign w:val="center"/>
          </w:tcPr>
          <w:p w14:paraId="16939D8F">
            <w:pPr>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影响层位</w:t>
            </w:r>
          </w:p>
        </w:tc>
        <w:tc>
          <w:tcPr>
            <w:tcW w:w="1748" w:type="pct"/>
            <w:gridSpan w:val="2"/>
            <w:vAlign w:val="center"/>
          </w:tcPr>
          <w:p w14:paraId="3CCF07EF">
            <w:pPr>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场景选择</w:t>
            </w:r>
          </w:p>
        </w:tc>
      </w:tr>
      <w:tr w14:paraId="7E38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82" w:type="pct"/>
            <w:gridSpan w:val="2"/>
            <w:vMerge w:val="continue"/>
            <w:vAlign w:val="center"/>
          </w:tcPr>
          <w:p w14:paraId="42C36318">
            <w:pPr>
              <w:spacing w:line="320" w:lineRule="exact"/>
              <w:jc w:val="center"/>
              <w:rPr>
                <w:rFonts w:ascii="Times New Roman" w:hAnsi="Times New Roman" w:cs="Times New Roman"/>
                <w:caps w:val="0"/>
                <w:smallCaps w:val="0"/>
                <w:color w:val="auto"/>
                <w:spacing w:val="0"/>
                <w:w w:val="100"/>
                <w:position w:val="0"/>
                <w:sz w:val="21"/>
                <w:szCs w:val="21"/>
                <w:highlight w:val="none"/>
              </w:rPr>
            </w:pPr>
          </w:p>
        </w:tc>
        <w:tc>
          <w:tcPr>
            <w:tcW w:w="769" w:type="pct"/>
            <w:vMerge w:val="continue"/>
            <w:vAlign w:val="center"/>
          </w:tcPr>
          <w:p w14:paraId="1D857F1E">
            <w:pPr>
              <w:spacing w:line="320" w:lineRule="exact"/>
              <w:jc w:val="center"/>
              <w:rPr>
                <w:rFonts w:ascii="Times New Roman" w:hAnsi="Times New Roman" w:cs="Times New Roman"/>
                <w:caps w:val="0"/>
                <w:smallCaps w:val="0"/>
                <w:color w:val="auto"/>
                <w:spacing w:val="0"/>
                <w:w w:val="100"/>
                <w:position w:val="0"/>
                <w:sz w:val="21"/>
                <w:szCs w:val="21"/>
                <w:highlight w:val="none"/>
              </w:rPr>
            </w:pPr>
          </w:p>
        </w:tc>
        <w:tc>
          <w:tcPr>
            <w:tcW w:w="819" w:type="pct"/>
            <w:vAlign w:val="center"/>
          </w:tcPr>
          <w:p w14:paraId="54F528E3">
            <w:pPr>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持续泄漏</w:t>
            </w:r>
          </w:p>
        </w:tc>
        <w:tc>
          <w:tcPr>
            <w:tcW w:w="930" w:type="pct"/>
            <w:vAlign w:val="center"/>
          </w:tcPr>
          <w:p w14:paraId="3BFEB02C">
            <w:pPr>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短时泄漏</w:t>
            </w:r>
          </w:p>
        </w:tc>
      </w:tr>
      <w:tr w14:paraId="6779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49" w:type="pct"/>
            <w:vMerge w:val="restart"/>
            <w:vAlign w:val="center"/>
          </w:tcPr>
          <w:p w14:paraId="46F50DA4">
            <w:pPr>
              <w:spacing w:line="320" w:lineRule="exact"/>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输油</w:t>
            </w:r>
            <w:r>
              <w:rPr>
                <w:rFonts w:ascii="Times New Roman" w:hAnsi="Times New Roman" w:cs="Times New Roman"/>
                <w:caps w:val="0"/>
                <w:smallCaps w:val="0"/>
                <w:color w:val="auto"/>
                <w:spacing w:val="0"/>
                <w:w w:val="100"/>
                <w:position w:val="0"/>
                <w:sz w:val="21"/>
                <w:szCs w:val="21"/>
                <w:highlight w:val="none"/>
              </w:rPr>
              <w:t>管道腐蚀造成的含油物质渗漏</w:t>
            </w:r>
          </w:p>
        </w:tc>
        <w:tc>
          <w:tcPr>
            <w:tcW w:w="1033" w:type="pct"/>
            <w:vAlign w:val="center"/>
          </w:tcPr>
          <w:p w14:paraId="3D8B5B21">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10%孔径泄露</w:t>
            </w:r>
          </w:p>
        </w:tc>
        <w:tc>
          <w:tcPr>
            <w:tcW w:w="769" w:type="pct"/>
            <w:vAlign w:val="center"/>
          </w:tcPr>
          <w:p w14:paraId="54508047">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潜水</w:t>
            </w:r>
          </w:p>
        </w:tc>
        <w:tc>
          <w:tcPr>
            <w:tcW w:w="819" w:type="pct"/>
            <w:vAlign w:val="center"/>
          </w:tcPr>
          <w:p w14:paraId="264C63BB">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w:t>
            </w:r>
          </w:p>
        </w:tc>
        <w:tc>
          <w:tcPr>
            <w:tcW w:w="930" w:type="pct"/>
            <w:vAlign w:val="center"/>
          </w:tcPr>
          <w:p w14:paraId="36E511DD">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w:t>
            </w:r>
          </w:p>
        </w:tc>
      </w:tr>
      <w:tr w14:paraId="7781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49" w:type="pct"/>
            <w:vMerge w:val="continue"/>
            <w:vAlign w:val="center"/>
          </w:tcPr>
          <w:p w14:paraId="181EF144">
            <w:pPr>
              <w:spacing w:line="320" w:lineRule="exact"/>
              <w:jc w:val="center"/>
              <w:rPr>
                <w:rFonts w:ascii="Times New Roman" w:hAnsi="Times New Roman" w:cs="Times New Roman"/>
                <w:caps w:val="0"/>
                <w:smallCaps w:val="0"/>
                <w:color w:val="auto"/>
                <w:spacing w:val="0"/>
                <w:w w:val="100"/>
                <w:position w:val="0"/>
                <w:sz w:val="21"/>
                <w:szCs w:val="21"/>
                <w:highlight w:val="none"/>
              </w:rPr>
            </w:pPr>
          </w:p>
        </w:tc>
        <w:tc>
          <w:tcPr>
            <w:tcW w:w="1033" w:type="pct"/>
            <w:vAlign w:val="center"/>
          </w:tcPr>
          <w:p w14:paraId="1B9AFE43">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全管径泄露</w:t>
            </w:r>
          </w:p>
        </w:tc>
        <w:tc>
          <w:tcPr>
            <w:tcW w:w="769" w:type="pct"/>
            <w:vAlign w:val="center"/>
          </w:tcPr>
          <w:p w14:paraId="3C1E5C7E">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潜水</w:t>
            </w:r>
          </w:p>
        </w:tc>
        <w:tc>
          <w:tcPr>
            <w:tcW w:w="819" w:type="pct"/>
            <w:vAlign w:val="center"/>
          </w:tcPr>
          <w:p w14:paraId="04F50130">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w:t>
            </w:r>
          </w:p>
        </w:tc>
        <w:tc>
          <w:tcPr>
            <w:tcW w:w="930" w:type="pct"/>
            <w:vAlign w:val="center"/>
          </w:tcPr>
          <w:p w14:paraId="494CE86A">
            <w:pPr>
              <w:spacing w:line="320" w:lineRule="exact"/>
              <w:jc w:val="center"/>
              <w:rPr>
                <w:rFonts w:ascii="Times New Roman" w:hAnsi="Times New Roman" w:cs="Times New Roman"/>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w:t>
            </w:r>
          </w:p>
        </w:tc>
      </w:tr>
    </w:tbl>
    <w:p w14:paraId="47BC248D">
      <w:pPr>
        <w:widowControl w:val="0"/>
        <w:spacing w:line="440" w:lineRule="exact"/>
        <w:ind w:firstLine="482" w:firstLineChars="200"/>
        <w:jc w:val="both"/>
        <w:rPr>
          <w:rFonts w:ascii="Times New Roman" w:hAnsi="Times New Roman" w:cs="Times New Roman"/>
          <w:b/>
          <w:caps w:val="0"/>
          <w:smallCaps w:val="0"/>
          <w:color w:val="auto"/>
          <w:spacing w:val="0"/>
          <w:w w:val="100"/>
          <w:kern w:val="2"/>
          <w:position w:val="0"/>
          <w:szCs w:val="20"/>
          <w:highlight w:val="none"/>
        </w:rPr>
      </w:pPr>
      <w:r>
        <w:rPr>
          <w:rFonts w:ascii="Times New Roman" w:hAnsi="Times New Roman" w:cs="Times New Roman"/>
          <w:b/>
          <w:caps w:val="0"/>
          <w:smallCaps w:val="0"/>
          <w:color w:val="auto"/>
          <w:spacing w:val="0"/>
          <w:w w:val="100"/>
          <w:kern w:val="2"/>
          <w:position w:val="0"/>
          <w:szCs w:val="20"/>
          <w:highlight w:val="none"/>
        </w:rPr>
        <w:t>情景：管道泄漏</w:t>
      </w:r>
    </w:p>
    <w:p w14:paraId="087E020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（1）</w:t>
      </w:r>
      <w:r>
        <w:rPr>
          <w:rFonts w:hint="eastAsia" w:ascii="Times New Roman" w:hAnsi="Times New Roman" w:cs="Times New Roman"/>
          <w:caps w:val="0"/>
          <w:smallCaps w:val="0"/>
          <w:color w:val="auto"/>
          <w:spacing w:val="0"/>
          <w:w w:val="100"/>
          <w:kern w:val="2"/>
          <w:position w:val="0"/>
          <w:szCs w:val="20"/>
          <w:highlight w:val="none"/>
        </w:rPr>
        <w:t>泄露孔径为管径的1</w:t>
      </w:r>
      <w:r>
        <w:rPr>
          <w:rFonts w:ascii="Times New Roman" w:hAnsi="Times New Roman" w:cs="Times New Roman"/>
          <w:caps w:val="0"/>
          <w:smallCaps w:val="0"/>
          <w:color w:val="auto"/>
          <w:spacing w:val="0"/>
          <w:w w:val="100"/>
          <w:kern w:val="2"/>
          <w:position w:val="0"/>
          <w:szCs w:val="20"/>
          <w:highlight w:val="none"/>
        </w:rPr>
        <w:t>0%</w:t>
      </w:r>
    </w:p>
    <w:p w14:paraId="248CFA25">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①</w:t>
      </w:r>
      <w:r>
        <w:rPr>
          <w:rFonts w:ascii="Times New Roman" w:hAnsi="Times New Roman" w:cs="Times New Roman"/>
          <w:caps w:val="0"/>
          <w:smallCaps w:val="0"/>
          <w:color w:val="auto"/>
          <w:spacing w:val="0"/>
          <w:w w:val="100"/>
          <w:kern w:val="2"/>
          <w:position w:val="0"/>
          <w:szCs w:val="20"/>
          <w:highlight w:val="none"/>
        </w:rPr>
        <w:t>预测源强</w:t>
      </w:r>
    </w:p>
    <w:p w14:paraId="24E6CEA4">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假设新建输油管道无缝钢管因破裂而导致泄漏，</w:t>
      </w:r>
      <w:r>
        <w:rPr>
          <w:rFonts w:hint="eastAsia" w:ascii="Times New Roman" w:hAnsi="Times New Roman" w:cs="Times New Roman"/>
          <w:caps w:val="0"/>
          <w:smallCaps w:val="0"/>
          <w:color w:val="auto"/>
          <w:spacing w:val="0"/>
          <w:w w:val="100"/>
          <w:kern w:val="2"/>
          <w:position w:val="0"/>
          <w:szCs w:val="20"/>
          <w:highlight w:val="none"/>
        </w:rPr>
        <w:t>本次预测</w:t>
      </w:r>
      <w:r>
        <w:rPr>
          <w:rFonts w:ascii="Times New Roman" w:hAnsi="Times New Roman" w:cs="Times New Roman"/>
          <w:caps w:val="0"/>
          <w:smallCaps w:val="0"/>
          <w:color w:val="auto"/>
          <w:spacing w:val="0"/>
          <w:w w:val="100"/>
          <w:kern w:val="2"/>
          <w:position w:val="0"/>
          <w:szCs w:val="20"/>
          <w:highlight w:val="none"/>
        </w:rPr>
        <w:t>选取管径</w:t>
      </w:r>
      <w:r>
        <w:rPr>
          <w:rFonts w:hint="eastAsia" w:ascii="Times New Roman" w:hAnsi="Times New Roman" w:cs="Times New Roman"/>
          <w:caps w:val="0"/>
          <w:smallCaps w:val="0"/>
          <w:color w:val="auto"/>
          <w:spacing w:val="0"/>
          <w:w w:val="100"/>
          <w:kern w:val="2"/>
          <w:position w:val="0"/>
          <w:szCs w:val="20"/>
          <w:highlight w:val="none"/>
        </w:rPr>
        <w:t>较大</w:t>
      </w:r>
      <w:r>
        <w:rPr>
          <w:rFonts w:ascii="Times New Roman" w:hAnsi="Times New Roman" w:cs="Times New Roman"/>
          <w:caps w:val="0"/>
          <w:smallCaps w:val="0"/>
          <w:color w:val="auto"/>
          <w:spacing w:val="0"/>
          <w:w w:val="100"/>
          <w:kern w:val="2"/>
          <w:position w:val="0"/>
          <w:szCs w:val="20"/>
          <w:highlight w:val="none"/>
        </w:rPr>
        <w:t>、管线</w:t>
      </w:r>
      <w:r>
        <w:rPr>
          <w:rFonts w:hint="eastAsia" w:ascii="Times New Roman" w:hAnsi="Times New Roman" w:cs="Times New Roman"/>
          <w:caps w:val="0"/>
          <w:smallCaps w:val="0"/>
          <w:color w:val="auto"/>
          <w:spacing w:val="0"/>
          <w:w w:val="100"/>
          <w:kern w:val="2"/>
          <w:position w:val="0"/>
          <w:szCs w:val="20"/>
          <w:highlight w:val="none"/>
        </w:rPr>
        <w:t>较长且管道内原油存在量最大</w:t>
      </w:r>
      <w:r>
        <w:rPr>
          <w:rFonts w:ascii="Times New Roman" w:hAnsi="Times New Roman" w:cs="Times New Roman"/>
          <w:caps w:val="0"/>
          <w:smallCaps w:val="0"/>
          <w:color w:val="auto"/>
          <w:spacing w:val="0"/>
          <w:w w:val="100"/>
          <w:kern w:val="2"/>
          <w:position w:val="0"/>
          <w:szCs w:val="20"/>
          <w:highlight w:val="none"/>
        </w:rPr>
        <w:t>的</w:t>
      </w:r>
      <w:r>
        <w:rPr>
          <w:rFonts w:hint="eastAsia" w:ascii="Times New Roman" w:hAnsi="Times New Roman" w:cs="Times New Roman"/>
          <w:caps w:val="0"/>
          <w:smallCaps w:val="0"/>
          <w:color w:val="auto"/>
          <w:spacing w:val="0"/>
          <w:w w:val="100"/>
          <w:kern w:val="2"/>
          <w:position w:val="0"/>
          <w:szCs w:val="20"/>
          <w:highlight w:val="none"/>
        </w:rPr>
        <w:t>输油</w:t>
      </w:r>
      <w:r>
        <w:rPr>
          <w:rFonts w:ascii="Times New Roman" w:hAnsi="Times New Roman" w:cs="Times New Roman"/>
          <w:caps w:val="0"/>
          <w:smallCaps w:val="0"/>
          <w:color w:val="auto"/>
          <w:spacing w:val="0"/>
          <w:w w:val="100"/>
          <w:kern w:val="2"/>
          <w:position w:val="0"/>
          <w:szCs w:val="20"/>
          <w:highlight w:val="none"/>
        </w:rPr>
        <w:t>管道进行预测，即选取杏十五-1联合站外输油管线</w:t>
      </w:r>
      <w:r>
        <w:rPr>
          <w:rFonts w:hint="eastAsia" w:ascii="Times New Roman" w:hAnsi="Times New Roman" w:cs="Times New Roman"/>
          <w:caps w:val="0"/>
          <w:smallCaps w:val="0"/>
          <w:color w:val="auto"/>
          <w:spacing w:val="0"/>
          <w:w w:val="100"/>
          <w:kern w:val="2"/>
          <w:position w:val="0"/>
          <w:szCs w:val="20"/>
          <w:highlight w:val="none"/>
        </w:rPr>
        <w:t>，迁建后该管道</w:t>
      </w:r>
      <w:r>
        <w:rPr>
          <w:rFonts w:ascii="Times New Roman" w:hAnsi="Times New Roman" w:cs="Times New Roman"/>
          <w:caps w:val="0"/>
          <w:smallCaps w:val="0"/>
          <w:color w:val="auto"/>
          <w:spacing w:val="0"/>
          <w:w w:val="100"/>
          <w:kern w:val="2"/>
          <w:position w:val="0"/>
          <w:szCs w:val="20"/>
          <w:highlight w:val="none"/>
        </w:rPr>
        <w:t>位于两个截断阀之间的管道规格为Φ168×5，长度为7.4km</w:t>
      </w:r>
      <w:r>
        <w:rPr>
          <w:rFonts w:hint="eastAsia" w:ascii="Times New Roman" w:hAnsi="Times New Roman" w:cs="Times New Roman"/>
          <w:caps w:val="0"/>
          <w:smallCaps w:val="0"/>
          <w:color w:val="auto"/>
          <w:spacing w:val="0"/>
          <w:w w:val="100"/>
          <w:kern w:val="2"/>
          <w:position w:val="0"/>
          <w:szCs w:val="20"/>
          <w:highlight w:val="none"/>
        </w:rPr>
        <w:t>。本项目输油管道发生破裂时，</w:t>
      </w:r>
      <w:r>
        <w:rPr>
          <w:rFonts w:ascii="Times New Roman" w:hAnsi="Times New Roman" w:cs="Times New Roman"/>
          <w:caps w:val="0"/>
          <w:smallCaps w:val="0"/>
          <w:color w:val="auto"/>
          <w:spacing w:val="0"/>
          <w:w w:val="100"/>
          <w:kern w:val="2"/>
          <w:position w:val="0"/>
          <w:szCs w:val="20"/>
          <w:highlight w:val="none"/>
        </w:rPr>
        <w:t>会导致原油进入地下水含水层，主要影响区域为</w:t>
      </w:r>
      <w:r>
        <w:rPr>
          <w:rFonts w:hint="eastAsia" w:ascii="Times New Roman" w:hAnsi="Times New Roman" w:cs="Times New Roman"/>
          <w:caps w:val="0"/>
          <w:smallCaps w:val="0"/>
          <w:color w:val="auto"/>
          <w:spacing w:val="0"/>
          <w:w w:val="100"/>
          <w:kern w:val="2"/>
          <w:position w:val="0"/>
          <w:szCs w:val="20"/>
          <w:highlight w:val="none"/>
        </w:rPr>
        <w:t>潜水</w:t>
      </w:r>
      <w:r>
        <w:rPr>
          <w:rFonts w:ascii="Times New Roman" w:hAnsi="Times New Roman" w:cs="Times New Roman"/>
          <w:caps w:val="0"/>
          <w:smallCaps w:val="0"/>
          <w:color w:val="auto"/>
          <w:spacing w:val="0"/>
          <w:w w:val="100"/>
          <w:kern w:val="2"/>
          <w:position w:val="0"/>
          <w:szCs w:val="20"/>
          <w:highlight w:val="none"/>
        </w:rPr>
        <w:t>含水层，液体泄漏量按《建设项目环境风险评价技术导则》（HJ/T-2018）推荐的柏努力方程计算。</w:t>
      </w:r>
    </w:p>
    <w:p w14:paraId="4D0C3CF8">
      <w:pPr>
        <w:widowControl w:val="0"/>
        <w:jc w:val="center"/>
        <w:rPr>
          <w:rFonts w:ascii="Times New Roman" w:hAnsi="Times New Roman" w:cs="Times New Roman"/>
          <w:caps w:val="0"/>
          <w:smallCaps w:val="0"/>
          <w:color w:val="auto"/>
          <w:spacing w:val="0"/>
          <w:w w:val="100"/>
          <w:kern w:val="2"/>
          <w:position w:val="0"/>
          <w:szCs w:val="20"/>
          <w:highlight w:val="none"/>
        </w:rPr>
      </w:pPr>
      <w:r>
        <w:rPr>
          <w:caps w:val="0"/>
          <w:smallCaps w:val="0"/>
          <w:color w:val="auto"/>
          <w:spacing w:val="0"/>
          <w:w w:val="100"/>
          <w:position w:val="0"/>
          <w:highlight w:val="none"/>
        </w:rPr>
        <w:drawing>
          <wp:inline distT="0" distB="0" distL="0" distR="0">
            <wp:extent cx="2114550" cy="565150"/>
            <wp:effectExtent l="0" t="0" r="0" b="6350"/>
            <wp:docPr id="516"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图片 516"/>
                    <pic:cNvPicPr>
                      <a:picLocks noChangeAspect="1"/>
                    </pic:cNvPicPr>
                  </pic:nvPicPr>
                  <pic:blipFill>
                    <a:blip r:embed="rId42"/>
                    <a:stretch>
                      <a:fillRect/>
                    </a:stretch>
                  </pic:blipFill>
                  <pic:spPr>
                    <a:xfrm>
                      <a:off x="0" y="0"/>
                      <a:ext cx="2147184" cy="574406"/>
                    </a:xfrm>
                    <a:prstGeom prst="rect">
                      <a:avLst/>
                    </a:prstGeom>
                  </pic:spPr>
                </pic:pic>
              </a:graphicData>
            </a:graphic>
          </wp:inline>
        </w:drawing>
      </w:r>
    </w:p>
    <w:p w14:paraId="2A21333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式中：Q</w:t>
      </w:r>
      <w:r>
        <w:rPr>
          <w:rFonts w:ascii="Times New Roman" w:hAnsi="Times New Roman" w:cs="Times New Roman"/>
          <w:caps w:val="0"/>
          <w:smallCaps w:val="0"/>
          <w:color w:val="auto"/>
          <w:spacing w:val="0"/>
          <w:w w:val="100"/>
          <w:kern w:val="2"/>
          <w:position w:val="0"/>
          <w:szCs w:val="20"/>
          <w:highlight w:val="none"/>
          <w:vertAlign w:val="subscript"/>
        </w:rPr>
        <w:t>L</w:t>
      </w:r>
      <w:r>
        <w:rPr>
          <w:rFonts w:ascii="Times New Roman" w:hAnsi="Times New Roman" w:cs="Times New Roman"/>
          <w:caps w:val="0"/>
          <w:smallCaps w:val="0"/>
          <w:color w:val="auto"/>
          <w:spacing w:val="0"/>
          <w:w w:val="100"/>
          <w:kern w:val="2"/>
          <w:position w:val="0"/>
          <w:szCs w:val="20"/>
          <w:highlight w:val="none"/>
        </w:rPr>
        <w:t>：液体泄漏速率，kg/s；</w:t>
      </w:r>
    </w:p>
    <w:p w14:paraId="50F7BF08">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 xml:space="preserve">      C</w:t>
      </w:r>
      <w:r>
        <w:rPr>
          <w:rFonts w:ascii="Times New Roman" w:hAnsi="Times New Roman" w:cs="Times New Roman"/>
          <w:caps w:val="0"/>
          <w:smallCaps w:val="0"/>
          <w:color w:val="auto"/>
          <w:spacing w:val="0"/>
          <w:w w:val="100"/>
          <w:kern w:val="2"/>
          <w:position w:val="0"/>
          <w:szCs w:val="20"/>
          <w:highlight w:val="none"/>
          <w:vertAlign w:val="subscript"/>
        </w:rPr>
        <w:t>d</w:t>
      </w:r>
      <w:r>
        <w:rPr>
          <w:rFonts w:ascii="Times New Roman" w:hAnsi="Times New Roman" w:cs="Times New Roman"/>
          <w:caps w:val="0"/>
          <w:smallCaps w:val="0"/>
          <w:color w:val="auto"/>
          <w:spacing w:val="0"/>
          <w:w w:val="100"/>
          <w:kern w:val="2"/>
          <w:position w:val="0"/>
          <w:szCs w:val="20"/>
          <w:highlight w:val="none"/>
        </w:rPr>
        <w:t>：液体泄漏系数，圆形孔为0.65；</w:t>
      </w:r>
    </w:p>
    <w:p w14:paraId="5681C2B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 xml:space="preserve">      A：裂口面积，m</w:t>
      </w:r>
      <w:r>
        <w:rPr>
          <w:rFonts w:ascii="Times New Roman" w:hAnsi="Times New Roman" w:cs="Times New Roman"/>
          <w:caps w:val="0"/>
          <w:smallCaps w:val="0"/>
          <w:color w:val="auto"/>
          <w:spacing w:val="0"/>
          <w:w w:val="100"/>
          <w:kern w:val="2"/>
          <w:position w:val="0"/>
          <w:szCs w:val="20"/>
          <w:highlight w:val="none"/>
          <w:vertAlign w:val="superscript"/>
        </w:rPr>
        <w:t>2</w:t>
      </w:r>
      <w:r>
        <w:rPr>
          <w:rFonts w:ascii="Times New Roman" w:hAnsi="Times New Roman" w:cs="Times New Roman"/>
          <w:caps w:val="0"/>
          <w:smallCaps w:val="0"/>
          <w:color w:val="auto"/>
          <w:spacing w:val="0"/>
          <w:w w:val="100"/>
          <w:kern w:val="2"/>
          <w:position w:val="0"/>
          <w:szCs w:val="20"/>
          <w:highlight w:val="none"/>
        </w:rPr>
        <w:t>；</w:t>
      </w:r>
      <w:r>
        <w:rPr>
          <w:rFonts w:hint="eastAsia" w:ascii="Times New Roman" w:hAnsi="Times New Roman" w:cs="Times New Roman"/>
          <w:caps w:val="0"/>
          <w:smallCaps w:val="0"/>
          <w:color w:val="auto"/>
          <w:spacing w:val="0"/>
          <w:w w:val="100"/>
          <w:kern w:val="2"/>
          <w:position w:val="0"/>
          <w:szCs w:val="20"/>
          <w:highlight w:val="none"/>
        </w:rPr>
        <w:t>输油</w:t>
      </w:r>
      <w:r>
        <w:rPr>
          <w:rFonts w:ascii="Times New Roman" w:hAnsi="Times New Roman" w:cs="Times New Roman"/>
          <w:caps w:val="0"/>
          <w:smallCaps w:val="0"/>
          <w:color w:val="auto"/>
          <w:spacing w:val="0"/>
          <w:w w:val="100"/>
          <w:kern w:val="2"/>
          <w:position w:val="0"/>
          <w:szCs w:val="20"/>
          <w:highlight w:val="none"/>
        </w:rPr>
        <w:t>管道</w:t>
      </w:r>
      <w:r>
        <w:rPr>
          <w:rFonts w:hint="eastAsia" w:ascii="Times New Roman" w:hAnsi="Times New Roman" w:cs="Times New Roman"/>
          <w:caps w:val="0"/>
          <w:smallCaps w:val="0"/>
          <w:color w:val="auto"/>
          <w:spacing w:val="0"/>
          <w:w w:val="100"/>
          <w:kern w:val="2"/>
          <w:position w:val="0"/>
          <w:szCs w:val="20"/>
          <w:highlight w:val="none"/>
        </w:rPr>
        <w:t>规格为</w:t>
      </w:r>
      <w:r>
        <w:rPr>
          <w:rFonts w:ascii="Times New Roman" w:hAnsi="Times New Roman" w:cs="Times New Roman"/>
          <w:bCs/>
          <w:caps w:val="0"/>
          <w:smallCaps w:val="0"/>
          <w:color w:val="auto"/>
          <w:spacing w:val="0"/>
          <w:w w:val="100"/>
          <w:kern w:val="2"/>
          <w:position w:val="0"/>
          <w:szCs w:val="20"/>
          <w:highlight w:val="none"/>
        </w:rPr>
        <w:t>Φ168×5</w:t>
      </w:r>
      <w:r>
        <w:rPr>
          <w:rFonts w:ascii="Times New Roman" w:hAnsi="Times New Roman" w:cs="Times New Roman"/>
          <w:caps w:val="0"/>
          <w:smallCaps w:val="0"/>
          <w:color w:val="auto"/>
          <w:spacing w:val="0"/>
          <w:w w:val="100"/>
          <w:kern w:val="2"/>
          <w:position w:val="0"/>
          <w:szCs w:val="20"/>
          <w:highlight w:val="none"/>
        </w:rPr>
        <w:t>，</w:t>
      </w:r>
      <w:r>
        <w:rPr>
          <w:rFonts w:hint="eastAsia" w:ascii="Times New Roman" w:hAnsi="Times New Roman" w:cs="Times New Roman"/>
          <w:caps w:val="0"/>
          <w:smallCaps w:val="0"/>
          <w:color w:val="auto"/>
          <w:spacing w:val="0"/>
          <w:w w:val="100"/>
          <w:kern w:val="2"/>
          <w:position w:val="0"/>
          <w:szCs w:val="20"/>
          <w:highlight w:val="none"/>
        </w:rPr>
        <w:t>参考附录E泄漏频率表，泄漏孔径取10%管径，即裂口面积为</w:t>
      </w:r>
      <w:r>
        <w:rPr>
          <w:rFonts w:ascii="Times New Roman" w:hAnsi="Times New Roman" w:cs="Times New Roman"/>
          <w:caps w:val="0"/>
          <w:smallCaps w:val="0"/>
          <w:color w:val="auto"/>
          <w:spacing w:val="0"/>
          <w:w w:val="100"/>
          <w:kern w:val="2"/>
          <w:position w:val="0"/>
          <w:szCs w:val="20"/>
          <w:highlight w:val="none"/>
        </w:rPr>
        <w:t>0.000196</w:t>
      </w:r>
      <w:r>
        <w:rPr>
          <w:rFonts w:hint="eastAsia" w:ascii="Times New Roman" w:hAnsi="Times New Roman" w:cs="Times New Roman"/>
          <w:caps w:val="0"/>
          <w:smallCaps w:val="0"/>
          <w:color w:val="auto"/>
          <w:spacing w:val="0"/>
          <w:w w:val="100"/>
          <w:kern w:val="2"/>
          <w:position w:val="0"/>
          <w:szCs w:val="20"/>
          <w:highlight w:val="none"/>
        </w:rPr>
        <w:t>m</w:t>
      </w:r>
      <w:r>
        <w:rPr>
          <w:rFonts w:hint="eastAsia" w:ascii="Times New Roman" w:hAnsi="Times New Roman" w:cs="Times New Roman"/>
          <w:caps w:val="0"/>
          <w:smallCaps w:val="0"/>
          <w:color w:val="auto"/>
          <w:spacing w:val="0"/>
          <w:w w:val="100"/>
          <w:kern w:val="2"/>
          <w:position w:val="0"/>
          <w:szCs w:val="20"/>
          <w:highlight w:val="none"/>
          <w:vertAlign w:val="superscript"/>
        </w:rPr>
        <w:t>2</w:t>
      </w:r>
      <w:r>
        <w:rPr>
          <w:rFonts w:hint="eastAsia" w:ascii="Times New Roman" w:hAnsi="Times New Roman" w:cs="Times New Roman"/>
          <w:caps w:val="0"/>
          <w:smallCaps w:val="0"/>
          <w:color w:val="auto"/>
          <w:spacing w:val="0"/>
          <w:w w:val="100"/>
          <w:kern w:val="2"/>
          <w:position w:val="0"/>
          <w:szCs w:val="20"/>
          <w:highlight w:val="none"/>
        </w:rPr>
        <w:t>；</w:t>
      </w:r>
    </w:p>
    <w:p w14:paraId="19DE865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 xml:space="preserve">      P：管线内液体压力，Pa；根据工程方案，管道设计压力</w:t>
      </w:r>
      <w:r>
        <w:rPr>
          <w:rFonts w:ascii="Times New Roman" w:hAnsi="Times New Roman" w:cs="Times New Roman"/>
          <w:caps w:val="0"/>
          <w:smallCaps w:val="0"/>
          <w:color w:val="auto"/>
          <w:spacing w:val="0"/>
          <w:w w:val="100"/>
          <w:kern w:val="2"/>
          <w:position w:val="0"/>
          <w:szCs w:val="20"/>
          <w:highlight w:val="none"/>
        </w:rPr>
        <w:t>2500000</w:t>
      </w:r>
      <w:r>
        <w:rPr>
          <w:rFonts w:hint="eastAsia" w:ascii="Times New Roman" w:hAnsi="Times New Roman" w:cs="Times New Roman"/>
          <w:caps w:val="0"/>
          <w:smallCaps w:val="0"/>
          <w:color w:val="auto"/>
          <w:spacing w:val="0"/>
          <w:w w:val="100"/>
          <w:kern w:val="2"/>
          <w:position w:val="0"/>
          <w:szCs w:val="20"/>
          <w:highlight w:val="none"/>
        </w:rPr>
        <w:t>Pa；</w:t>
      </w:r>
    </w:p>
    <w:p w14:paraId="2406A3E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 xml:space="preserve">      P</w:t>
      </w:r>
      <w:r>
        <w:rPr>
          <w:rFonts w:hint="eastAsia" w:ascii="Times New Roman" w:hAnsi="Times New Roman" w:cs="Times New Roman"/>
          <w:caps w:val="0"/>
          <w:smallCaps w:val="0"/>
          <w:color w:val="auto"/>
          <w:spacing w:val="0"/>
          <w:w w:val="100"/>
          <w:kern w:val="2"/>
          <w:position w:val="0"/>
          <w:szCs w:val="20"/>
          <w:highlight w:val="none"/>
          <w:vertAlign w:val="subscript"/>
        </w:rPr>
        <w:t>0</w:t>
      </w:r>
      <w:r>
        <w:rPr>
          <w:rFonts w:hint="eastAsia" w:ascii="Times New Roman" w:hAnsi="Times New Roman" w:cs="Times New Roman"/>
          <w:caps w:val="0"/>
          <w:smallCaps w:val="0"/>
          <w:color w:val="auto"/>
          <w:spacing w:val="0"/>
          <w:w w:val="100"/>
          <w:kern w:val="2"/>
          <w:position w:val="0"/>
          <w:szCs w:val="20"/>
          <w:highlight w:val="none"/>
        </w:rPr>
        <w:t>：环境压力，Pa；取1</w:t>
      </w:r>
      <w:r>
        <w:rPr>
          <w:rFonts w:ascii="Times New Roman" w:hAnsi="Times New Roman" w:cs="Times New Roman"/>
          <w:caps w:val="0"/>
          <w:smallCaps w:val="0"/>
          <w:color w:val="auto"/>
          <w:spacing w:val="0"/>
          <w:w w:val="100"/>
          <w:kern w:val="2"/>
          <w:position w:val="0"/>
          <w:szCs w:val="20"/>
          <w:highlight w:val="none"/>
        </w:rPr>
        <w:t>01325</w:t>
      </w:r>
      <w:r>
        <w:rPr>
          <w:rFonts w:hint="eastAsia" w:ascii="Times New Roman" w:hAnsi="Times New Roman" w:cs="Times New Roman"/>
          <w:caps w:val="0"/>
          <w:smallCaps w:val="0"/>
          <w:color w:val="auto"/>
          <w:spacing w:val="0"/>
          <w:w w:val="100"/>
          <w:kern w:val="2"/>
          <w:position w:val="0"/>
          <w:szCs w:val="20"/>
          <w:highlight w:val="none"/>
        </w:rPr>
        <w:t>Pa；</w:t>
      </w:r>
    </w:p>
    <w:p w14:paraId="348D4F5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 xml:space="preserve">      g：重力加速度9.8m/s</w:t>
      </w:r>
      <w:r>
        <w:rPr>
          <w:rFonts w:hint="eastAsia" w:ascii="Times New Roman" w:hAnsi="Times New Roman" w:cs="Times New Roman"/>
          <w:caps w:val="0"/>
          <w:smallCaps w:val="0"/>
          <w:color w:val="auto"/>
          <w:spacing w:val="0"/>
          <w:w w:val="100"/>
          <w:kern w:val="2"/>
          <w:position w:val="0"/>
          <w:szCs w:val="20"/>
          <w:highlight w:val="none"/>
          <w:vertAlign w:val="superscript"/>
        </w:rPr>
        <w:t>2</w:t>
      </w:r>
      <w:r>
        <w:rPr>
          <w:rFonts w:hint="eastAsia" w:ascii="Times New Roman" w:hAnsi="Times New Roman" w:cs="Times New Roman"/>
          <w:caps w:val="0"/>
          <w:smallCaps w:val="0"/>
          <w:color w:val="auto"/>
          <w:spacing w:val="0"/>
          <w:w w:val="100"/>
          <w:kern w:val="2"/>
          <w:position w:val="0"/>
          <w:szCs w:val="20"/>
          <w:highlight w:val="none"/>
        </w:rPr>
        <w:t>；</w:t>
      </w:r>
    </w:p>
    <w:p w14:paraId="0D365867">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 xml:space="preserve">      h：裂口之上液位高度，0.168m；</w:t>
      </w:r>
    </w:p>
    <w:p w14:paraId="6660A21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 xml:space="preserve">      ρ：泄漏液体密度，850kg/m</w:t>
      </w:r>
      <w:r>
        <w:rPr>
          <w:rFonts w:ascii="Times New Roman" w:hAnsi="Times New Roman" w:cs="Times New Roman"/>
          <w:caps w:val="0"/>
          <w:smallCaps w:val="0"/>
          <w:color w:val="auto"/>
          <w:spacing w:val="0"/>
          <w:w w:val="100"/>
          <w:kern w:val="2"/>
          <w:position w:val="0"/>
          <w:szCs w:val="20"/>
          <w:highlight w:val="none"/>
          <w:vertAlign w:val="superscript"/>
        </w:rPr>
        <w:t>3</w:t>
      </w:r>
      <w:r>
        <w:rPr>
          <w:rFonts w:ascii="Times New Roman" w:hAnsi="Times New Roman" w:cs="Times New Roman"/>
          <w:caps w:val="0"/>
          <w:smallCaps w:val="0"/>
          <w:color w:val="auto"/>
          <w:spacing w:val="0"/>
          <w:w w:val="100"/>
          <w:kern w:val="2"/>
          <w:position w:val="0"/>
          <w:szCs w:val="20"/>
          <w:highlight w:val="none"/>
        </w:rPr>
        <w:t>。</w:t>
      </w:r>
    </w:p>
    <w:p w14:paraId="20B659E1">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进入地下水中的石油类浓度按500mg/L计算，则石油类泄漏量为413.59kg/d。由于</w:t>
      </w:r>
      <w:r>
        <w:rPr>
          <w:rFonts w:hint="eastAsia" w:ascii="Times New Roman" w:hAnsi="Times New Roman" w:cs="Times New Roman"/>
          <w:caps w:val="0"/>
          <w:smallCaps w:val="0"/>
          <w:color w:val="auto"/>
          <w:spacing w:val="0"/>
          <w:w w:val="100"/>
          <w:kern w:val="2"/>
          <w:position w:val="0"/>
          <w:szCs w:val="20"/>
          <w:highlight w:val="none"/>
        </w:rPr>
        <w:t>管道小孔径</w:t>
      </w:r>
      <w:r>
        <w:rPr>
          <w:rFonts w:ascii="Times New Roman" w:hAnsi="Times New Roman" w:cs="Times New Roman"/>
          <w:caps w:val="0"/>
          <w:smallCaps w:val="0"/>
          <w:color w:val="auto"/>
          <w:spacing w:val="0"/>
          <w:w w:val="100"/>
          <w:kern w:val="2"/>
          <w:position w:val="0"/>
          <w:szCs w:val="20"/>
          <w:highlight w:val="none"/>
        </w:rPr>
        <w:t>破损不易被发现，所以按持续泄漏预测。</w:t>
      </w:r>
    </w:p>
    <w:p w14:paraId="308280D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②</w:t>
      </w:r>
      <w:r>
        <w:rPr>
          <w:rFonts w:ascii="Times New Roman" w:hAnsi="Times New Roman" w:cs="Times New Roman"/>
          <w:caps w:val="0"/>
          <w:smallCaps w:val="0"/>
          <w:color w:val="auto"/>
          <w:spacing w:val="0"/>
          <w:w w:val="100"/>
          <w:kern w:val="2"/>
          <w:position w:val="0"/>
          <w:szCs w:val="20"/>
          <w:highlight w:val="none"/>
        </w:rPr>
        <w:t>预测因子</w:t>
      </w:r>
    </w:p>
    <w:p w14:paraId="6B57EBE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输油管道发生泄漏，导致原油泄漏，污染物有石油类、挥发性酚类等。根据《环境影响评价技术导则地下水环境》（HJ610-2016）中情景设置预测因子相关要求，对每一类别中的各项因子采取标准指数法进行排序，分别取标准指数最大的因子作为预测因子。在输油管道发生泄漏情景下，原油泄漏的主要污染因子为石油类，挥发性酚类的含量远低于石油，本次评价最终选取石油类作为预测特征因子。预测第100天、1000天、5475d（</w:t>
      </w:r>
      <w:r>
        <w:rPr>
          <w:rFonts w:hint="eastAsia" w:ascii="Times New Roman" w:hAnsi="Times New Roman" w:cs="Times New Roman"/>
          <w:caps w:val="0"/>
          <w:smallCaps w:val="0"/>
          <w:color w:val="auto"/>
          <w:spacing w:val="0"/>
          <w:w w:val="100"/>
          <w:kern w:val="2"/>
          <w:position w:val="0"/>
          <w:szCs w:val="20"/>
          <w:highlight w:val="none"/>
        </w:rPr>
        <w:t>1</w:t>
      </w:r>
      <w:r>
        <w:rPr>
          <w:rFonts w:ascii="Times New Roman" w:hAnsi="Times New Roman" w:cs="Times New Roman"/>
          <w:caps w:val="0"/>
          <w:smallCaps w:val="0"/>
          <w:color w:val="auto"/>
          <w:spacing w:val="0"/>
          <w:w w:val="100"/>
          <w:kern w:val="2"/>
          <w:position w:val="0"/>
          <w:szCs w:val="20"/>
          <w:highlight w:val="none"/>
        </w:rPr>
        <w:t>5年）石油类在潜水中的运移情况。</w:t>
      </w:r>
    </w:p>
    <w:p w14:paraId="03B7B243">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③</w:t>
      </w:r>
      <w:r>
        <w:rPr>
          <w:rFonts w:ascii="Times New Roman" w:hAnsi="Times New Roman" w:cs="Times New Roman"/>
          <w:caps w:val="0"/>
          <w:smallCaps w:val="0"/>
          <w:color w:val="auto"/>
          <w:spacing w:val="0"/>
          <w:w w:val="100"/>
          <w:kern w:val="2"/>
          <w:position w:val="0"/>
          <w:szCs w:val="20"/>
          <w:highlight w:val="none"/>
        </w:rPr>
        <w:t>预测模型</w:t>
      </w:r>
    </w:p>
    <w:p w14:paraId="2341F34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根据《环境影响评价技术导则 地下水环境》（HJ610-2016）中 9.7 节预测方法，采用推荐的地下水溶质运移解析法中的一维稳定流动二维弥散点源模型连续注入示踪剂—平面连续点源进行预测。具体如下：</w:t>
      </w:r>
    </w:p>
    <w:p w14:paraId="398B2D2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连续注入示踪剂——平面连续点源</w:t>
      </w:r>
    </w:p>
    <w:p w14:paraId="586F754A">
      <w:pPr>
        <w:jc w:val="center"/>
        <w:rPr>
          <w:rFonts w:ascii="Times New Roman" w:hAnsi="Times New Roman" w:cs="Times New Roman" w:eastAsiaTheme="minorEastAsia"/>
          <w:caps w:val="0"/>
          <w:smallCaps w:val="0"/>
          <w:color w:val="auto"/>
          <w:spacing w:val="0"/>
          <w:w w:val="100"/>
          <w:position w:val="0"/>
          <w:sz w:val="28"/>
          <w:szCs w:val="28"/>
          <w:highlight w:val="none"/>
        </w:rPr>
      </w:pPr>
      <w:r>
        <w:rPr>
          <w:rFonts w:ascii="Times New Roman" w:hAnsi="Times New Roman" w:cs="Times New Roman" w:eastAsiaTheme="minorEastAsia"/>
          <w:caps w:val="0"/>
          <w:smallCaps w:val="0"/>
          <w:color w:val="auto"/>
          <w:spacing w:val="0"/>
          <w:w w:val="100"/>
          <w:position w:val="0"/>
          <w:sz w:val="28"/>
          <w:szCs w:val="28"/>
          <w:highlight w:val="none"/>
        </w:rPr>
        <w:drawing>
          <wp:inline distT="0" distB="0" distL="0" distR="0">
            <wp:extent cx="4451350" cy="914400"/>
            <wp:effectExtent l="0" t="0" r="6350" b="0"/>
            <wp:docPr id="527" name="图片 527" descr="d:\tmp\ksohtml\wps4CB0.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图片 527" descr="d:\tmp\ksohtml\wps4CB0.tmp.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4451350" cy="914400"/>
                    </a:xfrm>
                    <a:prstGeom prst="rect">
                      <a:avLst/>
                    </a:prstGeom>
                    <a:noFill/>
                    <a:ln>
                      <a:noFill/>
                    </a:ln>
                  </pic:spPr>
                </pic:pic>
              </a:graphicData>
            </a:graphic>
          </wp:inline>
        </w:drawing>
      </w:r>
    </w:p>
    <w:p w14:paraId="4174D689">
      <w:pPr>
        <w:jc w:val="center"/>
        <w:rPr>
          <w:rFonts w:ascii="Times New Roman" w:hAnsi="Times New Roman" w:cs="Times New Roman" w:eastAsiaTheme="minorEastAsia"/>
          <w:caps w:val="0"/>
          <w:smallCaps w:val="0"/>
          <w:color w:val="auto"/>
          <w:spacing w:val="0"/>
          <w:w w:val="100"/>
          <w:position w:val="0"/>
          <w:sz w:val="28"/>
          <w:szCs w:val="28"/>
          <w:highlight w:val="none"/>
        </w:rPr>
      </w:pPr>
      <w:r>
        <w:rPr>
          <w:rFonts w:ascii="Times New Roman" w:hAnsi="Times New Roman" w:cs="Times New Roman"/>
          <w:caps w:val="0"/>
          <w:smallCaps w:val="0"/>
          <w:color w:val="auto"/>
          <w:spacing w:val="0"/>
          <w:w w:val="100"/>
          <w:position w:val="0"/>
          <w:highlight w:val="none"/>
        </w:rPr>
        <w:drawing>
          <wp:inline distT="0" distB="0" distL="0" distR="0">
            <wp:extent cx="1854835" cy="681355"/>
            <wp:effectExtent l="0" t="0" r="0" b="4445"/>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图片 53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854835" cy="681355"/>
                    </a:xfrm>
                    <a:prstGeom prst="rect">
                      <a:avLst/>
                    </a:prstGeom>
                    <a:noFill/>
                    <a:ln>
                      <a:noFill/>
                    </a:ln>
                  </pic:spPr>
                </pic:pic>
              </a:graphicData>
            </a:graphic>
          </wp:inline>
        </w:drawing>
      </w:r>
    </w:p>
    <w:p w14:paraId="60FC56F6">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式中：</w:t>
      </w:r>
    </w:p>
    <w:p w14:paraId="67064622">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x，y—计算点处的位置坐标；</w:t>
      </w:r>
    </w:p>
    <w:p w14:paraId="63488507">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 xml:space="preserve">t—时间，d； </w:t>
      </w:r>
    </w:p>
    <w:p w14:paraId="759CE3D7">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C（x，y，t）—t时刻点x，y处的示踪剂浓度，g/L；</w:t>
      </w:r>
    </w:p>
    <w:p w14:paraId="7A5F8B41">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M—含水层的厚度，m；</w:t>
      </w:r>
    </w:p>
    <w:p w14:paraId="3822C01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mt—单位时间注入示踪剂的质量，kg/d；</w:t>
      </w:r>
    </w:p>
    <w:p w14:paraId="40E2B79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 xml:space="preserve">u—水流速度，m/d； </w:t>
      </w:r>
    </w:p>
    <w:p w14:paraId="302278F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n—有效孔隙度，无量纲；</w:t>
      </w:r>
    </w:p>
    <w:p w14:paraId="61504671">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DL—纵向弥散系数，m</w:t>
      </w:r>
      <w:r>
        <w:rPr>
          <w:rFonts w:ascii="Times New Roman" w:hAnsi="Times New Roman" w:cs="Times New Roman"/>
          <w:caps w:val="0"/>
          <w:smallCaps w:val="0"/>
          <w:color w:val="auto"/>
          <w:spacing w:val="0"/>
          <w:w w:val="100"/>
          <w:kern w:val="2"/>
          <w:position w:val="0"/>
          <w:szCs w:val="20"/>
          <w:highlight w:val="none"/>
          <w:vertAlign w:val="superscript"/>
        </w:rPr>
        <w:t>2</w:t>
      </w:r>
      <w:r>
        <w:rPr>
          <w:rFonts w:ascii="Times New Roman" w:hAnsi="Times New Roman" w:cs="Times New Roman"/>
          <w:caps w:val="0"/>
          <w:smallCaps w:val="0"/>
          <w:color w:val="auto"/>
          <w:spacing w:val="0"/>
          <w:w w:val="100"/>
          <w:kern w:val="2"/>
          <w:position w:val="0"/>
          <w:szCs w:val="20"/>
          <w:highlight w:val="none"/>
        </w:rPr>
        <w:t>/d；</w:t>
      </w:r>
    </w:p>
    <w:p w14:paraId="6275CB51">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DT—横向y方向的弥散系数，m</w:t>
      </w:r>
      <w:r>
        <w:rPr>
          <w:rFonts w:ascii="Times New Roman" w:hAnsi="Times New Roman" w:cs="Times New Roman"/>
          <w:caps w:val="0"/>
          <w:smallCaps w:val="0"/>
          <w:color w:val="auto"/>
          <w:spacing w:val="0"/>
          <w:w w:val="100"/>
          <w:kern w:val="2"/>
          <w:position w:val="0"/>
          <w:szCs w:val="20"/>
          <w:highlight w:val="none"/>
          <w:vertAlign w:val="superscript"/>
        </w:rPr>
        <w:t>2</w:t>
      </w:r>
      <w:r>
        <w:rPr>
          <w:rFonts w:ascii="Times New Roman" w:hAnsi="Times New Roman" w:cs="Times New Roman"/>
          <w:caps w:val="0"/>
          <w:smallCaps w:val="0"/>
          <w:color w:val="auto"/>
          <w:spacing w:val="0"/>
          <w:w w:val="100"/>
          <w:kern w:val="2"/>
          <w:position w:val="0"/>
          <w:szCs w:val="20"/>
          <w:highlight w:val="none"/>
        </w:rPr>
        <w:t>/d。</w:t>
      </w:r>
    </w:p>
    <w:p w14:paraId="71703CB6">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π—圆周率。</w:t>
      </w:r>
    </w:p>
    <w:p w14:paraId="3A3C2BA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K</w:t>
      </w:r>
      <w:r>
        <w:rPr>
          <w:rFonts w:ascii="Times New Roman" w:hAnsi="Times New Roman" w:cs="Times New Roman"/>
          <w:caps w:val="0"/>
          <w:smallCaps w:val="0"/>
          <w:color w:val="auto"/>
          <w:spacing w:val="0"/>
          <w:w w:val="100"/>
          <w:kern w:val="2"/>
          <w:position w:val="0"/>
          <w:szCs w:val="20"/>
          <w:highlight w:val="none"/>
          <w:vertAlign w:val="subscript"/>
        </w:rPr>
        <w:t>0</w:t>
      </w:r>
      <w:r>
        <w:rPr>
          <w:rFonts w:ascii="Times New Roman" w:hAnsi="Times New Roman" w:cs="Times New Roman"/>
          <w:caps w:val="0"/>
          <w:smallCaps w:val="0"/>
          <w:color w:val="auto"/>
          <w:spacing w:val="0"/>
          <w:w w:val="100"/>
          <w:kern w:val="2"/>
          <w:position w:val="0"/>
          <w:szCs w:val="20"/>
          <w:highlight w:val="none"/>
        </w:rPr>
        <w:t>(β) —第二类零阶修正贝塞尔函数；</w:t>
      </w:r>
    </w:p>
    <w:p w14:paraId="01FA21B1">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W(u</w:t>
      </w:r>
      <w:r>
        <w:rPr>
          <w:rFonts w:ascii="Times New Roman" w:hAnsi="Times New Roman" w:cs="Times New Roman"/>
          <w:caps w:val="0"/>
          <w:smallCaps w:val="0"/>
          <w:color w:val="auto"/>
          <w:spacing w:val="0"/>
          <w:w w:val="100"/>
          <w:kern w:val="2"/>
          <w:position w:val="0"/>
          <w:szCs w:val="20"/>
          <w:highlight w:val="none"/>
          <w:vertAlign w:val="superscript"/>
        </w:rPr>
        <w:t>2</w:t>
      </w:r>
      <w:r>
        <w:rPr>
          <w:rFonts w:ascii="Times New Roman" w:hAnsi="Times New Roman" w:cs="Times New Roman"/>
          <w:caps w:val="0"/>
          <w:smallCaps w:val="0"/>
          <w:color w:val="auto"/>
          <w:spacing w:val="0"/>
          <w:w w:val="100"/>
          <w:kern w:val="2"/>
          <w:position w:val="0"/>
          <w:szCs w:val="20"/>
          <w:highlight w:val="none"/>
        </w:rPr>
        <w:t>t/4D</w:t>
      </w:r>
      <w:r>
        <w:rPr>
          <w:rFonts w:ascii="Times New Roman" w:hAnsi="Times New Roman" w:cs="Times New Roman"/>
          <w:caps w:val="0"/>
          <w:smallCaps w:val="0"/>
          <w:color w:val="auto"/>
          <w:spacing w:val="0"/>
          <w:w w:val="100"/>
          <w:kern w:val="2"/>
          <w:position w:val="0"/>
          <w:szCs w:val="20"/>
          <w:highlight w:val="none"/>
          <w:vertAlign w:val="subscript"/>
        </w:rPr>
        <w:t>L</w:t>
      </w:r>
      <w:r>
        <w:rPr>
          <w:rFonts w:ascii="Times New Roman" w:hAnsi="Times New Roman" w:cs="Times New Roman"/>
          <w:caps w:val="0"/>
          <w:smallCaps w:val="0"/>
          <w:color w:val="auto"/>
          <w:spacing w:val="0"/>
          <w:w w:val="100"/>
          <w:kern w:val="2"/>
          <w:position w:val="0"/>
          <w:szCs w:val="20"/>
          <w:highlight w:val="none"/>
        </w:rPr>
        <w:t>，β) —第一类越流系统井函数。</w:t>
      </w:r>
    </w:p>
    <w:p w14:paraId="0711E6F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④</w:t>
      </w:r>
      <w:r>
        <w:rPr>
          <w:rFonts w:ascii="Times New Roman" w:hAnsi="Times New Roman" w:cs="Times New Roman"/>
          <w:caps w:val="0"/>
          <w:smallCaps w:val="0"/>
          <w:color w:val="auto"/>
          <w:spacing w:val="0"/>
          <w:w w:val="100"/>
          <w:kern w:val="2"/>
          <w:position w:val="0"/>
          <w:szCs w:val="20"/>
          <w:highlight w:val="none"/>
        </w:rPr>
        <w:t>参数选取</w:t>
      </w:r>
    </w:p>
    <w:p w14:paraId="75C873EC">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szCs w:val="20"/>
          <w:highlight w:val="none"/>
        </w:rPr>
      </w:pPr>
      <w:r>
        <w:rPr>
          <w:rFonts w:ascii="Times New Roman" w:hAnsi="Times New Roman" w:cs="Times New Roman" w:eastAsiaTheme="minorEastAsia"/>
          <w:bCs/>
          <w:caps w:val="0"/>
          <w:smallCaps w:val="0"/>
          <w:color w:val="auto"/>
          <w:spacing w:val="0"/>
          <w:w w:val="100"/>
          <w:kern w:val="21"/>
          <w:position w:val="0"/>
          <w:szCs w:val="20"/>
          <w:highlight w:val="none"/>
        </w:rPr>
        <w:t>根据达西定律u=渗透系数×地下水水力坡度/有效孔隙度，根据</w:t>
      </w:r>
      <w:r>
        <w:rPr>
          <w:rFonts w:hint="eastAsia" w:ascii="Times New Roman" w:hAnsi="Times New Roman" w:cs="Times New Roman" w:eastAsiaTheme="minorEastAsia"/>
          <w:bCs/>
          <w:caps w:val="0"/>
          <w:smallCaps w:val="0"/>
          <w:color w:val="auto"/>
          <w:spacing w:val="0"/>
          <w:w w:val="100"/>
          <w:kern w:val="21"/>
          <w:position w:val="0"/>
          <w:szCs w:val="20"/>
          <w:highlight w:val="none"/>
        </w:rPr>
        <w:t>《黑龙江省大庆市地下水资源调查评价报告》</w:t>
      </w:r>
      <w:r>
        <w:rPr>
          <w:rFonts w:ascii="Times New Roman" w:hAnsi="Times New Roman" w:cs="Times New Roman" w:eastAsiaTheme="minorEastAsia"/>
          <w:bCs/>
          <w:caps w:val="0"/>
          <w:smallCaps w:val="0"/>
          <w:color w:val="auto"/>
          <w:spacing w:val="0"/>
          <w:w w:val="100"/>
          <w:kern w:val="21"/>
          <w:position w:val="0"/>
          <w:szCs w:val="20"/>
          <w:highlight w:val="none"/>
        </w:rPr>
        <w:t>，本项目所在区域潜水为第四系上更新统松散层孔隙潜水，岩性为粉细砂，参照《环境影响评价技术导则地下水》（HJ610-2016）附录 B 水文地质参数经验值表，K</w:t>
      </w:r>
      <w:r>
        <w:rPr>
          <w:rFonts w:ascii="Times New Roman" w:hAnsi="Times New Roman" w:cs="Times New Roman" w:eastAsiaTheme="minorEastAsia"/>
          <w:bCs/>
          <w:caps w:val="0"/>
          <w:smallCaps w:val="0"/>
          <w:color w:val="auto"/>
          <w:spacing w:val="0"/>
          <w:w w:val="100"/>
          <w:kern w:val="21"/>
          <w:position w:val="0"/>
          <w:szCs w:val="20"/>
          <w:highlight w:val="none"/>
          <w:vertAlign w:val="subscript"/>
        </w:rPr>
        <w:t>潜水</w:t>
      </w:r>
      <w:r>
        <w:rPr>
          <w:rFonts w:ascii="Times New Roman" w:hAnsi="Times New Roman" w:cs="Times New Roman" w:eastAsiaTheme="minorEastAsia"/>
          <w:bCs/>
          <w:caps w:val="0"/>
          <w:smallCaps w:val="0"/>
          <w:color w:val="auto"/>
          <w:spacing w:val="0"/>
          <w:w w:val="100"/>
          <w:kern w:val="21"/>
          <w:position w:val="0"/>
          <w:szCs w:val="20"/>
          <w:highlight w:val="none"/>
        </w:rPr>
        <w:t>=5m/d，n</w:t>
      </w:r>
      <w:r>
        <w:rPr>
          <w:rFonts w:ascii="Times New Roman" w:hAnsi="Times New Roman" w:cs="Times New Roman" w:eastAsiaTheme="minorEastAsia"/>
          <w:bCs/>
          <w:caps w:val="0"/>
          <w:smallCaps w:val="0"/>
          <w:color w:val="auto"/>
          <w:spacing w:val="0"/>
          <w:w w:val="100"/>
          <w:kern w:val="21"/>
          <w:position w:val="0"/>
          <w:szCs w:val="20"/>
          <w:highlight w:val="none"/>
          <w:vertAlign w:val="subscript"/>
        </w:rPr>
        <w:t>e潜水</w:t>
      </w:r>
      <w:r>
        <w:rPr>
          <w:rFonts w:ascii="Times New Roman" w:hAnsi="Times New Roman" w:cs="Times New Roman" w:eastAsiaTheme="minorEastAsia"/>
          <w:bCs/>
          <w:caps w:val="0"/>
          <w:smallCaps w:val="0"/>
          <w:color w:val="auto"/>
          <w:spacing w:val="0"/>
          <w:w w:val="100"/>
          <w:kern w:val="21"/>
          <w:position w:val="0"/>
          <w:szCs w:val="20"/>
          <w:highlight w:val="none"/>
        </w:rPr>
        <w:t>=0.2，根据区域潜水等水位线与距离确定I</w:t>
      </w:r>
      <w:r>
        <w:rPr>
          <w:rFonts w:ascii="Times New Roman" w:hAnsi="Times New Roman" w:cs="Times New Roman" w:eastAsiaTheme="minorEastAsia"/>
          <w:bCs/>
          <w:caps w:val="0"/>
          <w:smallCaps w:val="0"/>
          <w:color w:val="auto"/>
          <w:spacing w:val="0"/>
          <w:w w:val="100"/>
          <w:kern w:val="21"/>
          <w:position w:val="0"/>
          <w:szCs w:val="20"/>
          <w:highlight w:val="none"/>
          <w:vertAlign w:val="subscript"/>
        </w:rPr>
        <w:t>潜水</w:t>
      </w:r>
      <w:r>
        <w:rPr>
          <w:rFonts w:ascii="Times New Roman" w:hAnsi="Times New Roman" w:cs="Times New Roman" w:eastAsiaTheme="minorEastAsia"/>
          <w:bCs/>
          <w:caps w:val="0"/>
          <w:smallCaps w:val="0"/>
          <w:color w:val="auto"/>
          <w:spacing w:val="0"/>
          <w:w w:val="100"/>
          <w:kern w:val="21"/>
          <w:position w:val="0"/>
          <w:szCs w:val="20"/>
          <w:highlight w:val="none"/>
        </w:rPr>
        <w:t>=0.00079，有效评价区内潜水含水层地下水流速为0.01975m/d。潜水含水层厚度2.5-4.5m，考虑最不利情况，潜水含水层厚度取2.5m。弥散系数：区域地下水纵向弥散系数0.2m</w:t>
      </w:r>
      <w:r>
        <w:rPr>
          <w:rFonts w:ascii="Times New Roman" w:hAnsi="Times New Roman" w:cs="Times New Roman" w:eastAsiaTheme="minorEastAsia"/>
          <w:bCs/>
          <w:caps w:val="0"/>
          <w:smallCaps w:val="0"/>
          <w:color w:val="auto"/>
          <w:spacing w:val="0"/>
          <w:w w:val="100"/>
          <w:kern w:val="21"/>
          <w:position w:val="0"/>
          <w:szCs w:val="20"/>
          <w:highlight w:val="none"/>
          <w:vertAlign w:val="superscript"/>
        </w:rPr>
        <w:t>2</w:t>
      </w:r>
      <w:r>
        <w:rPr>
          <w:rFonts w:ascii="Times New Roman" w:hAnsi="Times New Roman" w:cs="Times New Roman" w:eastAsiaTheme="minorEastAsia"/>
          <w:bCs/>
          <w:caps w:val="0"/>
          <w:smallCaps w:val="0"/>
          <w:color w:val="auto"/>
          <w:spacing w:val="0"/>
          <w:w w:val="100"/>
          <w:kern w:val="21"/>
          <w:position w:val="0"/>
          <w:szCs w:val="20"/>
          <w:highlight w:val="none"/>
        </w:rPr>
        <w:t>/d，横向弥散系数0.02m</w:t>
      </w:r>
      <w:r>
        <w:rPr>
          <w:rFonts w:ascii="Times New Roman" w:hAnsi="Times New Roman" w:cs="Times New Roman" w:eastAsiaTheme="minorEastAsia"/>
          <w:bCs/>
          <w:caps w:val="0"/>
          <w:smallCaps w:val="0"/>
          <w:color w:val="auto"/>
          <w:spacing w:val="0"/>
          <w:w w:val="100"/>
          <w:kern w:val="21"/>
          <w:position w:val="0"/>
          <w:szCs w:val="20"/>
          <w:highlight w:val="none"/>
          <w:vertAlign w:val="superscript"/>
        </w:rPr>
        <w:t>2</w:t>
      </w:r>
      <w:r>
        <w:rPr>
          <w:rFonts w:ascii="Times New Roman" w:hAnsi="Times New Roman" w:cs="Times New Roman" w:eastAsiaTheme="minorEastAsia"/>
          <w:bCs/>
          <w:caps w:val="0"/>
          <w:smallCaps w:val="0"/>
          <w:color w:val="auto"/>
          <w:spacing w:val="0"/>
          <w:w w:val="100"/>
          <w:kern w:val="21"/>
          <w:position w:val="0"/>
          <w:szCs w:val="20"/>
          <w:highlight w:val="none"/>
        </w:rPr>
        <w:t>/d。</w:t>
      </w:r>
    </w:p>
    <w:p w14:paraId="204708D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eastAsiaTheme="minorEastAsia"/>
          <w:bCs/>
          <w:caps w:val="0"/>
          <w:smallCaps w:val="0"/>
          <w:color w:val="auto"/>
          <w:spacing w:val="0"/>
          <w:w w:val="100"/>
          <w:kern w:val="21"/>
          <w:position w:val="0"/>
          <w:szCs w:val="20"/>
          <w:highlight w:val="none"/>
        </w:rPr>
        <w:t>选取地下水石油类≤0.05mg/L（参照《地表水环境质量标准》（GB3838-2002）II类标准执行），石油类最低检出限为</w:t>
      </w:r>
      <w:r>
        <w:rPr>
          <w:rFonts w:hint="eastAsia" w:ascii="Times New Roman" w:hAnsi="Times New Roman" w:cs="Times New Roman" w:eastAsiaTheme="minorEastAsia"/>
          <w:bCs/>
          <w:caps w:val="0"/>
          <w:smallCaps w:val="0"/>
          <w:color w:val="auto"/>
          <w:spacing w:val="0"/>
          <w:w w:val="100"/>
          <w:kern w:val="21"/>
          <w:position w:val="0"/>
          <w:szCs w:val="20"/>
          <w:highlight w:val="none"/>
        </w:rPr>
        <w:t>0</w:t>
      </w:r>
      <w:r>
        <w:rPr>
          <w:rFonts w:ascii="Times New Roman" w:hAnsi="Times New Roman" w:cs="Times New Roman" w:eastAsiaTheme="minorEastAsia"/>
          <w:bCs/>
          <w:caps w:val="0"/>
          <w:smallCaps w:val="0"/>
          <w:color w:val="auto"/>
          <w:spacing w:val="0"/>
          <w:w w:val="100"/>
          <w:kern w:val="21"/>
          <w:position w:val="0"/>
          <w:szCs w:val="20"/>
          <w:highlight w:val="none"/>
        </w:rPr>
        <w:t>.01mg/L，化学反应常数为0。</w:t>
      </w:r>
    </w:p>
    <w:p w14:paraId="03E6D3B5">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⑤</w:t>
      </w:r>
      <w:r>
        <w:rPr>
          <w:rFonts w:ascii="Times New Roman" w:hAnsi="Times New Roman" w:cs="Times New Roman"/>
          <w:caps w:val="0"/>
          <w:smallCaps w:val="0"/>
          <w:color w:val="auto"/>
          <w:spacing w:val="0"/>
          <w:w w:val="100"/>
          <w:kern w:val="2"/>
          <w:position w:val="0"/>
          <w:szCs w:val="20"/>
          <w:highlight w:val="none"/>
        </w:rPr>
        <w:t>预测结果</w:t>
      </w:r>
    </w:p>
    <w:p w14:paraId="65D31D3B">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输油</w:t>
      </w:r>
      <w:r>
        <w:rPr>
          <w:rFonts w:ascii="Times New Roman" w:hAnsi="Times New Roman" w:cs="Times New Roman"/>
          <w:caps w:val="0"/>
          <w:smallCaps w:val="0"/>
          <w:color w:val="auto"/>
          <w:spacing w:val="0"/>
          <w:w w:val="100"/>
          <w:kern w:val="2"/>
          <w:position w:val="0"/>
          <w:szCs w:val="20"/>
          <w:highlight w:val="none"/>
        </w:rPr>
        <w:t>管道10%管径泄漏100d、1000d、5475d对潜水的影响预测结果见表5.3-2、图5.3-1~图5.3-3。</w:t>
      </w:r>
    </w:p>
    <w:p w14:paraId="19D9934A">
      <w:pPr>
        <w:widowControl w:val="0"/>
        <w:spacing w:line="440" w:lineRule="exact"/>
        <w:ind w:firstLine="482"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b/>
          <w:caps w:val="0"/>
          <w:smallCaps w:val="0"/>
          <w:color w:val="auto"/>
          <w:spacing w:val="0"/>
          <w:w w:val="100"/>
          <w:kern w:val="2"/>
          <w:position w:val="0"/>
          <w:szCs w:val="20"/>
          <w:highlight w:val="none"/>
        </w:rPr>
        <w:t>表5.3-2    输油管道10%管径泄漏对潜水的影响预测结果表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8"/>
        <w:gridCol w:w="1118"/>
        <w:gridCol w:w="1815"/>
        <w:gridCol w:w="1702"/>
        <w:gridCol w:w="2385"/>
        <w:gridCol w:w="1349"/>
      </w:tblGrid>
      <w:tr w14:paraId="54E20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494" w:type="pct"/>
            <w:vAlign w:val="center"/>
          </w:tcPr>
          <w:p w14:paraId="0302AECB">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w:t>
            </w:r>
          </w:p>
        </w:tc>
        <w:tc>
          <w:tcPr>
            <w:tcW w:w="602" w:type="pct"/>
            <w:vAlign w:val="center"/>
          </w:tcPr>
          <w:p w14:paraId="3CDFBAA6">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预测时间</w:t>
            </w:r>
          </w:p>
        </w:tc>
        <w:tc>
          <w:tcPr>
            <w:tcW w:w="977" w:type="pct"/>
            <w:vAlign w:val="center"/>
          </w:tcPr>
          <w:p w14:paraId="583F9C31">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超标最远距离</w:t>
            </w:r>
          </w:p>
        </w:tc>
        <w:tc>
          <w:tcPr>
            <w:tcW w:w="916" w:type="pct"/>
            <w:vAlign w:val="center"/>
          </w:tcPr>
          <w:p w14:paraId="1B7F7D6C">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超标面积</w:t>
            </w:r>
          </w:p>
        </w:tc>
        <w:tc>
          <w:tcPr>
            <w:tcW w:w="1284" w:type="pct"/>
            <w:vAlign w:val="center"/>
          </w:tcPr>
          <w:p w14:paraId="35E0225A">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最远影响距离</w:t>
            </w:r>
          </w:p>
          <w:p w14:paraId="45EFB382">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（最大迁移距离）</w:t>
            </w:r>
          </w:p>
        </w:tc>
        <w:tc>
          <w:tcPr>
            <w:tcW w:w="726" w:type="pct"/>
            <w:vAlign w:val="center"/>
          </w:tcPr>
          <w:p w14:paraId="6C5E22C6">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影响面积</w:t>
            </w:r>
          </w:p>
        </w:tc>
      </w:tr>
      <w:tr w14:paraId="2405F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restart"/>
            <w:vAlign w:val="center"/>
          </w:tcPr>
          <w:p w14:paraId="7DBD4582">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石油类</w:t>
            </w:r>
          </w:p>
        </w:tc>
        <w:tc>
          <w:tcPr>
            <w:tcW w:w="602" w:type="pct"/>
            <w:vAlign w:val="center"/>
          </w:tcPr>
          <w:p w14:paraId="186ABA09">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100天</w:t>
            </w:r>
          </w:p>
        </w:tc>
        <w:tc>
          <w:tcPr>
            <w:tcW w:w="977" w:type="pct"/>
            <w:vAlign w:val="center"/>
          </w:tcPr>
          <w:p w14:paraId="29B12A04">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36m</w:t>
            </w:r>
          </w:p>
        </w:tc>
        <w:tc>
          <w:tcPr>
            <w:tcW w:w="916" w:type="pct"/>
            <w:vAlign w:val="center"/>
          </w:tcPr>
          <w:p w14:paraId="1D94AB75">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1125.25m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c>
          <w:tcPr>
            <w:tcW w:w="1284" w:type="pct"/>
            <w:vAlign w:val="center"/>
          </w:tcPr>
          <w:p w14:paraId="1673CA79">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38m</w:t>
            </w:r>
          </w:p>
        </w:tc>
        <w:tc>
          <w:tcPr>
            <w:tcW w:w="726" w:type="pct"/>
            <w:vAlign w:val="center"/>
          </w:tcPr>
          <w:p w14:paraId="7020AF61">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1243m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r>
      <w:tr w14:paraId="29717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3D0C1B7A">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602" w:type="pct"/>
            <w:vAlign w:val="center"/>
          </w:tcPr>
          <w:p w14:paraId="11D4B43C">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1000天</w:t>
            </w:r>
          </w:p>
        </w:tc>
        <w:tc>
          <w:tcPr>
            <w:tcW w:w="977" w:type="pct"/>
            <w:vAlign w:val="center"/>
          </w:tcPr>
          <w:p w14:paraId="0B44A236">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126m</w:t>
            </w:r>
          </w:p>
        </w:tc>
        <w:tc>
          <w:tcPr>
            <w:tcW w:w="916" w:type="pct"/>
            <w:vAlign w:val="center"/>
          </w:tcPr>
          <w:p w14:paraId="34113E78">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11251m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c>
          <w:tcPr>
            <w:tcW w:w="1284" w:type="pct"/>
            <w:vAlign w:val="center"/>
          </w:tcPr>
          <w:p w14:paraId="2D583102">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131m</w:t>
            </w:r>
          </w:p>
        </w:tc>
        <w:tc>
          <w:tcPr>
            <w:tcW w:w="726" w:type="pct"/>
            <w:vAlign w:val="center"/>
          </w:tcPr>
          <w:p w14:paraId="4FC62B6F">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12451m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r>
      <w:tr w14:paraId="40524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72DDE8F6">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602" w:type="pct"/>
            <w:vAlign w:val="center"/>
          </w:tcPr>
          <w:p w14:paraId="296171DB">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5475天</w:t>
            </w:r>
          </w:p>
        </w:tc>
        <w:tc>
          <w:tcPr>
            <w:tcW w:w="977" w:type="pct"/>
            <w:vAlign w:val="center"/>
          </w:tcPr>
          <w:p w14:paraId="19175A72">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354m</w:t>
            </w:r>
          </w:p>
        </w:tc>
        <w:tc>
          <w:tcPr>
            <w:tcW w:w="916" w:type="pct"/>
            <w:vAlign w:val="center"/>
          </w:tcPr>
          <w:p w14:paraId="533A5138">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62568m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c>
          <w:tcPr>
            <w:tcW w:w="1284" w:type="pct"/>
            <w:vAlign w:val="center"/>
          </w:tcPr>
          <w:p w14:paraId="0D30DA03">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367m</w:t>
            </w:r>
          </w:p>
        </w:tc>
        <w:tc>
          <w:tcPr>
            <w:tcW w:w="726" w:type="pct"/>
            <w:vAlign w:val="center"/>
          </w:tcPr>
          <w:p w14:paraId="477FAE9B">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69180m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r>
    </w:tbl>
    <w:p w14:paraId="7864C987">
      <w:pPr>
        <w:pStyle w:val="41"/>
        <w:jc w:val="center"/>
        <w:rPr>
          <w:rFonts w:ascii="Times New Roman" w:hAnsi="Times New Roman" w:eastAsiaTheme="minorEastAsia"/>
          <w:b/>
          <w:caps w:val="0"/>
          <w:smallCaps w:val="0"/>
          <w:color w:val="auto"/>
          <w:spacing w:val="0"/>
          <w:w w:val="100"/>
          <w:position w:val="0"/>
          <w:szCs w:val="24"/>
          <w:highlight w:val="none"/>
        </w:rPr>
      </w:pPr>
      <w:r>
        <w:rPr>
          <w:rFonts w:ascii="Times New Roman" w:hAnsi="Times New Roman" w:eastAsiaTheme="minorEastAsia"/>
          <w:b/>
          <w:caps w:val="0"/>
          <w:smallCaps w:val="0"/>
          <w:color w:val="auto"/>
          <w:spacing w:val="0"/>
          <w:w w:val="100"/>
          <w:position w:val="0"/>
          <w:szCs w:val="24"/>
          <w:highlight w:val="none"/>
        </w:rPr>
        <mc:AlternateContent>
          <mc:Choice Requires="wps">
            <w:drawing>
              <wp:anchor distT="0" distB="0" distL="114300" distR="114300" simplePos="0" relativeHeight="251681792" behindDoc="0" locked="0" layoutInCell="1" allowOverlap="1">
                <wp:simplePos x="0" y="0"/>
                <wp:positionH relativeFrom="column">
                  <wp:posOffset>1247775</wp:posOffset>
                </wp:positionH>
                <wp:positionV relativeFrom="paragraph">
                  <wp:posOffset>806450</wp:posOffset>
                </wp:positionV>
                <wp:extent cx="307340" cy="1202690"/>
                <wp:effectExtent l="0" t="295275" r="0" b="311785"/>
                <wp:wrapNone/>
                <wp:docPr id="505" name="矩形 505"/>
                <wp:cNvGraphicFramePr/>
                <a:graphic xmlns:a="http://schemas.openxmlformats.org/drawingml/2006/main">
                  <a:graphicData uri="http://schemas.microsoft.com/office/word/2010/wordprocessingShape">
                    <wps:wsp>
                      <wps:cNvSpPr/>
                      <wps:spPr>
                        <a:xfrm rot="2878324">
                          <a:off x="0" y="0"/>
                          <a:ext cx="307340" cy="1202690"/>
                        </a:xfrm>
                        <a:prstGeom prst="rect">
                          <a:avLst/>
                        </a:prstGeom>
                        <a:noFill/>
                        <a:ln w="12700" cap="flat" cmpd="sng" algn="ctr">
                          <a:noFill/>
                          <a:prstDash val="solid"/>
                          <a:miter lim="800000"/>
                        </a:ln>
                        <a:effectLst/>
                      </wps:spPr>
                      <wps:txbx>
                        <w:txbxContent>
                          <w:p w14:paraId="51DE171C">
                            <w:pPr>
                              <w:jc w:val="center"/>
                              <w:rPr>
                                <w:b/>
                                <w:color w:val="00FF00"/>
                              </w:rPr>
                            </w:pPr>
                            <w:r>
                              <w:rPr>
                                <w:rFonts w:hint="eastAsia"/>
                                <w:b/>
                                <w:color w:val="00FF00"/>
                              </w:rPr>
                              <w:t>地</w:t>
                            </w:r>
                          </w:p>
                          <w:p w14:paraId="46F0794C">
                            <w:pPr>
                              <w:jc w:val="center"/>
                              <w:rPr>
                                <w:b/>
                                <w:color w:val="00FF00"/>
                              </w:rPr>
                            </w:pPr>
                            <w:r>
                              <w:rPr>
                                <w:rFonts w:hint="eastAsia"/>
                                <w:b/>
                                <w:color w:val="00FF00"/>
                              </w:rPr>
                              <w:t>下</w:t>
                            </w:r>
                          </w:p>
                          <w:p w14:paraId="4A8D67E3">
                            <w:pPr>
                              <w:jc w:val="center"/>
                              <w:rPr>
                                <w:b/>
                                <w:color w:val="00FF00"/>
                              </w:rPr>
                            </w:pPr>
                            <w:r>
                              <w:rPr>
                                <w:rFonts w:hint="eastAsia"/>
                                <w:b/>
                                <w:color w:val="00FF00"/>
                              </w:rPr>
                              <w:t>水</w:t>
                            </w:r>
                          </w:p>
                          <w:p w14:paraId="0E5503BC">
                            <w:pPr>
                              <w:jc w:val="center"/>
                              <w:rPr>
                                <w:b/>
                                <w:color w:val="00FF00"/>
                              </w:rPr>
                            </w:pPr>
                            <w:r>
                              <w:rPr>
                                <w:rFonts w:hint="eastAsia"/>
                                <w:b/>
                                <w:color w:val="00FF00"/>
                              </w:rPr>
                              <w:t>流</w:t>
                            </w:r>
                          </w:p>
                          <w:p w14:paraId="52B2158C">
                            <w:pPr>
                              <w:jc w:val="center"/>
                              <w:rPr>
                                <w:b/>
                                <w:color w:val="00FF00"/>
                              </w:rPr>
                            </w:pPr>
                            <w:r>
                              <w:rPr>
                                <w:rFonts w:hint="eastAsia"/>
                                <w:b/>
                                <w:color w:val="00FF00"/>
                              </w:rPr>
                              <w:t>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8.25pt;margin-top:63.5pt;height:94.7pt;width:24.2pt;rotation:3143897f;z-index:251681792;v-text-anchor:middle;mso-width-relative:page;mso-height-relative:page;" filled="f" stroked="f" coordsize="21600,21600" o:gfxdata="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NWvmf3ZAAAACwEAAA8AAAAAAAAAAQAgAAAAIgAAAGRycy9kb3du&#10;cmV2LnhtbFBLAQIUABQAAAAIAIdO4kCV3kYAcAIAAM0EAAAOAAAAAAAAAAEAIAAAACgBAABkcnMv&#10;ZTJvRG9jLnhtbFBLBQYAAAAABgAGAFkBAAAKBgAAAAA=&#10;">
                <v:fill on="f" focussize="0,0"/>
                <v:stroke on="f" weight="1pt" miterlimit="8" joinstyle="miter"/>
                <v:imagedata o:title=""/>
                <o:lock v:ext="edit" aspectratio="f"/>
                <v:textbox>
                  <w:txbxContent>
                    <w:p w14:paraId="51DE171C">
                      <w:pPr>
                        <w:jc w:val="center"/>
                        <w:rPr>
                          <w:b/>
                          <w:color w:val="00FF00"/>
                        </w:rPr>
                      </w:pPr>
                      <w:r>
                        <w:rPr>
                          <w:rFonts w:hint="eastAsia"/>
                          <w:b/>
                          <w:color w:val="00FF00"/>
                        </w:rPr>
                        <w:t>地</w:t>
                      </w:r>
                    </w:p>
                    <w:p w14:paraId="46F0794C">
                      <w:pPr>
                        <w:jc w:val="center"/>
                        <w:rPr>
                          <w:b/>
                          <w:color w:val="00FF00"/>
                        </w:rPr>
                      </w:pPr>
                      <w:r>
                        <w:rPr>
                          <w:rFonts w:hint="eastAsia"/>
                          <w:b/>
                          <w:color w:val="00FF00"/>
                        </w:rPr>
                        <w:t>下</w:t>
                      </w:r>
                    </w:p>
                    <w:p w14:paraId="4A8D67E3">
                      <w:pPr>
                        <w:jc w:val="center"/>
                        <w:rPr>
                          <w:b/>
                          <w:color w:val="00FF00"/>
                        </w:rPr>
                      </w:pPr>
                      <w:r>
                        <w:rPr>
                          <w:rFonts w:hint="eastAsia"/>
                          <w:b/>
                          <w:color w:val="00FF00"/>
                        </w:rPr>
                        <w:t>水</w:t>
                      </w:r>
                    </w:p>
                    <w:p w14:paraId="0E5503BC">
                      <w:pPr>
                        <w:jc w:val="center"/>
                        <w:rPr>
                          <w:b/>
                          <w:color w:val="00FF00"/>
                        </w:rPr>
                      </w:pPr>
                      <w:r>
                        <w:rPr>
                          <w:rFonts w:hint="eastAsia"/>
                          <w:b/>
                          <w:color w:val="00FF00"/>
                        </w:rPr>
                        <w:t>流</w:t>
                      </w:r>
                    </w:p>
                    <w:p w14:paraId="52B2158C">
                      <w:pPr>
                        <w:jc w:val="center"/>
                        <w:rPr>
                          <w:b/>
                          <w:color w:val="00FF00"/>
                        </w:rPr>
                      </w:pPr>
                      <w:r>
                        <w:rPr>
                          <w:rFonts w:hint="eastAsia"/>
                          <w:b/>
                          <w:color w:val="00FF00"/>
                        </w:rPr>
                        <w:t>向</w:t>
                      </w:r>
                    </w:p>
                  </w:txbxContent>
                </v:textbox>
              </v:rect>
            </w:pict>
          </mc:Fallback>
        </mc:AlternateContent>
      </w:r>
      <w:r>
        <w:rPr>
          <w:rFonts w:ascii="Times New Roman" w:hAnsi="Times New Roman" w:eastAsiaTheme="minorEastAsia"/>
          <w:b/>
          <w:caps w:val="0"/>
          <w:smallCaps w:val="0"/>
          <w:color w:val="auto"/>
          <w:spacing w:val="0"/>
          <w:w w:val="100"/>
          <w:position w:val="0"/>
          <w:szCs w:val="24"/>
          <w:highlight w:val="none"/>
        </w:rPr>
        <mc:AlternateContent>
          <mc:Choice Requires="wps">
            <w:drawing>
              <wp:anchor distT="0" distB="0" distL="114300" distR="114300" simplePos="0" relativeHeight="251682816" behindDoc="0" locked="0" layoutInCell="1" allowOverlap="1">
                <wp:simplePos x="0" y="0"/>
                <wp:positionH relativeFrom="column">
                  <wp:posOffset>1098550</wp:posOffset>
                </wp:positionH>
                <wp:positionV relativeFrom="paragraph">
                  <wp:posOffset>1165860</wp:posOffset>
                </wp:positionV>
                <wp:extent cx="832485" cy="758825"/>
                <wp:effectExtent l="38100" t="0" r="24765" b="60325"/>
                <wp:wrapNone/>
                <wp:docPr id="506" name="直接箭头连接符 506"/>
                <wp:cNvGraphicFramePr/>
                <a:graphic xmlns:a="http://schemas.openxmlformats.org/drawingml/2006/main">
                  <a:graphicData uri="http://schemas.microsoft.com/office/word/2010/wordprocessingShape">
                    <wps:wsp>
                      <wps:cNvCnPr/>
                      <wps:spPr>
                        <a:xfrm flipH="1">
                          <a:off x="0" y="0"/>
                          <a:ext cx="832485" cy="758825"/>
                        </a:xfrm>
                        <a:prstGeom prst="straightConnector1">
                          <a:avLst/>
                        </a:prstGeom>
                        <a:noFill/>
                        <a:ln w="19050" cap="flat" cmpd="sng" algn="ctr">
                          <a:solidFill>
                            <a:srgbClr val="00FF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86.5pt;margin-top:91.8pt;height:59.75pt;width:65.55pt;z-index:251682816;mso-width-relative:page;mso-height-relative:page;" filled="f" stroked="t" coordsize="21600,21600" o:gfxdata="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Yo1a/ZAAAA&#10;CwEAAA8AAAAAAAAAAQAgAAAAIgAAAGRycy9kb3ducmV2LnhtbFBLAQIUABQAAAAIAIdO4kAf4UhW&#10;HAIAAAIEAAAOAAAAAAAAAAEAIAAAACgBAABkcnMvZTJvRG9jLnhtbFBLBQYAAAAABgAGAFkBAAC2&#10;BQAAAAA=&#10;">
                <v:fill on="f" focussize="0,0"/>
                <v:stroke weight="1.5pt" color="#00FF00" miterlimit="8" joinstyle="miter" endarrow="block"/>
                <v:imagedata o:title=""/>
                <o:lock v:ext="edit" aspectratio="f"/>
              </v:shape>
            </w:pict>
          </mc:Fallback>
        </mc:AlternateContent>
      </w:r>
      <w:r>
        <w:rPr>
          <w:caps w:val="0"/>
          <w:smallCaps w:val="0"/>
          <w:color w:val="auto"/>
          <w:spacing w:val="0"/>
          <w:w w:val="100"/>
          <w:position w:val="0"/>
          <w:highlight w:val="none"/>
        </w:rPr>
        <w:pict>
          <v:shape id="_x0000_s1032" o:spid="_x0000_s1032" o:spt="75" type="#_x0000_t75" style="position:absolute;left:0pt;margin-left:157.85pt;margin-top:173.8pt;height:94.5pt;width:98.25pt;z-index:251695104;mso-width-relative:page;mso-height-relative:page;" filled="f" o:preferrelative="t" stroked="f" coordsize="21600,21600">
            <v:path/>
            <v:fill on="f" focussize="0,0"/>
            <v:stroke on="f" joinstyle="miter"/>
            <v:imagedata r:id="rId45" cropleft="8474f" croptop="9171f" cropright="17413f" cropbottom="9394f" chromakey="#FFFFFF" o:title="输油管道10%泄漏100d"/>
            <o:lock v:ext="edit" aspectratio="t"/>
          </v:shape>
        </w:pict>
      </w:r>
      <w:r>
        <w:rPr>
          <w:rFonts w:ascii="Times New Roman" w:hAnsi="Times New Roman" w:eastAsiaTheme="minorEastAsia"/>
          <w:b/>
          <w:caps w:val="0"/>
          <w:smallCaps w:val="0"/>
          <w:color w:val="auto"/>
          <w:spacing w:val="0"/>
          <w:w w:val="100"/>
          <w:position w:val="0"/>
          <w:szCs w:val="24"/>
          <w:highlight w:val="none"/>
        </w:rPr>
        <mc:AlternateContent>
          <mc:Choice Requires="wps">
            <w:drawing>
              <wp:anchor distT="0" distB="0" distL="114300" distR="114300" simplePos="0" relativeHeight="251670528" behindDoc="0" locked="0" layoutInCell="1" allowOverlap="1">
                <wp:simplePos x="0" y="0"/>
                <wp:positionH relativeFrom="column">
                  <wp:posOffset>2409825</wp:posOffset>
                </wp:positionH>
                <wp:positionV relativeFrom="paragraph">
                  <wp:posOffset>2501900</wp:posOffset>
                </wp:positionV>
                <wp:extent cx="556895" cy="257810"/>
                <wp:effectExtent l="0" t="0" r="0" b="0"/>
                <wp:wrapNone/>
                <wp:docPr id="56" name="矩形 56"/>
                <wp:cNvGraphicFramePr/>
                <a:graphic xmlns:a="http://schemas.openxmlformats.org/drawingml/2006/main">
                  <a:graphicData uri="http://schemas.microsoft.com/office/word/2010/wordprocessingShape">
                    <wps:wsp>
                      <wps:cNvSpPr/>
                      <wps:spPr>
                        <a:xfrm>
                          <a:off x="0" y="0"/>
                          <a:ext cx="556895" cy="2578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38AB62">
                            <w:pPr>
                              <w:jc w:val="center"/>
                              <w:rPr>
                                <w:b/>
                                <w:color w:val="00FFFF"/>
                                <w:sz w:val="18"/>
                                <w:szCs w:val="18"/>
                              </w:rPr>
                            </w:pPr>
                            <w:r>
                              <w:rPr>
                                <w:rFonts w:hint="eastAsia"/>
                                <w:b/>
                                <w:color w:val="00FFFF"/>
                                <w:sz w:val="18"/>
                                <w:szCs w:val="18"/>
                              </w:rPr>
                              <w:t>泄漏点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9.75pt;margin-top:197pt;height:20.3pt;width:43.85pt;z-index:251670528;v-text-anchor:middle;mso-width-relative:page;mso-height-relative:page;" filled="f" stroked="f" coordsize="21600,21600" o:gfxdata="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TP663ZAAAACwEAAA8AAAAAAAAAAQAgAAAAIgAAAGRycy9kb3ducmV2LnhtbFBLAQIUABQA&#10;AAAIAIdO4kAZRCeqYQIAAK4EAAAOAAAAAAAAAAEAIAAAACgBAABkcnMvZTJvRG9jLnhtbFBLBQYA&#10;AAAABgAGAFkBAAD7BQAAAAA=&#10;">
                <v:fill on="f" focussize="0,0"/>
                <v:stroke on="f" weight="1pt" miterlimit="8" joinstyle="miter"/>
                <v:imagedata o:title=""/>
                <o:lock v:ext="edit" aspectratio="f"/>
                <v:textbox>
                  <w:txbxContent>
                    <w:p w14:paraId="0938AB62">
                      <w:pPr>
                        <w:jc w:val="center"/>
                        <w:rPr>
                          <w:b/>
                          <w:color w:val="00FFFF"/>
                          <w:sz w:val="18"/>
                          <w:szCs w:val="18"/>
                        </w:rPr>
                      </w:pPr>
                      <w:r>
                        <w:rPr>
                          <w:rFonts w:hint="eastAsia"/>
                          <w:b/>
                          <w:color w:val="00FFFF"/>
                          <w:sz w:val="18"/>
                          <w:szCs w:val="18"/>
                        </w:rPr>
                        <w:t>泄漏点</w:t>
                      </w:r>
                    </w:p>
                  </w:txbxContent>
                </v:textbox>
              </v:rect>
            </w:pict>
          </mc:Fallback>
        </mc:AlternateContent>
      </w:r>
      <w:r>
        <w:rPr>
          <w:rFonts w:ascii="Times New Roman" w:hAnsi="Times New Roman" w:eastAsiaTheme="minorEastAsia"/>
          <w:b/>
          <w:caps w:val="0"/>
          <w:smallCaps w:val="0"/>
          <w:color w:val="auto"/>
          <w:spacing w:val="0"/>
          <w:w w:val="100"/>
          <w:position w:val="0"/>
          <w:szCs w:val="24"/>
          <w:highlight w:val="none"/>
        </w:rPr>
        <mc:AlternateContent>
          <mc:Choice Requires="wps">
            <w:drawing>
              <wp:anchor distT="0" distB="0" distL="114300" distR="114300" simplePos="0" relativeHeight="251669504" behindDoc="0" locked="0" layoutInCell="1" allowOverlap="1">
                <wp:simplePos x="0" y="0"/>
                <wp:positionH relativeFrom="column">
                  <wp:posOffset>2592070</wp:posOffset>
                </wp:positionH>
                <wp:positionV relativeFrom="paragraph">
                  <wp:posOffset>2762250</wp:posOffset>
                </wp:positionV>
                <wp:extent cx="45085" cy="45085"/>
                <wp:effectExtent l="0" t="0" r="0" b="0"/>
                <wp:wrapNone/>
                <wp:docPr id="50" name="椭圆 50"/>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flip:y;margin-left:204.1pt;margin-top:217.5pt;height:3.55pt;width:3.55pt;z-index:251669504;v-text-anchor:middle;mso-width-relative:page;mso-height-relative:page;" fillcolor="#00FFFF" filled="t" stroked="f" coordsize="21600,21600" o:gfxdata="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L1fpwNoAAAALAQAADwAAAAAAAAABACAAAAAiAAAAZHJzL2Rvd25y&#10;ZXYueG1sUEsBAhQAFAAAAAgAh07iQINh395uAgAA1wQAAA4AAAAAAAAAAQAgAAAAKQEAAGRycy9l&#10;Mm9Eb2MueG1sUEsFBgAAAAAGAAYAWQEAAAkGAAAAAA==&#10;">
                <v:fill on="t" focussize="0,0"/>
                <v:stroke on="f" weight="1pt" miterlimit="8" joinstyle="miter"/>
                <v:imagedata o:title=""/>
                <o:lock v:ext="edit" aspectratio="f"/>
              </v:shape>
            </w:pict>
          </mc:Fallback>
        </mc:AlternateContent>
      </w:r>
      <w:r>
        <w:rPr>
          <w:rFonts w:ascii="Times New Roman" w:hAnsi="Times New Roman" w:eastAsiaTheme="minorEastAsia"/>
          <w:b/>
          <w:caps w:val="0"/>
          <w:smallCaps w:val="0"/>
          <w:color w:val="auto"/>
          <w:spacing w:val="0"/>
          <w:w w:val="100"/>
          <w:position w:val="0"/>
          <w:szCs w:val="24"/>
          <w:highlight w:val="none"/>
        </w:rPr>
        <w:pict>
          <v:shape id="_x0000_i1025" o:spt="75" type="#_x0000_t75" style="height:331.45pt;width:414.35pt;" filled="f" o:preferrelative="t" stroked="f" coordsize="21600,21600">
            <v:path/>
            <v:fill on="f" focussize="0,0"/>
            <v:stroke on="f" joinstyle="miter"/>
            <v:imagedata r:id="rId46" o:title="地下水预测底图1"/>
            <o:lock v:ext="edit" aspectratio="t"/>
            <w10:wrap type="none"/>
            <w10:anchorlock/>
          </v:shape>
        </w:pict>
      </w:r>
      <w:r>
        <w:rPr>
          <w:rFonts w:ascii="Times New Roman" w:hAnsi="Times New Roman" w:eastAsiaTheme="minorEastAsia"/>
          <w:caps w:val="0"/>
          <w:smallCaps w:val="0"/>
          <w:color w:val="auto"/>
          <w:spacing w:val="0"/>
          <w:w w:val="100"/>
          <w:position w:val="0"/>
          <w:highlight w:val="none"/>
        </w:rPr>
        <mc:AlternateContent>
          <mc:Choice Requires="wpg">
            <w:drawing>
              <wp:anchor distT="0" distB="0" distL="114300" distR="114300" simplePos="0" relativeHeight="251667456" behindDoc="1" locked="0" layoutInCell="1" allowOverlap="1">
                <wp:simplePos x="0" y="0"/>
                <wp:positionH relativeFrom="column">
                  <wp:posOffset>1025525</wp:posOffset>
                </wp:positionH>
                <wp:positionV relativeFrom="paragraph">
                  <wp:posOffset>137795</wp:posOffset>
                </wp:positionV>
                <wp:extent cx="4155440" cy="1962150"/>
                <wp:effectExtent l="1905" t="1270" r="0" b="0"/>
                <wp:wrapNone/>
                <wp:docPr id="16" name="组合 16"/>
                <wp:cNvGraphicFramePr/>
                <a:graphic xmlns:a="http://schemas.openxmlformats.org/drawingml/2006/main">
                  <a:graphicData uri="http://schemas.microsoft.com/office/word/2010/wordprocessingGroup">
                    <wpg:wgp>
                      <wpg:cNvGrpSpPr/>
                      <wpg:grpSpPr>
                        <a:xfrm>
                          <a:off x="0" y="0"/>
                          <a:ext cx="4155440" cy="1962150"/>
                          <a:chOff x="2735" y="1461"/>
                          <a:chExt cx="6894" cy="3540203"/>
                        </a:xfrm>
                      </wpg:grpSpPr>
                      <pic:pic xmlns:pic="http://schemas.openxmlformats.org/drawingml/2006/picture">
                        <pic:nvPicPr>
                          <pic:cNvPr id="18" name="图片 25" descr="C:\Users\Lina\Desktop\1.png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2735" y="1461"/>
                            <a:ext cx="6524" cy="3540"/>
                          </a:xfrm>
                          <a:prstGeom prst="rect">
                            <a:avLst/>
                          </a:prstGeom>
                          <a:noFill/>
                          <a:ln>
                            <a:noFill/>
                          </a:ln>
                        </pic:spPr>
                      </pic:pic>
                      <wps:wsp>
                        <wps:cNvPr id="39" name="文本框 26"/>
                        <wps:cNvSpPr txBox="1">
                          <a:spLocks noChangeArrowheads="1"/>
                        </wps:cNvSpPr>
                        <wps:spPr bwMode="auto">
                          <a:xfrm>
                            <a:off x="9319" y="4701"/>
                            <a:ext cx="310" cy="279"/>
                          </a:xfrm>
                          <a:prstGeom prst="rect">
                            <a:avLst/>
                          </a:prstGeom>
                          <a:noFill/>
                          <a:ln>
                            <a:noFill/>
                          </a:ln>
                        </wps:spPr>
                        <wps:txbx>
                          <w:txbxContent>
                            <w:p w14:paraId="01F74D45">
                              <w:r>
                                <w:rPr>
                                  <w:rFonts w:hint="eastAsia"/>
                                </w:rPr>
                                <w:t>m</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80.75pt;margin-top:10.85pt;height:154.5pt;width:327.2pt;z-index:-251649024;mso-width-relative:page;mso-height-relative:page;" coordorigin="2735,1461" coordsize="6894,3540203" o:gfxdata="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">
                <o:lock v:ext="edit" aspectratio="f"/>
                <v:shape id="图片 25" o:spid="_x0000_s1026" o:spt="75" alt="C:\Users\Lina\Desktop\1.png1" type="#_x0000_t75" style="position:absolute;left:2735;top:1461;height:3540;width:6524;" filled="f" o:preferrelative="t" stroked="f" coordsize="21600,21600" o:gfxdata="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hAa74A&#10;AADbAAAADwAAAAAAAAABACAAAAAiAAAAZHJzL2Rvd25yZXYueG1sUEsBAhQAFAAAAAgAh07iQDMv&#10;BZ47AAAAOQAAABAAAAAAAAAAAQAgAAAADQEAAGRycy9zaGFwZXhtbC54bWxQSwUGAAAAAAYABgBb&#10;AQAAtwMAAAAA&#10;">
                  <v:fill on="f" focussize="0,0"/>
                  <v:stroke on="f"/>
                  <v:imagedata r:id="rId47" o:title=""/>
                  <o:lock v:ext="edit" aspectratio="t"/>
                </v:shape>
                <v:shape id="文本框 26" o:spid="_x0000_s1026" o:spt="202" type="#_x0000_t202" style="position:absolute;left:9319;top:4701;height:279;width:310;" filled="f" stroked="f" coordsize="21600,21600" o:gfxdata="UEsDBAoAAAAAAIdO4kAAAAAAAAAAAAAAAAAEAAAAZHJzL1BLAwQUAAAACACHTuJA0IUERb0AAADb&#10;AAAADwAAAGRycy9kb3ducmV2LnhtbEWPQWsCMRSE74L/ITyhN01sQ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QR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1F74D45">
                        <w:r>
                          <w:rPr>
                            <w:rFonts w:hint="eastAsia"/>
                          </w:rPr>
                          <w:t>m</w:t>
                        </w:r>
                      </w:p>
                    </w:txbxContent>
                  </v:textbox>
                </v:shape>
              </v:group>
            </w:pict>
          </mc:Fallback>
        </mc:AlternateContent>
      </w:r>
    </w:p>
    <w:p w14:paraId="178FB2CC">
      <w:pPr>
        <w:pStyle w:val="41"/>
        <w:jc w:val="center"/>
        <w:rPr>
          <w:rFonts w:ascii="Times New Roman" w:hAnsi="Times New Roman" w:eastAsiaTheme="minorEastAsia"/>
          <w:b/>
          <w:caps w:val="0"/>
          <w:smallCaps w:val="0"/>
          <w:color w:val="auto"/>
          <w:spacing w:val="0"/>
          <w:w w:val="100"/>
          <w:position w:val="0"/>
          <w:sz w:val="24"/>
          <w:highlight w:val="none"/>
        </w:rPr>
      </w:pPr>
      <w:r>
        <w:rPr>
          <w:rFonts w:ascii="Times New Roman" w:hAnsi="Times New Roman" w:eastAsiaTheme="minorEastAsia"/>
          <w:b/>
          <w:caps w:val="0"/>
          <w:smallCaps w:val="0"/>
          <w:color w:val="auto"/>
          <w:spacing w:val="0"/>
          <w:w w:val="100"/>
          <w:position w:val="0"/>
          <w:sz w:val="24"/>
          <w:szCs w:val="24"/>
          <w:highlight w:val="none"/>
        </w:rPr>
        <w:t>图5.3-1    输油管道</w:t>
      </w:r>
      <w:r>
        <w:rPr>
          <w:rFonts w:hint="eastAsia" w:ascii="Times New Roman" w:hAnsi="Times New Roman" w:eastAsiaTheme="minorEastAsia"/>
          <w:b/>
          <w:caps w:val="0"/>
          <w:smallCaps w:val="0"/>
          <w:color w:val="auto"/>
          <w:spacing w:val="0"/>
          <w:w w:val="100"/>
          <w:position w:val="0"/>
          <w:sz w:val="24"/>
          <w:szCs w:val="24"/>
          <w:highlight w:val="none"/>
        </w:rPr>
        <w:t>1</w:t>
      </w:r>
      <w:r>
        <w:rPr>
          <w:rFonts w:ascii="Times New Roman" w:hAnsi="Times New Roman" w:eastAsiaTheme="minorEastAsia"/>
          <w:b/>
          <w:caps w:val="0"/>
          <w:smallCaps w:val="0"/>
          <w:color w:val="auto"/>
          <w:spacing w:val="0"/>
          <w:w w:val="100"/>
          <w:position w:val="0"/>
          <w:sz w:val="24"/>
          <w:szCs w:val="24"/>
          <w:highlight w:val="none"/>
        </w:rPr>
        <w:t>0%管径泄漏后100</w:t>
      </w:r>
      <w:r>
        <w:rPr>
          <w:rFonts w:hint="eastAsia" w:ascii="Times New Roman" w:hAnsi="Times New Roman" w:eastAsiaTheme="minorEastAsia"/>
          <w:b/>
          <w:caps w:val="0"/>
          <w:smallCaps w:val="0"/>
          <w:color w:val="auto"/>
          <w:spacing w:val="0"/>
          <w:w w:val="100"/>
          <w:position w:val="0"/>
          <w:sz w:val="24"/>
          <w:szCs w:val="24"/>
          <w:highlight w:val="none"/>
        </w:rPr>
        <w:t>d</w:t>
      </w:r>
      <w:r>
        <w:rPr>
          <w:rFonts w:ascii="Times New Roman" w:hAnsi="Times New Roman" w:eastAsiaTheme="minorEastAsia"/>
          <w:b/>
          <w:caps w:val="0"/>
          <w:smallCaps w:val="0"/>
          <w:color w:val="auto"/>
          <w:spacing w:val="0"/>
          <w:w w:val="100"/>
          <w:position w:val="0"/>
          <w:sz w:val="24"/>
          <w:szCs w:val="24"/>
          <w:highlight w:val="none"/>
        </w:rPr>
        <w:t>污染物浓度分布图（污染源点：0，0）</w:t>
      </w:r>
    </w:p>
    <w:p w14:paraId="49B6B570">
      <w:pPr>
        <w:jc w:val="center"/>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84864" behindDoc="0" locked="0" layoutInCell="1" allowOverlap="1">
                <wp:simplePos x="0" y="0"/>
                <wp:positionH relativeFrom="column">
                  <wp:posOffset>1347470</wp:posOffset>
                </wp:positionH>
                <wp:positionV relativeFrom="paragraph">
                  <wp:posOffset>940435</wp:posOffset>
                </wp:positionV>
                <wp:extent cx="832485" cy="758825"/>
                <wp:effectExtent l="38100" t="0" r="24765" b="60325"/>
                <wp:wrapNone/>
                <wp:docPr id="130447748" name="直接箭头连接符 130447748"/>
                <wp:cNvGraphicFramePr/>
                <a:graphic xmlns:a="http://schemas.openxmlformats.org/drawingml/2006/main">
                  <a:graphicData uri="http://schemas.microsoft.com/office/word/2010/wordprocessingShape">
                    <wps:wsp>
                      <wps:cNvCnPr/>
                      <wps:spPr>
                        <a:xfrm flipH="1">
                          <a:off x="0" y="0"/>
                          <a:ext cx="832485" cy="758825"/>
                        </a:xfrm>
                        <a:prstGeom prst="straightConnector1">
                          <a:avLst/>
                        </a:prstGeom>
                        <a:noFill/>
                        <a:ln w="19050" cap="flat" cmpd="sng" algn="ctr">
                          <a:solidFill>
                            <a:srgbClr val="00FF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106.1pt;margin-top:74.05pt;height:59.75pt;width:65.55pt;z-index:251684864;mso-width-relative:page;mso-height-relative:page;" filled="f" stroked="t" coordsize="21600,21600" o:gfxdata="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pt/LdoAAAALAQAADwAAAAAAAAABACAAAAAiAAAAZHJzL2Rvd25yZXYueG1sUEsBAhQAFAAAAAgA&#10;h07iQJE1lKojAgAADgQAAA4AAAAAAAAAAQAgAAAAKQEAAGRycy9lMm9Eb2MueG1sUEsFBgAAAAAG&#10;AAYAWQEAAL4FAAAAAA==&#10;">
                <v:fill on="f" focussize="0,0"/>
                <v:stroke weight="1.5pt" color="#00FF00" miterlimit="8" joinstyle="miter" endarrow="block"/>
                <v:imagedata o:title=""/>
                <o:lock v:ext="edit" aspectratio="f"/>
              </v:shape>
            </w:pict>
          </mc:Fallback>
        </mc:AlternateConten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83840" behindDoc="0" locked="0" layoutInCell="1" allowOverlap="1">
                <wp:simplePos x="0" y="0"/>
                <wp:positionH relativeFrom="column">
                  <wp:posOffset>1496695</wp:posOffset>
                </wp:positionH>
                <wp:positionV relativeFrom="paragraph">
                  <wp:posOffset>581660</wp:posOffset>
                </wp:positionV>
                <wp:extent cx="307340" cy="1202690"/>
                <wp:effectExtent l="0" t="295275" r="0" b="311785"/>
                <wp:wrapNone/>
                <wp:docPr id="130447747" name="矩形 130447747"/>
                <wp:cNvGraphicFramePr/>
                <a:graphic xmlns:a="http://schemas.openxmlformats.org/drawingml/2006/main">
                  <a:graphicData uri="http://schemas.microsoft.com/office/word/2010/wordprocessingShape">
                    <wps:wsp>
                      <wps:cNvSpPr/>
                      <wps:spPr>
                        <a:xfrm rot="2878324">
                          <a:off x="0" y="0"/>
                          <a:ext cx="307340" cy="1202690"/>
                        </a:xfrm>
                        <a:prstGeom prst="rect">
                          <a:avLst/>
                        </a:prstGeom>
                        <a:noFill/>
                        <a:ln w="12700" cap="flat" cmpd="sng" algn="ctr">
                          <a:noFill/>
                          <a:prstDash val="solid"/>
                          <a:miter lim="800000"/>
                        </a:ln>
                        <a:effectLst/>
                      </wps:spPr>
                      <wps:txbx>
                        <w:txbxContent>
                          <w:p w14:paraId="1EEF6548">
                            <w:pPr>
                              <w:jc w:val="center"/>
                              <w:rPr>
                                <w:b/>
                                <w:color w:val="00FF00"/>
                              </w:rPr>
                            </w:pPr>
                            <w:r>
                              <w:rPr>
                                <w:rFonts w:hint="eastAsia"/>
                                <w:b/>
                                <w:color w:val="00FF00"/>
                              </w:rPr>
                              <w:t>地</w:t>
                            </w:r>
                          </w:p>
                          <w:p w14:paraId="2513A7E3">
                            <w:pPr>
                              <w:jc w:val="center"/>
                              <w:rPr>
                                <w:b/>
                                <w:color w:val="00FF00"/>
                              </w:rPr>
                            </w:pPr>
                            <w:r>
                              <w:rPr>
                                <w:rFonts w:hint="eastAsia"/>
                                <w:b/>
                                <w:color w:val="00FF00"/>
                              </w:rPr>
                              <w:t>下</w:t>
                            </w:r>
                          </w:p>
                          <w:p w14:paraId="6EC905FB">
                            <w:pPr>
                              <w:jc w:val="center"/>
                              <w:rPr>
                                <w:b/>
                                <w:color w:val="00FF00"/>
                              </w:rPr>
                            </w:pPr>
                            <w:r>
                              <w:rPr>
                                <w:rFonts w:hint="eastAsia"/>
                                <w:b/>
                                <w:color w:val="00FF00"/>
                              </w:rPr>
                              <w:t>水</w:t>
                            </w:r>
                          </w:p>
                          <w:p w14:paraId="2C7AF789">
                            <w:pPr>
                              <w:jc w:val="center"/>
                              <w:rPr>
                                <w:b/>
                                <w:color w:val="00FF00"/>
                              </w:rPr>
                            </w:pPr>
                            <w:r>
                              <w:rPr>
                                <w:rFonts w:hint="eastAsia"/>
                                <w:b/>
                                <w:color w:val="00FF00"/>
                              </w:rPr>
                              <w:t>流</w:t>
                            </w:r>
                          </w:p>
                          <w:p w14:paraId="4DE3DF98">
                            <w:pPr>
                              <w:jc w:val="center"/>
                              <w:rPr>
                                <w:b/>
                                <w:color w:val="00FF00"/>
                              </w:rPr>
                            </w:pPr>
                            <w:r>
                              <w:rPr>
                                <w:rFonts w:hint="eastAsia"/>
                                <w:b/>
                                <w:color w:val="00FF00"/>
                              </w:rPr>
                              <w:t>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7.85pt;margin-top:45.8pt;height:94.7pt;width:24.2pt;rotation:3143897f;z-index:251683840;v-text-anchor:middle;mso-width-relative:page;mso-height-relative:page;" filled="f" stroked="f" coordsize="21600,21600" o:gfxdata="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GqggnPZAAAACgEAAA8AAAAAAAAAAQAgAAAAIgAAAGRy&#10;cy9kb3ducmV2LnhtbFBLAQIUABQAAAAIAIdO4kCNhnqRdgIAANkEAAAOAAAAAAAAAAEAIAAAACgB&#10;AABkcnMvZTJvRG9jLnhtbFBLBQYAAAAABgAGAFkBAAAQBgAAAAA=&#10;">
                <v:fill on="f" focussize="0,0"/>
                <v:stroke on="f" weight="1pt" miterlimit="8" joinstyle="miter"/>
                <v:imagedata o:title=""/>
                <o:lock v:ext="edit" aspectratio="f"/>
                <v:textbox>
                  <w:txbxContent>
                    <w:p w14:paraId="1EEF6548">
                      <w:pPr>
                        <w:jc w:val="center"/>
                        <w:rPr>
                          <w:b/>
                          <w:color w:val="00FF00"/>
                        </w:rPr>
                      </w:pPr>
                      <w:r>
                        <w:rPr>
                          <w:rFonts w:hint="eastAsia"/>
                          <w:b/>
                          <w:color w:val="00FF00"/>
                        </w:rPr>
                        <w:t>地</w:t>
                      </w:r>
                    </w:p>
                    <w:p w14:paraId="2513A7E3">
                      <w:pPr>
                        <w:jc w:val="center"/>
                        <w:rPr>
                          <w:b/>
                          <w:color w:val="00FF00"/>
                        </w:rPr>
                      </w:pPr>
                      <w:r>
                        <w:rPr>
                          <w:rFonts w:hint="eastAsia"/>
                          <w:b/>
                          <w:color w:val="00FF00"/>
                        </w:rPr>
                        <w:t>下</w:t>
                      </w:r>
                    </w:p>
                    <w:p w14:paraId="6EC905FB">
                      <w:pPr>
                        <w:jc w:val="center"/>
                        <w:rPr>
                          <w:b/>
                          <w:color w:val="00FF00"/>
                        </w:rPr>
                      </w:pPr>
                      <w:r>
                        <w:rPr>
                          <w:rFonts w:hint="eastAsia"/>
                          <w:b/>
                          <w:color w:val="00FF00"/>
                        </w:rPr>
                        <w:t>水</w:t>
                      </w:r>
                    </w:p>
                    <w:p w14:paraId="2C7AF789">
                      <w:pPr>
                        <w:jc w:val="center"/>
                        <w:rPr>
                          <w:b/>
                          <w:color w:val="00FF00"/>
                        </w:rPr>
                      </w:pPr>
                      <w:r>
                        <w:rPr>
                          <w:rFonts w:hint="eastAsia"/>
                          <w:b/>
                          <w:color w:val="00FF00"/>
                        </w:rPr>
                        <w:t>流</w:t>
                      </w:r>
                    </w:p>
                    <w:p w14:paraId="4DE3DF98">
                      <w:pPr>
                        <w:jc w:val="center"/>
                        <w:rPr>
                          <w:b/>
                          <w:color w:val="00FF00"/>
                        </w:rPr>
                      </w:pPr>
                      <w:r>
                        <w:rPr>
                          <w:rFonts w:hint="eastAsia"/>
                          <w:b/>
                          <w:color w:val="00FF00"/>
                        </w:rPr>
                        <w:t>向</w:t>
                      </w:r>
                    </w:p>
                  </w:txbxContent>
                </v:textbox>
              </v:rect>
            </w:pict>
          </mc:Fallback>
        </mc:AlternateContent>
      </w:r>
      <w:r>
        <w:rPr>
          <w:caps w:val="0"/>
          <w:smallCaps w:val="0"/>
          <w:color w:val="auto"/>
          <w:spacing w:val="0"/>
          <w:w w:val="100"/>
          <w:position w:val="0"/>
          <w:highlight w:val="none"/>
        </w:rPr>
        <w:pict>
          <v:shape id="_x0000_s1033" o:spid="_x0000_s1033" o:spt="75" type="#_x0000_t75" style="position:absolute;left:0pt;margin-left:115.1pt;margin-top:103.1pt;height:163.5pt;width:168pt;z-index:251696128;mso-width-relative:page;mso-height-relative:page;" filled="f" o:preferrelative="t" stroked="f" coordsize="21600,21600">
            <v:path/>
            <v:fill on="f" focussize="0,0"/>
            <v:stroke on="f" joinstyle="miter"/>
            <v:imagedata r:id="rId48" cropleft="9515f" croptop="10940f" cropright="20499f" cropbottom="11752f" chromakey="#FFFFFF" o:title="输油管道10%泄漏1000d"/>
            <o:lock v:ext="edit" aspectratio="t"/>
          </v:shape>
        </w:pic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72576" behindDoc="0" locked="0" layoutInCell="1" allowOverlap="1">
                <wp:simplePos x="0" y="0"/>
                <wp:positionH relativeFrom="column">
                  <wp:posOffset>2338070</wp:posOffset>
                </wp:positionH>
                <wp:positionV relativeFrom="paragraph">
                  <wp:posOffset>2009140</wp:posOffset>
                </wp:positionV>
                <wp:extent cx="556895" cy="257810"/>
                <wp:effectExtent l="0" t="0" r="0" b="0"/>
                <wp:wrapNone/>
                <wp:docPr id="57" name="矩形 57"/>
                <wp:cNvGraphicFramePr/>
                <a:graphic xmlns:a="http://schemas.openxmlformats.org/drawingml/2006/main">
                  <a:graphicData uri="http://schemas.microsoft.com/office/word/2010/wordprocessingShape">
                    <wps:wsp>
                      <wps:cNvSpPr/>
                      <wps:spPr>
                        <a:xfrm>
                          <a:off x="0" y="0"/>
                          <a:ext cx="556895" cy="2578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65BA2C">
                            <w:pPr>
                              <w:jc w:val="center"/>
                              <w:rPr>
                                <w:b/>
                                <w:color w:val="00FFFF"/>
                                <w:sz w:val="18"/>
                                <w:szCs w:val="18"/>
                              </w:rPr>
                            </w:pPr>
                            <w:r>
                              <w:rPr>
                                <w:rFonts w:hint="eastAsia"/>
                                <w:b/>
                                <w:color w:val="00FFFF"/>
                                <w:sz w:val="18"/>
                                <w:szCs w:val="18"/>
                              </w:rPr>
                              <w:t>泄漏点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4.1pt;margin-top:158.2pt;height:20.3pt;width:43.85pt;z-index:251672576;v-text-anchor:middle;mso-width-relative:page;mso-height-relative:page;" filled="f" stroked="f" coordsize="21600,21600" o:gfxdata="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MQViMbZAAAACwEAAA8AAAAAAAAAAQAgAAAAIgAAAGRycy9kb3ducmV2LnhtbFBLAQIUABQA&#10;AAAIAIdO4kCDnGXcYQIAAK4EAAAOAAAAAAAAAAEAIAAAACgBAABkcnMvZTJvRG9jLnhtbFBLBQYA&#10;AAAABgAGAFkBAAD7BQAAAAA=&#10;">
                <v:fill on="f" focussize="0,0"/>
                <v:stroke on="f" weight="1pt" miterlimit="8" joinstyle="miter"/>
                <v:imagedata o:title=""/>
                <o:lock v:ext="edit" aspectratio="f"/>
                <v:textbox>
                  <w:txbxContent>
                    <w:p w14:paraId="5165BA2C">
                      <w:pPr>
                        <w:jc w:val="center"/>
                        <w:rPr>
                          <w:b/>
                          <w:color w:val="00FFFF"/>
                          <w:sz w:val="18"/>
                          <w:szCs w:val="18"/>
                        </w:rPr>
                      </w:pPr>
                      <w:r>
                        <w:rPr>
                          <w:rFonts w:hint="eastAsia"/>
                          <w:b/>
                          <w:color w:val="00FFFF"/>
                          <w:sz w:val="18"/>
                          <w:szCs w:val="18"/>
                        </w:rPr>
                        <w:t>泄漏点</w:t>
                      </w:r>
                    </w:p>
                  </w:txbxContent>
                </v:textbox>
              </v:rect>
            </w:pict>
          </mc:Fallback>
        </mc:AlternateConten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71552" behindDoc="0" locked="0" layoutInCell="1" allowOverlap="1">
                <wp:simplePos x="0" y="0"/>
                <wp:positionH relativeFrom="column">
                  <wp:posOffset>2559050</wp:posOffset>
                </wp:positionH>
                <wp:positionV relativeFrom="paragraph">
                  <wp:posOffset>2306955</wp:posOffset>
                </wp:positionV>
                <wp:extent cx="45085" cy="45085"/>
                <wp:effectExtent l="0" t="0" r="0" b="0"/>
                <wp:wrapNone/>
                <wp:docPr id="54" name="椭圆 54"/>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flip:y;margin-left:201.5pt;margin-top:181.65pt;height:3.55pt;width:3.55pt;z-index:251671552;v-text-anchor:middle;mso-width-relative:page;mso-height-relative:page;" fillcolor="#00FFFF" filled="t" stroked="f" coordsize="21600,21600" o:gfxdata="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OPDCjDaAAAACwEAAA8AAAAAAAAAAQAgAAAAIgAAAGRycy9kb3du&#10;cmV2LnhtbFBLAQIUABQAAAAIAIdO4kA4rLr3bwIAANcEAAAOAAAAAAAAAAEAIAAAACkBAABkcnMv&#10;ZTJvRG9jLnhtbFBLBQYAAAAABgAGAFkBAAAKBgAAAAA=&#10;">
                <v:fill on="t" focussize="0,0"/>
                <v:stroke on="f" weight="1pt" miterlimit="8" joinstyle="miter"/>
                <v:imagedata o:title=""/>
                <o:lock v:ext="edit" aspectratio="f"/>
              </v:shape>
            </w:pict>
          </mc:Fallback>
        </mc:AlternateContent>
      </w:r>
      <w:r>
        <w:rPr>
          <w:rFonts w:ascii="Times New Roman" w:hAnsi="Times New Roman" w:cs="Times New Roman" w:eastAsiaTheme="minorEastAsia"/>
          <w:caps w:val="0"/>
          <w:smallCaps w:val="0"/>
          <w:color w:val="auto"/>
          <w:spacing w:val="0"/>
          <w:w w:val="100"/>
          <w:position w:val="0"/>
          <w:highlight w:val="none"/>
        </w:rPr>
        <w:pict>
          <v:shape id="_x0000_i1026" o:spt="75" type="#_x0000_t75" style="height:331.45pt;width:375.6pt;" filled="f" o:preferrelative="t" stroked="f" coordsize="21600,21600">
            <v:path/>
            <v:fill on="f" focussize="0,0"/>
            <v:stroke on="f" joinstyle="miter"/>
            <v:imagedata r:id="rId49" o:title="地下水预测底图2"/>
            <o:lock v:ext="edit" aspectratio="t"/>
            <w10:wrap type="none"/>
            <w10:anchorlock/>
          </v:shape>
        </w:pict>
      </w:r>
    </w:p>
    <w:p w14:paraId="24483525">
      <w:pPr>
        <w:pStyle w:val="41"/>
        <w:jc w:val="center"/>
        <w:rPr>
          <w:rFonts w:ascii="Times New Roman" w:hAnsi="Times New Roman" w:eastAsiaTheme="minorEastAsia"/>
          <w:b/>
          <w:caps w:val="0"/>
          <w:smallCaps w:val="0"/>
          <w:color w:val="auto"/>
          <w:spacing w:val="0"/>
          <w:w w:val="100"/>
          <w:position w:val="0"/>
          <w:sz w:val="24"/>
          <w:szCs w:val="24"/>
          <w:highlight w:val="none"/>
        </w:rPr>
      </w:pPr>
      <w:r>
        <w:rPr>
          <w:rFonts w:ascii="Times New Roman" w:hAnsi="Times New Roman" w:eastAsiaTheme="minorEastAsia"/>
          <w:b/>
          <w:caps w:val="0"/>
          <w:smallCaps w:val="0"/>
          <w:color w:val="auto"/>
          <w:spacing w:val="0"/>
          <w:w w:val="100"/>
          <w:position w:val="0"/>
          <w:sz w:val="24"/>
          <w:szCs w:val="24"/>
          <w:highlight w:val="none"/>
        </w:rPr>
        <w:t>图5.3-2      输油管道</w:t>
      </w:r>
      <w:r>
        <w:rPr>
          <w:rFonts w:hint="eastAsia" w:ascii="Times New Roman" w:hAnsi="Times New Roman" w:eastAsiaTheme="minorEastAsia"/>
          <w:b/>
          <w:caps w:val="0"/>
          <w:smallCaps w:val="0"/>
          <w:color w:val="auto"/>
          <w:spacing w:val="0"/>
          <w:w w:val="100"/>
          <w:position w:val="0"/>
          <w:sz w:val="24"/>
          <w:szCs w:val="24"/>
          <w:highlight w:val="none"/>
        </w:rPr>
        <w:t>1</w:t>
      </w:r>
      <w:r>
        <w:rPr>
          <w:rFonts w:ascii="Times New Roman" w:hAnsi="Times New Roman" w:eastAsiaTheme="minorEastAsia"/>
          <w:b/>
          <w:caps w:val="0"/>
          <w:smallCaps w:val="0"/>
          <w:color w:val="auto"/>
          <w:spacing w:val="0"/>
          <w:w w:val="100"/>
          <w:position w:val="0"/>
          <w:sz w:val="24"/>
          <w:szCs w:val="24"/>
          <w:highlight w:val="none"/>
        </w:rPr>
        <w:t>0%管径泄漏后1000</w:t>
      </w:r>
      <w:r>
        <w:rPr>
          <w:rFonts w:hint="eastAsia" w:ascii="Times New Roman" w:hAnsi="Times New Roman" w:eastAsiaTheme="minorEastAsia"/>
          <w:b/>
          <w:caps w:val="0"/>
          <w:smallCaps w:val="0"/>
          <w:color w:val="auto"/>
          <w:spacing w:val="0"/>
          <w:w w:val="100"/>
          <w:position w:val="0"/>
          <w:sz w:val="24"/>
          <w:szCs w:val="24"/>
          <w:highlight w:val="none"/>
        </w:rPr>
        <w:t>d</w:t>
      </w:r>
      <w:r>
        <w:rPr>
          <w:rFonts w:ascii="Times New Roman" w:hAnsi="Times New Roman" w:eastAsiaTheme="minorEastAsia"/>
          <w:b/>
          <w:caps w:val="0"/>
          <w:smallCaps w:val="0"/>
          <w:color w:val="auto"/>
          <w:spacing w:val="0"/>
          <w:w w:val="100"/>
          <w:position w:val="0"/>
          <w:sz w:val="24"/>
          <w:szCs w:val="24"/>
          <w:highlight w:val="none"/>
        </w:rPr>
        <w:t>污染物浓度分布图（污染源点：0，0）</w:t>
      </w:r>
    </w:p>
    <w:p w14:paraId="10D497BC">
      <w:pPr>
        <w:jc w:val="center"/>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86912" behindDoc="0" locked="0" layoutInCell="1" allowOverlap="1">
                <wp:simplePos x="0" y="0"/>
                <wp:positionH relativeFrom="column">
                  <wp:posOffset>1029970</wp:posOffset>
                </wp:positionH>
                <wp:positionV relativeFrom="paragraph">
                  <wp:posOffset>899795</wp:posOffset>
                </wp:positionV>
                <wp:extent cx="832485" cy="758825"/>
                <wp:effectExtent l="38100" t="0" r="24765" b="60325"/>
                <wp:wrapNone/>
                <wp:docPr id="130447750" name="直接箭头连接符 130447750"/>
                <wp:cNvGraphicFramePr/>
                <a:graphic xmlns:a="http://schemas.openxmlformats.org/drawingml/2006/main">
                  <a:graphicData uri="http://schemas.microsoft.com/office/word/2010/wordprocessingShape">
                    <wps:wsp>
                      <wps:cNvCnPr/>
                      <wps:spPr>
                        <a:xfrm flipH="1">
                          <a:off x="0" y="0"/>
                          <a:ext cx="832485" cy="758825"/>
                        </a:xfrm>
                        <a:prstGeom prst="straightConnector1">
                          <a:avLst/>
                        </a:prstGeom>
                        <a:noFill/>
                        <a:ln w="19050" cap="flat" cmpd="sng" algn="ctr">
                          <a:solidFill>
                            <a:srgbClr val="00FF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81.1pt;margin-top:70.85pt;height:59.75pt;width:65.55pt;z-index:251686912;mso-width-relative:page;mso-height-relative:page;" filled="f" stroked="t" coordsize="21600,21600" o:gfxdata="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Ea&#10;4c/aAAAACwEAAA8AAAAAAAAAAQAgAAAAIgAAAGRycy9kb3ducmV2LnhtbFBLAQIUABQAAAAIAIdO&#10;4kB9kD6nIQIAAA4EAAAOAAAAAAAAAAEAIAAAACkBAABkcnMvZTJvRG9jLnhtbFBLBQYAAAAABgAG&#10;AFkBAAC8BQAAAAA=&#10;">
                <v:fill on="f" focussize="0,0"/>
                <v:stroke weight="1.5pt" color="#00FF00" miterlimit="8" joinstyle="miter" endarrow="block"/>
                <v:imagedata o:title=""/>
                <o:lock v:ext="edit" aspectratio="f"/>
              </v:shape>
            </w:pict>
          </mc:Fallback>
        </mc:AlternateConten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85888" behindDoc="0" locked="0" layoutInCell="1" allowOverlap="1">
                <wp:simplePos x="0" y="0"/>
                <wp:positionH relativeFrom="column">
                  <wp:posOffset>1179195</wp:posOffset>
                </wp:positionH>
                <wp:positionV relativeFrom="paragraph">
                  <wp:posOffset>541020</wp:posOffset>
                </wp:positionV>
                <wp:extent cx="307340" cy="1202690"/>
                <wp:effectExtent l="0" t="295275" r="0" b="311785"/>
                <wp:wrapNone/>
                <wp:docPr id="130447749" name="矩形 130447749"/>
                <wp:cNvGraphicFramePr/>
                <a:graphic xmlns:a="http://schemas.openxmlformats.org/drawingml/2006/main">
                  <a:graphicData uri="http://schemas.microsoft.com/office/word/2010/wordprocessingShape">
                    <wps:wsp>
                      <wps:cNvSpPr/>
                      <wps:spPr>
                        <a:xfrm rot="2878324">
                          <a:off x="0" y="0"/>
                          <a:ext cx="307340" cy="1202690"/>
                        </a:xfrm>
                        <a:prstGeom prst="rect">
                          <a:avLst/>
                        </a:prstGeom>
                        <a:noFill/>
                        <a:ln w="12700" cap="flat" cmpd="sng" algn="ctr">
                          <a:noFill/>
                          <a:prstDash val="solid"/>
                          <a:miter lim="800000"/>
                        </a:ln>
                        <a:effectLst/>
                      </wps:spPr>
                      <wps:txbx>
                        <w:txbxContent>
                          <w:p w14:paraId="3B0C2C32">
                            <w:pPr>
                              <w:jc w:val="center"/>
                              <w:rPr>
                                <w:b/>
                                <w:color w:val="00FF00"/>
                              </w:rPr>
                            </w:pPr>
                            <w:r>
                              <w:rPr>
                                <w:rFonts w:hint="eastAsia"/>
                                <w:b/>
                                <w:color w:val="00FF00"/>
                              </w:rPr>
                              <w:t>地</w:t>
                            </w:r>
                          </w:p>
                          <w:p w14:paraId="64C55DD5">
                            <w:pPr>
                              <w:jc w:val="center"/>
                              <w:rPr>
                                <w:b/>
                                <w:color w:val="00FF00"/>
                              </w:rPr>
                            </w:pPr>
                            <w:r>
                              <w:rPr>
                                <w:rFonts w:hint="eastAsia"/>
                                <w:b/>
                                <w:color w:val="00FF00"/>
                              </w:rPr>
                              <w:t>下</w:t>
                            </w:r>
                          </w:p>
                          <w:p w14:paraId="3AD4664E">
                            <w:pPr>
                              <w:jc w:val="center"/>
                              <w:rPr>
                                <w:b/>
                                <w:color w:val="00FF00"/>
                              </w:rPr>
                            </w:pPr>
                            <w:r>
                              <w:rPr>
                                <w:rFonts w:hint="eastAsia"/>
                                <w:b/>
                                <w:color w:val="00FF00"/>
                              </w:rPr>
                              <w:t>水</w:t>
                            </w:r>
                          </w:p>
                          <w:p w14:paraId="1EE52D77">
                            <w:pPr>
                              <w:jc w:val="center"/>
                              <w:rPr>
                                <w:b/>
                                <w:color w:val="00FF00"/>
                              </w:rPr>
                            </w:pPr>
                            <w:r>
                              <w:rPr>
                                <w:rFonts w:hint="eastAsia"/>
                                <w:b/>
                                <w:color w:val="00FF00"/>
                              </w:rPr>
                              <w:t>流</w:t>
                            </w:r>
                          </w:p>
                          <w:p w14:paraId="32317766">
                            <w:pPr>
                              <w:jc w:val="center"/>
                              <w:rPr>
                                <w:b/>
                                <w:color w:val="00FF00"/>
                              </w:rPr>
                            </w:pPr>
                            <w:r>
                              <w:rPr>
                                <w:rFonts w:hint="eastAsia"/>
                                <w:b/>
                                <w:color w:val="00FF00"/>
                              </w:rPr>
                              <w:t>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2.85pt;margin-top:42.6pt;height:94.7pt;width:24.2pt;rotation:3143897f;z-index:251685888;v-text-anchor:middle;mso-width-relative:page;mso-height-relative:page;" filled="f" stroked="f" coordsize="21600,21600" o:gfxdata="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&#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G0QD47ZAAAACgEAAA8AAAAAAAAAAQAgAAAAIgAAAGRy&#10;cy9kb3ducmV2LnhtbFBLAQIUABQAAAAIAIdO4kBJP5EFdgIAANkEAAAOAAAAAAAAAAEAIAAAACgB&#10;AABkcnMvZTJvRG9jLnhtbFBLBQYAAAAABgAGAFkBAAAQBgAAAAA=&#10;">
                <v:fill on="f" focussize="0,0"/>
                <v:stroke on="f" weight="1pt" miterlimit="8" joinstyle="miter"/>
                <v:imagedata o:title=""/>
                <o:lock v:ext="edit" aspectratio="f"/>
                <v:textbox>
                  <w:txbxContent>
                    <w:p w14:paraId="3B0C2C32">
                      <w:pPr>
                        <w:jc w:val="center"/>
                        <w:rPr>
                          <w:b/>
                          <w:color w:val="00FF00"/>
                        </w:rPr>
                      </w:pPr>
                      <w:r>
                        <w:rPr>
                          <w:rFonts w:hint="eastAsia"/>
                          <w:b/>
                          <w:color w:val="00FF00"/>
                        </w:rPr>
                        <w:t>地</w:t>
                      </w:r>
                    </w:p>
                    <w:p w14:paraId="64C55DD5">
                      <w:pPr>
                        <w:jc w:val="center"/>
                        <w:rPr>
                          <w:b/>
                          <w:color w:val="00FF00"/>
                        </w:rPr>
                      </w:pPr>
                      <w:r>
                        <w:rPr>
                          <w:rFonts w:hint="eastAsia"/>
                          <w:b/>
                          <w:color w:val="00FF00"/>
                        </w:rPr>
                        <w:t>下</w:t>
                      </w:r>
                    </w:p>
                    <w:p w14:paraId="3AD4664E">
                      <w:pPr>
                        <w:jc w:val="center"/>
                        <w:rPr>
                          <w:b/>
                          <w:color w:val="00FF00"/>
                        </w:rPr>
                      </w:pPr>
                      <w:r>
                        <w:rPr>
                          <w:rFonts w:hint="eastAsia"/>
                          <w:b/>
                          <w:color w:val="00FF00"/>
                        </w:rPr>
                        <w:t>水</w:t>
                      </w:r>
                    </w:p>
                    <w:p w14:paraId="1EE52D77">
                      <w:pPr>
                        <w:jc w:val="center"/>
                        <w:rPr>
                          <w:b/>
                          <w:color w:val="00FF00"/>
                        </w:rPr>
                      </w:pPr>
                      <w:r>
                        <w:rPr>
                          <w:rFonts w:hint="eastAsia"/>
                          <w:b/>
                          <w:color w:val="00FF00"/>
                        </w:rPr>
                        <w:t>流</w:t>
                      </w:r>
                    </w:p>
                    <w:p w14:paraId="32317766">
                      <w:pPr>
                        <w:jc w:val="center"/>
                        <w:rPr>
                          <w:b/>
                          <w:color w:val="00FF00"/>
                        </w:rPr>
                      </w:pPr>
                      <w:r>
                        <w:rPr>
                          <w:rFonts w:hint="eastAsia"/>
                          <w:b/>
                          <w:color w:val="00FF00"/>
                        </w:rPr>
                        <w:t>向</w:t>
                      </w:r>
                    </w:p>
                  </w:txbxContent>
                </v:textbox>
              </v:rect>
            </w:pict>
          </mc:Fallback>
        </mc:AlternateContent>
      </w:r>
      <w:r>
        <w:rPr>
          <w:caps w:val="0"/>
          <w:smallCaps w:val="0"/>
          <w:color w:val="auto"/>
          <w:spacing w:val="0"/>
          <w:w w:val="100"/>
          <w:position w:val="0"/>
          <w:highlight w:val="none"/>
        </w:rPr>
        <w:pict>
          <v:shape id="_x0000_s1034" o:spid="_x0000_s1034" o:spt="75" type="#_x0000_t75" style="position:absolute;left:0pt;margin-left:67.25pt;margin-top:100.6pt;height:216.85pt;width:225.65pt;z-index:251694080;mso-width-relative:page;mso-height-relative:page;" filled="f" o:preferrelative="t" stroked="f" coordsize="21600,21600">
            <v:path/>
            <v:fill on="f" focussize="0,0"/>
            <v:stroke on="f" joinstyle="miter"/>
            <v:imagedata r:id="rId50" cropleft="8211f" croptop="16395f" cropright="25760f" cropbottom="11360f" chromakey="#FFFFFF" o:title="输油管道10%泄漏5475d"/>
            <o:lock v:ext="edit" aspectratio="t"/>
          </v:shape>
        </w:pic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74624" behindDoc="0" locked="0" layoutInCell="1" allowOverlap="1">
                <wp:simplePos x="0" y="0"/>
                <wp:positionH relativeFrom="column">
                  <wp:posOffset>2446020</wp:posOffset>
                </wp:positionH>
                <wp:positionV relativeFrom="paragraph">
                  <wp:posOffset>2083435</wp:posOffset>
                </wp:positionV>
                <wp:extent cx="556895" cy="257810"/>
                <wp:effectExtent l="0" t="0" r="0" b="0"/>
                <wp:wrapNone/>
                <wp:docPr id="59" name="矩形 59"/>
                <wp:cNvGraphicFramePr/>
                <a:graphic xmlns:a="http://schemas.openxmlformats.org/drawingml/2006/main">
                  <a:graphicData uri="http://schemas.microsoft.com/office/word/2010/wordprocessingShape">
                    <wps:wsp>
                      <wps:cNvSpPr/>
                      <wps:spPr>
                        <a:xfrm>
                          <a:off x="0" y="0"/>
                          <a:ext cx="556895" cy="2578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306424">
                            <w:pPr>
                              <w:jc w:val="center"/>
                              <w:rPr>
                                <w:b/>
                                <w:color w:val="00FFFF"/>
                                <w:sz w:val="18"/>
                                <w:szCs w:val="18"/>
                              </w:rPr>
                            </w:pPr>
                            <w:r>
                              <w:rPr>
                                <w:rFonts w:hint="eastAsia"/>
                                <w:b/>
                                <w:color w:val="00FFFF"/>
                                <w:sz w:val="18"/>
                                <w:szCs w:val="18"/>
                              </w:rPr>
                              <w:t>泄漏点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6pt;margin-top:164.05pt;height:20.3pt;width:43.85pt;z-index:251674624;v-text-anchor:middle;mso-width-relative:page;mso-height-relative:page;" filled="f" stroked="f" coordsize="21600,21600" o:gfxdata="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B5hUHZAAAACwEAAA8AAAAAAAAAAQAgAAAAIgAAAGRycy9kb3ducmV2LnhtbFBLAQIUABQA&#10;AAAIAIdO4kDMgW42YQIAAK4EAAAOAAAAAAAAAAEAIAAAACgBAABkcnMvZTJvRG9jLnhtbFBLBQYA&#10;AAAABgAGAFkBAAD7BQAAAAA=&#10;">
                <v:fill on="f" focussize="0,0"/>
                <v:stroke on="f" weight="1pt" miterlimit="8" joinstyle="miter"/>
                <v:imagedata o:title=""/>
                <o:lock v:ext="edit" aspectratio="f"/>
                <v:textbox>
                  <w:txbxContent>
                    <w:p w14:paraId="47306424">
                      <w:pPr>
                        <w:jc w:val="center"/>
                        <w:rPr>
                          <w:b/>
                          <w:color w:val="00FFFF"/>
                          <w:sz w:val="18"/>
                          <w:szCs w:val="18"/>
                        </w:rPr>
                      </w:pPr>
                      <w:r>
                        <w:rPr>
                          <w:rFonts w:hint="eastAsia"/>
                          <w:b/>
                          <w:color w:val="00FFFF"/>
                          <w:sz w:val="18"/>
                          <w:szCs w:val="18"/>
                        </w:rPr>
                        <w:t>泄漏点</w:t>
                      </w:r>
                    </w:p>
                  </w:txbxContent>
                </v:textbox>
              </v:rect>
            </w:pict>
          </mc:Fallback>
        </mc:AlternateConten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73600" behindDoc="0" locked="0" layoutInCell="1" allowOverlap="1">
                <wp:simplePos x="0" y="0"/>
                <wp:positionH relativeFrom="column">
                  <wp:posOffset>2643505</wp:posOffset>
                </wp:positionH>
                <wp:positionV relativeFrom="paragraph">
                  <wp:posOffset>2374900</wp:posOffset>
                </wp:positionV>
                <wp:extent cx="45085" cy="45085"/>
                <wp:effectExtent l="0" t="0" r="0" b="0"/>
                <wp:wrapNone/>
                <wp:docPr id="58" name="椭圆 58"/>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flip:y;margin-left:208.15pt;margin-top:187pt;height:3.55pt;width:3.55pt;z-index:251673600;v-text-anchor:middle;mso-width-relative:page;mso-height-relative:page;" fillcolor="#00FFFF" filled="t" stroked="f" coordsize="21600,21600" o:gfxdata="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BAUjmnbAAAACwEAAA8AAAAAAAAAAQAgAAAAIgAAAGRycy9kb3du&#10;cmV2LnhtbFBLAQIUABQAAAAIAIdO4kD1+hSMbgIAANcEAAAOAAAAAAAAAAEAIAAAACoBAABkcnMv&#10;ZTJvRG9jLnhtbFBLBQYAAAAABgAGAFkBAAAKBgAAAAA=&#10;">
                <v:fill on="t" focussize="0,0"/>
                <v:stroke on="f" weight="1pt" miterlimit="8" joinstyle="miter"/>
                <v:imagedata o:title=""/>
                <o:lock v:ext="edit" aspectratio="f"/>
              </v:shape>
            </w:pict>
          </mc:Fallback>
        </mc:AlternateContent>
      </w:r>
      <w:r>
        <w:rPr>
          <w:rFonts w:ascii="Times New Roman" w:hAnsi="Times New Roman" w:cs="Times New Roman" w:eastAsiaTheme="minorEastAsia"/>
          <w:caps w:val="0"/>
          <w:smallCaps w:val="0"/>
          <w:color w:val="auto"/>
          <w:spacing w:val="0"/>
          <w:w w:val="100"/>
          <w:position w:val="0"/>
          <w:highlight w:val="none"/>
        </w:rPr>
        <w:pict>
          <v:shape id="_x0000_i1027" o:spt="75" type="#_x0000_t75" style="height:321.95pt;width:390.55pt;" filled="f" o:preferrelative="t" stroked="f" coordsize="21600,21600">
            <v:path/>
            <v:fill on="f" focussize="0,0"/>
            <v:stroke on="f" joinstyle="miter"/>
            <v:imagedata r:id="rId51" o:title="地下水预测底图3"/>
            <o:lock v:ext="edit" aspectratio="t"/>
            <w10:wrap type="none"/>
            <w10:anchorlock/>
          </v:shape>
        </w:pict>
      </w:r>
    </w:p>
    <w:p w14:paraId="7967D0BC">
      <w:pPr>
        <w:pStyle w:val="41"/>
        <w:jc w:val="center"/>
        <w:rPr>
          <w:rFonts w:ascii="Times New Roman" w:hAnsi="Times New Roman" w:eastAsiaTheme="minorEastAsia"/>
          <w:b/>
          <w:caps w:val="0"/>
          <w:smallCaps w:val="0"/>
          <w:color w:val="auto"/>
          <w:spacing w:val="0"/>
          <w:w w:val="100"/>
          <w:position w:val="0"/>
          <w:sz w:val="24"/>
          <w:szCs w:val="24"/>
          <w:highlight w:val="none"/>
        </w:rPr>
      </w:pPr>
      <w:r>
        <w:rPr>
          <w:rFonts w:ascii="Times New Roman" w:hAnsi="Times New Roman" w:eastAsiaTheme="minorEastAsia"/>
          <w:b/>
          <w:caps w:val="0"/>
          <w:smallCaps w:val="0"/>
          <w:color w:val="auto"/>
          <w:spacing w:val="0"/>
          <w:w w:val="100"/>
          <w:position w:val="0"/>
          <w:sz w:val="24"/>
          <w:szCs w:val="24"/>
          <w:highlight w:val="none"/>
        </w:rPr>
        <w:t>图5.3-3     输油管道</w:t>
      </w:r>
      <w:r>
        <w:rPr>
          <w:rFonts w:hint="eastAsia" w:ascii="Times New Roman" w:hAnsi="Times New Roman" w:eastAsiaTheme="minorEastAsia"/>
          <w:b/>
          <w:caps w:val="0"/>
          <w:smallCaps w:val="0"/>
          <w:color w:val="auto"/>
          <w:spacing w:val="0"/>
          <w:w w:val="100"/>
          <w:position w:val="0"/>
          <w:sz w:val="24"/>
          <w:szCs w:val="24"/>
          <w:highlight w:val="none"/>
        </w:rPr>
        <w:t>1</w:t>
      </w:r>
      <w:r>
        <w:rPr>
          <w:rFonts w:ascii="Times New Roman" w:hAnsi="Times New Roman" w:eastAsiaTheme="minorEastAsia"/>
          <w:b/>
          <w:caps w:val="0"/>
          <w:smallCaps w:val="0"/>
          <w:color w:val="auto"/>
          <w:spacing w:val="0"/>
          <w:w w:val="100"/>
          <w:position w:val="0"/>
          <w:sz w:val="24"/>
          <w:szCs w:val="24"/>
          <w:highlight w:val="none"/>
        </w:rPr>
        <w:t>0%管径泄漏后5475</w:t>
      </w:r>
      <w:r>
        <w:rPr>
          <w:rFonts w:hint="eastAsia" w:ascii="Times New Roman" w:hAnsi="Times New Roman" w:eastAsiaTheme="minorEastAsia"/>
          <w:b/>
          <w:caps w:val="0"/>
          <w:smallCaps w:val="0"/>
          <w:color w:val="auto"/>
          <w:spacing w:val="0"/>
          <w:w w:val="100"/>
          <w:position w:val="0"/>
          <w:sz w:val="24"/>
          <w:szCs w:val="24"/>
          <w:highlight w:val="none"/>
        </w:rPr>
        <w:t>d</w:t>
      </w:r>
      <w:r>
        <w:rPr>
          <w:rFonts w:ascii="Times New Roman" w:hAnsi="Times New Roman" w:eastAsiaTheme="minorEastAsia"/>
          <w:b/>
          <w:caps w:val="0"/>
          <w:smallCaps w:val="0"/>
          <w:color w:val="auto"/>
          <w:spacing w:val="0"/>
          <w:w w:val="100"/>
          <w:position w:val="0"/>
          <w:sz w:val="24"/>
          <w:szCs w:val="24"/>
          <w:highlight w:val="none"/>
        </w:rPr>
        <w:t>污染物浓度分布图（污染源点：0，0）</w:t>
      </w:r>
    </w:p>
    <w:p w14:paraId="320443F9">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szCs w:val="20"/>
          <w:highlight w:val="none"/>
        </w:rPr>
      </w:pPr>
      <w:r>
        <w:rPr>
          <w:rFonts w:ascii="Times New Roman" w:hAnsi="Times New Roman" w:cs="Times New Roman"/>
          <w:caps w:val="0"/>
          <w:smallCaps w:val="0"/>
          <w:color w:val="auto"/>
          <w:spacing w:val="0"/>
          <w:w w:val="100"/>
          <w:kern w:val="2"/>
          <w:position w:val="0"/>
          <w:szCs w:val="20"/>
          <w:highlight w:val="none"/>
        </w:rPr>
        <w:t>由预测结果可知，随着时间增加，污染范围有所增加，输油管道10%管径泄漏100d后，超标距离最远为36m，影响距离最远为下游38m；输油管道10%管径泄漏1000d后，超标距离最远为126m，影响距离最远为下游131m；输油管道10%管径泄漏5475d后，超标距离最远为354m，影响距离最远为下游367m。</w:t>
      </w:r>
    </w:p>
    <w:p w14:paraId="5F2D9497">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（2）</w:t>
      </w:r>
      <w:r>
        <w:rPr>
          <w:rFonts w:hint="eastAsia" w:ascii="Times New Roman" w:hAnsi="Times New Roman" w:cs="Times New Roman"/>
          <w:caps w:val="0"/>
          <w:smallCaps w:val="0"/>
          <w:color w:val="auto"/>
          <w:spacing w:val="0"/>
          <w:w w:val="100"/>
          <w:kern w:val="2"/>
          <w:position w:val="0"/>
          <w:szCs w:val="20"/>
          <w:highlight w:val="none"/>
        </w:rPr>
        <w:t>全管径泄露</w:t>
      </w:r>
    </w:p>
    <w:p w14:paraId="5C36022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①</w:t>
      </w:r>
      <w:r>
        <w:rPr>
          <w:rFonts w:ascii="Times New Roman" w:hAnsi="Times New Roman" w:cs="Times New Roman"/>
          <w:caps w:val="0"/>
          <w:smallCaps w:val="0"/>
          <w:color w:val="auto"/>
          <w:spacing w:val="0"/>
          <w:w w:val="100"/>
          <w:kern w:val="2"/>
          <w:position w:val="0"/>
          <w:szCs w:val="20"/>
          <w:highlight w:val="none"/>
        </w:rPr>
        <w:t>预测源强</w:t>
      </w:r>
    </w:p>
    <w:p w14:paraId="413A5D8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按照《</w:t>
      </w:r>
      <w:r>
        <w:rPr>
          <w:rFonts w:hint="eastAsia" w:ascii="Times New Roman" w:hAnsi="Times New Roman" w:cs="Times New Roman"/>
          <w:caps w:val="0"/>
          <w:smallCaps w:val="0"/>
          <w:color w:val="auto"/>
          <w:spacing w:val="0"/>
          <w:w w:val="100"/>
          <w:kern w:val="2"/>
          <w:position w:val="0"/>
          <w:szCs w:val="20"/>
          <w:highlight w:val="none"/>
        </w:rPr>
        <w:t>环境</w:t>
      </w:r>
      <w:r>
        <w:rPr>
          <w:rFonts w:ascii="Times New Roman" w:hAnsi="Times New Roman" w:cs="Times New Roman"/>
          <w:caps w:val="0"/>
          <w:smallCaps w:val="0"/>
          <w:color w:val="auto"/>
          <w:spacing w:val="0"/>
          <w:w w:val="100"/>
          <w:kern w:val="2"/>
          <w:position w:val="0"/>
          <w:szCs w:val="20"/>
          <w:highlight w:val="none"/>
        </w:rPr>
        <w:t>影响评价技术导则</w:t>
      </w:r>
      <w:r>
        <w:rPr>
          <w:rFonts w:hint="eastAsia" w:ascii="Times New Roman" w:hAnsi="Times New Roman" w:cs="Times New Roman"/>
          <w:caps w:val="0"/>
          <w:smallCaps w:val="0"/>
          <w:color w:val="auto"/>
          <w:spacing w:val="0"/>
          <w:w w:val="100"/>
          <w:kern w:val="2"/>
          <w:position w:val="0"/>
          <w:szCs w:val="20"/>
          <w:highlight w:val="none"/>
        </w:rPr>
        <w:t xml:space="preserve"> 陆地石油天然气开发建设项目</w:t>
      </w:r>
      <w:r>
        <w:rPr>
          <w:rFonts w:ascii="Times New Roman" w:hAnsi="Times New Roman" w:cs="Times New Roman"/>
          <w:caps w:val="0"/>
          <w:smallCaps w:val="0"/>
          <w:color w:val="auto"/>
          <w:spacing w:val="0"/>
          <w:w w:val="100"/>
          <w:kern w:val="2"/>
          <w:position w:val="0"/>
          <w:szCs w:val="20"/>
          <w:highlight w:val="none"/>
        </w:rPr>
        <w:t>》（HJ349-2023）中“9.2.2油类管道泄漏源强，根据截断阀室分布、管线尺寸、截断启动时间等合理确定”和“11.5.2 油气管道泄漏事故应按照管道截面100%断估算泄漏量，考虑截断阀启动前后的泄漏量”，假设新建集油管道无缝钢管因破裂而导致泄漏，按管道截面</w:t>
      </w:r>
      <w:r>
        <w:rPr>
          <w:rFonts w:hint="eastAsia" w:ascii="Times New Roman" w:hAnsi="Times New Roman" w:cs="Times New Roman"/>
          <w:caps w:val="0"/>
          <w:smallCaps w:val="0"/>
          <w:color w:val="auto"/>
          <w:spacing w:val="0"/>
          <w:w w:val="100"/>
          <w:kern w:val="2"/>
          <w:position w:val="0"/>
          <w:szCs w:val="20"/>
          <w:highlight w:val="none"/>
        </w:rPr>
        <w:t>1</w:t>
      </w:r>
      <w:r>
        <w:rPr>
          <w:rFonts w:ascii="Times New Roman" w:hAnsi="Times New Roman" w:cs="Times New Roman"/>
          <w:caps w:val="0"/>
          <w:smallCaps w:val="0"/>
          <w:color w:val="auto"/>
          <w:spacing w:val="0"/>
          <w:w w:val="100"/>
          <w:kern w:val="2"/>
          <w:position w:val="0"/>
          <w:szCs w:val="20"/>
          <w:highlight w:val="none"/>
        </w:rPr>
        <w:t>00%断裂估算泄漏量，考虑截断阀启动前后的泄漏量。本项目选取输油量较大、</w:t>
      </w:r>
      <w:r>
        <w:rPr>
          <w:rFonts w:hint="eastAsia" w:ascii="Times New Roman" w:hAnsi="Times New Roman" w:cs="Times New Roman"/>
          <w:caps w:val="0"/>
          <w:smallCaps w:val="0"/>
          <w:color w:val="auto"/>
          <w:spacing w:val="0"/>
          <w:w w:val="100"/>
          <w:kern w:val="2"/>
          <w:position w:val="0"/>
          <w:szCs w:val="20"/>
          <w:highlight w:val="none"/>
        </w:rPr>
        <w:t>管道内原油存在量最大</w:t>
      </w:r>
      <w:r>
        <w:rPr>
          <w:rFonts w:ascii="Times New Roman" w:hAnsi="Times New Roman" w:cs="Times New Roman"/>
          <w:caps w:val="0"/>
          <w:smallCaps w:val="0"/>
          <w:color w:val="auto"/>
          <w:spacing w:val="0"/>
          <w:w w:val="100"/>
          <w:kern w:val="2"/>
          <w:position w:val="0"/>
          <w:szCs w:val="20"/>
          <w:highlight w:val="none"/>
        </w:rPr>
        <w:t>的</w:t>
      </w:r>
      <w:r>
        <w:rPr>
          <w:rFonts w:hint="eastAsia" w:ascii="Times New Roman" w:hAnsi="Times New Roman" w:cs="Times New Roman"/>
          <w:caps w:val="0"/>
          <w:smallCaps w:val="0"/>
          <w:color w:val="auto"/>
          <w:spacing w:val="0"/>
          <w:w w:val="100"/>
          <w:kern w:val="2"/>
          <w:position w:val="0"/>
          <w:szCs w:val="20"/>
          <w:highlight w:val="none"/>
        </w:rPr>
        <w:t>输油</w:t>
      </w:r>
      <w:r>
        <w:rPr>
          <w:rFonts w:ascii="Times New Roman" w:hAnsi="Times New Roman" w:cs="Times New Roman"/>
          <w:caps w:val="0"/>
          <w:smallCaps w:val="0"/>
          <w:color w:val="auto"/>
          <w:spacing w:val="0"/>
          <w:w w:val="100"/>
          <w:kern w:val="2"/>
          <w:position w:val="0"/>
          <w:szCs w:val="20"/>
          <w:highlight w:val="none"/>
        </w:rPr>
        <w:t>管道进行预测，即选取杏十五-1联合站外输油管线</w:t>
      </w:r>
      <w:r>
        <w:rPr>
          <w:rFonts w:hint="eastAsia" w:ascii="Times New Roman" w:hAnsi="Times New Roman" w:cs="Times New Roman"/>
          <w:caps w:val="0"/>
          <w:smallCaps w:val="0"/>
          <w:color w:val="auto"/>
          <w:spacing w:val="0"/>
          <w:w w:val="100"/>
          <w:kern w:val="2"/>
          <w:position w:val="0"/>
          <w:szCs w:val="20"/>
          <w:highlight w:val="none"/>
        </w:rPr>
        <w:t>，迁建后该管道</w:t>
      </w:r>
      <w:r>
        <w:rPr>
          <w:rFonts w:ascii="Times New Roman" w:hAnsi="Times New Roman" w:cs="Times New Roman"/>
          <w:caps w:val="0"/>
          <w:smallCaps w:val="0"/>
          <w:color w:val="auto"/>
          <w:spacing w:val="0"/>
          <w:w w:val="100"/>
          <w:kern w:val="2"/>
          <w:position w:val="0"/>
          <w:szCs w:val="20"/>
          <w:highlight w:val="none"/>
        </w:rPr>
        <w:t>位于两个截断阀之间的管道规格为Φ168×5，长度为7.4km，输油量为</w:t>
      </w:r>
      <w:r>
        <w:rPr>
          <w:rFonts w:hint="eastAsia" w:ascii="Times New Roman" w:hAnsi="Times New Roman" w:cs="Times New Roman"/>
          <w:caps w:val="0"/>
          <w:smallCaps w:val="0"/>
          <w:color w:val="auto"/>
          <w:spacing w:val="0"/>
          <w:w w:val="100"/>
          <w:kern w:val="2"/>
          <w:position w:val="0"/>
          <w:szCs w:val="20"/>
          <w:highlight w:val="none"/>
        </w:rPr>
        <w:t>8</w:t>
      </w:r>
      <w:r>
        <w:rPr>
          <w:rFonts w:ascii="Times New Roman" w:hAnsi="Times New Roman" w:cs="Times New Roman"/>
          <w:caps w:val="0"/>
          <w:smallCaps w:val="0"/>
          <w:color w:val="auto"/>
          <w:spacing w:val="0"/>
          <w:w w:val="100"/>
          <w:kern w:val="2"/>
          <w:position w:val="0"/>
          <w:szCs w:val="20"/>
          <w:highlight w:val="none"/>
        </w:rPr>
        <w:t>86t/d，本项目</w:t>
      </w:r>
      <w:r>
        <w:rPr>
          <w:rFonts w:hint="eastAsia" w:ascii="Times New Roman" w:hAnsi="Times New Roman" w:cs="Times New Roman"/>
          <w:caps w:val="0"/>
          <w:smallCaps w:val="0"/>
          <w:color w:val="auto"/>
          <w:spacing w:val="0"/>
          <w:w w:val="100"/>
          <w:kern w:val="2"/>
          <w:position w:val="0"/>
          <w:szCs w:val="20"/>
          <w:highlight w:val="none"/>
        </w:rPr>
        <w:t>管道</w:t>
      </w:r>
      <w:r>
        <w:rPr>
          <w:rFonts w:ascii="Times New Roman" w:hAnsi="Times New Roman" w:cs="Times New Roman"/>
          <w:caps w:val="0"/>
          <w:smallCaps w:val="0"/>
          <w:color w:val="auto"/>
          <w:spacing w:val="0"/>
          <w:w w:val="100"/>
          <w:kern w:val="2"/>
          <w:position w:val="0"/>
          <w:szCs w:val="20"/>
          <w:highlight w:val="none"/>
        </w:rPr>
        <w:t>均数字化建设，管线泄露可在30min内发现并关闭截断阀，截断阀关闭前，即30min最大原油泄漏量18458kg。</w:t>
      </w:r>
    </w:p>
    <w:p w14:paraId="1DC9ED6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szCs w:val="20"/>
          <w:highlight w:val="none"/>
        </w:rPr>
        <w:t>截断阀关闭后，两处截断阀之间</w:t>
      </w:r>
      <w:r>
        <w:rPr>
          <w:rFonts w:hint="eastAsia" w:ascii="Times New Roman" w:hAnsi="Times New Roman" w:cs="Times New Roman"/>
          <w:caps w:val="0"/>
          <w:smallCaps w:val="0"/>
          <w:color w:val="auto"/>
          <w:spacing w:val="0"/>
          <w:w w:val="100"/>
          <w:kern w:val="2"/>
          <w:position w:val="0"/>
          <w:szCs w:val="20"/>
          <w:highlight w:val="none"/>
        </w:rPr>
        <w:t>输油</w:t>
      </w:r>
      <w:r>
        <w:rPr>
          <w:rFonts w:ascii="Times New Roman" w:hAnsi="Times New Roman" w:cs="Times New Roman"/>
          <w:caps w:val="0"/>
          <w:smallCaps w:val="0"/>
          <w:color w:val="auto"/>
          <w:spacing w:val="0"/>
          <w:w w:val="100"/>
          <w:kern w:val="2"/>
          <w:position w:val="0"/>
          <w:szCs w:val="20"/>
          <w:highlight w:val="none"/>
        </w:rPr>
        <w:t>管道原油按全部泄露考虑，</w:t>
      </w:r>
      <w:r>
        <w:rPr>
          <w:rFonts w:hint="eastAsia" w:ascii="Times New Roman" w:hAnsi="Times New Roman" w:cs="Times New Roman"/>
          <w:caps w:val="0"/>
          <w:smallCaps w:val="0"/>
          <w:color w:val="auto"/>
          <w:spacing w:val="0"/>
          <w:w w:val="100"/>
          <w:kern w:val="2"/>
          <w:position w:val="0"/>
          <w:szCs w:val="20"/>
          <w:highlight w:val="none"/>
        </w:rPr>
        <w:t>输油</w:t>
      </w:r>
      <w:r>
        <w:rPr>
          <w:rFonts w:ascii="Times New Roman" w:hAnsi="Times New Roman" w:cs="Times New Roman"/>
          <w:caps w:val="0"/>
          <w:smallCaps w:val="0"/>
          <w:color w:val="auto"/>
          <w:spacing w:val="0"/>
          <w:w w:val="100"/>
          <w:kern w:val="2"/>
          <w:position w:val="0"/>
          <w:szCs w:val="20"/>
          <w:highlight w:val="none"/>
        </w:rPr>
        <w:t>管道规格</w:t>
      </w:r>
      <w:r>
        <w:rPr>
          <w:rFonts w:ascii="Times New Roman" w:hAnsi="Times New Roman" w:cs="Times New Roman"/>
          <w:bCs/>
          <w:caps w:val="0"/>
          <w:smallCaps w:val="0"/>
          <w:color w:val="auto"/>
          <w:spacing w:val="0"/>
          <w:w w:val="100"/>
          <w:kern w:val="2"/>
          <w:position w:val="0"/>
          <w:szCs w:val="20"/>
          <w:highlight w:val="none"/>
        </w:rPr>
        <w:t>Φ168×5-7.4km</w:t>
      </w:r>
      <w:r>
        <w:rPr>
          <w:rFonts w:ascii="Times New Roman" w:hAnsi="Times New Roman" w:cs="Times New Roman"/>
          <w:caps w:val="0"/>
          <w:smallCaps w:val="0"/>
          <w:color w:val="auto"/>
          <w:spacing w:val="0"/>
          <w:w w:val="100"/>
          <w:kern w:val="2"/>
          <w:position w:val="0"/>
          <w:szCs w:val="20"/>
          <w:highlight w:val="none"/>
        </w:rPr>
        <w:t>，原油密度0.85g/cm</w:t>
      </w:r>
      <w:r>
        <w:rPr>
          <w:rFonts w:ascii="Times New Roman" w:hAnsi="Times New Roman" w:cs="Times New Roman"/>
          <w:caps w:val="0"/>
          <w:smallCaps w:val="0"/>
          <w:color w:val="auto"/>
          <w:spacing w:val="0"/>
          <w:w w:val="100"/>
          <w:kern w:val="2"/>
          <w:position w:val="0"/>
          <w:szCs w:val="20"/>
          <w:highlight w:val="none"/>
          <w:vertAlign w:val="superscript"/>
        </w:rPr>
        <w:t>3</w:t>
      </w:r>
      <w:r>
        <w:rPr>
          <w:rFonts w:ascii="Times New Roman" w:hAnsi="Times New Roman" w:cs="Times New Roman"/>
          <w:caps w:val="0"/>
          <w:smallCaps w:val="0"/>
          <w:color w:val="auto"/>
          <w:spacing w:val="0"/>
          <w:w w:val="100"/>
          <w:kern w:val="2"/>
          <w:position w:val="0"/>
          <w:szCs w:val="20"/>
          <w:highlight w:val="none"/>
        </w:rPr>
        <w:t>，则关闭截断阀后泄漏原油量为123260</w:t>
      </w:r>
      <w:r>
        <w:rPr>
          <w:rFonts w:hint="eastAsia" w:ascii="Times New Roman" w:hAnsi="Times New Roman" w:cs="Times New Roman"/>
          <w:caps w:val="0"/>
          <w:smallCaps w:val="0"/>
          <w:color w:val="auto"/>
          <w:spacing w:val="0"/>
          <w:w w:val="100"/>
          <w:kern w:val="2"/>
          <w:position w:val="0"/>
          <w:szCs w:val="20"/>
          <w:highlight w:val="none"/>
        </w:rPr>
        <w:t>kg</w:t>
      </w:r>
      <w:r>
        <w:rPr>
          <w:rFonts w:ascii="Times New Roman" w:hAnsi="Times New Roman" w:cs="Times New Roman"/>
          <w:caps w:val="0"/>
          <w:smallCaps w:val="0"/>
          <w:color w:val="auto"/>
          <w:spacing w:val="0"/>
          <w:w w:val="100"/>
          <w:kern w:val="2"/>
          <w:position w:val="0"/>
          <w:szCs w:val="20"/>
          <w:highlight w:val="none"/>
        </w:rPr>
        <w:t>，截断阀关闭</w:t>
      </w:r>
      <w:r>
        <w:rPr>
          <w:rFonts w:ascii="Times New Roman" w:hAnsi="Times New Roman" w:cs="Times New Roman" w:eastAsiaTheme="minorEastAsia"/>
          <w:caps w:val="0"/>
          <w:smallCaps w:val="0"/>
          <w:color w:val="auto"/>
          <w:spacing w:val="0"/>
          <w:w w:val="100"/>
          <w:kern w:val="2"/>
          <w:position w:val="0"/>
          <w:highlight w:val="none"/>
        </w:rPr>
        <w:t>前后泄露原油总量141718kg</w:t>
      </w:r>
      <w:r>
        <w:rPr>
          <w:rFonts w:hint="eastAsia" w:ascii="Times New Roman" w:hAnsi="Times New Roman" w:cs="Times New Roman" w:eastAsiaTheme="minorEastAsia"/>
          <w:caps w:val="0"/>
          <w:smallCaps w:val="0"/>
          <w:color w:val="auto"/>
          <w:spacing w:val="0"/>
          <w:w w:val="100"/>
          <w:kern w:val="2"/>
          <w:position w:val="0"/>
          <w:highlight w:val="none"/>
        </w:rPr>
        <w:t>，</w:t>
      </w:r>
      <w:r>
        <w:rPr>
          <w:rFonts w:ascii="Times New Roman" w:hAnsi="Times New Roman" w:cs="Times New Roman" w:eastAsiaTheme="minorEastAsia"/>
          <w:caps w:val="0"/>
          <w:smallCaps w:val="0"/>
          <w:color w:val="auto"/>
          <w:spacing w:val="0"/>
          <w:w w:val="100"/>
          <w:kern w:val="2"/>
          <w:position w:val="0"/>
          <w:highlight w:val="none"/>
        </w:rPr>
        <w:t>进入地下水中的石油类浓度按500mg/L计算，</w:t>
      </w:r>
      <w:r>
        <w:rPr>
          <w:rFonts w:hint="eastAsia" w:ascii="Times New Roman" w:hAnsi="Times New Roman" w:cs="Times New Roman" w:eastAsiaTheme="minorEastAsia"/>
          <w:caps w:val="0"/>
          <w:smallCaps w:val="0"/>
          <w:color w:val="auto"/>
          <w:spacing w:val="0"/>
          <w:w w:val="100"/>
          <w:kern w:val="2"/>
          <w:position w:val="0"/>
          <w:highlight w:val="none"/>
        </w:rPr>
        <w:t>则</w:t>
      </w:r>
      <w:r>
        <w:rPr>
          <w:rFonts w:ascii="Times New Roman" w:hAnsi="Times New Roman" w:cs="Times New Roman" w:eastAsiaTheme="minorEastAsia"/>
          <w:caps w:val="0"/>
          <w:smallCaps w:val="0"/>
          <w:color w:val="auto"/>
          <w:spacing w:val="0"/>
          <w:w w:val="100"/>
          <w:kern w:val="2"/>
          <w:position w:val="0"/>
          <w:highlight w:val="none"/>
        </w:rPr>
        <w:t>截断阀关闭前后泄露进入地下水原油总量83.364kg。</w:t>
      </w:r>
    </w:p>
    <w:p w14:paraId="28411D1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②</w:t>
      </w:r>
      <w:r>
        <w:rPr>
          <w:rFonts w:ascii="Times New Roman" w:hAnsi="Times New Roman" w:cs="Times New Roman"/>
          <w:caps w:val="0"/>
          <w:smallCaps w:val="0"/>
          <w:color w:val="auto"/>
          <w:spacing w:val="0"/>
          <w:w w:val="100"/>
          <w:kern w:val="2"/>
          <w:position w:val="0"/>
          <w:szCs w:val="20"/>
          <w:highlight w:val="none"/>
        </w:rPr>
        <w:t>预测因子</w:t>
      </w:r>
    </w:p>
    <w:p w14:paraId="6C1C306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输油管道发生泄漏，导致原油泄漏，污染物有石油类、挥发性酚类等。根据《环境影响评价技术导则地下水环境》（HJ610-2016）中情景设置预测因子相关要求，对每一类别中的各项因子采取标准指数法进行排序，分别取标准指数最大的因子作为预测因子。在输油管道发生泄漏情景下，原油泄漏的主要污染因子为石油类，挥发性酚类的含量远低于石油，本次评价最终选取石油类作为预测特征因子。预测第100天、1000天、</w:t>
      </w:r>
      <w:r>
        <w:rPr>
          <w:rFonts w:hint="eastAsia" w:ascii="Times New Roman" w:hAnsi="Times New Roman" w:cs="Times New Roman"/>
          <w:caps w:val="0"/>
          <w:smallCaps w:val="0"/>
          <w:color w:val="auto"/>
          <w:spacing w:val="0"/>
          <w:w w:val="100"/>
          <w:kern w:val="2"/>
          <w:position w:val="0"/>
          <w:szCs w:val="20"/>
          <w:highlight w:val="none"/>
        </w:rPr>
        <w:t>5</w:t>
      </w:r>
      <w:r>
        <w:rPr>
          <w:rFonts w:ascii="Times New Roman" w:hAnsi="Times New Roman" w:cs="Times New Roman"/>
          <w:caps w:val="0"/>
          <w:smallCaps w:val="0"/>
          <w:color w:val="auto"/>
          <w:spacing w:val="0"/>
          <w:w w:val="100"/>
          <w:kern w:val="2"/>
          <w:position w:val="0"/>
          <w:szCs w:val="20"/>
          <w:highlight w:val="none"/>
        </w:rPr>
        <w:t>475d（</w:t>
      </w:r>
      <w:r>
        <w:rPr>
          <w:rFonts w:hint="eastAsia" w:ascii="Times New Roman" w:hAnsi="Times New Roman" w:cs="Times New Roman"/>
          <w:caps w:val="0"/>
          <w:smallCaps w:val="0"/>
          <w:color w:val="auto"/>
          <w:spacing w:val="0"/>
          <w:w w:val="100"/>
          <w:kern w:val="2"/>
          <w:position w:val="0"/>
          <w:szCs w:val="20"/>
          <w:highlight w:val="none"/>
        </w:rPr>
        <w:t>1</w:t>
      </w:r>
      <w:r>
        <w:rPr>
          <w:rFonts w:ascii="Times New Roman" w:hAnsi="Times New Roman" w:cs="Times New Roman"/>
          <w:caps w:val="0"/>
          <w:smallCaps w:val="0"/>
          <w:color w:val="auto"/>
          <w:spacing w:val="0"/>
          <w:w w:val="100"/>
          <w:kern w:val="2"/>
          <w:position w:val="0"/>
          <w:szCs w:val="20"/>
          <w:highlight w:val="none"/>
        </w:rPr>
        <w:t>5年）石油类在潜水中的运移情况。</w:t>
      </w:r>
    </w:p>
    <w:p w14:paraId="30A6855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③</w:t>
      </w:r>
      <w:r>
        <w:rPr>
          <w:rFonts w:ascii="Times New Roman" w:hAnsi="Times New Roman" w:cs="Times New Roman"/>
          <w:caps w:val="0"/>
          <w:smallCaps w:val="0"/>
          <w:color w:val="auto"/>
          <w:spacing w:val="0"/>
          <w:w w:val="100"/>
          <w:kern w:val="2"/>
          <w:position w:val="0"/>
          <w:szCs w:val="20"/>
          <w:highlight w:val="none"/>
        </w:rPr>
        <w:t>预测模型</w:t>
      </w:r>
    </w:p>
    <w:p w14:paraId="43C77EA8">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将地下水泄漏时间概化为瞬时注入，再利用二维水动力弥散方程计算最大影响范围。二维水动力瞬时注入弥散方程如下：</w:t>
      </w:r>
    </w:p>
    <w:p w14:paraId="13A75FAD">
      <w:pPr>
        <w:widowControl w:val="0"/>
        <w:jc w:val="center"/>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position w:val="0"/>
          <w:highlight w:val="none"/>
        </w:rPr>
        <w:drawing>
          <wp:inline distT="0" distB="0" distL="0" distR="0">
            <wp:extent cx="3166110" cy="767715"/>
            <wp:effectExtent l="0" t="0" r="0" b="0"/>
            <wp:docPr id="130447804" name="图片 130447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7804" name="图片 13044780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3166110" cy="767715"/>
                    </a:xfrm>
                    <a:prstGeom prst="rect">
                      <a:avLst/>
                    </a:prstGeom>
                    <a:noFill/>
                    <a:ln>
                      <a:noFill/>
                    </a:ln>
                  </pic:spPr>
                </pic:pic>
              </a:graphicData>
            </a:graphic>
          </wp:inline>
        </w:drawing>
      </w:r>
    </w:p>
    <w:p w14:paraId="7EBA00E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式中：</w:t>
      </w:r>
    </w:p>
    <w:p w14:paraId="7E2102F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x，y—计算点处的位置坐标；</w:t>
      </w:r>
    </w:p>
    <w:p w14:paraId="3CDE765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t—时间，d；</w:t>
      </w:r>
    </w:p>
    <w:p w14:paraId="4BFD6DD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C(x，y，t)—t时刻点x，y处的示踪剂浓度，g/L；</w:t>
      </w:r>
    </w:p>
    <w:p w14:paraId="2CB6D8E5">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M—含水层的厚度，m；</w:t>
      </w:r>
    </w:p>
    <w:p w14:paraId="1E7C12B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eastAsiaTheme="minorEastAsia"/>
          <w:caps w:val="0"/>
          <w:smallCaps w:val="0"/>
          <w:color w:val="auto"/>
          <w:spacing w:val="0"/>
          <w:w w:val="100"/>
          <w:kern w:val="2"/>
          <w:position w:val="0"/>
          <w:szCs w:val="20"/>
          <w:highlight w:val="none"/>
        </w:rPr>
        <w:t>m</w:t>
      </w:r>
      <w:r>
        <w:rPr>
          <w:rFonts w:ascii="Times New Roman" w:hAnsi="Times New Roman" w:cs="Times New Roman"/>
          <w:caps w:val="0"/>
          <w:smallCaps w:val="0"/>
          <w:color w:val="auto"/>
          <w:spacing w:val="0"/>
          <w:w w:val="100"/>
          <w:kern w:val="2"/>
          <w:position w:val="0"/>
          <w:szCs w:val="20"/>
          <w:highlight w:val="none"/>
          <w:vertAlign w:val="subscript"/>
        </w:rPr>
        <w:t>M</w:t>
      </w:r>
      <w:r>
        <w:rPr>
          <w:rFonts w:ascii="Times New Roman" w:hAnsi="Times New Roman" w:cs="Times New Roman"/>
          <w:caps w:val="0"/>
          <w:smallCaps w:val="0"/>
          <w:color w:val="auto"/>
          <w:spacing w:val="0"/>
          <w:w w:val="100"/>
          <w:kern w:val="2"/>
          <w:position w:val="0"/>
          <w:szCs w:val="20"/>
          <w:highlight w:val="none"/>
        </w:rPr>
        <w:t>—单位时间注入的质量，kg；</w:t>
      </w:r>
    </w:p>
    <w:p w14:paraId="78FB087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u—水流速度，m/d；</w:t>
      </w:r>
    </w:p>
    <w:p w14:paraId="4CC0155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n—有效孔隙度，无量纲；</w:t>
      </w:r>
    </w:p>
    <w:p w14:paraId="04C9FB4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D</w:t>
      </w:r>
      <w:r>
        <w:rPr>
          <w:rFonts w:ascii="Times New Roman" w:hAnsi="Times New Roman" w:cs="Times New Roman"/>
          <w:caps w:val="0"/>
          <w:smallCaps w:val="0"/>
          <w:color w:val="auto"/>
          <w:spacing w:val="0"/>
          <w:w w:val="100"/>
          <w:kern w:val="2"/>
          <w:position w:val="0"/>
          <w:szCs w:val="20"/>
          <w:highlight w:val="none"/>
          <w:vertAlign w:val="subscript"/>
        </w:rPr>
        <w:t>L</w:t>
      </w:r>
      <w:r>
        <w:rPr>
          <w:rFonts w:ascii="Times New Roman" w:hAnsi="Times New Roman" w:cs="Times New Roman"/>
          <w:caps w:val="0"/>
          <w:smallCaps w:val="0"/>
          <w:color w:val="auto"/>
          <w:spacing w:val="0"/>
          <w:w w:val="100"/>
          <w:kern w:val="2"/>
          <w:position w:val="0"/>
          <w:szCs w:val="20"/>
          <w:highlight w:val="none"/>
        </w:rPr>
        <w:t>—纵向弥散系数，m</w:t>
      </w:r>
      <w:r>
        <w:rPr>
          <w:rFonts w:ascii="Times New Roman" w:hAnsi="Times New Roman" w:cs="Times New Roman"/>
          <w:caps w:val="0"/>
          <w:smallCaps w:val="0"/>
          <w:color w:val="auto"/>
          <w:spacing w:val="0"/>
          <w:w w:val="100"/>
          <w:kern w:val="2"/>
          <w:position w:val="0"/>
          <w:szCs w:val="20"/>
          <w:highlight w:val="none"/>
          <w:vertAlign w:val="superscript"/>
        </w:rPr>
        <w:t>2</w:t>
      </w:r>
      <w:r>
        <w:rPr>
          <w:rFonts w:ascii="Times New Roman" w:hAnsi="Times New Roman" w:cs="Times New Roman"/>
          <w:caps w:val="0"/>
          <w:smallCaps w:val="0"/>
          <w:color w:val="auto"/>
          <w:spacing w:val="0"/>
          <w:w w:val="100"/>
          <w:kern w:val="2"/>
          <w:position w:val="0"/>
          <w:szCs w:val="20"/>
          <w:highlight w:val="none"/>
        </w:rPr>
        <w:t>/d；</w:t>
      </w:r>
    </w:p>
    <w:p w14:paraId="58959A5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D</w:t>
      </w:r>
      <w:r>
        <w:rPr>
          <w:rFonts w:ascii="Times New Roman" w:hAnsi="Times New Roman" w:cs="Times New Roman"/>
          <w:caps w:val="0"/>
          <w:smallCaps w:val="0"/>
          <w:color w:val="auto"/>
          <w:spacing w:val="0"/>
          <w:w w:val="100"/>
          <w:kern w:val="2"/>
          <w:position w:val="0"/>
          <w:szCs w:val="20"/>
          <w:highlight w:val="none"/>
          <w:vertAlign w:val="subscript"/>
        </w:rPr>
        <w:t>T</w:t>
      </w:r>
      <w:r>
        <w:rPr>
          <w:rFonts w:ascii="Times New Roman" w:hAnsi="Times New Roman" w:cs="Times New Roman"/>
          <w:caps w:val="0"/>
          <w:smallCaps w:val="0"/>
          <w:color w:val="auto"/>
          <w:spacing w:val="0"/>
          <w:w w:val="100"/>
          <w:kern w:val="2"/>
          <w:position w:val="0"/>
          <w:szCs w:val="20"/>
          <w:highlight w:val="none"/>
        </w:rPr>
        <w:t>—横向y方向的弥散系数，m</w:t>
      </w:r>
      <w:r>
        <w:rPr>
          <w:rFonts w:ascii="Times New Roman" w:hAnsi="Times New Roman" w:cs="Times New Roman"/>
          <w:caps w:val="0"/>
          <w:smallCaps w:val="0"/>
          <w:color w:val="auto"/>
          <w:spacing w:val="0"/>
          <w:w w:val="100"/>
          <w:kern w:val="2"/>
          <w:position w:val="0"/>
          <w:szCs w:val="20"/>
          <w:highlight w:val="none"/>
          <w:vertAlign w:val="superscript"/>
        </w:rPr>
        <w:t>2</w:t>
      </w:r>
      <w:r>
        <w:rPr>
          <w:rFonts w:ascii="Times New Roman" w:hAnsi="Times New Roman" w:cs="Times New Roman"/>
          <w:caps w:val="0"/>
          <w:smallCaps w:val="0"/>
          <w:color w:val="auto"/>
          <w:spacing w:val="0"/>
          <w:w w:val="100"/>
          <w:kern w:val="2"/>
          <w:position w:val="0"/>
          <w:szCs w:val="20"/>
          <w:highlight w:val="none"/>
        </w:rPr>
        <w:t>/d。</w:t>
      </w:r>
    </w:p>
    <w:p w14:paraId="6A5ACB6B">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π—圆周率。</w:t>
      </w:r>
    </w:p>
    <w:p w14:paraId="4F23E1C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④</w:t>
      </w:r>
      <w:r>
        <w:rPr>
          <w:rFonts w:ascii="Times New Roman" w:hAnsi="Times New Roman" w:cs="Times New Roman"/>
          <w:caps w:val="0"/>
          <w:smallCaps w:val="0"/>
          <w:color w:val="auto"/>
          <w:spacing w:val="0"/>
          <w:w w:val="100"/>
          <w:kern w:val="2"/>
          <w:position w:val="0"/>
          <w:szCs w:val="20"/>
          <w:highlight w:val="none"/>
        </w:rPr>
        <w:t>参数选取</w:t>
      </w:r>
    </w:p>
    <w:p w14:paraId="10D73136">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szCs w:val="20"/>
          <w:highlight w:val="none"/>
        </w:rPr>
      </w:pPr>
      <w:r>
        <w:rPr>
          <w:rFonts w:ascii="Times New Roman" w:hAnsi="Times New Roman" w:cs="Times New Roman" w:eastAsiaTheme="minorEastAsia"/>
          <w:bCs/>
          <w:caps w:val="0"/>
          <w:smallCaps w:val="0"/>
          <w:color w:val="auto"/>
          <w:spacing w:val="0"/>
          <w:w w:val="100"/>
          <w:kern w:val="21"/>
          <w:position w:val="0"/>
          <w:szCs w:val="20"/>
          <w:highlight w:val="none"/>
        </w:rPr>
        <w:t>根据达西定律u=渗透系数×地下水水力坡度/有效孔隙度，根据</w:t>
      </w:r>
      <w:r>
        <w:rPr>
          <w:rFonts w:hint="eastAsia" w:ascii="Times New Roman" w:hAnsi="Times New Roman" w:cs="Times New Roman" w:eastAsiaTheme="minorEastAsia"/>
          <w:bCs/>
          <w:caps w:val="0"/>
          <w:smallCaps w:val="0"/>
          <w:color w:val="auto"/>
          <w:spacing w:val="0"/>
          <w:w w:val="100"/>
          <w:kern w:val="21"/>
          <w:position w:val="0"/>
          <w:szCs w:val="20"/>
          <w:highlight w:val="none"/>
        </w:rPr>
        <w:t>《黑龙江省大庆市地下水资源调查评价报告》</w:t>
      </w:r>
      <w:r>
        <w:rPr>
          <w:rFonts w:ascii="Times New Roman" w:hAnsi="Times New Roman" w:cs="Times New Roman" w:eastAsiaTheme="minorEastAsia"/>
          <w:bCs/>
          <w:caps w:val="0"/>
          <w:smallCaps w:val="0"/>
          <w:color w:val="auto"/>
          <w:spacing w:val="0"/>
          <w:w w:val="100"/>
          <w:kern w:val="21"/>
          <w:position w:val="0"/>
          <w:szCs w:val="20"/>
          <w:highlight w:val="none"/>
        </w:rPr>
        <w:t>，本项目所在区域潜水为第四系上更新统松散层孔隙潜水，岩性为粉细砂，参照《环境影响评价技术导则地下水》（HJ610-2016）附录 B 水文地质参数经验值表，K</w:t>
      </w:r>
      <w:r>
        <w:rPr>
          <w:rFonts w:ascii="Times New Roman" w:hAnsi="Times New Roman" w:cs="Times New Roman" w:eastAsiaTheme="minorEastAsia"/>
          <w:bCs/>
          <w:caps w:val="0"/>
          <w:smallCaps w:val="0"/>
          <w:color w:val="auto"/>
          <w:spacing w:val="0"/>
          <w:w w:val="100"/>
          <w:kern w:val="21"/>
          <w:position w:val="0"/>
          <w:szCs w:val="20"/>
          <w:highlight w:val="none"/>
          <w:vertAlign w:val="subscript"/>
        </w:rPr>
        <w:t>潜水</w:t>
      </w:r>
      <w:r>
        <w:rPr>
          <w:rFonts w:ascii="Times New Roman" w:hAnsi="Times New Roman" w:cs="Times New Roman" w:eastAsiaTheme="minorEastAsia"/>
          <w:bCs/>
          <w:caps w:val="0"/>
          <w:smallCaps w:val="0"/>
          <w:color w:val="auto"/>
          <w:spacing w:val="0"/>
          <w:w w:val="100"/>
          <w:kern w:val="21"/>
          <w:position w:val="0"/>
          <w:szCs w:val="20"/>
          <w:highlight w:val="none"/>
        </w:rPr>
        <w:t>=5m/d，n</w:t>
      </w:r>
      <w:r>
        <w:rPr>
          <w:rFonts w:ascii="Times New Roman" w:hAnsi="Times New Roman" w:cs="Times New Roman" w:eastAsiaTheme="minorEastAsia"/>
          <w:bCs/>
          <w:caps w:val="0"/>
          <w:smallCaps w:val="0"/>
          <w:color w:val="auto"/>
          <w:spacing w:val="0"/>
          <w:w w:val="100"/>
          <w:kern w:val="21"/>
          <w:position w:val="0"/>
          <w:szCs w:val="20"/>
          <w:highlight w:val="none"/>
          <w:vertAlign w:val="subscript"/>
        </w:rPr>
        <w:t>e潜水</w:t>
      </w:r>
      <w:r>
        <w:rPr>
          <w:rFonts w:ascii="Times New Roman" w:hAnsi="Times New Roman" w:cs="Times New Roman" w:eastAsiaTheme="minorEastAsia"/>
          <w:bCs/>
          <w:caps w:val="0"/>
          <w:smallCaps w:val="0"/>
          <w:color w:val="auto"/>
          <w:spacing w:val="0"/>
          <w:w w:val="100"/>
          <w:kern w:val="21"/>
          <w:position w:val="0"/>
          <w:szCs w:val="20"/>
          <w:highlight w:val="none"/>
        </w:rPr>
        <w:t>=0.2，根据区域潜水等水位线与距离确定I</w:t>
      </w:r>
      <w:r>
        <w:rPr>
          <w:rFonts w:ascii="Times New Roman" w:hAnsi="Times New Roman" w:cs="Times New Roman" w:eastAsiaTheme="minorEastAsia"/>
          <w:bCs/>
          <w:caps w:val="0"/>
          <w:smallCaps w:val="0"/>
          <w:color w:val="auto"/>
          <w:spacing w:val="0"/>
          <w:w w:val="100"/>
          <w:kern w:val="21"/>
          <w:position w:val="0"/>
          <w:szCs w:val="20"/>
          <w:highlight w:val="none"/>
          <w:vertAlign w:val="subscript"/>
        </w:rPr>
        <w:t>潜水</w:t>
      </w:r>
      <w:r>
        <w:rPr>
          <w:rFonts w:ascii="Times New Roman" w:hAnsi="Times New Roman" w:cs="Times New Roman" w:eastAsiaTheme="minorEastAsia"/>
          <w:bCs/>
          <w:caps w:val="0"/>
          <w:smallCaps w:val="0"/>
          <w:color w:val="auto"/>
          <w:spacing w:val="0"/>
          <w:w w:val="100"/>
          <w:kern w:val="21"/>
          <w:position w:val="0"/>
          <w:szCs w:val="20"/>
          <w:highlight w:val="none"/>
        </w:rPr>
        <w:t>=0.00079，有效评价区内潜水含水层地下水流速为0.01975m/d。潜水含水层厚度2.5-4.5m，考虑最不利情况，潜水含水层厚度取2.5m。弥散系数：区域地下水纵向弥散系数0.2m</w:t>
      </w:r>
      <w:r>
        <w:rPr>
          <w:rFonts w:ascii="Times New Roman" w:hAnsi="Times New Roman" w:cs="Times New Roman" w:eastAsiaTheme="minorEastAsia"/>
          <w:bCs/>
          <w:caps w:val="0"/>
          <w:smallCaps w:val="0"/>
          <w:color w:val="auto"/>
          <w:spacing w:val="0"/>
          <w:w w:val="100"/>
          <w:kern w:val="21"/>
          <w:position w:val="0"/>
          <w:szCs w:val="20"/>
          <w:highlight w:val="none"/>
          <w:vertAlign w:val="superscript"/>
        </w:rPr>
        <w:t>2</w:t>
      </w:r>
      <w:r>
        <w:rPr>
          <w:rFonts w:ascii="Times New Roman" w:hAnsi="Times New Roman" w:cs="Times New Roman" w:eastAsiaTheme="minorEastAsia"/>
          <w:bCs/>
          <w:caps w:val="0"/>
          <w:smallCaps w:val="0"/>
          <w:color w:val="auto"/>
          <w:spacing w:val="0"/>
          <w:w w:val="100"/>
          <w:kern w:val="21"/>
          <w:position w:val="0"/>
          <w:szCs w:val="20"/>
          <w:highlight w:val="none"/>
        </w:rPr>
        <w:t>/d，横向弥散系数0.02m</w:t>
      </w:r>
      <w:r>
        <w:rPr>
          <w:rFonts w:ascii="Times New Roman" w:hAnsi="Times New Roman" w:cs="Times New Roman" w:eastAsiaTheme="minorEastAsia"/>
          <w:bCs/>
          <w:caps w:val="0"/>
          <w:smallCaps w:val="0"/>
          <w:color w:val="auto"/>
          <w:spacing w:val="0"/>
          <w:w w:val="100"/>
          <w:kern w:val="21"/>
          <w:position w:val="0"/>
          <w:szCs w:val="20"/>
          <w:highlight w:val="none"/>
          <w:vertAlign w:val="superscript"/>
        </w:rPr>
        <w:t>2</w:t>
      </w:r>
      <w:r>
        <w:rPr>
          <w:rFonts w:ascii="Times New Roman" w:hAnsi="Times New Roman" w:cs="Times New Roman" w:eastAsiaTheme="minorEastAsia"/>
          <w:bCs/>
          <w:caps w:val="0"/>
          <w:smallCaps w:val="0"/>
          <w:color w:val="auto"/>
          <w:spacing w:val="0"/>
          <w:w w:val="100"/>
          <w:kern w:val="21"/>
          <w:position w:val="0"/>
          <w:szCs w:val="20"/>
          <w:highlight w:val="none"/>
        </w:rPr>
        <w:t>/d。</w:t>
      </w:r>
    </w:p>
    <w:p w14:paraId="25F53CAC">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eastAsiaTheme="minorEastAsia"/>
          <w:bCs/>
          <w:caps w:val="0"/>
          <w:smallCaps w:val="0"/>
          <w:color w:val="auto"/>
          <w:spacing w:val="0"/>
          <w:w w:val="100"/>
          <w:kern w:val="21"/>
          <w:position w:val="0"/>
          <w:szCs w:val="20"/>
          <w:highlight w:val="none"/>
        </w:rPr>
        <w:t>选取地下水石油类≤0.05mg/L（参照《地表水环境质量标准》（GB3838-2002）II类标准执行），石油类最低检出限为</w:t>
      </w:r>
      <w:r>
        <w:rPr>
          <w:rFonts w:hint="eastAsia" w:ascii="Times New Roman" w:hAnsi="Times New Roman" w:cs="Times New Roman" w:eastAsiaTheme="minorEastAsia"/>
          <w:bCs/>
          <w:caps w:val="0"/>
          <w:smallCaps w:val="0"/>
          <w:color w:val="auto"/>
          <w:spacing w:val="0"/>
          <w:w w:val="100"/>
          <w:kern w:val="21"/>
          <w:position w:val="0"/>
          <w:szCs w:val="20"/>
          <w:highlight w:val="none"/>
        </w:rPr>
        <w:t>0</w:t>
      </w:r>
      <w:r>
        <w:rPr>
          <w:rFonts w:ascii="Times New Roman" w:hAnsi="Times New Roman" w:cs="Times New Roman" w:eastAsiaTheme="minorEastAsia"/>
          <w:bCs/>
          <w:caps w:val="0"/>
          <w:smallCaps w:val="0"/>
          <w:color w:val="auto"/>
          <w:spacing w:val="0"/>
          <w:w w:val="100"/>
          <w:kern w:val="21"/>
          <w:position w:val="0"/>
          <w:szCs w:val="20"/>
          <w:highlight w:val="none"/>
        </w:rPr>
        <w:t>.01mg/L，化学反应常数为0。</w:t>
      </w:r>
    </w:p>
    <w:p w14:paraId="54A4E6F7">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⑤</w:t>
      </w:r>
      <w:r>
        <w:rPr>
          <w:rFonts w:ascii="Times New Roman" w:hAnsi="Times New Roman" w:cs="Times New Roman"/>
          <w:caps w:val="0"/>
          <w:smallCaps w:val="0"/>
          <w:color w:val="auto"/>
          <w:spacing w:val="0"/>
          <w:w w:val="100"/>
          <w:kern w:val="2"/>
          <w:position w:val="0"/>
          <w:szCs w:val="20"/>
          <w:highlight w:val="none"/>
        </w:rPr>
        <w:t>预测结果</w:t>
      </w:r>
    </w:p>
    <w:p w14:paraId="69DC4C53">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hint="eastAsia" w:ascii="Times New Roman" w:hAnsi="Times New Roman" w:cs="Times New Roman"/>
          <w:caps w:val="0"/>
          <w:smallCaps w:val="0"/>
          <w:color w:val="auto"/>
          <w:spacing w:val="0"/>
          <w:w w:val="100"/>
          <w:kern w:val="2"/>
          <w:position w:val="0"/>
          <w:szCs w:val="20"/>
          <w:highlight w:val="none"/>
        </w:rPr>
        <w:t>输油</w:t>
      </w:r>
      <w:r>
        <w:rPr>
          <w:rFonts w:ascii="Times New Roman" w:hAnsi="Times New Roman" w:cs="Times New Roman"/>
          <w:caps w:val="0"/>
          <w:smallCaps w:val="0"/>
          <w:color w:val="auto"/>
          <w:spacing w:val="0"/>
          <w:w w:val="100"/>
          <w:kern w:val="2"/>
          <w:position w:val="0"/>
          <w:szCs w:val="20"/>
          <w:highlight w:val="none"/>
        </w:rPr>
        <w:t>管道</w:t>
      </w:r>
      <w:r>
        <w:rPr>
          <w:rFonts w:hint="eastAsia" w:ascii="Times New Roman" w:hAnsi="Times New Roman" w:cs="Times New Roman"/>
          <w:caps w:val="0"/>
          <w:smallCaps w:val="0"/>
          <w:color w:val="auto"/>
          <w:spacing w:val="0"/>
          <w:w w:val="100"/>
          <w:kern w:val="2"/>
          <w:position w:val="0"/>
          <w:szCs w:val="20"/>
          <w:highlight w:val="none"/>
        </w:rPr>
        <w:t>全管径</w:t>
      </w:r>
      <w:r>
        <w:rPr>
          <w:rFonts w:ascii="Times New Roman" w:hAnsi="Times New Roman" w:cs="Times New Roman"/>
          <w:caps w:val="0"/>
          <w:smallCaps w:val="0"/>
          <w:color w:val="auto"/>
          <w:spacing w:val="0"/>
          <w:w w:val="100"/>
          <w:kern w:val="2"/>
          <w:position w:val="0"/>
          <w:szCs w:val="20"/>
          <w:highlight w:val="none"/>
        </w:rPr>
        <w:t>泄漏100d、1000d、5475d对潜水的影响预测结果见表5.3-3、图5.3-4~图5.3-6。</w:t>
      </w:r>
    </w:p>
    <w:p w14:paraId="3A9516AF">
      <w:pPr>
        <w:widowControl w:val="0"/>
        <w:spacing w:line="440" w:lineRule="exact"/>
        <w:ind w:firstLine="482"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b/>
          <w:caps w:val="0"/>
          <w:smallCaps w:val="0"/>
          <w:color w:val="auto"/>
          <w:spacing w:val="0"/>
          <w:w w:val="100"/>
          <w:kern w:val="2"/>
          <w:position w:val="0"/>
          <w:szCs w:val="20"/>
          <w:highlight w:val="none"/>
        </w:rPr>
        <w:t>表5.3-3    输油管道全</w:t>
      </w:r>
      <w:r>
        <w:rPr>
          <w:rFonts w:hint="eastAsia" w:ascii="Times New Roman" w:hAnsi="Times New Roman" w:cs="Times New Roman"/>
          <w:b/>
          <w:caps w:val="0"/>
          <w:smallCaps w:val="0"/>
          <w:color w:val="auto"/>
          <w:spacing w:val="0"/>
          <w:w w:val="100"/>
          <w:kern w:val="2"/>
          <w:position w:val="0"/>
          <w:szCs w:val="20"/>
          <w:highlight w:val="none"/>
        </w:rPr>
        <w:t>管径</w:t>
      </w:r>
      <w:r>
        <w:rPr>
          <w:rFonts w:ascii="Times New Roman" w:hAnsi="Times New Roman" w:cs="Times New Roman"/>
          <w:b/>
          <w:caps w:val="0"/>
          <w:smallCaps w:val="0"/>
          <w:color w:val="auto"/>
          <w:spacing w:val="0"/>
          <w:w w:val="100"/>
          <w:kern w:val="2"/>
          <w:position w:val="0"/>
          <w:szCs w:val="20"/>
          <w:highlight w:val="none"/>
        </w:rPr>
        <w:t>泄漏对潜水的影响预测结果表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8"/>
        <w:gridCol w:w="1118"/>
        <w:gridCol w:w="1815"/>
        <w:gridCol w:w="1702"/>
        <w:gridCol w:w="2385"/>
        <w:gridCol w:w="1349"/>
      </w:tblGrid>
      <w:tr w14:paraId="38BD5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Align w:val="center"/>
          </w:tcPr>
          <w:p w14:paraId="6C936736">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污染物</w:t>
            </w:r>
          </w:p>
        </w:tc>
        <w:tc>
          <w:tcPr>
            <w:tcW w:w="602" w:type="pct"/>
            <w:vAlign w:val="center"/>
          </w:tcPr>
          <w:p w14:paraId="374E3C7B">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预测时间</w:t>
            </w:r>
          </w:p>
        </w:tc>
        <w:tc>
          <w:tcPr>
            <w:tcW w:w="977" w:type="pct"/>
            <w:vAlign w:val="center"/>
          </w:tcPr>
          <w:p w14:paraId="7B12CD54">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超标最远距离</w:t>
            </w:r>
          </w:p>
        </w:tc>
        <w:tc>
          <w:tcPr>
            <w:tcW w:w="916" w:type="pct"/>
            <w:vAlign w:val="center"/>
          </w:tcPr>
          <w:p w14:paraId="54EEDFEA">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超标面积</w:t>
            </w:r>
          </w:p>
        </w:tc>
        <w:tc>
          <w:tcPr>
            <w:tcW w:w="1284" w:type="pct"/>
            <w:vAlign w:val="center"/>
          </w:tcPr>
          <w:p w14:paraId="4EDF53AB">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最远影响距离</w:t>
            </w:r>
          </w:p>
          <w:p w14:paraId="227FAB32">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（最大迁移距离）</w:t>
            </w:r>
          </w:p>
        </w:tc>
        <w:tc>
          <w:tcPr>
            <w:tcW w:w="726" w:type="pct"/>
            <w:vAlign w:val="center"/>
          </w:tcPr>
          <w:p w14:paraId="50A69FAB">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影响面积</w:t>
            </w:r>
          </w:p>
        </w:tc>
      </w:tr>
      <w:tr w14:paraId="74498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restart"/>
            <w:vAlign w:val="center"/>
          </w:tcPr>
          <w:p w14:paraId="7B693F61">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石油类</w:t>
            </w:r>
          </w:p>
        </w:tc>
        <w:tc>
          <w:tcPr>
            <w:tcW w:w="602" w:type="pct"/>
            <w:vAlign w:val="center"/>
          </w:tcPr>
          <w:p w14:paraId="06F86134">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100天</w:t>
            </w:r>
          </w:p>
        </w:tc>
        <w:tc>
          <w:tcPr>
            <w:tcW w:w="977" w:type="pct"/>
            <w:vAlign w:val="center"/>
          </w:tcPr>
          <w:p w14:paraId="13370BAF">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32m</w:t>
            </w:r>
          </w:p>
        </w:tc>
        <w:tc>
          <w:tcPr>
            <w:tcW w:w="916" w:type="pct"/>
            <w:vAlign w:val="center"/>
          </w:tcPr>
          <w:p w14:paraId="0B64D4E1">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847.25m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c>
          <w:tcPr>
            <w:tcW w:w="1284" w:type="pct"/>
            <w:vAlign w:val="center"/>
          </w:tcPr>
          <w:p w14:paraId="5A1AEE37">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34m</w:t>
            </w:r>
          </w:p>
        </w:tc>
        <w:tc>
          <w:tcPr>
            <w:tcW w:w="726" w:type="pct"/>
            <w:vAlign w:val="center"/>
          </w:tcPr>
          <w:p w14:paraId="4532F661">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973.25m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r>
      <w:tr w14:paraId="58C90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416DCA4D">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602" w:type="pct"/>
            <w:vAlign w:val="center"/>
          </w:tcPr>
          <w:p w14:paraId="70D753E2">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1000天</w:t>
            </w:r>
          </w:p>
        </w:tc>
        <w:tc>
          <w:tcPr>
            <w:tcW w:w="977" w:type="pct"/>
            <w:vAlign w:val="center"/>
          </w:tcPr>
          <w:p w14:paraId="0ECEA7D9">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101.8m</w:t>
            </w:r>
          </w:p>
        </w:tc>
        <w:tc>
          <w:tcPr>
            <w:tcW w:w="916" w:type="pct"/>
            <w:vAlign w:val="center"/>
          </w:tcPr>
          <w:p w14:paraId="206623EC">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6639m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c>
          <w:tcPr>
            <w:tcW w:w="1284" w:type="pct"/>
            <w:vAlign w:val="center"/>
          </w:tcPr>
          <w:p w14:paraId="12465603">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109.8m</w:t>
            </w:r>
          </w:p>
        </w:tc>
        <w:tc>
          <w:tcPr>
            <w:tcW w:w="726" w:type="pct"/>
            <w:vAlign w:val="center"/>
          </w:tcPr>
          <w:p w14:paraId="6E3DCB09">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7903m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r>
      <w:tr w14:paraId="5C3BC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170F763E">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602" w:type="pct"/>
            <w:vAlign w:val="center"/>
          </w:tcPr>
          <w:p w14:paraId="228C66EF">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5475天</w:t>
            </w:r>
          </w:p>
        </w:tc>
        <w:tc>
          <w:tcPr>
            <w:tcW w:w="977" w:type="pct"/>
            <w:vAlign w:val="center"/>
          </w:tcPr>
          <w:p w14:paraId="4DA2F2FC">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279.1m</w:t>
            </w:r>
          </w:p>
        </w:tc>
        <w:tc>
          <w:tcPr>
            <w:tcW w:w="916" w:type="pct"/>
            <w:vAlign w:val="center"/>
          </w:tcPr>
          <w:p w14:paraId="1E5140B8">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28924m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c>
          <w:tcPr>
            <w:tcW w:w="1284" w:type="pct"/>
            <w:vAlign w:val="center"/>
          </w:tcPr>
          <w:p w14:paraId="2B20B9BD">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299.1m</w:t>
            </w:r>
          </w:p>
        </w:tc>
        <w:tc>
          <w:tcPr>
            <w:tcW w:w="726" w:type="pct"/>
            <w:vAlign w:val="center"/>
          </w:tcPr>
          <w:p w14:paraId="02990FDC">
            <w:pPr>
              <w:spacing w:line="36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35928m</w:t>
            </w:r>
            <w:r>
              <w:rPr>
                <w:rFonts w:ascii="Times New Roman" w:hAnsi="Times New Roman" w:cs="Times New Roman" w:eastAsiaTheme="minorEastAsia"/>
                <w:caps w:val="0"/>
                <w:smallCaps w:val="0"/>
                <w:color w:val="auto"/>
                <w:spacing w:val="0"/>
                <w:w w:val="100"/>
                <w:kern w:val="2"/>
                <w:position w:val="0"/>
                <w:sz w:val="21"/>
                <w:szCs w:val="21"/>
                <w:highlight w:val="none"/>
                <w:vertAlign w:val="superscript"/>
              </w:rPr>
              <w:t>2</w:t>
            </w:r>
          </w:p>
        </w:tc>
      </w:tr>
    </w:tbl>
    <w:p w14:paraId="36989587">
      <w:pPr>
        <w:pStyle w:val="41"/>
        <w:jc w:val="center"/>
        <w:rPr>
          <w:rFonts w:ascii="Times New Roman" w:hAnsi="Times New Roman" w:eastAsiaTheme="minorEastAsia"/>
          <w:b/>
          <w:caps w:val="0"/>
          <w:smallCaps w:val="0"/>
          <w:color w:val="auto"/>
          <w:spacing w:val="0"/>
          <w:w w:val="100"/>
          <w:position w:val="0"/>
          <w:szCs w:val="24"/>
          <w:highlight w:val="none"/>
        </w:rPr>
      </w:pPr>
      <w:r>
        <w:rPr>
          <w:rFonts w:ascii="Times New Roman" w:hAnsi="Times New Roman" w:eastAsiaTheme="minorEastAsia"/>
          <w:b/>
          <w:caps w:val="0"/>
          <w:smallCaps w:val="0"/>
          <w:color w:val="auto"/>
          <w:spacing w:val="0"/>
          <w:w w:val="100"/>
          <w:position w:val="0"/>
          <w:sz w:val="24"/>
          <w:szCs w:val="24"/>
          <w:highlight w:val="none"/>
        </w:rPr>
        <w:drawing>
          <wp:anchor distT="0" distB="0" distL="114300" distR="114300" simplePos="0" relativeHeight="251662336" behindDoc="0" locked="0" layoutInCell="1" allowOverlap="1">
            <wp:simplePos x="0" y="0"/>
            <wp:positionH relativeFrom="column">
              <wp:posOffset>2044700</wp:posOffset>
            </wp:positionH>
            <wp:positionV relativeFrom="paragraph">
              <wp:posOffset>2066925</wp:posOffset>
            </wp:positionV>
            <wp:extent cx="1254760" cy="1146810"/>
            <wp:effectExtent l="0" t="0" r="0" b="0"/>
            <wp:wrapNone/>
            <wp:docPr id="130447755" name="图片 13044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7755" name="图片 130447755"/>
                    <pic:cNvPicPr>
                      <a:picLocks noChangeAspect="1"/>
                    </pic:cNvPicPr>
                  </pic:nvPicPr>
                  <pic:blipFill>
                    <a:blip r:embed="rId53" cstate="print">
                      <a:clrChange>
                        <a:clrFrom>
                          <a:srgbClr val="FFFFFF"/>
                        </a:clrFrom>
                        <a:clrTo>
                          <a:srgbClr val="FFFFFF">
                            <a:alpha val="0"/>
                          </a:srgbClr>
                        </a:clrTo>
                      </a:clrChange>
                      <a:extLst>
                        <a:ext uri="{28A0092B-C50C-407E-A947-70E740481C1C}">
                          <a14:useLocalDpi xmlns:a14="http://schemas.microsoft.com/office/drawing/2010/main" val="0"/>
                        </a:ext>
                      </a:extLst>
                    </a:blip>
                    <a:srcRect l="12872" t="12043" r="21650" b="16518"/>
                    <a:stretch>
                      <a:fillRect/>
                    </a:stretch>
                  </pic:blipFill>
                  <pic:spPr>
                    <a:xfrm>
                      <a:off x="0" y="0"/>
                      <a:ext cx="1255047" cy="1146810"/>
                    </a:xfrm>
                    <a:prstGeom prst="rect">
                      <a:avLst/>
                    </a:prstGeom>
                    <a:ln>
                      <a:noFill/>
                    </a:ln>
                  </pic:spPr>
                </pic:pic>
              </a:graphicData>
            </a:graphic>
          </wp:anchor>
        </w:drawing>
      </w:r>
      <w:r>
        <w:rPr>
          <w:rFonts w:ascii="Times New Roman" w:hAnsi="Times New Roman" w:eastAsiaTheme="minorEastAsia"/>
          <w:b/>
          <w:caps w:val="0"/>
          <w:smallCaps w:val="0"/>
          <w:color w:val="auto"/>
          <w:spacing w:val="0"/>
          <w:w w:val="100"/>
          <w:position w:val="0"/>
          <w:szCs w:val="24"/>
          <w:highlight w:val="none"/>
        </w:rPr>
        <mc:AlternateContent>
          <mc:Choice Requires="wps">
            <w:drawing>
              <wp:anchor distT="0" distB="0" distL="114300" distR="114300" simplePos="0" relativeHeight="251675648" behindDoc="0" locked="0" layoutInCell="1" allowOverlap="1">
                <wp:simplePos x="0" y="0"/>
                <wp:positionH relativeFrom="column">
                  <wp:posOffset>2608580</wp:posOffset>
                </wp:positionH>
                <wp:positionV relativeFrom="paragraph">
                  <wp:posOffset>2640965</wp:posOffset>
                </wp:positionV>
                <wp:extent cx="45085" cy="45085"/>
                <wp:effectExtent l="0" t="0" r="0" b="0"/>
                <wp:wrapNone/>
                <wp:docPr id="60" name="椭圆 60"/>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flip:y;margin-left:205.4pt;margin-top:207.95pt;height:3.55pt;width:3.55pt;z-index:251675648;v-text-anchor:middle;mso-width-relative:page;mso-height-relative:page;" fillcolor="#00FFFF" filled="t" stroked="f" coordsize="21600,21600" o:gfxdata="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UuHj62QAAAAsBAAAPAAAAAAAAAAEAIAAAACIAAABkcnMvZG93bnJl&#10;di54bWxQSwECFAAUAAAACACHTuJAJSfQfG4CAADXBAAADgAAAAAAAAABACAAAAAoAQAAZHJzL2Uy&#10;b0RvYy54bWxQSwUGAAAAAAYABgBZAQAACAYAAAAA&#10;">
                <v:fill on="t" focussize="0,0"/>
                <v:stroke on="f" weight="1pt" miterlimit="8" joinstyle="miter"/>
                <v:imagedata o:title=""/>
                <o:lock v:ext="edit" aspectratio="f"/>
              </v:shape>
            </w:pict>
          </mc:Fallback>
        </mc:AlternateContent>
      </w:r>
      <w:r>
        <w:rPr>
          <w:rFonts w:ascii="Times New Roman" w:hAnsi="Times New Roman" w:eastAsiaTheme="minorEastAsia"/>
          <w:b/>
          <w:caps w:val="0"/>
          <w:smallCaps w:val="0"/>
          <w:color w:val="auto"/>
          <w:spacing w:val="0"/>
          <w:w w:val="100"/>
          <w:position w:val="0"/>
          <w:szCs w:val="24"/>
          <w:highlight w:val="none"/>
        </w:rPr>
        <mc:AlternateContent>
          <mc:Choice Requires="wps">
            <w:drawing>
              <wp:anchor distT="0" distB="0" distL="114300" distR="114300" simplePos="0" relativeHeight="251676672" behindDoc="0" locked="0" layoutInCell="1" allowOverlap="1">
                <wp:simplePos x="0" y="0"/>
                <wp:positionH relativeFrom="column">
                  <wp:posOffset>2411095</wp:posOffset>
                </wp:positionH>
                <wp:positionV relativeFrom="paragraph">
                  <wp:posOffset>2318385</wp:posOffset>
                </wp:positionV>
                <wp:extent cx="556895" cy="257810"/>
                <wp:effectExtent l="0" t="0" r="0" b="0"/>
                <wp:wrapNone/>
                <wp:docPr id="61" name="矩形 61"/>
                <wp:cNvGraphicFramePr/>
                <a:graphic xmlns:a="http://schemas.openxmlformats.org/drawingml/2006/main">
                  <a:graphicData uri="http://schemas.microsoft.com/office/word/2010/wordprocessingShape">
                    <wps:wsp>
                      <wps:cNvSpPr/>
                      <wps:spPr>
                        <a:xfrm>
                          <a:off x="0" y="0"/>
                          <a:ext cx="556895" cy="2578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E6D1A4">
                            <w:pPr>
                              <w:jc w:val="center"/>
                              <w:rPr>
                                <w:b/>
                                <w:color w:val="00FFFF"/>
                                <w:sz w:val="18"/>
                                <w:szCs w:val="18"/>
                              </w:rPr>
                            </w:pPr>
                            <w:r>
                              <w:rPr>
                                <w:rFonts w:hint="eastAsia"/>
                                <w:b/>
                                <w:color w:val="00FFFF"/>
                                <w:sz w:val="18"/>
                                <w:szCs w:val="18"/>
                              </w:rPr>
                              <w:t>泄漏点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9.85pt;margin-top:182.55pt;height:20.3pt;width:43.85pt;z-index:251676672;v-text-anchor:middle;mso-width-relative:page;mso-height-relative:page;" filled="f" stroked="f" coordsize="21600,21600" o:gfxdata="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SUYyuNkAAAALAQAADwAAAAAAAAABACAAAAAiAAAAZHJzL2Rvd25yZXYueG1sUEsBAhQAFAAA&#10;AAgAh07iQBgAbgNgAgAArgQAAA4AAAAAAAAAAQAgAAAAKAEAAGRycy9lMm9Eb2MueG1sUEsFBgAA&#10;AAAGAAYAWQEAAPoFAAAAAA==&#10;">
                <v:fill on="f" focussize="0,0"/>
                <v:stroke on="f" weight="1pt" miterlimit="8" joinstyle="miter"/>
                <v:imagedata o:title=""/>
                <o:lock v:ext="edit" aspectratio="f"/>
                <v:textbox>
                  <w:txbxContent>
                    <w:p w14:paraId="7BE6D1A4">
                      <w:pPr>
                        <w:jc w:val="center"/>
                        <w:rPr>
                          <w:b/>
                          <w:color w:val="00FFFF"/>
                          <w:sz w:val="18"/>
                          <w:szCs w:val="18"/>
                        </w:rPr>
                      </w:pPr>
                      <w:r>
                        <w:rPr>
                          <w:rFonts w:hint="eastAsia"/>
                          <w:b/>
                          <w:color w:val="00FFFF"/>
                          <w:sz w:val="18"/>
                          <w:szCs w:val="18"/>
                        </w:rPr>
                        <w:t>泄漏点</w:t>
                      </w:r>
                    </w:p>
                  </w:txbxContent>
                </v:textbox>
              </v:rect>
            </w:pict>
          </mc:Fallback>
        </mc:AlternateContent>
      </w:r>
      <w:r>
        <w:rPr>
          <w:rFonts w:ascii="Times New Roman" w:hAnsi="Times New Roman" w:eastAsiaTheme="minorEastAsia"/>
          <w:b/>
          <w:caps w:val="0"/>
          <w:smallCaps w:val="0"/>
          <w:color w:val="auto"/>
          <w:spacing w:val="0"/>
          <w:w w:val="100"/>
          <w:position w:val="0"/>
          <w:szCs w:val="24"/>
          <w:highlight w:val="none"/>
        </w:rPr>
        <mc:AlternateContent>
          <mc:Choice Requires="wps">
            <w:drawing>
              <wp:anchor distT="0" distB="0" distL="114300" distR="114300" simplePos="0" relativeHeight="251688960" behindDoc="0" locked="0" layoutInCell="1" allowOverlap="1">
                <wp:simplePos x="0" y="0"/>
                <wp:positionH relativeFrom="column">
                  <wp:posOffset>884555</wp:posOffset>
                </wp:positionH>
                <wp:positionV relativeFrom="paragraph">
                  <wp:posOffset>421640</wp:posOffset>
                </wp:positionV>
                <wp:extent cx="832485" cy="758825"/>
                <wp:effectExtent l="38100" t="0" r="24765" b="60325"/>
                <wp:wrapNone/>
                <wp:docPr id="130447752" name="直接箭头连接符 130447752"/>
                <wp:cNvGraphicFramePr/>
                <a:graphic xmlns:a="http://schemas.openxmlformats.org/drawingml/2006/main">
                  <a:graphicData uri="http://schemas.microsoft.com/office/word/2010/wordprocessingShape">
                    <wps:wsp>
                      <wps:cNvCnPr/>
                      <wps:spPr>
                        <a:xfrm flipH="1">
                          <a:off x="0" y="0"/>
                          <a:ext cx="832485" cy="758825"/>
                        </a:xfrm>
                        <a:prstGeom prst="straightConnector1">
                          <a:avLst/>
                        </a:prstGeom>
                        <a:noFill/>
                        <a:ln w="19050" cap="flat" cmpd="sng" algn="ctr">
                          <a:solidFill>
                            <a:srgbClr val="00FF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69.65pt;margin-top:33.2pt;height:59.75pt;width:65.55pt;z-index:251688960;mso-width-relative:page;mso-height-relative:page;" filled="f" stroked="t" coordsize="21600,21600" o:gfxdata="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n7SgdoAAAAKAQAADwAAAAAAAAABACAAAAAiAAAAZHJzL2Rvd25yZXYueG1sUEsBAhQAFAAAAAgA&#10;h07iQCTUp0sjAgAADgQAAA4AAAAAAAAAAQAgAAAAKQEAAGRycy9lMm9Eb2MueG1sUEsFBgAAAAAG&#10;AAYAWQEAAL4FAAAAAA==&#10;">
                <v:fill on="f" focussize="0,0"/>
                <v:stroke weight="1.5pt" color="#00FF00" miterlimit="8" joinstyle="miter" endarrow="block"/>
                <v:imagedata o:title=""/>
                <o:lock v:ext="edit" aspectratio="f"/>
              </v:shape>
            </w:pict>
          </mc:Fallback>
        </mc:AlternateContent>
      </w:r>
      <w:r>
        <w:rPr>
          <w:rFonts w:ascii="Times New Roman" w:hAnsi="Times New Roman" w:eastAsiaTheme="minorEastAsia"/>
          <w:b/>
          <w:caps w:val="0"/>
          <w:smallCaps w:val="0"/>
          <w:color w:val="auto"/>
          <w:spacing w:val="0"/>
          <w:w w:val="100"/>
          <w:position w:val="0"/>
          <w:szCs w:val="24"/>
          <w:highlight w:val="none"/>
        </w:rPr>
        <mc:AlternateContent>
          <mc:Choice Requires="wps">
            <w:drawing>
              <wp:anchor distT="0" distB="0" distL="114300" distR="114300" simplePos="0" relativeHeight="251687936" behindDoc="0" locked="0" layoutInCell="1" allowOverlap="1">
                <wp:simplePos x="0" y="0"/>
                <wp:positionH relativeFrom="column">
                  <wp:posOffset>1022350</wp:posOffset>
                </wp:positionH>
                <wp:positionV relativeFrom="paragraph">
                  <wp:posOffset>62230</wp:posOffset>
                </wp:positionV>
                <wp:extent cx="307340" cy="1202690"/>
                <wp:effectExtent l="0" t="295275" r="0" b="311785"/>
                <wp:wrapNone/>
                <wp:docPr id="130447751" name="矩形 130447751"/>
                <wp:cNvGraphicFramePr/>
                <a:graphic xmlns:a="http://schemas.openxmlformats.org/drawingml/2006/main">
                  <a:graphicData uri="http://schemas.microsoft.com/office/word/2010/wordprocessingShape">
                    <wps:wsp>
                      <wps:cNvSpPr/>
                      <wps:spPr>
                        <a:xfrm rot="2878324">
                          <a:off x="0" y="0"/>
                          <a:ext cx="307340" cy="1202690"/>
                        </a:xfrm>
                        <a:prstGeom prst="rect">
                          <a:avLst/>
                        </a:prstGeom>
                        <a:noFill/>
                        <a:ln w="12700" cap="flat" cmpd="sng" algn="ctr">
                          <a:noFill/>
                          <a:prstDash val="solid"/>
                          <a:miter lim="800000"/>
                        </a:ln>
                        <a:effectLst/>
                      </wps:spPr>
                      <wps:txbx>
                        <w:txbxContent>
                          <w:p w14:paraId="6A3A1ED6">
                            <w:pPr>
                              <w:jc w:val="center"/>
                              <w:rPr>
                                <w:b/>
                                <w:color w:val="00FF00"/>
                              </w:rPr>
                            </w:pPr>
                            <w:r>
                              <w:rPr>
                                <w:rFonts w:hint="eastAsia"/>
                                <w:b/>
                                <w:color w:val="00FF00"/>
                              </w:rPr>
                              <w:t>地</w:t>
                            </w:r>
                          </w:p>
                          <w:p w14:paraId="222E4DCD">
                            <w:pPr>
                              <w:jc w:val="center"/>
                              <w:rPr>
                                <w:b/>
                                <w:color w:val="00FF00"/>
                              </w:rPr>
                            </w:pPr>
                            <w:r>
                              <w:rPr>
                                <w:rFonts w:hint="eastAsia"/>
                                <w:b/>
                                <w:color w:val="00FF00"/>
                              </w:rPr>
                              <w:t>下</w:t>
                            </w:r>
                          </w:p>
                          <w:p w14:paraId="7CD290DD">
                            <w:pPr>
                              <w:jc w:val="center"/>
                              <w:rPr>
                                <w:b/>
                                <w:color w:val="00FF00"/>
                              </w:rPr>
                            </w:pPr>
                            <w:r>
                              <w:rPr>
                                <w:rFonts w:hint="eastAsia"/>
                                <w:b/>
                                <w:color w:val="00FF00"/>
                              </w:rPr>
                              <w:t>水</w:t>
                            </w:r>
                          </w:p>
                          <w:p w14:paraId="0251509B">
                            <w:pPr>
                              <w:jc w:val="center"/>
                              <w:rPr>
                                <w:b/>
                                <w:color w:val="00FF00"/>
                              </w:rPr>
                            </w:pPr>
                            <w:r>
                              <w:rPr>
                                <w:rFonts w:hint="eastAsia"/>
                                <w:b/>
                                <w:color w:val="00FF00"/>
                              </w:rPr>
                              <w:t>流</w:t>
                            </w:r>
                          </w:p>
                          <w:p w14:paraId="72AD7AD4">
                            <w:pPr>
                              <w:jc w:val="center"/>
                              <w:rPr>
                                <w:b/>
                                <w:color w:val="00FF00"/>
                              </w:rPr>
                            </w:pPr>
                            <w:r>
                              <w:rPr>
                                <w:rFonts w:hint="eastAsia"/>
                                <w:b/>
                                <w:color w:val="00FF00"/>
                              </w:rPr>
                              <w:t>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5pt;margin-top:4.9pt;height:94.7pt;width:24.2pt;rotation:3143897f;z-index:251687936;v-text-anchor:middle;mso-width-relative:page;mso-height-relative:page;" filled="f" stroked="f" coordsize="21600,21600" o:gfxdata="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hXZDA1gAAAAkBAAAPAAAAAAAAAAEAIAAAACIAAABkcnMv&#10;ZG93bnJldi54bWxQSwECFAAUAAAACACHTuJAjIyBFXcCAADZBAAADgAAAAAAAAABACAAAAAlAQAA&#10;ZHJzL2Uyb0RvYy54bWxQSwUGAAAAAAYABgBZAQAADgYAAAAA&#10;">
                <v:fill on="f" focussize="0,0"/>
                <v:stroke on="f" weight="1pt" miterlimit="8" joinstyle="miter"/>
                <v:imagedata o:title=""/>
                <o:lock v:ext="edit" aspectratio="f"/>
                <v:textbox>
                  <w:txbxContent>
                    <w:p w14:paraId="6A3A1ED6">
                      <w:pPr>
                        <w:jc w:val="center"/>
                        <w:rPr>
                          <w:b/>
                          <w:color w:val="00FF00"/>
                        </w:rPr>
                      </w:pPr>
                      <w:r>
                        <w:rPr>
                          <w:rFonts w:hint="eastAsia"/>
                          <w:b/>
                          <w:color w:val="00FF00"/>
                        </w:rPr>
                        <w:t>地</w:t>
                      </w:r>
                    </w:p>
                    <w:p w14:paraId="222E4DCD">
                      <w:pPr>
                        <w:jc w:val="center"/>
                        <w:rPr>
                          <w:b/>
                          <w:color w:val="00FF00"/>
                        </w:rPr>
                      </w:pPr>
                      <w:r>
                        <w:rPr>
                          <w:rFonts w:hint="eastAsia"/>
                          <w:b/>
                          <w:color w:val="00FF00"/>
                        </w:rPr>
                        <w:t>下</w:t>
                      </w:r>
                    </w:p>
                    <w:p w14:paraId="7CD290DD">
                      <w:pPr>
                        <w:jc w:val="center"/>
                        <w:rPr>
                          <w:b/>
                          <w:color w:val="00FF00"/>
                        </w:rPr>
                      </w:pPr>
                      <w:r>
                        <w:rPr>
                          <w:rFonts w:hint="eastAsia"/>
                          <w:b/>
                          <w:color w:val="00FF00"/>
                        </w:rPr>
                        <w:t>水</w:t>
                      </w:r>
                    </w:p>
                    <w:p w14:paraId="0251509B">
                      <w:pPr>
                        <w:jc w:val="center"/>
                        <w:rPr>
                          <w:b/>
                          <w:color w:val="00FF00"/>
                        </w:rPr>
                      </w:pPr>
                      <w:r>
                        <w:rPr>
                          <w:rFonts w:hint="eastAsia"/>
                          <w:b/>
                          <w:color w:val="00FF00"/>
                        </w:rPr>
                        <w:t>流</w:t>
                      </w:r>
                    </w:p>
                    <w:p w14:paraId="72AD7AD4">
                      <w:pPr>
                        <w:jc w:val="center"/>
                        <w:rPr>
                          <w:b/>
                          <w:color w:val="00FF00"/>
                        </w:rPr>
                      </w:pPr>
                      <w:r>
                        <w:rPr>
                          <w:rFonts w:hint="eastAsia"/>
                          <w:b/>
                          <w:color w:val="00FF00"/>
                        </w:rPr>
                        <w:t>向</w:t>
                      </w:r>
                    </w:p>
                  </w:txbxContent>
                </v:textbox>
              </v:rect>
            </w:pict>
          </mc:Fallback>
        </mc:AlternateContent>
      </w:r>
      <w:r>
        <w:rPr>
          <w:rFonts w:ascii="Times New Roman" w:hAnsi="Times New Roman" w:eastAsiaTheme="minorEastAsia"/>
          <w:b/>
          <w:caps w:val="0"/>
          <w:smallCaps w:val="0"/>
          <w:color w:val="auto"/>
          <w:spacing w:val="0"/>
          <w:w w:val="100"/>
          <w:position w:val="0"/>
          <w:szCs w:val="24"/>
          <w:highlight w:val="none"/>
        </w:rPr>
        <w:pict>
          <v:shape id="_x0000_i1028" o:spt="75" type="#_x0000_t75" style="height:317.9pt;width:393.95pt;" filled="f" o:preferrelative="t" stroked="f" coordsize="21600,21600">
            <v:path/>
            <v:fill on="f" focussize="0,0"/>
            <v:stroke on="f" joinstyle="miter"/>
            <v:imagedata r:id="rId46" o:title="地下水预测底图1"/>
            <o:lock v:ext="edit" aspectratio="t"/>
            <w10:wrap type="none"/>
            <w10:anchorlock/>
          </v:shape>
        </w:pict>
      </w:r>
      <w:r>
        <w:rPr>
          <w:rFonts w:ascii="Times New Roman" w:hAnsi="Times New Roman" w:eastAsiaTheme="minorEastAsia"/>
          <w:caps w:val="0"/>
          <w:smallCaps w:val="0"/>
          <w:color w:val="auto"/>
          <w:spacing w:val="0"/>
          <w:w w:val="100"/>
          <w:position w:val="0"/>
          <w:highlight w:val="none"/>
        </w:rPr>
        <mc:AlternateContent>
          <mc:Choice Requires="wpg">
            <w:drawing>
              <wp:anchor distT="0" distB="0" distL="114300" distR="114300" simplePos="0" relativeHeight="251668480" behindDoc="1" locked="0" layoutInCell="1" allowOverlap="1">
                <wp:simplePos x="0" y="0"/>
                <wp:positionH relativeFrom="column">
                  <wp:posOffset>1025525</wp:posOffset>
                </wp:positionH>
                <wp:positionV relativeFrom="paragraph">
                  <wp:posOffset>137795</wp:posOffset>
                </wp:positionV>
                <wp:extent cx="4155440" cy="1962150"/>
                <wp:effectExtent l="1905" t="1270" r="0" b="0"/>
                <wp:wrapNone/>
                <wp:docPr id="130447795" name="组合 130447795"/>
                <wp:cNvGraphicFramePr/>
                <a:graphic xmlns:a="http://schemas.openxmlformats.org/drawingml/2006/main">
                  <a:graphicData uri="http://schemas.microsoft.com/office/word/2010/wordprocessingGroup">
                    <wpg:wgp>
                      <wpg:cNvGrpSpPr/>
                      <wpg:grpSpPr>
                        <a:xfrm>
                          <a:off x="0" y="0"/>
                          <a:ext cx="4155440" cy="1962150"/>
                          <a:chOff x="2735" y="1461"/>
                          <a:chExt cx="6894" cy="3540203"/>
                        </a:xfrm>
                      </wpg:grpSpPr>
                      <pic:pic xmlns:pic="http://schemas.openxmlformats.org/drawingml/2006/picture">
                        <pic:nvPicPr>
                          <pic:cNvPr id="130447796" name="图片 25" descr="C:\Users\Lina\Desktop\1.png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2735" y="1461"/>
                            <a:ext cx="6524" cy="3540"/>
                          </a:xfrm>
                          <a:prstGeom prst="rect">
                            <a:avLst/>
                          </a:prstGeom>
                          <a:noFill/>
                          <a:ln>
                            <a:noFill/>
                          </a:ln>
                        </pic:spPr>
                      </pic:pic>
                      <wps:wsp>
                        <wps:cNvPr id="130447797" name="文本框 26"/>
                        <wps:cNvSpPr txBox="1">
                          <a:spLocks noChangeArrowheads="1"/>
                        </wps:cNvSpPr>
                        <wps:spPr bwMode="auto">
                          <a:xfrm>
                            <a:off x="9319" y="4701"/>
                            <a:ext cx="310" cy="279"/>
                          </a:xfrm>
                          <a:prstGeom prst="rect">
                            <a:avLst/>
                          </a:prstGeom>
                          <a:noFill/>
                          <a:ln>
                            <a:noFill/>
                          </a:ln>
                        </wps:spPr>
                        <wps:txbx>
                          <w:txbxContent>
                            <w:p w14:paraId="3519C997">
                              <w:r>
                                <w:rPr>
                                  <w:rFonts w:hint="eastAsia"/>
                                </w:rPr>
                                <w:t>m</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80.75pt;margin-top:10.85pt;height:154.5pt;width:327.2pt;z-index:-251648000;mso-width-relative:page;mso-height-relative:page;" coordorigin="2735,1461" coordsize="6894,3540203" o:gfxdata="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">
                <o:lock v:ext="edit" aspectratio="f"/>
                <v:shape id="图片 25" o:spid="_x0000_s1026" o:spt="75" alt="C:\Users\Lina\Desktop\1.png1" type="#_x0000_t75" style="position:absolute;left:2735;top:1461;height:3540;width:6524;" filled="f" o:preferrelative="t" stroked="f" coordsize="21600,21600" o:gfxdata="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pwq&#10;GMEAAADiAAAADwAAAAAAAAABACAAAAAiAAAAZHJzL2Rvd25yZXYueG1sUEsBAhQAFAAAAAgAh07i&#10;QDMvBZ47AAAAOQAAABAAAAAAAAAAAQAgAAAAEAEAAGRycy9zaGFwZXhtbC54bWxQSwUGAAAAAAYA&#10;BgBbAQAAugMAAAAA&#10;">
                  <v:fill on="f" focussize="0,0"/>
                  <v:stroke on="f"/>
                  <v:imagedata r:id="rId47" o:title=""/>
                  <o:lock v:ext="edit" aspectratio="t"/>
                </v:shape>
                <v:shape id="文本框 26" o:spid="_x0000_s1026" o:spt="202" type="#_x0000_t202" style="position:absolute;left:9319;top:4701;height:279;width:310;" filled="f" stroked="f" coordsize="21600,21600" o:gfxdata="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bfZ&#10;+s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3519C997">
                        <w:r>
                          <w:rPr>
                            <w:rFonts w:hint="eastAsia"/>
                          </w:rPr>
                          <w:t>m</w:t>
                        </w:r>
                      </w:p>
                    </w:txbxContent>
                  </v:textbox>
                </v:shape>
              </v:group>
            </w:pict>
          </mc:Fallback>
        </mc:AlternateContent>
      </w:r>
    </w:p>
    <w:p w14:paraId="121BAE60">
      <w:pPr>
        <w:pStyle w:val="41"/>
        <w:jc w:val="center"/>
        <w:rPr>
          <w:rFonts w:ascii="Times New Roman" w:hAnsi="Times New Roman" w:eastAsiaTheme="minorEastAsia"/>
          <w:b/>
          <w:caps w:val="0"/>
          <w:smallCaps w:val="0"/>
          <w:color w:val="auto"/>
          <w:spacing w:val="0"/>
          <w:w w:val="100"/>
          <w:position w:val="0"/>
          <w:sz w:val="24"/>
          <w:highlight w:val="none"/>
        </w:rPr>
      </w:pPr>
      <w:r>
        <w:rPr>
          <w:rFonts w:ascii="Times New Roman" w:hAnsi="Times New Roman" w:eastAsiaTheme="minorEastAsia"/>
          <w:b/>
          <w:caps w:val="0"/>
          <w:smallCaps w:val="0"/>
          <w:color w:val="auto"/>
          <w:spacing w:val="0"/>
          <w:w w:val="100"/>
          <w:position w:val="0"/>
          <w:sz w:val="24"/>
          <w:szCs w:val="24"/>
          <w:highlight w:val="none"/>
        </w:rPr>
        <w:t>图5.3-4   输油管道全管径泄漏后100天污染物浓度分布图（污染源点：0，0）</w:t>
      </w:r>
    </w:p>
    <w:p w14:paraId="603C5889">
      <w:pPr>
        <w:jc w:val="center"/>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drawing>
          <wp:anchor distT="0" distB="0" distL="114300" distR="114300" simplePos="0" relativeHeight="251661312" behindDoc="0" locked="0" layoutInCell="1" allowOverlap="1">
            <wp:simplePos x="0" y="0"/>
            <wp:positionH relativeFrom="column">
              <wp:posOffset>1476375</wp:posOffset>
            </wp:positionH>
            <wp:positionV relativeFrom="paragraph">
              <wp:posOffset>1565910</wp:posOffset>
            </wp:positionV>
            <wp:extent cx="2146935" cy="1910715"/>
            <wp:effectExtent l="0" t="0" r="0" b="0"/>
            <wp:wrapNone/>
            <wp:docPr id="130447756" name="图片 13044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7756" name="图片 130447756"/>
                    <pic:cNvPicPr>
                      <a:picLocks noChangeAspect="1"/>
                    </pic:cNvPicPr>
                  </pic:nvPicPr>
                  <pic:blipFill>
                    <a:blip r:embed="rId54">
                      <a:clrChange>
                        <a:clrFrom>
                          <a:srgbClr val="FFFFFF"/>
                        </a:clrFrom>
                        <a:clrTo>
                          <a:srgbClr val="FFFFFF">
                            <a:alpha val="0"/>
                          </a:srgbClr>
                        </a:clrTo>
                      </a:clrChange>
                      <a:extLst>
                        <a:ext uri="{28A0092B-C50C-407E-A947-70E740481C1C}">
                          <a14:useLocalDpi xmlns:a14="http://schemas.microsoft.com/office/drawing/2010/main" val="0"/>
                        </a:ext>
                      </a:extLst>
                    </a:blip>
                    <a:srcRect l="9507" t="17755" r="23956" b="10257"/>
                    <a:stretch>
                      <a:fillRect/>
                    </a:stretch>
                  </pic:blipFill>
                  <pic:spPr>
                    <a:xfrm>
                      <a:off x="0" y="0"/>
                      <a:ext cx="2146935" cy="1910507"/>
                    </a:xfrm>
                    <a:prstGeom prst="rect">
                      <a:avLst/>
                    </a:prstGeom>
                    <a:ln>
                      <a:noFill/>
                    </a:ln>
                  </pic:spPr>
                </pic:pic>
              </a:graphicData>
            </a:graphic>
          </wp:anchor>
        </w:drawing>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78720" behindDoc="0" locked="0" layoutInCell="1" allowOverlap="1">
                <wp:simplePos x="0" y="0"/>
                <wp:positionH relativeFrom="column">
                  <wp:posOffset>2410460</wp:posOffset>
                </wp:positionH>
                <wp:positionV relativeFrom="paragraph">
                  <wp:posOffset>2065655</wp:posOffset>
                </wp:positionV>
                <wp:extent cx="556895" cy="257810"/>
                <wp:effectExtent l="0" t="0" r="0" b="0"/>
                <wp:wrapNone/>
                <wp:docPr id="130447744" name="矩形 130447744"/>
                <wp:cNvGraphicFramePr/>
                <a:graphic xmlns:a="http://schemas.openxmlformats.org/drawingml/2006/main">
                  <a:graphicData uri="http://schemas.microsoft.com/office/word/2010/wordprocessingShape">
                    <wps:wsp>
                      <wps:cNvSpPr/>
                      <wps:spPr>
                        <a:xfrm>
                          <a:off x="0" y="0"/>
                          <a:ext cx="556895" cy="2578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06CD5D">
                            <w:pPr>
                              <w:jc w:val="center"/>
                              <w:rPr>
                                <w:b/>
                                <w:color w:val="00FFFF"/>
                                <w:sz w:val="18"/>
                                <w:szCs w:val="18"/>
                              </w:rPr>
                            </w:pPr>
                            <w:r>
                              <w:rPr>
                                <w:rFonts w:hint="eastAsia"/>
                                <w:b/>
                                <w:color w:val="00FFFF"/>
                                <w:sz w:val="18"/>
                                <w:szCs w:val="18"/>
                              </w:rPr>
                              <w:t>泄漏点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9.8pt;margin-top:162.65pt;height:20.3pt;width:43.85pt;z-index:251678720;v-text-anchor:middle;mso-width-relative:page;mso-height-relative:page;" filled="f" stroked="f" coordsize="21600,21600" o:gfxdata="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MDr//ZAAAACwEAAA8AAAAAAAAAAQAgAAAAIgAAAGRycy9kb3ducmV2LnhtbFBL&#10;AQIUABQAAAAIAIdO4kA5SrC1ZwIAALwEAAAOAAAAAAAAAAEAIAAAACgBAABkcnMvZTJvRG9jLnht&#10;bFBLBQYAAAAABgAGAFkBAAABBgAAAAA=&#10;">
                <v:fill on="f" focussize="0,0"/>
                <v:stroke on="f" weight="1pt" miterlimit="8" joinstyle="miter"/>
                <v:imagedata o:title=""/>
                <o:lock v:ext="edit" aspectratio="f"/>
                <v:textbox>
                  <w:txbxContent>
                    <w:p w14:paraId="6006CD5D">
                      <w:pPr>
                        <w:jc w:val="center"/>
                        <w:rPr>
                          <w:b/>
                          <w:color w:val="00FFFF"/>
                          <w:sz w:val="18"/>
                          <w:szCs w:val="18"/>
                        </w:rPr>
                      </w:pPr>
                      <w:r>
                        <w:rPr>
                          <w:rFonts w:hint="eastAsia"/>
                          <w:b/>
                          <w:color w:val="00FFFF"/>
                          <w:sz w:val="18"/>
                          <w:szCs w:val="18"/>
                        </w:rPr>
                        <w:t>泄漏点</w:t>
                      </w:r>
                    </w:p>
                  </w:txbxContent>
                </v:textbox>
              </v:rect>
            </w:pict>
          </mc:Fallback>
        </mc:AlternateConten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77696" behindDoc="0" locked="0" layoutInCell="1" allowOverlap="1">
                <wp:simplePos x="0" y="0"/>
                <wp:positionH relativeFrom="column">
                  <wp:posOffset>2554605</wp:posOffset>
                </wp:positionH>
                <wp:positionV relativeFrom="paragraph">
                  <wp:posOffset>2369185</wp:posOffset>
                </wp:positionV>
                <wp:extent cx="45085" cy="45085"/>
                <wp:effectExtent l="0" t="0" r="0" b="0"/>
                <wp:wrapNone/>
                <wp:docPr id="62" name="椭圆 62"/>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flip:y;margin-left:201.15pt;margin-top:186.55pt;height:3.55pt;width:3.55pt;z-index:251677696;v-text-anchor:middle;mso-width-relative:page;mso-height-relative:page;" fillcolor="#00FFFF" filled="t" stroked="f" coordsize="21600,21600" o:gfxdata="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NSFq2wAAAAsBAAAPAAAAAAAAAAEAIAAAACIAAABkcnMvZG93&#10;bnJldi54bWxQSwECFAAUAAAACACHTuJA2ELahW8CAADXBAAADgAAAAAAAAABACAAAAAqAQAAZHJz&#10;L2Uyb0RvYy54bWxQSwUGAAAAAAYABgBZAQAACwYAAAAA&#10;">
                <v:fill on="t" focussize="0,0"/>
                <v:stroke on="f" weight="1pt" miterlimit="8" joinstyle="miter"/>
                <v:imagedata o:title=""/>
                <o:lock v:ext="edit" aspectratio="f"/>
              </v:shape>
            </w:pict>
          </mc:Fallback>
        </mc:AlternateContent>
      </w:r>
      <w:r>
        <w:rPr>
          <w:rFonts w:ascii="Times New Roman" w:hAnsi="Times New Roman" w:cs="Times New Roman" w:eastAsiaTheme="minorEastAsia"/>
          <w:caps w:val="0"/>
          <w:smallCaps w:val="0"/>
          <w:color w:val="auto"/>
          <w:spacing w:val="0"/>
          <w:w w:val="100"/>
          <w:position w:val="0"/>
          <w:highlight w:val="none"/>
        </w:rPr>
        <w:pict>
          <v:shape id="_x0000_i1029" o:spt="75" type="#_x0000_t75" style="height:342.35pt;width:388.55pt;" filled="f" o:preferrelative="t" stroked="f" coordsize="21600,21600">
            <v:path/>
            <v:fill on="f" focussize="0,0"/>
            <v:stroke on="f" joinstyle="miter"/>
            <v:imagedata r:id="rId49" o:title="地下水预测底图2"/>
            <o:lock v:ext="edit" aspectratio="t"/>
            <w10:wrap type="none"/>
            <w10:anchorlock/>
          </v:shape>
        </w:pic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91008" behindDoc="0" locked="0" layoutInCell="1" allowOverlap="1">
                <wp:simplePos x="0" y="0"/>
                <wp:positionH relativeFrom="column">
                  <wp:posOffset>688340</wp:posOffset>
                </wp:positionH>
                <wp:positionV relativeFrom="paragraph">
                  <wp:posOffset>617855</wp:posOffset>
                </wp:positionV>
                <wp:extent cx="832485" cy="758825"/>
                <wp:effectExtent l="38100" t="0" r="24765" b="60325"/>
                <wp:wrapNone/>
                <wp:docPr id="130447754" name="直接箭头连接符 130447754"/>
                <wp:cNvGraphicFramePr/>
                <a:graphic xmlns:a="http://schemas.openxmlformats.org/drawingml/2006/main">
                  <a:graphicData uri="http://schemas.microsoft.com/office/word/2010/wordprocessingShape">
                    <wps:wsp>
                      <wps:cNvCnPr/>
                      <wps:spPr>
                        <a:xfrm flipH="1">
                          <a:off x="0" y="0"/>
                          <a:ext cx="832485" cy="758825"/>
                        </a:xfrm>
                        <a:prstGeom prst="straightConnector1">
                          <a:avLst/>
                        </a:prstGeom>
                        <a:noFill/>
                        <a:ln w="19050" cap="flat" cmpd="sng" algn="ctr">
                          <a:solidFill>
                            <a:srgbClr val="00FF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54.2pt;margin-top:48.65pt;height:59.75pt;width:65.55pt;z-index:251691008;mso-width-relative:page;mso-height-relative:page;" filled="f" stroked="t" coordsize="21600,21600" o:gfxdata="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JV3JzdoAAAAKAQAADwAAAAAAAAABACAAAAAiAAAAZHJzL2Rvd25yZXYueG1sUEsBAhQAFAAAAAgA&#10;h07iQI4efaUjAgAADgQAAA4AAAAAAAAAAQAgAAAAKQEAAGRycy9lMm9Eb2MueG1sUEsFBgAAAAAG&#10;AAYAWQEAAL4FAAAAAA==&#10;">
                <v:fill on="f" focussize="0,0"/>
                <v:stroke weight="1.5pt" color="#00FF00" miterlimit="8" joinstyle="miter" endarrow="block"/>
                <v:imagedata o:title=""/>
                <o:lock v:ext="edit" aspectratio="f"/>
              </v:shape>
            </w:pict>
          </mc:Fallback>
        </mc:AlternateConten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89984" behindDoc="0" locked="0" layoutInCell="1" allowOverlap="1">
                <wp:simplePos x="0" y="0"/>
                <wp:positionH relativeFrom="column">
                  <wp:posOffset>878840</wp:posOffset>
                </wp:positionH>
                <wp:positionV relativeFrom="paragraph">
                  <wp:posOffset>266065</wp:posOffset>
                </wp:positionV>
                <wp:extent cx="307340" cy="1202690"/>
                <wp:effectExtent l="0" t="295275" r="0" b="311785"/>
                <wp:wrapNone/>
                <wp:docPr id="130447753" name="矩形 130447753"/>
                <wp:cNvGraphicFramePr/>
                <a:graphic xmlns:a="http://schemas.openxmlformats.org/drawingml/2006/main">
                  <a:graphicData uri="http://schemas.microsoft.com/office/word/2010/wordprocessingShape">
                    <wps:wsp>
                      <wps:cNvSpPr/>
                      <wps:spPr>
                        <a:xfrm rot="2878324">
                          <a:off x="0" y="0"/>
                          <a:ext cx="307340" cy="1202690"/>
                        </a:xfrm>
                        <a:prstGeom prst="rect">
                          <a:avLst/>
                        </a:prstGeom>
                        <a:noFill/>
                        <a:ln w="12700" cap="flat" cmpd="sng" algn="ctr">
                          <a:noFill/>
                          <a:prstDash val="solid"/>
                          <a:miter lim="800000"/>
                        </a:ln>
                        <a:effectLst/>
                      </wps:spPr>
                      <wps:txbx>
                        <w:txbxContent>
                          <w:p w14:paraId="75F20172">
                            <w:pPr>
                              <w:jc w:val="center"/>
                              <w:rPr>
                                <w:b/>
                                <w:color w:val="00FF00"/>
                              </w:rPr>
                            </w:pPr>
                            <w:r>
                              <w:rPr>
                                <w:rFonts w:hint="eastAsia"/>
                                <w:b/>
                                <w:color w:val="00FF00"/>
                              </w:rPr>
                              <w:t>地</w:t>
                            </w:r>
                          </w:p>
                          <w:p w14:paraId="6BE9D4D0">
                            <w:pPr>
                              <w:jc w:val="center"/>
                              <w:rPr>
                                <w:b/>
                                <w:color w:val="00FF00"/>
                              </w:rPr>
                            </w:pPr>
                            <w:r>
                              <w:rPr>
                                <w:rFonts w:hint="eastAsia"/>
                                <w:b/>
                                <w:color w:val="00FF00"/>
                              </w:rPr>
                              <w:t>下</w:t>
                            </w:r>
                          </w:p>
                          <w:p w14:paraId="337229DD">
                            <w:pPr>
                              <w:jc w:val="center"/>
                              <w:rPr>
                                <w:b/>
                                <w:color w:val="00FF00"/>
                              </w:rPr>
                            </w:pPr>
                            <w:r>
                              <w:rPr>
                                <w:rFonts w:hint="eastAsia"/>
                                <w:b/>
                                <w:color w:val="00FF00"/>
                              </w:rPr>
                              <w:t>水</w:t>
                            </w:r>
                          </w:p>
                          <w:p w14:paraId="517693BC">
                            <w:pPr>
                              <w:jc w:val="center"/>
                              <w:rPr>
                                <w:b/>
                                <w:color w:val="00FF00"/>
                              </w:rPr>
                            </w:pPr>
                            <w:r>
                              <w:rPr>
                                <w:rFonts w:hint="eastAsia"/>
                                <w:b/>
                                <w:color w:val="00FF00"/>
                              </w:rPr>
                              <w:t>流</w:t>
                            </w:r>
                          </w:p>
                          <w:p w14:paraId="472D26B6">
                            <w:pPr>
                              <w:jc w:val="center"/>
                              <w:rPr>
                                <w:b/>
                                <w:color w:val="00FF00"/>
                              </w:rPr>
                            </w:pPr>
                            <w:r>
                              <w:rPr>
                                <w:rFonts w:hint="eastAsia"/>
                                <w:b/>
                                <w:color w:val="00FF00"/>
                              </w:rPr>
                              <w:t>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9.2pt;margin-top:20.95pt;height:94.7pt;width:24.2pt;rotation:3143897f;z-index:251689984;v-text-anchor:middle;mso-width-relative:page;mso-height-relative:page;" filled="f" stroked="f" coordsize="21600,21600" o:gfxdata="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u/Y9gAAAAKAQAADwAAAAAAAAABACAAAAAiAAAAZHJz&#10;L2Rvd25yZXYueG1sUEsBAhQAFAAAAAgAh07iQJZrNK52AgAA2QQAAA4AAAAAAAAAAQAgAAAAJwEA&#10;AGRycy9lMm9Eb2MueG1sUEsFBgAAAAAGAAYAWQEAAA8GAAAAAA==&#10;">
                <v:fill on="f" focussize="0,0"/>
                <v:stroke on="f" weight="1pt" miterlimit="8" joinstyle="miter"/>
                <v:imagedata o:title=""/>
                <o:lock v:ext="edit" aspectratio="f"/>
                <v:textbox>
                  <w:txbxContent>
                    <w:p w14:paraId="75F20172">
                      <w:pPr>
                        <w:jc w:val="center"/>
                        <w:rPr>
                          <w:b/>
                          <w:color w:val="00FF00"/>
                        </w:rPr>
                      </w:pPr>
                      <w:r>
                        <w:rPr>
                          <w:rFonts w:hint="eastAsia"/>
                          <w:b/>
                          <w:color w:val="00FF00"/>
                        </w:rPr>
                        <w:t>地</w:t>
                      </w:r>
                    </w:p>
                    <w:p w14:paraId="6BE9D4D0">
                      <w:pPr>
                        <w:jc w:val="center"/>
                        <w:rPr>
                          <w:b/>
                          <w:color w:val="00FF00"/>
                        </w:rPr>
                      </w:pPr>
                      <w:r>
                        <w:rPr>
                          <w:rFonts w:hint="eastAsia"/>
                          <w:b/>
                          <w:color w:val="00FF00"/>
                        </w:rPr>
                        <w:t>下</w:t>
                      </w:r>
                    </w:p>
                    <w:p w14:paraId="337229DD">
                      <w:pPr>
                        <w:jc w:val="center"/>
                        <w:rPr>
                          <w:b/>
                          <w:color w:val="00FF00"/>
                        </w:rPr>
                      </w:pPr>
                      <w:r>
                        <w:rPr>
                          <w:rFonts w:hint="eastAsia"/>
                          <w:b/>
                          <w:color w:val="00FF00"/>
                        </w:rPr>
                        <w:t>水</w:t>
                      </w:r>
                    </w:p>
                    <w:p w14:paraId="517693BC">
                      <w:pPr>
                        <w:jc w:val="center"/>
                        <w:rPr>
                          <w:b/>
                          <w:color w:val="00FF00"/>
                        </w:rPr>
                      </w:pPr>
                      <w:r>
                        <w:rPr>
                          <w:rFonts w:hint="eastAsia"/>
                          <w:b/>
                          <w:color w:val="00FF00"/>
                        </w:rPr>
                        <w:t>流</w:t>
                      </w:r>
                    </w:p>
                    <w:p w14:paraId="472D26B6">
                      <w:pPr>
                        <w:jc w:val="center"/>
                        <w:rPr>
                          <w:b/>
                          <w:color w:val="00FF00"/>
                        </w:rPr>
                      </w:pPr>
                      <w:r>
                        <w:rPr>
                          <w:rFonts w:hint="eastAsia"/>
                          <w:b/>
                          <w:color w:val="00FF00"/>
                        </w:rPr>
                        <w:t>向</w:t>
                      </w:r>
                    </w:p>
                  </w:txbxContent>
                </v:textbox>
              </v:rect>
            </w:pict>
          </mc:Fallback>
        </mc:AlternateContent>
      </w:r>
    </w:p>
    <w:p w14:paraId="5054953B">
      <w:pPr>
        <w:pStyle w:val="41"/>
        <w:jc w:val="center"/>
        <w:rPr>
          <w:rFonts w:ascii="Times New Roman" w:hAnsi="Times New Roman" w:eastAsiaTheme="minorEastAsia"/>
          <w:b/>
          <w:caps w:val="0"/>
          <w:smallCaps w:val="0"/>
          <w:color w:val="auto"/>
          <w:spacing w:val="0"/>
          <w:w w:val="100"/>
          <w:position w:val="0"/>
          <w:sz w:val="24"/>
          <w:szCs w:val="24"/>
          <w:highlight w:val="none"/>
        </w:rPr>
      </w:pPr>
      <w:r>
        <w:rPr>
          <w:rFonts w:ascii="Times New Roman" w:hAnsi="Times New Roman" w:eastAsiaTheme="minorEastAsia"/>
          <w:b/>
          <w:caps w:val="0"/>
          <w:smallCaps w:val="0"/>
          <w:color w:val="auto"/>
          <w:spacing w:val="0"/>
          <w:w w:val="100"/>
          <w:position w:val="0"/>
          <w:sz w:val="24"/>
          <w:szCs w:val="24"/>
          <w:highlight w:val="none"/>
        </w:rPr>
        <w:t>图5.3-5   输油管道全管径泄漏后1000天污染物浓度分布图（污染源点：0，0）</w:t>
      </w:r>
    </w:p>
    <w:p w14:paraId="2DC25D7E">
      <w:pPr>
        <w:jc w:val="center"/>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93056" behindDoc="0" locked="0" layoutInCell="1" allowOverlap="1">
                <wp:simplePos x="0" y="0"/>
                <wp:positionH relativeFrom="column">
                  <wp:posOffset>1271905</wp:posOffset>
                </wp:positionH>
                <wp:positionV relativeFrom="paragraph">
                  <wp:posOffset>938530</wp:posOffset>
                </wp:positionV>
                <wp:extent cx="832485" cy="758825"/>
                <wp:effectExtent l="38100" t="0" r="24765" b="60325"/>
                <wp:wrapNone/>
                <wp:docPr id="130447759" name="直接箭头连接符 130447759"/>
                <wp:cNvGraphicFramePr/>
                <a:graphic xmlns:a="http://schemas.openxmlformats.org/drawingml/2006/main">
                  <a:graphicData uri="http://schemas.microsoft.com/office/word/2010/wordprocessingShape">
                    <wps:wsp>
                      <wps:cNvCnPr/>
                      <wps:spPr>
                        <a:xfrm flipH="1">
                          <a:off x="0" y="0"/>
                          <a:ext cx="832485" cy="758825"/>
                        </a:xfrm>
                        <a:prstGeom prst="straightConnector1">
                          <a:avLst/>
                        </a:prstGeom>
                        <a:noFill/>
                        <a:ln w="19050" cap="flat" cmpd="sng" algn="ctr">
                          <a:solidFill>
                            <a:srgbClr val="00FF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100.15pt;margin-top:73.9pt;height:59.75pt;width:65.55pt;z-index:251693056;mso-width-relative:page;mso-height-relative:page;" filled="f" stroked="t" coordsize="21600,21600" o:gfxdata="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d&#10;IjQJ2QAAAAsBAAAPAAAAAAAAAAEAIAAAACIAAABkcnMvZG93bnJldi54bWxQSwECFAAUAAAACACH&#10;TuJAl6xNOCMCAAAOBAAADgAAAAAAAAABACAAAAAoAQAAZHJzL2Uyb0RvYy54bWxQSwUGAAAAAAYA&#10;BgBZAQAAvQUAAAAA&#10;">
                <v:fill on="f" focussize="0,0"/>
                <v:stroke weight="1.5pt" color="#00FF00" miterlimit="8" joinstyle="miter" endarrow="block"/>
                <v:imagedata o:title=""/>
                <o:lock v:ext="edit" aspectratio="f"/>
              </v:shape>
            </w:pict>
          </mc:Fallback>
        </mc:AlternateConten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92032" behindDoc="0" locked="0" layoutInCell="1" allowOverlap="1">
                <wp:simplePos x="0" y="0"/>
                <wp:positionH relativeFrom="column">
                  <wp:posOffset>1397635</wp:posOffset>
                </wp:positionH>
                <wp:positionV relativeFrom="paragraph">
                  <wp:posOffset>579120</wp:posOffset>
                </wp:positionV>
                <wp:extent cx="307340" cy="1202690"/>
                <wp:effectExtent l="0" t="295275" r="0" b="311785"/>
                <wp:wrapNone/>
                <wp:docPr id="130447758" name="矩形 130447758"/>
                <wp:cNvGraphicFramePr/>
                <a:graphic xmlns:a="http://schemas.openxmlformats.org/drawingml/2006/main">
                  <a:graphicData uri="http://schemas.microsoft.com/office/word/2010/wordprocessingShape">
                    <wps:wsp>
                      <wps:cNvSpPr/>
                      <wps:spPr>
                        <a:xfrm rot="2878324">
                          <a:off x="0" y="0"/>
                          <a:ext cx="307340" cy="1202690"/>
                        </a:xfrm>
                        <a:prstGeom prst="rect">
                          <a:avLst/>
                        </a:prstGeom>
                        <a:noFill/>
                        <a:ln w="12700" cap="flat" cmpd="sng" algn="ctr">
                          <a:noFill/>
                          <a:prstDash val="solid"/>
                          <a:miter lim="800000"/>
                        </a:ln>
                        <a:effectLst/>
                      </wps:spPr>
                      <wps:txbx>
                        <w:txbxContent>
                          <w:p w14:paraId="76C74307">
                            <w:pPr>
                              <w:jc w:val="center"/>
                              <w:rPr>
                                <w:b/>
                                <w:color w:val="00FF00"/>
                              </w:rPr>
                            </w:pPr>
                            <w:r>
                              <w:rPr>
                                <w:rFonts w:hint="eastAsia"/>
                                <w:b/>
                                <w:color w:val="00FF00"/>
                              </w:rPr>
                              <w:t>地</w:t>
                            </w:r>
                          </w:p>
                          <w:p w14:paraId="001B82B6">
                            <w:pPr>
                              <w:jc w:val="center"/>
                              <w:rPr>
                                <w:b/>
                                <w:color w:val="00FF00"/>
                              </w:rPr>
                            </w:pPr>
                            <w:r>
                              <w:rPr>
                                <w:rFonts w:hint="eastAsia"/>
                                <w:b/>
                                <w:color w:val="00FF00"/>
                              </w:rPr>
                              <w:t>下</w:t>
                            </w:r>
                          </w:p>
                          <w:p w14:paraId="7A8A13FC">
                            <w:pPr>
                              <w:jc w:val="center"/>
                              <w:rPr>
                                <w:b/>
                                <w:color w:val="00FF00"/>
                              </w:rPr>
                            </w:pPr>
                            <w:r>
                              <w:rPr>
                                <w:rFonts w:hint="eastAsia"/>
                                <w:b/>
                                <w:color w:val="00FF00"/>
                              </w:rPr>
                              <w:t>水</w:t>
                            </w:r>
                          </w:p>
                          <w:p w14:paraId="5088D361">
                            <w:pPr>
                              <w:jc w:val="center"/>
                              <w:rPr>
                                <w:b/>
                                <w:color w:val="00FF00"/>
                              </w:rPr>
                            </w:pPr>
                            <w:r>
                              <w:rPr>
                                <w:rFonts w:hint="eastAsia"/>
                                <w:b/>
                                <w:color w:val="00FF00"/>
                              </w:rPr>
                              <w:t>流</w:t>
                            </w:r>
                          </w:p>
                          <w:p w14:paraId="0CD3329A">
                            <w:pPr>
                              <w:jc w:val="center"/>
                              <w:rPr>
                                <w:b/>
                                <w:color w:val="00FF00"/>
                              </w:rPr>
                            </w:pPr>
                            <w:r>
                              <w:rPr>
                                <w:rFonts w:hint="eastAsia"/>
                                <w:b/>
                                <w:color w:val="00FF00"/>
                              </w:rPr>
                              <w:t>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0.05pt;margin-top:45.6pt;height:94.7pt;width:24.2pt;rotation:3143897f;z-index:251692032;v-text-anchor:middle;mso-width-relative:page;mso-height-relative:page;" filled="f" stroked="f" coordsize="21600,21600" o:gfxdata="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Z8RK5tgAAAAKAQAADwAAAAAAAAABACAAAAAiAAAAZHJz&#10;L2Rvd25yZXYueG1sUEsBAhQAFAAAAAgAh07iQKrpH8t2AgAA2QQAAA4AAAAAAAAAAQAgAAAAJwEA&#10;AGRycy9lMm9Eb2MueG1sUEsFBgAAAAAGAAYAWQEAAA8GAAAAAA==&#10;">
                <v:fill on="f" focussize="0,0"/>
                <v:stroke on="f" weight="1pt" miterlimit="8" joinstyle="miter"/>
                <v:imagedata o:title=""/>
                <o:lock v:ext="edit" aspectratio="f"/>
                <v:textbox>
                  <w:txbxContent>
                    <w:p w14:paraId="76C74307">
                      <w:pPr>
                        <w:jc w:val="center"/>
                        <w:rPr>
                          <w:b/>
                          <w:color w:val="00FF00"/>
                        </w:rPr>
                      </w:pPr>
                      <w:r>
                        <w:rPr>
                          <w:rFonts w:hint="eastAsia"/>
                          <w:b/>
                          <w:color w:val="00FF00"/>
                        </w:rPr>
                        <w:t>地</w:t>
                      </w:r>
                    </w:p>
                    <w:p w14:paraId="001B82B6">
                      <w:pPr>
                        <w:jc w:val="center"/>
                        <w:rPr>
                          <w:b/>
                          <w:color w:val="00FF00"/>
                        </w:rPr>
                      </w:pPr>
                      <w:r>
                        <w:rPr>
                          <w:rFonts w:hint="eastAsia"/>
                          <w:b/>
                          <w:color w:val="00FF00"/>
                        </w:rPr>
                        <w:t>下</w:t>
                      </w:r>
                    </w:p>
                    <w:p w14:paraId="7A8A13FC">
                      <w:pPr>
                        <w:jc w:val="center"/>
                        <w:rPr>
                          <w:b/>
                          <w:color w:val="00FF00"/>
                        </w:rPr>
                      </w:pPr>
                      <w:r>
                        <w:rPr>
                          <w:rFonts w:hint="eastAsia"/>
                          <w:b/>
                          <w:color w:val="00FF00"/>
                        </w:rPr>
                        <w:t>水</w:t>
                      </w:r>
                    </w:p>
                    <w:p w14:paraId="5088D361">
                      <w:pPr>
                        <w:jc w:val="center"/>
                        <w:rPr>
                          <w:b/>
                          <w:color w:val="00FF00"/>
                        </w:rPr>
                      </w:pPr>
                      <w:r>
                        <w:rPr>
                          <w:rFonts w:hint="eastAsia"/>
                          <w:b/>
                          <w:color w:val="00FF00"/>
                        </w:rPr>
                        <w:t>流</w:t>
                      </w:r>
                    </w:p>
                    <w:p w14:paraId="0CD3329A">
                      <w:pPr>
                        <w:jc w:val="center"/>
                        <w:rPr>
                          <w:b/>
                          <w:color w:val="00FF00"/>
                        </w:rPr>
                      </w:pPr>
                      <w:r>
                        <w:rPr>
                          <w:rFonts w:hint="eastAsia"/>
                          <w:b/>
                          <w:color w:val="00FF00"/>
                        </w:rPr>
                        <w:t>向</w:t>
                      </w:r>
                    </w:p>
                  </w:txbxContent>
                </v:textbox>
              </v:rect>
            </w:pict>
          </mc:Fallback>
        </mc:AlternateContent>
      </w:r>
      <w:r>
        <w:rPr>
          <w:rFonts w:ascii="Times New Roman" w:hAnsi="Times New Roman" w:eastAsiaTheme="minorEastAsia"/>
          <w:b/>
          <w:caps w:val="0"/>
          <w:smallCaps w:val="0"/>
          <w:color w:val="auto"/>
          <w:spacing w:val="0"/>
          <w:w w:val="100"/>
          <w:position w:val="0"/>
          <w:highlight w:val="none"/>
        </w:rPr>
        <w:drawing>
          <wp:anchor distT="0" distB="0" distL="114300" distR="114300" simplePos="0" relativeHeight="251660288" behindDoc="0" locked="0" layoutInCell="1" allowOverlap="1">
            <wp:simplePos x="0" y="0"/>
            <wp:positionH relativeFrom="column">
              <wp:posOffset>1281430</wp:posOffset>
            </wp:positionH>
            <wp:positionV relativeFrom="paragraph">
              <wp:posOffset>1799590</wp:posOffset>
            </wp:positionV>
            <wp:extent cx="2265045" cy="1924050"/>
            <wp:effectExtent l="0" t="0" r="0" b="0"/>
            <wp:wrapNone/>
            <wp:docPr id="130447757" name="图片 130447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7757" name="图片 130447757"/>
                    <pic:cNvPicPr>
                      <a:picLocks noChangeAspect="1"/>
                    </pic:cNvPicPr>
                  </pic:nvPicPr>
                  <pic:blipFill>
                    <a:blip r:embed="rId55" cstate="print">
                      <a:clrChange>
                        <a:clrFrom>
                          <a:srgbClr val="FFFFFF"/>
                        </a:clrFrom>
                        <a:clrTo>
                          <a:srgbClr val="FFFFFF">
                            <a:alpha val="0"/>
                          </a:srgbClr>
                        </a:clrTo>
                      </a:clrChange>
                      <a:extLst>
                        <a:ext uri="{28A0092B-C50C-407E-A947-70E740481C1C}">
                          <a14:useLocalDpi xmlns:a14="http://schemas.microsoft.com/office/drawing/2010/main" val="0"/>
                        </a:ext>
                      </a:extLst>
                    </a:blip>
                    <a:srcRect l="13794" t="33649" r="36009" b="15261"/>
                    <a:stretch>
                      <a:fillRect/>
                    </a:stretch>
                  </pic:blipFill>
                  <pic:spPr>
                    <a:xfrm>
                      <a:off x="0" y="0"/>
                      <a:ext cx="2267447" cy="1925910"/>
                    </a:xfrm>
                    <a:prstGeom prst="rect">
                      <a:avLst/>
                    </a:prstGeom>
                    <a:ln>
                      <a:noFill/>
                    </a:ln>
                  </pic:spPr>
                </pic:pic>
              </a:graphicData>
            </a:graphic>
          </wp:anchor>
        </w:drawing>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80768" behindDoc="0" locked="0" layoutInCell="1" allowOverlap="1">
                <wp:simplePos x="0" y="0"/>
                <wp:positionH relativeFrom="column">
                  <wp:posOffset>2436495</wp:posOffset>
                </wp:positionH>
                <wp:positionV relativeFrom="paragraph">
                  <wp:posOffset>2066925</wp:posOffset>
                </wp:positionV>
                <wp:extent cx="556895" cy="257810"/>
                <wp:effectExtent l="0" t="0" r="0" b="0"/>
                <wp:wrapNone/>
                <wp:docPr id="130447746" name="矩形 130447746"/>
                <wp:cNvGraphicFramePr/>
                <a:graphic xmlns:a="http://schemas.openxmlformats.org/drawingml/2006/main">
                  <a:graphicData uri="http://schemas.microsoft.com/office/word/2010/wordprocessingShape">
                    <wps:wsp>
                      <wps:cNvSpPr/>
                      <wps:spPr>
                        <a:xfrm>
                          <a:off x="0" y="0"/>
                          <a:ext cx="556895" cy="2578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3A3DD5">
                            <w:pPr>
                              <w:jc w:val="center"/>
                              <w:rPr>
                                <w:b/>
                                <w:color w:val="00FFFF"/>
                                <w:sz w:val="18"/>
                                <w:szCs w:val="18"/>
                              </w:rPr>
                            </w:pPr>
                            <w:r>
                              <w:rPr>
                                <w:rFonts w:hint="eastAsia"/>
                                <w:b/>
                                <w:color w:val="00FFFF"/>
                                <w:sz w:val="18"/>
                                <w:szCs w:val="18"/>
                              </w:rPr>
                              <w:t>泄漏点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1.85pt;margin-top:162.75pt;height:20.3pt;width:43.85pt;z-index:251680768;v-text-anchor:middle;mso-width-relative:page;mso-height-relative:page;" filled="f" stroked="f" coordsize="21600,21600" o:gfxdata="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jRl5LZAAAACwEAAA8AAAAAAAAAAQAgAAAAIgAAAGRycy9kb3ducmV2LnhtbFBL&#10;AQIUABQAAAAIAIdO4kDyKnENZwIAALwEAAAOAAAAAAAAAAEAIAAAACgBAABkcnMvZTJvRG9jLnht&#10;bFBLBQYAAAAABgAGAFkBAAABBgAAAAA=&#10;">
                <v:fill on="f" focussize="0,0"/>
                <v:stroke on="f" weight="1pt" miterlimit="8" joinstyle="miter"/>
                <v:imagedata o:title=""/>
                <o:lock v:ext="edit" aspectratio="f"/>
                <v:textbox>
                  <w:txbxContent>
                    <w:p w14:paraId="793A3DD5">
                      <w:pPr>
                        <w:jc w:val="center"/>
                        <w:rPr>
                          <w:b/>
                          <w:color w:val="00FFFF"/>
                          <w:sz w:val="18"/>
                          <w:szCs w:val="18"/>
                        </w:rPr>
                      </w:pPr>
                      <w:r>
                        <w:rPr>
                          <w:rFonts w:hint="eastAsia"/>
                          <w:b/>
                          <w:color w:val="00FFFF"/>
                          <w:sz w:val="18"/>
                          <w:szCs w:val="18"/>
                        </w:rPr>
                        <w:t>泄漏点</w:t>
                      </w:r>
                    </w:p>
                  </w:txbxContent>
                </v:textbox>
              </v:rect>
            </w:pict>
          </mc:Fallback>
        </mc:AlternateContent>
      </w:r>
      <w:r>
        <w:rPr>
          <w:rFonts w:ascii="Times New Roman" w:hAnsi="Times New Roman" w:cs="Times New Roman" w:eastAsiaTheme="minorEastAsia"/>
          <w:caps w:val="0"/>
          <w:smallCaps w:val="0"/>
          <w:color w:val="auto"/>
          <w:spacing w:val="0"/>
          <w:w w:val="100"/>
          <w:position w:val="0"/>
          <w:highlight w:val="none"/>
        </w:rPr>
        <mc:AlternateContent>
          <mc:Choice Requires="wps">
            <w:drawing>
              <wp:anchor distT="0" distB="0" distL="114300" distR="114300" simplePos="0" relativeHeight="251679744" behindDoc="0" locked="0" layoutInCell="1" allowOverlap="1">
                <wp:simplePos x="0" y="0"/>
                <wp:positionH relativeFrom="column">
                  <wp:posOffset>2640965</wp:posOffset>
                </wp:positionH>
                <wp:positionV relativeFrom="paragraph">
                  <wp:posOffset>2364105</wp:posOffset>
                </wp:positionV>
                <wp:extent cx="45085" cy="45085"/>
                <wp:effectExtent l="0" t="0" r="0" b="0"/>
                <wp:wrapNone/>
                <wp:docPr id="130447745" name="椭圆 130447745"/>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flip:y;margin-left:207.95pt;margin-top:186.15pt;height:3.55pt;width:3.55pt;z-index:251679744;v-text-anchor:middle;mso-width-relative:page;mso-height-relative:page;" fillcolor="#00FFFF" filled="t" stroked="f" coordsize="21600,21600" o:gfxdata="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&#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8RpN2wAAAAsBAAAPAAAAAAAAAAEAIAAAACIAAABk&#10;cnMvZG93bnJldi54bWxQSwECFAAUAAAACACHTuJAFTv2ZXUCAADlBAAADgAAAAAAAAABACAAAAAq&#10;AQAAZHJzL2Uyb0RvYy54bWxQSwUGAAAAAAYABgBZAQAAEQYAAAAA&#10;">
                <v:fill on="t" focussize="0,0"/>
                <v:stroke on="f" weight="1pt" miterlimit="8" joinstyle="miter"/>
                <v:imagedata o:title=""/>
                <o:lock v:ext="edit" aspectratio="f"/>
              </v:shape>
            </w:pict>
          </mc:Fallback>
        </mc:AlternateContent>
      </w:r>
      <w:r>
        <w:rPr>
          <w:rFonts w:ascii="Times New Roman" w:hAnsi="Times New Roman" w:cs="Times New Roman" w:eastAsiaTheme="minorEastAsia"/>
          <w:caps w:val="0"/>
          <w:smallCaps w:val="0"/>
          <w:color w:val="auto"/>
          <w:spacing w:val="0"/>
          <w:w w:val="100"/>
          <w:position w:val="0"/>
          <w:highlight w:val="none"/>
        </w:rPr>
        <w:pict>
          <v:shape id="_x0000_i1030" o:spt="75" type="#_x0000_t75" style="height:320.6pt;width:387.85pt;" filled="f" o:preferrelative="t" stroked="f" coordsize="21600,21600">
            <v:path/>
            <v:fill on="f" focussize="0,0"/>
            <v:stroke on="f" joinstyle="miter"/>
            <v:imagedata r:id="rId51" o:title="地下水预测底图3"/>
            <o:lock v:ext="edit" aspectratio="t"/>
            <w10:wrap type="none"/>
            <w10:anchorlock/>
          </v:shape>
        </w:pict>
      </w:r>
    </w:p>
    <w:p w14:paraId="72685FE1">
      <w:pPr>
        <w:pStyle w:val="41"/>
        <w:jc w:val="center"/>
        <w:rPr>
          <w:rFonts w:ascii="Times New Roman" w:hAnsi="Times New Roman" w:eastAsiaTheme="minorEastAsia"/>
          <w:b/>
          <w:caps w:val="0"/>
          <w:smallCaps w:val="0"/>
          <w:color w:val="auto"/>
          <w:spacing w:val="0"/>
          <w:w w:val="100"/>
          <w:position w:val="0"/>
          <w:sz w:val="24"/>
          <w:szCs w:val="24"/>
          <w:highlight w:val="none"/>
        </w:rPr>
      </w:pPr>
      <w:r>
        <w:rPr>
          <w:rFonts w:ascii="Times New Roman" w:hAnsi="Times New Roman" w:eastAsiaTheme="minorEastAsia"/>
          <w:b/>
          <w:caps w:val="0"/>
          <w:smallCaps w:val="0"/>
          <w:color w:val="auto"/>
          <w:spacing w:val="0"/>
          <w:w w:val="100"/>
          <w:position w:val="0"/>
          <w:sz w:val="24"/>
          <w:szCs w:val="24"/>
          <w:highlight w:val="none"/>
        </w:rPr>
        <w:t>图5.3-6  输油管道全管径泄漏后5475天污染物浓度分布图（污染源点：0，0）</w:t>
      </w:r>
    </w:p>
    <w:p w14:paraId="690D51D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由预测结果可知，随着时间增加，污染范围有所增加，输油管道</w:t>
      </w:r>
      <w:r>
        <w:rPr>
          <w:rFonts w:hint="eastAsia" w:ascii="Times New Roman" w:hAnsi="Times New Roman" w:cs="Times New Roman"/>
          <w:caps w:val="0"/>
          <w:smallCaps w:val="0"/>
          <w:color w:val="auto"/>
          <w:spacing w:val="0"/>
          <w:w w:val="100"/>
          <w:kern w:val="2"/>
          <w:position w:val="0"/>
          <w:szCs w:val="20"/>
          <w:highlight w:val="none"/>
        </w:rPr>
        <w:t>全管径</w:t>
      </w:r>
      <w:r>
        <w:rPr>
          <w:rFonts w:ascii="Times New Roman" w:hAnsi="Times New Roman" w:cs="Times New Roman"/>
          <w:caps w:val="0"/>
          <w:smallCaps w:val="0"/>
          <w:color w:val="auto"/>
          <w:spacing w:val="0"/>
          <w:w w:val="100"/>
          <w:kern w:val="2"/>
          <w:position w:val="0"/>
          <w:szCs w:val="20"/>
          <w:highlight w:val="none"/>
        </w:rPr>
        <w:t>泄漏100d后，超标距离最远为32m，影响距离最远为下游34；输油管道</w:t>
      </w:r>
      <w:r>
        <w:rPr>
          <w:rFonts w:hint="eastAsia" w:ascii="Times New Roman" w:hAnsi="Times New Roman" w:cs="Times New Roman"/>
          <w:caps w:val="0"/>
          <w:smallCaps w:val="0"/>
          <w:color w:val="auto"/>
          <w:spacing w:val="0"/>
          <w:w w:val="100"/>
          <w:kern w:val="2"/>
          <w:position w:val="0"/>
          <w:szCs w:val="20"/>
          <w:highlight w:val="none"/>
        </w:rPr>
        <w:t>全管径</w:t>
      </w:r>
      <w:r>
        <w:rPr>
          <w:rFonts w:ascii="Times New Roman" w:hAnsi="Times New Roman" w:cs="Times New Roman"/>
          <w:caps w:val="0"/>
          <w:smallCaps w:val="0"/>
          <w:color w:val="auto"/>
          <w:spacing w:val="0"/>
          <w:w w:val="100"/>
          <w:kern w:val="2"/>
          <w:position w:val="0"/>
          <w:szCs w:val="20"/>
          <w:highlight w:val="none"/>
        </w:rPr>
        <w:t>泄漏1000d后，超标距离最远为101.8m，影响距离最远为下游109.8；输油管道</w:t>
      </w:r>
      <w:r>
        <w:rPr>
          <w:rFonts w:hint="eastAsia" w:ascii="Times New Roman" w:hAnsi="Times New Roman" w:cs="Times New Roman"/>
          <w:caps w:val="0"/>
          <w:smallCaps w:val="0"/>
          <w:color w:val="auto"/>
          <w:spacing w:val="0"/>
          <w:w w:val="100"/>
          <w:kern w:val="2"/>
          <w:position w:val="0"/>
          <w:szCs w:val="20"/>
          <w:highlight w:val="none"/>
        </w:rPr>
        <w:t>全管径</w:t>
      </w:r>
      <w:r>
        <w:rPr>
          <w:rFonts w:ascii="Times New Roman" w:hAnsi="Times New Roman" w:cs="Times New Roman"/>
          <w:caps w:val="0"/>
          <w:smallCaps w:val="0"/>
          <w:color w:val="auto"/>
          <w:spacing w:val="0"/>
          <w:w w:val="100"/>
          <w:kern w:val="2"/>
          <w:position w:val="0"/>
          <w:szCs w:val="20"/>
          <w:highlight w:val="none"/>
        </w:rPr>
        <w:t>泄漏5475d后，超标距离最远为279.1m，影响距离最远为下游299.1m。</w:t>
      </w:r>
    </w:p>
    <w:p w14:paraId="22378B35">
      <w:pPr>
        <w:widowControl w:val="0"/>
        <w:spacing w:line="440" w:lineRule="exact"/>
        <w:ind w:firstLine="480" w:firstLineChars="200"/>
        <w:jc w:val="both"/>
        <w:rPr>
          <w:rFonts w:ascii="Times New Roman" w:hAnsi="Times New Roman" w:cs="Times New Roman"/>
          <w:bCs/>
          <w:caps w:val="0"/>
          <w:smallCaps w:val="0"/>
          <w:color w:val="auto"/>
          <w:spacing w:val="0"/>
          <w:w w:val="100"/>
          <w:kern w:val="2"/>
          <w:position w:val="0"/>
          <w:szCs w:val="20"/>
          <w:highlight w:val="none"/>
        </w:rPr>
      </w:pPr>
      <w:r>
        <w:rPr>
          <w:rFonts w:ascii="Times New Roman" w:hAnsi="Times New Roman" w:cs="Times New Roman"/>
          <w:bCs/>
          <w:caps w:val="0"/>
          <w:smallCaps w:val="0"/>
          <w:color w:val="auto"/>
          <w:spacing w:val="0"/>
          <w:w w:val="100"/>
          <w:kern w:val="2"/>
          <w:position w:val="0"/>
          <w:szCs w:val="20"/>
          <w:highlight w:val="none"/>
        </w:rPr>
        <w:t>距离本项目最近的饮用水源井为本项目西南侧3.6km的兴隆堡屯饮用水井，该饮用水井不在管线泄漏影响范围内，因此本项目管线破损泄漏对周边村屯地下水环境的影响较小。本项目管线泄露，可能会对区域内潜水产生影响，为避免管线泄漏对潜水的影响，应采取措施避免管线泄漏，如采用防腐无缝钢管，运行期定期巡线检查等措施，巡线过程中若发现管线泄漏，应及时关闭截断阀，并在泄漏点周围修筑围堤，控制含油污水扩散范围，并对泄漏的管线进行更换，更换完成后及时清理被污染的土壤。采取以上措施后可有效预防管线泄露，事故状态下可有效阻止原油泄漏进入地下水，对潜水的影响较小。</w:t>
      </w:r>
    </w:p>
    <w:p w14:paraId="08D40184">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bookmarkStart w:id="815" w:name="_Toc84929290"/>
      <w:bookmarkStart w:id="816" w:name="_Toc80588313"/>
      <w:bookmarkStart w:id="817" w:name="_Toc83209535"/>
      <w:bookmarkStart w:id="818" w:name="_Toc85640818"/>
      <w:bookmarkStart w:id="819" w:name="_Toc80971435"/>
      <w:bookmarkStart w:id="820" w:name="_Toc76976303"/>
      <w:bookmarkStart w:id="821" w:name="_Toc77067715"/>
      <w:bookmarkStart w:id="822" w:name="_Toc110438534"/>
      <w:bookmarkStart w:id="823" w:name="_Toc78816518"/>
      <w:bookmarkStart w:id="824" w:name="_Toc86141993"/>
      <w:r>
        <w:rPr>
          <w:rFonts w:eastAsiaTheme="minorEastAsia"/>
          <w:b/>
          <w:caps w:val="0"/>
          <w:smallCaps w:val="0"/>
          <w:color w:val="auto"/>
          <w:spacing w:val="0"/>
          <w:w w:val="100"/>
          <w:kern w:val="2"/>
          <w:position w:val="0"/>
          <w:sz w:val="24"/>
          <w:szCs w:val="24"/>
          <w:highlight w:val="none"/>
        </w:rPr>
        <w:t>5.3.3地下水环境影响评价结论</w:t>
      </w:r>
      <w:bookmarkEnd w:id="815"/>
      <w:bookmarkEnd w:id="816"/>
      <w:bookmarkEnd w:id="817"/>
      <w:bookmarkEnd w:id="818"/>
      <w:bookmarkEnd w:id="819"/>
      <w:bookmarkEnd w:id="820"/>
      <w:bookmarkEnd w:id="821"/>
      <w:bookmarkEnd w:id="822"/>
      <w:bookmarkEnd w:id="823"/>
      <w:bookmarkEnd w:id="824"/>
    </w:p>
    <w:p w14:paraId="0BE7C73A">
      <w:pPr>
        <w:widowControl w:val="0"/>
        <w:spacing w:line="500" w:lineRule="exact"/>
        <w:ind w:firstLine="480" w:firstLineChars="200"/>
        <w:jc w:val="both"/>
        <w:rPr>
          <w:rFonts w:ascii="Times New Roman" w:hAnsi="Times New Roman" w:cs="Times New Roman"/>
          <w:caps w:val="0"/>
          <w:smallCaps w:val="0"/>
          <w:color w:val="auto"/>
          <w:spacing w:val="0"/>
          <w:w w:val="100"/>
          <w:kern w:val="2"/>
          <w:position w:val="0"/>
          <w:szCs w:val="20"/>
          <w:highlight w:val="none"/>
        </w:rPr>
      </w:pPr>
      <w:r>
        <w:rPr>
          <w:rFonts w:ascii="Times New Roman" w:hAnsi="Times New Roman" w:cs="Times New Roman"/>
          <w:caps w:val="0"/>
          <w:smallCaps w:val="0"/>
          <w:color w:val="auto"/>
          <w:spacing w:val="0"/>
          <w:w w:val="100"/>
          <w:kern w:val="2"/>
          <w:position w:val="0"/>
          <w:szCs w:val="20"/>
          <w:highlight w:val="none"/>
        </w:rPr>
        <w:t>项目正常工况下不会对地下水环境产生影响。</w:t>
      </w:r>
      <w:r>
        <w:rPr>
          <w:rFonts w:hint="eastAsia" w:ascii="Times New Roman" w:hAnsi="Times New Roman" w:cs="Times New Roman"/>
          <w:caps w:val="0"/>
          <w:smallCaps w:val="0"/>
          <w:color w:val="auto"/>
          <w:spacing w:val="0"/>
          <w:w w:val="100"/>
          <w:kern w:val="2"/>
          <w:position w:val="0"/>
          <w:szCs w:val="20"/>
          <w:highlight w:val="none"/>
        </w:rPr>
        <w:t>非正常</w:t>
      </w:r>
      <w:r>
        <w:rPr>
          <w:rFonts w:ascii="Times New Roman" w:hAnsi="Times New Roman" w:cs="Times New Roman"/>
          <w:caps w:val="0"/>
          <w:smallCaps w:val="0"/>
          <w:color w:val="auto"/>
          <w:spacing w:val="0"/>
          <w:w w:val="100"/>
          <w:kern w:val="2"/>
          <w:position w:val="0"/>
          <w:szCs w:val="20"/>
          <w:highlight w:val="none"/>
        </w:rPr>
        <w:t>状态下地下水影响范围内无地下水饮用水井，且在采取一些列应急措施后，本项目对周边地下水环境的影响较小。</w:t>
      </w:r>
    </w:p>
    <w:p w14:paraId="19E81ACF">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825" w:name="_Toc438822741"/>
      <w:bookmarkStart w:id="826" w:name="_Toc65426004"/>
      <w:bookmarkStart w:id="827" w:name="_Toc219900399"/>
      <w:r>
        <w:rPr>
          <w:rFonts w:ascii="Times New Roman" w:hAnsi="Times New Roman" w:eastAsiaTheme="minorEastAsia"/>
          <w:b/>
          <w:caps w:val="0"/>
          <w:smallCaps w:val="0"/>
          <w:snapToGrid w:val="0"/>
          <w:color w:val="auto"/>
          <w:spacing w:val="0"/>
          <w:w w:val="100"/>
          <w:position w:val="0"/>
          <w:highlight w:val="none"/>
        </w:rPr>
        <w:t>5.4声环境影响</w:t>
      </w:r>
      <w:bookmarkEnd w:id="825"/>
      <w:r>
        <w:rPr>
          <w:rFonts w:ascii="Times New Roman" w:hAnsi="Times New Roman" w:eastAsiaTheme="minorEastAsia"/>
          <w:b/>
          <w:caps w:val="0"/>
          <w:smallCaps w:val="0"/>
          <w:snapToGrid w:val="0"/>
          <w:color w:val="auto"/>
          <w:spacing w:val="0"/>
          <w:w w:val="100"/>
          <w:position w:val="0"/>
          <w:highlight w:val="none"/>
        </w:rPr>
        <w:t>预测与评价</w:t>
      </w:r>
      <w:bookmarkEnd w:id="826"/>
      <w:bookmarkEnd w:id="827"/>
    </w:p>
    <w:p w14:paraId="1D87D130">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bookmarkStart w:id="828" w:name="_Toc80971437"/>
      <w:bookmarkStart w:id="829" w:name="_Toc83209537"/>
      <w:bookmarkStart w:id="830" w:name="_Toc85640820"/>
      <w:bookmarkStart w:id="831" w:name="_Toc84929292"/>
      <w:bookmarkStart w:id="832" w:name="_Toc80588315"/>
      <w:bookmarkStart w:id="833" w:name="_Toc70050242"/>
      <w:bookmarkStart w:id="834" w:name="_Toc77067717"/>
      <w:bookmarkStart w:id="835" w:name="_Toc86141995"/>
      <w:bookmarkStart w:id="836" w:name="_Toc78816520"/>
      <w:bookmarkStart w:id="837" w:name="_Toc67860193"/>
      <w:bookmarkStart w:id="838" w:name="_Toc110438536"/>
      <w:bookmarkStart w:id="839" w:name="_Toc76976305"/>
      <w:r>
        <w:rPr>
          <w:rFonts w:eastAsiaTheme="minorEastAsia"/>
          <w:b/>
          <w:caps w:val="0"/>
          <w:smallCaps w:val="0"/>
          <w:color w:val="auto"/>
          <w:spacing w:val="0"/>
          <w:w w:val="100"/>
          <w:kern w:val="2"/>
          <w:position w:val="0"/>
          <w:sz w:val="24"/>
          <w:szCs w:val="24"/>
          <w:highlight w:val="none"/>
        </w:rPr>
        <w:t>5.4.1施工期</w:t>
      </w:r>
      <w:bookmarkEnd w:id="828"/>
      <w:bookmarkEnd w:id="829"/>
      <w:bookmarkEnd w:id="830"/>
      <w:bookmarkEnd w:id="831"/>
      <w:bookmarkEnd w:id="832"/>
      <w:bookmarkEnd w:id="833"/>
      <w:bookmarkEnd w:id="834"/>
      <w:bookmarkEnd w:id="835"/>
      <w:bookmarkEnd w:id="836"/>
      <w:bookmarkEnd w:id="837"/>
      <w:bookmarkEnd w:id="838"/>
      <w:bookmarkEnd w:id="839"/>
    </w:p>
    <w:p w14:paraId="12A247D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工程施工期噪声主要来源于施工机械噪声和运输车辆噪声。将各种施工机械等近似为点声源，采用最大噪声值，仅考虑距离衰减进行计算，可得到施工期各种机械等在不同距离处的噪声贡献值，采用无指向性点声源几何发散衰减的基本公式。</w:t>
      </w:r>
    </w:p>
    <w:p w14:paraId="267910F5">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无指向性点声源几何发散衰减的基本公式：</w:t>
      </w:r>
    </w:p>
    <w:p w14:paraId="3FF197FC">
      <w:pPr>
        <w:widowControl w:val="0"/>
        <w:spacing w:line="440" w:lineRule="exact"/>
        <w:jc w:val="center"/>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L</w:t>
      </w:r>
      <w:r>
        <w:rPr>
          <w:rFonts w:ascii="Times New Roman" w:hAnsi="Times New Roman" w:cs="Times New Roman"/>
          <w:caps w:val="0"/>
          <w:smallCaps w:val="0"/>
          <w:color w:val="auto"/>
          <w:spacing w:val="0"/>
          <w:w w:val="100"/>
          <w:kern w:val="2"/>
          <w:position w:val="0"/>
          <w:highlight w:val="none"/>
          <w:vertAlign w:val="subscript"/>
        </w:rPr>
        <w:t>P</w:t>
      </w:r>
      <w:r>
        <w:rPr>
          <w:rFonts w:ascii="Times New Roman" w:hAnsi="Times New Roman" w:cs="Times New Roman"/>
          <w:caps w:val="0"/>
          <w:smallCaps w:val="0"/>
          <w:color w:val="auto"/>
          <w:spacing w:val="0"/>
          <w:w w:val="100"/>
          <w:kern w:val="2"/>
          <w:position w:val="0"/>
          <w:highlight w:val="none"/>
        </w:rPr>
        <w:t>(r)= L</w:t>
      </w:r>
      <w:r>
        <w:rPr>
          <w:rFonts w:ascii="Times New Roman" w:hAnsi="Times New Roman" w:cs="Times New Roman"/>
          <w:caps w:val="0"/>
          <w:smallCaps w:val="0"/>
          <w:color w:val="auto"/>
          <w:spacing w:val="0"/>
          <w:w w:val="100"/>
          <w:kern w:val="2"/>
          <w:position w:val="0"/>
          <w:highlight w:val="none"/>
          <w:vertAlign w:val="subscript"/>
        </w:rPr>
        <w:t>P</w:t>
      </w:r>
      <w:r>
        <w:rPr>
          <w:rFonts w:ascii="Times New Roman" w:hAnsi="Times New Roman" w:cs="Times New Roman"/>
          <w:caps w:val="0"/>
          <w:smallCaps w:val="0"/>
          <w:color w:val="auto"/>
          <w:spacing w:val="0"/>
          <w:w w:val="100"/>
          <w:kern w:val="2"/>
          <w:position w:val="0"/>
          <w:highlight w:val="none"/>
        </w:rPr>
        <w:t>(r</w:t>
      </w:r>
      <w:r>
        <w:rPr>
          <w:rFonts w:ascii="Times New Roman" w:hAnsi="Times New Roman" w:cs="Times New Roman"/>
          <w:caps w:val="0"/>
          <w:smallCaps w:val="0"/>
          <w:color w:val="auto"/>
          <w:spacing w:val="0"/>
          <w:w w:val="100"/>
          <w:kern w:val="2"/>
          <w:position w:val="0"/>
          <w:highlight w:val="none"/>
          <w:vertAlign w:val="subscript"/>
        </w:rPr>
        <w:t>0</w:t>
      </w:r>
      <w:r>
        <w:rPr>
          <w:rFonts w:ascii="Times New Roman" w:hAnsi="Times New Roman" w:cs="Times New Roman"/>
          <w:caps w:val="0"/>
          <w:smallCaps w:val="0"/>
          <w:color w:val="auto"/>
          <w:spacing w:val="0"/>
          <w:w w:val="100"/>
          <w:kern w:val="2"/>
          <w:position w:val="0"/>
          <w:highlight w:val="none"/>
        </w:rPr>
        <w:t>)-20lg(r/r</w:t>
      </w:r>
      <w:r>
        <w:rPr>
          <w:rFonts w:ascii="Times New Roman" w:hAnsi="Times New Roman" w:cs="Times New Roman"/>
          <w:caps w:val="0"/>
          <w:smallCaps w:val="0"/>
          <w:color w:val="auto"/>
          <w:spacing w:val="0"/>
          <w:w w:val="100"/>
          <w:kern w:val="2"/>
          <w:position w:val="0"/>
          <w:highlight w:val="none"/>
          <w:vertAlign w:val="subscript"/>
        </w:rPr>
        <w:t>0</w:t>
      </w:r>
      <w:r>
        <w:rPr>
          <w:rFonts w:ascii="Times New Roman" w:hAnsi="Times New Roman" w:cs="Times New Roman"/>
          <w:caps w:val="0"/>
          <w:smallCaps w:val="0"/>
          <w:color w:val="auto"/>
          <w:spacing w:val="0"/>
          <w:w w:val="100"/>
          <w:kern w:val="2"/>
          <w:position w:val="0"/>
          <w:highlight w:val="none"/>
        </w:rPr>
        <w:t>)</w:t>
      </w:r>
    </w:p>
    <w:p w14:paraId="1A914285">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式中：L</w:t>
      </w:r>
      <w:r>
        <w:rPr>
          <w:rFonts w:ascii="Times New Roman" w:hAnsi="Times New Roman" w:cs="Times New Roman"/>
          <w:caps w:val="0"/>
          <w:smallCaps w:val="0"/>
          <w:color w:val="auto"/>
          <w:spacing w:val="0"/>
          <w:w w:val="100"/>
          <w:kern w:val="2"/>
          <w:position w:val="0"/>
          <w:highlight w:val="none"/>
          <w:vertAlign w:val="subscript"/>
        </w:rPr>
        <w:t>P</w:t>
      </w:r>
      <w:r>
        <w:rPr>
          <w:rFonts w:ascii="Times New Roman" w:hAnsi="Times New Roman" w:cs="Times New Roman"/>
          <w:caps w:val="0"/>
          <w:smallCaps w:val="0"/>
          <w:color w:val="auto"/>
          <w:spacing w:val="0"/>
          <w:w w:val="100"/>
          <w:kern w:val="2"/>
          <w:position w:val="0"/>
          <w:highlight w:val="none"/>
        </w:rPr>
        <w:t>(r) ——预测点处声压级，dB；</w:t>
      </w:r>
    </w:p>
    <w:p w14:paraId="4D816265">
      <w:pPr>
        <w:widowControl w:val="0"/>
        <w:spacing w:line="440" w:lineRule="exact"/>
        <w:ind w:firstLine="1200" w:firstLineChars="5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L</w:t>
      </w:r>
      <w:r>
        <w:rPr>
          <w:rFonts w:ascii="Times New Roman" w:hAnsi="Times New Roman" w:cs="Times New Roman"/>
          <w:caps w:val="0"/>
          <w:smallCaps w:val="0"/>
          <w:color w:val="auto"/>
          <w:spacing w:val="0"/>
          <w:w w:val="100"/>
          <w:kern w:val="2"/>
          <w:position w:val="0"/>
          <w:highlight w:val="none"/>
          <w:vertAlign w:val="subscript"/>
        </w:rPr>
        <w:t>P</w:t>
      </w:r>
      <w:r>
        <w:rPr>
          <w:rFonts w:ascii="Times New Roman" w:hAnsi="Times New Roman" w:cs="Times New Roman"/>
          <w:caps w:val="0"/>
          <w:smallCaps w:val="0"/>
          <w:color w:val="auto"/>
          <w:spacing w:val="0"/>
          <w:w w:val="100"/>
          <w:kern w:val="2"/>
          <w:position w:val="0"/>
          <w:highlight w:val="none"/>
        </w:rPr>
        <w:t>(r</w:t>
      </w:r>
      <w:r>
        <w:rPr>
          <w:rFonts w:ascii="Times New Roman" w:hAnsi="Times New Roman" w:cs="Times New Roman"/>
          <w:caps w:val="0"/>
          <w:smallCaps w:val="0"/>
          <w:color w:val="auto"/>
          <w:spacing w:val="0"/>
          <w:w w:val="100"/>
          <w:kern w:val="2"/>
          <w:position w:val="0"/>
          <w:highlight w:val="none"/>
          <w:vertAlign w:val="subscript"/>
        </w:rPr>
        <w:t>0</w:t>
      </w:r>
      <w:r>
        <w:rPr>
          <w:rFonts w:ascii="Times New Roman" w:hAnsi="Times New Roman" w:cs="Times New Roman"/>
          <w:caps w:val="0"/>
          <w:smallCaps w:val="0"/>
          <w:color w:val="auto"/>
          <w:spacing w:val="0"/>
          <w:w w:val="100"/>
          <w:kern w:val="2"/>
          <w:position w:val="0"/>
          <w:highlight w:val="none"/>
        </w:rPr>
        <w:t>) ——参考位置r0处的声压级，dB；</w:t>
      </w:r>
    </w:p>
    <w:p w14:paraId="5029AC44">
      <w:pPr>
        <w:widowControl w:val="0"/>
        <w:spacing w:line="440" w:lineRule="exact"/>
        <w:ind w:firstLine="1200" w:firstLineChars="5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r ——预测点距声源的距离；</w:t>
      </w:r>
    </w:p>
    <w:p w14:paraId="66D3B6B5">
      <w:pPr>
        <w:widowControl w:val="0"/>
        <w:spacing w:line="440" w:lineRule="exact"/>
        <w:ind w:firstLine="1200" w:firstLineChars="5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r</w:t>
      </w:r>
      <w:r>
        <w:rPr>
          <w:rFonts w:ascii="Times New Roman" w:hAnsi="Times New Roman" w:cs="Times New Roman"/>
          <w:caps w:val="0"/>
          <w:smallCaps w:val="0"/>
          <w:color w:val="auto"/>
          <w:spacing w:val="0"/>
          <w:w w:val="100"/>
          <w:kern w:val="2"/>
          <w:position w:val="0"/>
          <w:highlight w:val="none"/>
          <w:vertAlign w:val="subscript"/>
        </w:rPr>
        <w:t>0</w:t>
      </w:r>
      <w:r>
        <w:rPr>
          <w:rFonts w:ascii="Times New Roman" w:hAnsi="Times New Roman" w:cs="Times New Roman"/>
          <w:caps w:val="0"/>
          <w:smallCaps w:val="0"/>
          <w:color w:val="auto"/>
          <w:spacing w:val="0"/>
          <w:w w:val="100"/>
          <w:kern w:val="2"/>
          <w:position w:val="0"/>
          <w:highlight w:val="none"/>
        </w:rPr>
        <w:t>——参考位置距声源的距离。</w:t>
      </w:r>
    </w:p>
    <w:p w14:paraId="76E6934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施工机械噪声衰减结果见表5.4-1。</w:t>
      </w:r>
    </w:p>
    <w:p w14:paraId="33A2519A">
      <w:pPr>
        <w:widowControl w:val="0"/>
        <w:spacing w:line="440" w:lineRule="exact"/>
        <w:ind w:firstLine="482"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表5.4-1    施工期施工机械噪声统计表    单位：dB(A)</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72"/>
        <w:gridCol w:w="1030"/>
        <w:gridCol w:w="875"/>
        <w:gridCol w:w="875"/>
        <w:gridCol w:w="875"/>
        <w:gridCol w:w="905"/>
        <w:gridCol w:w="951"/>
        <w:gridCol w:w="838"/>
        <w:gridCol w:w="966"/>
      </w:tblGrid>
      <w:tr w14:paraId="4A1CF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Merge w:val="restart"/>
            <w:vAlign w:val="center"/>
          </w:tcPr>
          <w:p w14:paraId="0DB2C844">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机械名称</w:t>
            </w:r>
          </w:p>
        </w:tc>
        <w:tc>
          <w:tcPr>
            <w:tcW w:w="3938" w:type="pct"/>
            <w:gridSpan w:val="8"/>
          </w:tcPr>
          <w:p w14:paraId="345F1A34">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离施工点距离不同处的噪声值</w:t>
            </w:r>
          </w:p>
        </w:tc>
      </w:tr>
      <w:tr w14:paraId="675BD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Merge w:val="continue"/>
            <w:vAlign w:val="center"/>
          </w:tcPr>
          <w:p w14:paraId="3354870C">
            <w:pPr>
              <w:pStyle w:val="169"/>
              <w:spacing w:line="320" w:lineRule="exact"/>
              <w:rPr>
                <w:rFonts w:ascii="Times New Roman" w:hAnsi="Times New Roman" w:eastAsiaTheme="minorEastAsia"/>
                <w:caps w:val="0"/>
                <w:smallCaps w:val="0"/>
                <w:color w:val="auto"/>
                <w:spacing w:val="0"/>
                <w:w w:val="100"/>
                <w:position w:val="0"/>
                <w:highlight w:val="none"/>
                <w:lang w:val="en-US"/>
              </w:rPr>
            </w:pPr>
          </w:p>
        </w:tc>
        <w:tc>
          <w:tcPr>
            <w:tcW w:w="555" w:type="pct"/>
            <w:vAlign w:val="center"/>
          </w:tcPr>
          <w:p w14:paraId="7D658F28">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10m</w:t>
            </w:r>
          </w:p>
        </w:tc>
        <w:tc>
          <w:tcPr>
            <w:tcW w:w="471" w:type="pct"/>
          </w:tcPr>
          <w:p w14:paraId="3B9BFD55">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3</w:t>
            </w:r>
            <w:r>
              <w:rPr>
                <w:rFonts w:ascii="Times New Roman" w:hAnsi="Times New Roman" w:eastAsiaTheme="minorEastAsia"/>
                <w:caps w:val="0"/>
                <w:smallCaps w:val="0"/>
                <w:color w:val="auto"/>
                <w:spacing w:val="0"/>
                <w:w w:val="100"/>
                <w:position w:val="0"/>
                <w:highlight w:val="none"/>
                <w:lang w:val="en-US"/>
              </w:rPr>
              <w:t>0m</w:t>
            </w:r>
          </w:p>
        </w:tc>
        <w:tc>
          <w:tcPr>
            <w:tcW w:w="471" w:type="pct"/>
          </w:tcPr>
          <w:p w14:paraId="33E4B628">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40m</w:t>
            </w:r>
          </w:p>
        </w:tc>
        <w:tc>
          <w:tcPr>
            <w:tcW w:w="471" w:type="pct"/>
            <w:vAlign w:val="center"/>
          </w:tcPr>
          <w:p w14:paraId="56248D3E">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50 m</w:t>
            </w:r>
          </w:p>
        </w:tc>
        <w:tc>
          <w:tcPr>
            <w:tcW w:w="487" w:type="pct"/>
            <w:vAlign w:val="center"/>
          </w:tcPr>
          <w:p w14:paraId="72582D13">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100 m</w:t>
            </w:r>
          </w:p>
        </w:tc>
        <w:tc>
          <w:tcPr>
            <w:tcW w:w="512" w:type="pct"/>
            <w:vAlign w:val="center"/>
          </w:tcPr>
          <w:p w14:paraId="03E0FC19">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150 m</w:t>
            </w:r>
          </w:p>
        </w:tc>
        <w:tc>
          <w:tcPr>
            <w:tcW w:w="451" w:type="pct"/>
            <w:vAlign w:val="center"/>
          </w:tcPr>
          <w:p w14:paraId="7714B650">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200 m</w:t>
            </w:r>
          </w:p>
        </w:tc>
        <w:tc>
          <w:tcPr>
            <w:tcW w:w="520" w:type="pct"/>
            <w:vAlign w:val="center"/>
          </w:tcPr>
          <w:p w14:paraId="4B8155F0">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300m</w:t>
            </w:r>
          </w:p>
        </w:tc>
      </w:tr>
      <w:tr w14:paraId="6BDAF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3C3914D4">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snapToGrid w:val="0"/>
                <w:color w:val="auto"/>
                <w:spacing w:val="0"/>
                <w:w w:val="100"/>
                <w:position w:val="0"/>
                <w:highlight w:val="none"/>
              </w:rPr>
              <w:t>挖掘机</w:t>
            </w:r>
          </w:p>
        </w:tc>
        <w:tc>
          <w:tcPr>
            <w:tcW w:w="555" w:type="pct"/>
            <w:vAlign w:val="center"/>
          </w:tcPr>
          <w:p w14:paraId="35D908D7">
            <w:pPr>
              <w:pStyle w:val="1157"/>
              <w:spacing w:line="320" w:lineRule="exact"/>
              <w:ind w:firstLine="0" w:firstLineChars="0"/>
              <w:rPr>
                <w:rFonts w:cs="Times New Roman" w:eastAsiaTheme="minorEastAsia"/>
                <w:b w:val="0"/>
                <w:caps w:val="0"/>
                <w:smallCaps w:val="0"/>
                <w:color w:val="auto"/>
                <w:spacing w:val="0"/>
                <w:w w:val="100"/>
                <w:position w:val="0"/>
                <w:szCs w:val="21"/>
                <w:highlight w:val="none"/>
              </w:rPr>
            </w:pPr>
            <w:r>
              <w:rPr>
                <w:rFonts w:hint="eastAsia" w:cs="Times New Roman" w:eastAsiaTheme="minorEastAsia"/>
                <w:b w:val="0"/>
                <w:caps w:val="0"/>
                <w:smallCaps w:val="0"/>
                <w:color w:val="auto"/>
                <w:spacing w:val="0"/>
                <w:w w:val="100"/>
                <w:position w:val="0"/>
                <w:szCs w:val="21"/>
                <w:highlight w:val="none"/>
              </w:rPr>
              <w:t>8</w:t>
            </w:r>
            <w:r>
              <w:rPr>
                <w:rFonts w:cs="Times New Roman" w:eastAsiaTheme="minorEastAsia"/>
                <w:b w:val="0"/>
                <w:caps w:val="0"/>
                <w:smallCaps w:val="0"/>
                <w:color w:val="auto"/>
                <w:spacing w:val="0"/>
                <w:w w:val="100"/>
                <w:position w:val="0"/>
                <w:szCs w:val="21"/>
                <w:highlight w:val="none"/>
              </w:rPr>
              <w:t>4</w:t>
            </w:r>
          </w:p>
        </w:tc>
        <w:tc>
          <w:tcPr>
            <w:tcW w:w="471" w:type="pct"/>
          </w:tcPr>
          <w:p w14:paraId="4158F7AB">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7</w:t>
            </w:r>
            <w:r>
              <w:rPr>
                <w:rFonts w:ascii="Times New Roman" w:hAnsi="Times New Roman" w:eastAsiaTheme="minorEastAsia"/>
                <w:caps w:val="0"/>
                <w:smallCaps w:val="0"/>
                <w:color w:val="auto"/>
                <w:spacing w:val="0"/>
                <w:w w:val="100"/>
                <w:position w:val="0"/>
                <w:highlight w:val="none"/>
                <w:lang w:val="en-US"/>
              </w:rPr>
              <w:t>4.5</w:t>
            </w:r>
          </w:p>
        </w:tc>
        <w:tc>
          <w:tcPr>
            <w:tcW w:w="471" w:type="pct"/>
          </w:tcPr>
          <w:p w14:paraId="2F0DC0D2">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7</w:t>
            </w:r>
            <w:r>
              <w:rPr>
                <w:rFonts w:ascii="Times New Roman" w:hAnsi="Times New Roman" w:eastAsiaTheme="minorEastAsia"/>
                <w:caps w:val="0"/>
                <w:smallCaps w:val="0"/>
                <w:color w:val="auto"/>
                <w:spacing w:val="0"/>
                <w:w w:val="100"/>
                <w:position w:val="0"/>
                <w:highlight w:val="none"/>
                <w:lang w:val="en-US"/>
              </w:rPr>
              <w:t>2</w:t>
            </w:r>
          </w:p>
        </w:tc>
        <w:tc>
          <w:tcPr>
            <w:tcW w:w="471" w:type="pct"/>
            <w:vAlign w:val="center"/>
          </w:tcPr>
          <w:p w14:paraId="723DBE29">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7</w:t>
            </w:r>
            <w:r>
              <w:rPr>
                <w:rFonts w:ascii="Times New Roman" w:hAnsi="Times New Roman" w:eastAsiaTheme="minorEastAsia"/>
                <w:caps w:val="0"/>
                <w:smallCaps w:val="0"/>
                <w:color w:val="auto"/>
                <w:spacing w:val="0"/>
                <w:w w:val="100"/>
                <w:position w:val="0"/>
                <w:highlight w:val="none"/>
                <w:lang w:val="en-US"/>
              </w:rPr>
              <w:t>0</w:t>
            </w:r>
          </w:p>
        </w:tc>
        <w:tc>
          <w:tcPr>
            <w:tcW w:w="487" w:type="pct"/>
            <w:vAlign w:val="center"/>
          </w:tcPr>
          <w:p w14:paraId="248281CB">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4</w:t>
            </w:r>
          </w:p>
        </w:tc>
        <w:tc>
          <w:tcPr>
            <w:tcW w:w="512" w:type="pct"/>
            <w:vAlign w:val="center"/>
          </w:tcPr>
          <w:p w14:paraId="60F3C8DE">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0.5</w:t>
            </w:r>
          </w:p>
        </w:tc>
        <w:tc>
          <w:tcPr>
            <w:tcW w:w="451" w:type="pct"/>
            <w:vAlign w:val="center"/>
          </w:tcPr>
          <w:p w14:paraId="01E6AE87">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8</w:t>
            </w:r>
          </w:p>
        </w:tc>
        <w:tc>
          <w:tcPr>
            <w:tcW w:w="520" w:type="pct"/>
            <w:vAlign w:val="center"/>
          </w:tcPr>
          <w:p w14:paraId="53EB3C73">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4.5</w:t>
            </w:r>
          </w:p>
        </w:tc>
      </w:tr>
      <w:tr w14:paraId="51588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4F0F6CC4">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snapToGrid w:val="0"/>
                <w:color w:val="auto"/>
                <w:spacing w:val="0"/>
                <w:w w:val="100"/>
                <w:position w:val="0"/>
                <w:highlight w:val="none"/>
              </w:rPr>
              <w:t>推土机</w:t>
            </w:r>
          </w:p>
        </w:tc>
        <w:tc>
          <w:tcPr>
            <w:tcW w:w="555" w:type="pct"/>
            <w:vAlign w:val="center"/>
          </w:tcPr>
          <w:p w14:paraId="37BF5886">
            <w:pPr>
              <w:pStyle w:val="1157"/>
              <w:spacing w:line="320" w:lineRule="exact"/>
              <w:ind w:firstLine="0" w:firstLineChars="0"/>
              <w:rPr>
                <w:rFonts w:cs="Times New Roman" w:eastAsiaTheme="minorEastAsia"/>
                <w:b w:val="0"/>
                <w:caps w:val="0"/>
                <w:smallCaps w:val="0"/>
                <w:color w:val="auto"/>
                <w:spacing w:val="0"/>
                <w:w w:val="100"/>
                <w:position w:val="0"/>
                <w:szCs w:val="21"/>
                <w:highlight w:val="none"/>
              </w:rPr>
            </w:pPr>
            <w:r>
              <w:rPr>
                <w:rFonts w:hint="eastAsia" w:cs="Times New Roman" w:eastAsiaTheme="minorEastAsia"/>
                <w:b w:val="0"/>
                <w:caps w:val="0"/>
                <w:smallCaps w:val="0"/>
                <w:color w:val="auto"/>
                <w:spacing w:val="0"/>
                <w:w w:val="100"/>
                <w:position w:val="0"/>
                <w:szCs w:val="21"/>
                <w:highlight w:val="none"/>
              </w:rPr>
              <w:t>8</w:t>
            </w:r>
            <w:r>
              <w:rPr>
                <w:rFonts w:cs="Times New Roman" w:eastAsiaTheme="minorEastAsia"/>
                <w:b w:val="0"/>
                <w:caps w:val="0"/>
                <w:smallCaps w:val="0"/>
                <w:color w:val="auto"/>
                <w:spacing w:val="0"/>
                <w:w w:val="100"/>
                <w:position w:val="0"/>
                <w:szCs w:val="21"/>
                <w:highlight w:val="none"/>
              </w:rPr>
              <w:t>2</w:t>
            </w:r>
          </w:p>
        </w:tc>
        <w:tc>
          <w:tcPr>
            <w:tcW w:w="471" w:type="pct"/>
          </w:tcPr>
          <w:p w14:paraId="20B82DF7">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7</w:t>
            </w:r>
            <w:r>
              <w:rPr>
                <w:rFonts w:ascii="Times New Roman" w:hAnsi="Times New Roman" w:eastAsiaTheme="minorEastAsia"/>
                <w:caps w:val="0"/>
                <w:smallCaps w:val="0"/>
                <w:color w:val="auto"/>
                <w:spacing w:val="0"/>
                <w:w w:val="100"/>
                <w:position w:val="0"/>
                <w:highlight w:val="none"/>
                <w:lang w:val="en-US"/>
              </w:rPr>
              <w:t>2.5</w:t>
            </w:r>
          </w:p>
        </w:tc>
        <w:tc>
          <w:tcPr>
            <w:tcW w:w="471" w:type="pct"/>
          </w:tcPr>
          <w:p w14:paraId="248952D8">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7</w:t>
            </w:r>
            <w:r>
              <w:rPr>
                <w:rFonts w:ascii="Times New Roman" w:hAnsi="Times New Roman" w:eastAsiaTheme="minorEastAsia"/>
                <w:caps w:val="0"/>
                <w:smallCaps w:val="0"/>
                <w:color w:val="auto"/>
                <w:spacing w:val="0"/>
                <w:w w:val="100"/>
                <w:position w:val="0"/>
                <w:highlight w:val="none"/>
                <w:lang w:val="en-US"/>
              </w:rPr>
              <w:t>0</w:t>
            </w:r>
          </w:p>
        </w:tc>
        <w:tc>
          <w:tcPr>
            <w:tcW w:w="471" w:type="pct"/>
            <w:vAlign w:val="center"/>
          </w:tcPr>
          <w:p w14:paraId="77FA2852">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8</w:t>
            </w:r>
          </w:p>
        </w:tc>
        <w:tc>
          <w:tcPr>
            <w:tcW w:w="487" w:type="pct"/>
            <w:vAlign w:val="center"/>
          </w:tcPr>
          <w:p w14:paraId="28F59DFF">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2</w:t>
            </w:r>
          </w:p>
        </w:tc>
        <w:tc>
          <w:tcPr>
            <w:tcW w:w="512" w:type="pct"/>
            <w:vAlign w:val="center"/>
          </w:tcPr>
          <w:p w14:paraId="06236907">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8.5</w:t>
            </w:r>
          </w:p>
        </w:tc>
        <w:tc>
          <w:tcPr>
            <w:tcW w:w="451" w:type="pct"/>
            <w:vAlign w:val="center"/>
          </w:tcPr>
          <w:p w14:paraId="65A791BB">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6</w:t>
            </w:r>
          </w:p>
        </w:tc>
        <w:tc>
          <w:tcPr>
            <w:tcW w:w="520" w:type="pct"/>
            <w:vAlign w:val="center"/>
          </w:tcPr>
          <w:p w14:paraId="21A7061C">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2.5</w:t>
            </w:r>
          </w:p>
        </w:tc>
      </w:tr>
      <w:tr w14:paraId="5FF8A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5EB2F89D">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rPr>
              <w:t>顶管机</w:t>
            </w:r>
          </w:p>
        </w:tc>
        <w:tc>
          <w:tcPr>
            <w:tcW w:w="555" w:type="pct"/>
            <w:vAlign w:val="center"/>
          </w:tcPr>
          <w:p w14:paraId="370C375F">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85</w:t>
            </w:r>
          </w:p>
        </w:tc>
        <w:tc>
          <w:tcPr>
            <w:tcW w:w="471" w:type="pct"/>
          </w:tcPr>
          <w:p w14:paraId="288E31AC">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7</w:t>
            </w:r>
            <w:r>
              <w:rPr>
                <w:rFonts w:ascii="Times New Roman" w:hAnsi="Times New Roman" w:cs="Times New Roman" w:eastAsiaTheme="minorEastAsia"/>
                <w:caps w:val="0"/>
                <w:smallCaps w:val="0"/>
                <w:color w:val="auto"/>
                <w:spacing w:val="0"/>
                <w:w w:val="100"/>
                <w:kern w:val="2"/>
                <w:position w:val="0"/>
                <w:sz w:val="21"/>
                <w:szCs w:val="21"/>
                <w:highlight w:val="none"/>
              </w:rPr>
              <w:t>5</w:t>
            </w:r>
          </w:p>
        </w:tc>
        <w:tc>
          <w:tcPr>
            <w:tcW w:w="471" w:type="pct"/>
            <w:vAlign w:val="bottom"/>
          </w:tcPr>
          <w:p w14:paraId="2818E3ED">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73</w:t>
            </w:r>
          </w:p>
        </w:tc>
        <w:tc>
          <w:tcPr>
            <w:tcW w:w="471" w:type="pct"/>
            <w:vAlign w:val="bottom"/>
          </w:tcPr>
          <w:p w14:paraId="1BD7C149">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7</w:t>
            </w:r>
            <w:r>
              <w:rPr>
                <w:rFonts w:ascii="Times New Roman" w:hAnsi="Times New Roman" w:cs="Times New Roman" w:eastAsiaTheme="minorEastAsia"/>
                <w:caps w:val="0"/>
                <w:smallCaps w:val="0"/>
                <w:color w:val="auto"/>
                <w:spacing w:val="0"/>
                <w:w w:val="100"/>
                <w:kern w:val="2"/>
                <w:position w:val="0"/>
                <w:sz w:val="21"/>
                <w:szCs w:val="21"/>
                <w:highlight w:val="none"/>
              </w:rPr>
              <w:t>1</w:t>
            </w:r>
          </w:p>
        </w:tc>
        <w:tc>
          <w:tcPr>
            <w:tcW w:w="487" w:type="pct"/>
            <w:vAlign w:val="bottom"/>
          </w:tcPr>
          <w:p w14:paraId="03129A0B">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6</w:t>
            </w:r>
            <w:r>
              <w:rPr>
                <w:rFonts w:ascii="Times New Roman" w:hAnsi="Times New Roman" w:cs="Times New Roman" w:eastAsiaTheme="minorEastAsia"/>
                <w:caps w:val="0"/>
                <w:smallCaps w:val="0"/>
                <w:color w:val="auto"/>
                <w:spacing w:val="0"/>
                <w:w w:val="100"/>
                <w:kern w:val="2"/>
                <w:position w:val="0"/>
                <w:sz w:val="21"/>
                <w:szCs w:val="21"/>
                <w:highlight w:val="none"/>
              </w:rPr>
              <w:t>5</w:t>
            </w:r>
          </w:p>
        </w:tc>
        <w:tc>
          <w:tcPr>
            <w:tcW w:w="512" w:type="pct"/>
            <w:vAlign w:val="bottom"/>
          </w:tcPr>
          <w:p w14:paraId="42C652E0">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6</w:t>
            </w:r>
            <w:r>
              <w:rPr>
                <w:rFonts w:ascii="Times New Roman" w:hAnsi="Times New Roman" w:cs="Times New Roman" w:eastAsiaTheme="minorEastAsia"/>
                <w:caps w:val="0"/>
                <w:smallCaps w:val="0"/>
                <w:color w:val="auto"/>
                <w:spacing w:val="0"/>
                <w:w w:val="100"/>
                <w:kern w:val="2"/>
                <w:position w:val="0"/>
                <w:sz w:val="21"/>
                <w:szCs w:val="21"/>
                <w:highlight w:val="none"/>
              </w:rPr>
              <w:t>1</w:t>
            </w:r>
          </w:p>
        </w:tc>
        <w:tc>
          <w:tcPr>
            <w:tcW w:w="451" w:type="pct"/>
            <w:vAlign w:val="bottom"/>
          </w:tcPr>
          <w:p w14:paraId="06269BC7">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5</w:t>
            </w:r>
            <w:r>
              <w:rPr>
                <w:rFonts w:ascii="Times New Roman" w:hAnsi="Times New Roman" w:cs="Times New Roman" w:eastAsiaTheme="minorEastAsia"/>
                <w:caps w:val="0"/>
                <w:smallCaps w:val="0"/>
                <w:color w:val="auto"/>
                <w:spacing w:val="0"/>
                <w:w w:val="100"/>
                <w:kern w:val="2"/>
                <w:position w:val="0"/>
                <w:sz w:val="21"/>
                <w:szCs w:val="21"/>
                <w:highlight w:val="none"/>
              </w:rPr>
              <w:t>9</w:t>
            </w:r>
          </w:p>
        </w:tc>
        <w:tc>
          <w:tcPr>
            <w:tcW w:w="520" w:type="pct"/>
            <w:vAlign w:val="bottom"/>
          </w:tcPr>
          <w:p w14:paraId="1F1A81FF">
            <w:pPr>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5</w:t>
            </w:r>
            <w:r>
              <w:rPr>
                <w:rFonts w:ascii="Times New Roman" w:hAnsi="Times New Roman" w:cs="Times New Roman" w:eastAsiaTheme="minorEastAsia"/>
                <w:caps w:val="0"/>
                <w:smallCaps w:val="0"/>
                <w:color w:val="auto"/>
                <w:spacing w:val="0"/>
                <w:w w:val="100"/>
                <w:kern w:val="2"/>
                <w:position w:val="0"/>
                <w:sz w:val="21"/>
                <w:szCs w:val="21"/>
                <w:highlight w:val="none"/>
              </w:rPr>
              <w:t>5</w:t>
            </w:r>
          </w:p>
        </w:tc>
      </w:tr>
      <w:tr w14:paraId="3E3AC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5FACC315">
            <w:pPr>
              <w:pStyle w:val="169"/>
              <w:spacing w:line="320" w:lineRule="exact"/>
              <w:rPr>
                <w:rFonts w:ascii="Times New Roman" w:hAnsi="Times New Roman" w:eastAsiaTheme="minorEastAsia"/>
                <w:caps w:val="0"/>
                <w:smallCaps w:val="0"/>
                <w:color w:val="auto"/>
                <w:spacing w:val="0"/>
                <w:w w:val="100"/>
                <w:position w:val="0"/>
                <w:highlight w:val="none"/>
              </w:rPr>
            </w:pPr>
            <w:r>
              <w:rPr>
                <w:rFonts w:ascii="Times New Roman" w:hAnsi="Times New Roman" w:eastAsiaTheme="minorEastAsia"/>
                <w:caps w:val="0"/>
                <w:smallCaps w:val="0"/>
                <w:color w:val="auto"/>
                <w:spacing w:val="0"/>
                <w:w w:val="100"/>
                <w:position w:val="0"/>
                <w:highlight w:val="none"/>
                <w:lang w:val="en-US"/>
              </w:rPr>
              <w:t>吊管机</w:t>
            </w:r>
          </w:p>
        </w:tc>
        <w:tc>
          <w:tcPr>
            <w:tcW w:w="555" w:type="pct"/>
            <w:vAlign w:val="center"/>
          </w:tcPr>
          <w:p w14:paraId="143EE5EF">
            <w:pPr>
              <w:pStyle w:val="169"/>
              <w:spacing w:line="320" w:lineRule="exact"/>
              <w:rPr>
                <w:rFonts w:ascii="Times New Roman" w:hAnsi="Times New Roman" w:eastAsiaTheme="minorEastAsia"/>
                <w:caps w:val="0"/>
                <w:smallCaps w:val="0"/>
                <w:color w:val="auto"/>
                <w:spacing w:val="0"/>
                <w:w w:val="100"/>
                <w:position w:val="0"/>
                <w:highlight w:val="none"/>
              </w:rPr>
            </w:pPr>
            <w:r>
              <w:rPr>
                <w:rFonts w:hint="eastAsia" w:ascii="Times New Roman" w:hAnsi="Times New Roman" w:eastAsiaTheme="minorEastAsia"/>
                <w:caps w:val="0"/>
                <w:smallCaps w:val="0"/>
                <w:color w:val="auto"/>
                <w:spacing w:val="0"/>
                <w:w w:val="100"/>
                <w:position w:val="0"/>
                <w:highlight w:val="none"/>
              </w:rPr>
              <w:t>7</w:t>
            </w:r>
            <w:r>
              <w:rPr>
                <w:rFonts w:ascii="Times New Roman" w:hAnsi="Times New Roman" w:eastAsiaTheme="minorEastAsia"/>
                <w:caps w:val="0"/>
                <w:smallCaps w:val="0"/>
                <w:color w:val="auto"/>
                <w:spacing w:val="0"/>
                <w:w w:val="100"/>
                <w:position w:val="0"/>
                <w:highlight w:val="none"/>
              </w:rPr>
              <w:t>3</w:t>
            </w:r>
          </w:p>
        </w:tc>
        <w:tc>
          <w:tcPr>
            <w:tcW w:w="471" w:type="pct"/>
          </w:tcPr>
          <w:p w14:paraId="40D977D7">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3.5</w:t>
            </w:r>
          </w:p>
        </w:tc>
        <w:tc>
          <w:tcPr>
            <w:tcW w:w="471" w:type="pct"/>
          </w:tcPr>
          <w:p w14:paraId="1B7FC12A">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1</w:t>
            </w:r>
          </w:p>
        </w:tc>
        <w:tc>
          <w:tcPr>
            <w:tcW w:w="471" w:type="pct"/>
            <w:vAlign w:val="center"/>
          </w:tcPr>
          <w:p w14:paraId="02ADB02E">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9</w:t>
            </w:r>
          </w:p>
        </w:tc>
        <w:tc>
          <w:tcPr>
            <w:tcW w:w="487" w:type="pct"/>
            <w:vAlign w:val="center"/>
          </w:tcPr>
          <w:p w14:paraId="1E7F2895">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3</w:t>
            </w:r>
          </w:p>
        </w:tc>
        <w:tc>
          <w:tcPr>
            <w:tcW w:w="512" w:type="pct"/>
            <w:vAlign w:val="center"/>
          </w:tcPr>
          <w:p w14:paraId="2AA91C56">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49.5</w:t>
            </w:r>
          </w:p>
        </w:tc>
        <w:tc>
          <w:tcPr>
            <w:tcW w:w="451" w:type="pct"/>
            <w:vAlign w:val="center"/>
          </w:tcPr>
          <w:p w14:paraId="365A3B21">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4</w:t>
            </w:r>
            <w:r>
              <w:rPr>
                <w:rFonts w:ascii="Times New Roman" w:hAnsi="Times New Roman" w:eastAsiaTheme="minorEastAsia"/>
                <w:caps w:val="0"/>
                <w:smallCaps w:val="0"/>
                <w:color w:val="auto"/>
                <w:spacing w:val="0"/>
                <w:w w:val="100"/>
                <w:position w:val="0"/>
                <w:highlight w:val="none"/>
                <w:lang w:val="en-US"/>
              </w:rPr>
              <w:t>7.0</w:t>
            </w:r>
          </w:p>
        </w:tc>
        <w:tc>
          <w:tcPr>
            <w:tcW w:w="520" w:type="pct"/>
            <w:vAlign w:val="center"/>
          </w:tcPr>
          <w:p w14:paraId="48BF7339">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4</w:t>
            </w:r>
            <w:r>
              <w:rPr>
                <w:rFonts w:ascii="Times New Roman" w:hAnsi="Times New Roman" w:eastAsiaTheme="minorEastAsia"/>
                <w:caps w:val="0"/>
                <w:smallCaps w:val="0"/>
                <w:color w:val="auto"/>
                <w:spacing w:val="0"/>
                <w:w w:val="100"/>
                <w:position w:val="0"/>
                <w:highlight w:val="none"/>
                <w:lang w:val="en-US"/>
              </w:rPr>
              <w:t>3.5</w:t>
            </w:r>
          </w:p>
        </w:tc>
      </w:tr>
      <w:tr w14:paraId="6BB49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4F50EE10">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切割机</w:t>
            </w:r>
          </w:p>
        </w:tc>
        <w:tc>
          <w:tcPr>
            <w:tcW w:w="555" w:type="pct"/>
            <w:vAlign w:val="center"/>
          </w:tcPr>
          <w:p w14:paraId="13CBFC8F">
            <w:pPr>
              <w:pStyle w:val="169"/>
              <w:spacing w:line="320" w:lineRule="exact"/>
              <w:rPr>
                <w:rFonts w:ascii="Times New Roman" w:hAnsi="Times New Roman" w:eastAsiaTheme="minorEastAsia"/>
                <w:caps w:val="0"/>
                <w:smallCaps w:val="0"/>
                <w:color w:val="auto"/>
                <w:spacing w:val="0"/>
                <w:w w:val="100"/>
                <w:position w:val="0"/>
                <w:highlight w:val="none"/>
              </w:rPr>
            </w:pPr>
            <w:r>
              <w:rPr>
                <w:rFonts w:hint="eastAsia" w:ascii="Times New Roman" w:hAnsi="Times New Roman" w:eastAsiaTheme="minorEastAsia"/>
                <w:caps w:val="0"/>
                <w:smallCaps w:val="0"/>
                <w:color w:val="auto"/>
                <w:spacing w:val="0"/>
                <w:w w:val="100"/>
                <w:position w:val="0"/>
                <w:highlight w:val="none"/>
              </w:rPr>
              <w:t>75</w:t>
            </w:r>
          </w:p>
        </w:tc>
        <w:tc>
          <w:tcPr>
            <w:tcW w:w="471" w:type="pct"/>
          </w:tcPr>
          <w:p w14:paraId="55141119">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5.5</w:t>
            </w:r>
          </w:p>
        </w:tc>
        <w:tc>
          <w:tcPr>
            <w:tcW w:w="471" w:type="pct"/>
          </w:tcPr>
          <w:p w14:paraId="5C90C390">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3</w:t>
            </w:r>
          </w:p>
        </w:tc>
        <w:tc>
          <w:tcPr>
            <w:tcW w:w="471" w:type="pct"/>
            <w:vAlign w:val="center"/>
          </w:tcPr>
          <w:p w14:paraId="78A7974E">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1</w:t>
            </w:r>
          </w:p>
        </w:tc>
        <w:tc>
          <w:tcPr>
            <w:tcW w:w="487" w:type="pct"/>
            <w:vAlign w:val="center"/>
          </w:tcPr>
          <w:p w14:paraId="48F81FCF">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5</w:t>
            </w:r>
          </w:p>
        </w:tc>
        <w:tc>
          <w:tcPr>
            <w:tcW w:w="512" w:type="pct"/>
            <w:vAlign w:val="center"/>
          </w:tcPr>
          <w:p w14:paraId="5F85FF67">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1.5</w:t>
            </w:r>
          </w:p>
        </w:tc>
        <w:tc>
          <w:tcPr>
            <w:tcW w:w="451" w:type="pct"/>
            <w:vAlign w:val="center"/>
          </w:tcPr>
          <w:p w14:paraId="40588023">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49</w:t>
            </w:r>
          </w:p>
        </w:tc>
        <w:tc>
          <w:tcPr>
            <w:tcW w:w="520" w:type="pct"/>
            <w:vAlign w:val="center"/>
          </w:tcPr>
          <w:p w14:paraId="4DFB9581">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45</w:t>
            </w:r>
            <w:r>
              <w:rPr>
                <w:rFonts w:ascii="Times New Roman" w:hAnsi="Times New Roman" w:eastAsiaTheme="minorEastAsia"/>
                <w:caps w:val="0"/>
                <w:smallCaps w:val="0"/>
                <w:color w:val="auto"/>
                <w:spacing w:val="0"/>
                <w:w w:val="100"/>
                <w:position w:val="0"/>
                <w:highlight w:val="none"/>
                <w:lang w:val="en-US"/>
              </w:rPr>
              <w:t>.5</w:t>
            </w:r>
          </w:p>
        </w:tc>
      </w:tr>
      <w:tr w14:paraId="4E0A2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130A301C">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rPr>
              <w:t>电焊机</w:t>
            </w:r>
          </w:p>
        </w:tc>
        <w:tc>
          <w:tcPr>
            <w:tcW w:w="555" w:type="pct"/>
            <w:vAlign w:val="center"/>
          </w:tcPr>
          <w:p w14:paraId="4C93A7A2">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0</w:t>
            </w:r>
          </w:p>
        </w:tc>
        <w:tc>
          <w:tcPr>
            <w:tcW w:w="471" w:type="pct"/>
          </w:tcPr>
          <w:p w14:paraId="7B964246">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4</w:t>
            </w:r>
            <w:r>
              <w:rPr>
                <w:rFonts w:ascii="Times New Roman" w:hAnsi="Times New Roman" w:eastAsiaTheme="minorEastAsia"/>
                <w:caps w:val="0"/>
                <w:smallCaps w:val="0"/>
                <w:color w:val="auto"/>
                <w:spacing w:val="0"/>
                <w:w w:val="100"/>
                <w:position w:val="0"/>
                <w:highlight w:val="none"/>
                <w:lang w:val="en-US"/>
              </w:rPr>
              <w:t>0.5</w:t>
            </w:r>
          </w:p>
        </w:tc>
        <w:tc>
          <w:tcPr>
            <w:tcW w:w="471" w:type="pct"/>
          </w:tcPr>
          <w:p w14:paraId="0A0A0CAC">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38</w:t>
            </w:r>
          </w:p>
        </w:tc>
        <w:tc>
          <w:tcPr>
            <w:tcW w:w="471" w:type="pct"/>
            <w:vAlign w:val="center"/>
          </w:tcPr>
          <w:p w14:paraId="274F3592">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3</w:t>
            </w:r>
            <w:r>
              <w:rPr>
                <w:rFonts w:ascii="Times New Roman" w:hAnsi="Times New Roman" w:eastAsiaTheme="minorEastAsia"/>
                <w:caps w:val="0"/>
                <w:smallCaps w:val="0"/>
                <w:color w:val="auto"/>
                <w:spacing w:val="0"/>
                <w:w w:val="100"/>
                <w:position w:val="0"/>
                <w:highlight w:val="none"/>
                <w:lang w:val="en-US"/>
              </w:rPr>
              <w:t>6</w:t>
            </w:r>
          </w:p>
        </w:tc>
        <w:tc>
          <w:tcPr>
            <w:tcW w:w="487" w:type="pct"/>
            <w:vAlign w:val="center"/>
          </w:tcPr>
          <w:p w14:paraId="6A2A4842">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3</w:t>
            </w:r>
            <w:r>
              <w:rPr>
                <w:rFonts w:ascii="Times New Roman" w:hAnsi="Times New Roman" w:eastAsiaTheme="minorEastAsia"/>
                <w:caps w:val="0"/>
                <w:smallCaps w:val="0"/>
                <w:color w:val="auto"/>
                <w:spacing w:val="0"/>
                <w:w w:val="100"/>
                <w:position w:val="0"/>
                <w:highlight w:val="none"/>
                <w:lang w:val="en-US"/>
              </w:rPr>
              <w:t>0</w:t>
            </w:r>
          </w:p>
        </w:tc>
        <w:tc>
          <w:tcPr>
            <w:tcW w:w="512" w:type="pct"/>
            <w:vAlign w:val="center"/>
          </w:tcPr>
          <w:p w14:paraId="7200E1EE">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2</w:t>
            </w:r>
            <w:r>
              <w:rPr>
                <w:rFonts w:ascii="Times New Roman" w:hAnsi="Times New Roman" w:eastAsiaTheme="minorEastAsia"/>
                <w:caps w:val="0"/>
                <w:smallCaps w:val="0"/>
                <w:color w:val="auto"/>
                <w:spacing w:val="0"/>
                <w:w w:val="100"/>
                <w:position w:val="0"/>
                <w:highlight w:val="none"/>
                <w:lang w:val="en-US"/>
              </w:rPr>
              <w:t>6.5</w:t>
            </w:r>
          </w:p>
        </w:tc>
        <w:tc>
          <w:tcPr>
            <w:tcW w:w="451" w:type="pct"/>
            <w:vAlign w:val="center"/>
          </w:tcPr>
          <w:p w14:paraId="51FFF0FE">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2</w:t>
            </w:r>
            <w:r>
              <w:rPr>
                <w:rFonts w:ascii="Times New Roman" w:hAnsi="Times New Roman" w:eastAsiaTheme="minorEastAsia"/>
                <w:caps w:val="0"/>
                <w:smallCaps w:val="0"/>
                <w:color w:val="auto"/>
                <w:spacing w:val="0"/>
                <w:w w:val="100"/>
                <w:position w:val="0"/>
                <w:highlight w:val="none"/>
                <w:lang w:val="en-US"/>
              </w:rPr>
              <w:t>4</w:t>
            </w:r>
          </w:p>
        </w:tc>
        <w:tc>
          <w:tcPr>
            <w:tcW w:w="520" w:type="pct"/>
            <w:vAlign w:val="center"/>
          </w:tcPr>
          <w:p w14:paraId="56243EA8">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2</w:t>
            </w:r>
            <w:r>
              <w:rPr>
                <w:rFonts w:ascii="Times New Roman" w:hAnsi="Times New Roman" w:eastAsiaTheme="minorEastAsia"/>
                <w:caps w:val="0"/>
                <w:smallCaps w:val="0"/>
                <w:color w:val="auto"/>
                <w:spacing w:val="0"/>
                <w:w w:val="100"/>
                <w:position w:val="0"/>
                <w:highlight w:val="none"/>
                <w:lang w:val="en-US"/>
              </w:rPr>
              <w:t>0.5</w:t>
            </w:r>
          </w:p>
        </w:tc>
      </w:tr>
      <w:tr w14:paraId="40DC8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6B875307">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rPr>
              <w:t>运输车辆</w:t>
            </w:r>
          </w:p>
        </w:tc>
        <w:tc>
          <w:tcPr>
            <w:tcW w:w="555" w:type="pct"/>
            <w:vAlign w:val="center"/>
          </w:tcPr>
          <w:p w14:paraId="322303F1">
            <w:pPr>
              <w:pStyle w:val="1157"/>
              <w:spacing w:line="320" w:lineRule="exact"/>
              <w:ind w:firstLine="0" w:firstLineChars="0"/>
              <w:rPr>
                <w:rFonts w:cs="Times New Roman" w:eastAsiaTheme="minorEastAsia"/>
                <w:b w:val="0"/>
                <w:caps w:val="0"/>
                <w:smallCaps w:val="0"/>
                <w:color w:val="auto"/>
                <w:spacing w:val="0"/>
                <w:w w:val="100"/>
                <w:position w:val="0"/>
                <w:szCs w:val="21"/>
                <w:highlight w:val="none"/>
              </w:rPr>
            </w:pPr>
            <w:r>
              <w:rPr>
                <w:rFonts w:hint="eastAsia" w:cs="Times New Roman" w:eastAsiaTheme="minorEastAsia"/>
                <w:b w:val="0"/>
                <w:caps w:val="0"/>
                <w:smallCaps w:val="0"/>
                <w:color w:val="auto"/>
                <w:spacing w:val="0"/>
                <w:w w:val="100"/>
                <w:position w:val="0"/>
                <w:szCs w:val="21"/>
                <w:highlight w:val="none"/>
              </w:rPr>
              <w:t>8</w:t>
            </w:r>
            <w:r>
              <w:rPr>
                <w:rFonts w:cs="Times New Roman" w:eastAsiaTheme="minorEastAsia"/>
                <w:b w:val="0"/>
                <w:caps w:val="0"/>
                <w:smallCaps w:val="0"/>
                <w:color w:val="auto"/>
                <w:spacing w:val="0"/>
                <w:w w:val="100"/>
                <w:position w:val="0"/>
                <w:szCs w:val="21"/>
                <w:highlight w:val="none"/>
              </w:rPr>
              <w:t>4</w:t>
            </w:r>
          </w:p>
        </w:tc>
        <w:tc>
          <w:tcPr>
            <w:tcW w:w="471" w:type="pct"/>
          </w:tcPr>
          <w:p w14:paraId="5A0BB45F">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7</w:t>
            </w:r>
            <w:r>
              <w:rPr>
                <w:rFonts w:ascii="Times New Roman" w:hAnsi="Times New Roman" w:eastAsiaTheme="minorEastAsia"/>
                <w:caps w:val="0"/>
                <w:smallCaps w:val="0"/>
                <w:color w:val="auto"/>
                <w:spacing w:val="0"/>
                <w:w w:val="100"/>
                <w:position w:val="0"/>
                <w:highlight w:val="none"/>
                <w:lang w:val="en-US"/>
              </w:rPr>
              <w:t>4.5</w:t>
            </w:r>
          </w:p>
        </w:tc>
        <w:tc>
          <w:tcPr>
            <w:tcW w:w="471" w:type="pct"/>
          </w:tcPr>
          <w:p w14:paraId="3A05A214">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7</w:t>
            </w:r>
            <w:r>
              <w:rPr>
                <w:rFonts w:ascii="Times New Roman" w:hAnsi="Times New Roman" w:eastAsiaTheme="minorEastAsia"/>
                <w:caps w:val="0"/>
                <w:smallCaps w:val="0"/>
                <w:color w:val="auto"/>
                <w:spacing w:val="0"/>
                <w:w w:val="100"/>
                <w:position w:val="0"/>
                <w:highlight w:val="none"/>
                <w:lang w:val="en-US"/>
              </w:rPr>
              <w:t>2</w:t>
            </w:r>
          </w:p>
        </w:tc>
        <w:tc>
          <w:tcPr>
            <w:tcW w:w="471" w:type="pct"/>
            <w:vAlign w:val="center"/>
          </w:tcPr>
          <w:p w14:paraId="47D3F7D3">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7</w:t>
            </w:r>
            <w:r>
              <w:rPr>
                <w:rFonts w:ascii="Times New Roman" w:hAnsi="Times New Roman" w:eastAsiaTheme="minorEastAsia"/>
                <w:caps w:val="0"/>
                <w:smallCaps w:val="0"/>
                <w:color w:val="auto"/>
                <w:spacing w:val="0"/>
                <w:w w:val="100"/>
                <w:position w:val="0"/>
                <w:highlight w:val="none"/>
                <w:lang w:val="en-US"/>
              </w:rPr>
              <w:t>0</w:t>
            </w:r>
          </w:p>
        </w:tc>
        <w:tc>
          <w:tcPr>
            <w:tcW w:w="487" w:type="pct"/>
            <w:vAlign w:val="center"/>
          </w:tcPr>
          <w:p w14:paraId="55047F23">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4</w:t>
            </w:r>
          </w:p>
        </w:tc>
        <w:tc>
          <w:tcPr>
            <w:tcW w:w="512" w:type="pct"/>
            <w:vAlign w:val="center"/>
          </w:tcPr>
          <w:p w14:paraId="79E0A3B1">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6</w:t>
            </w:r>
            <w:r>
              <w:rPr>
                <w:rFonts w:ascii="Times New Roman" w:hAnsi="Times New Roman" w:eastAsiaTheme="minorEastAsia"/>
                <w:caps w:val="0"/>
                <w:smallCaps w:val="0"/>
                <w:color w:val="auto"/>
                <w:spacing w:val="0"/>
                <w:w w:val="100"/>
                <w:position w:val="0"/>
                <w:highlight w:val="none"/>
                <w:lang w:val="en-US"/>
              </w:rPr>
              <w:t>0.5</w:t>
            </w:r>
          </w:p>
        </w:tc>
        <w:tc>
          <w:tcPr>
            <w:tcW w:w="451" w:type="pct"/>
            <w:vAlign w:val="center"/>
          </w:tcPr>
          <w:p w14:paraId="0EB76A3D">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8</w:t>
            </w:r>
          </w:p>
        </w:tc>
        <w:tc>
          <w:tcPr>
            <w:tcW w:w="520" w:type="pct"/>
            <w:vAlign w:val="center"/>
          </w:tcPr>
          <w:p w14:paraId="459B764D">
            <w:pPr>
              <w:pStyle w:val="169"/>
              <w:spacing w:line="320" w:lineRule="exact"/>
              <w:rPr>
                <w:rFonts w:ascii="Times New Roman" w:hAnsi="Times New Roman" w:eastAsiaTheme="minorEastAsia"/>
                <w:caps w:val="0"/>
                <w:smallCaps w:val="0"/>
                <w:color w:val="auto"/>
                <w:spacing w:val="0"/>
                <w:w w:val="100"/>
                <w:position w:val="0"/>
                <w:highlight w:val="none"/>
                <w:lang w:val="en-US"/>
              </w:rPr>
            </w:pPr>
            <w:r>
              <w:rPr>
                <w:rFonts w:hint="eastAsia" w:ascii="Times New Roman" w:hAnsi="Times New Roman" w:eastAsiaTheme="minorEastAsia"/>
                <w:caps w:val="0"/>
                <w:smallCaps w:val="0"/>
                <w:color w:val="auto"/>
                <w:spacing w:val="0"/>
                <w:w w:val="100"/>
                <w:position w:val="0"/>
                <w:highlight w:val="none"/>
                <w:lang w:val="en-US"/>
              </w:rPr>
              <w:t>5</w:t>
            </w:r>
            <w:r>
              <w:rPr>
                <w:rFonts w:ascii="Times New Roman" w:hAnsi="Times New Roman" w:eastAsiaTheme="minorEastAsia"/>
                <w:caps w:val="0"/>
                <w:smallCaps w:val="0"/>
                <w:color w:val="auto"/>
                <w:spacing w:val="0"/>
                <w:w w:val="100"/>
                <w:position w:val="0"/>
                <w:highlight w:val="none"/>
                <w:lang w:val="en-US"/>
              </w:rPr>
              <w:t>4.5</w:t>
            </w:r>
          </w:p>
        </w:tc>
      </w:tr>
    </w:tbl>
    <w:p w14:paraId="6B904A36">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本项目管线施工均在昼间进行，</w:t>
      </w:r>
      <w:r>
        <w:rPr>
          <w:rFonts w:hint="eastAsia" w:ascii="Times New Roman" w:hAnsi="Times New Roman" w:cs="Times New Roman"/>
          <w:caps w:val="0"/>
          <w:smallCaps w:val="0"/>
          <w:color w:val="auto"/>
          <w:spacing w:val="0"/>
          <w:w w:val="100"/>
          <w:kern w:val="2"/>
          <w:position w:val="0"/>
          <w:highlight w:val="none"/>
        </w:rPr>
        <w:t>且项目周边2</w:t>
      </w:r>
      <w:r>
        <w:rPr>
          <w:rFonts w:ascii="Times New Roman" w:hAnsi="Times New Roman" w:cs="Times New Roman"/>
          <w:caps w:val="0"/>
          <w:smallCaps w:val="0"/>
          <w:color w:val="auto"/>
          <w:spacing w:val="0"/>
          <w:w w:val="100"/>
          <w:kern w:val="2"/>
          <w:position w:val="0"/>
          <w:highlight w:val="none"/>
        </w:rPr>
        <w:t>00m范围内无声环境敏感点，为</w:t>
      </w:r>
      <w:r>
        <w:rPr>
          <w:rFonts w:hint="eastAsia" w:ascii="Times New Roman" w:hAnsi="Times New Roman" w:cs="Times New Roman"/>
          <w:caps w:val="0"/>
          <w:smallCaps w:val="0"/>
          <w:color w:val="auto"/>
          <w:spacing w:val="0"/>
          <w:w w:val="100"/>
          <w:kern w:val="2"/>
          <w:position w:val="0"/>
          <w:highlight w:val="none"/>
        </w:rPr>
        <w:t>减少</w:t>
      </w:r>
      <w:r>
        <w:rPr>
          <w:rFonts w:ascii="Times New Roman" w:hAnsi="Times New Roman" w:cs="Times New Roman"/>
          <w:caps w:val="0"/>
          <w:smallCaps w:val="0"/>
          <w:color w:val="auto"/>
          <w:spacing w:val="0"/>
          <w:w w:val="100"/>
          <w:kern w:val="2"/>
          <w:position w:val="0"/>
          <w:highlight w:val="none"/>
        </w:rPr>
        <w:t>施工噪声对</w:t>
      </w:r>
      <w:r>
        <w:rPr>
          <w:rFonts w:hint="eastAsia" w:ascii="Times New Roman" w:hAnsi="Times New Roman" w:cs="Times New Roman"/>
          <w:caps w:val="0"/>
          <w:smallCaps w:val="0"/>
          <w:color w:val="auto"/>
          <w:spacing w:val="0"/>
          <w:w w:val="100"/>
          <w:kern w:val="2"/>
          <w:position w:val="0"/>
          <w:highlight w:val="none"/>
        </w:rPr>
        <w:t>周边</w:t>
      </w:r>
      <w:r>
        <w:rPr>
          <w:rFonts w:ascii="Times New Roman" w:hAnsi="Times New Roman" w:cs="Times New Roman"/>
          <w:caps w:val="0"/>
          <w:smallCaps w:val="0"/>
          <w:color w:val="auto"/>
          <w:spacing w:val="0"/>
          <w:w w:val="100"/>
          <w:kern w:val="2"/>
          <w:position w:val="0"/>
          <w:highlight w:val="none"/>
        </w:rPr>
        <w:t>环境的影响，本项目拟采取以下措施：</w:t>
      </w:r>
    </w:p>
    <w:p w14:paraId="5AE8AAEB">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①</w:t>
      </w:r>
      <w:r>
        <w:rPr>
          <w:rFonts w:ascii="Times New Roman" w:hAnsi="Times New Roman" w:cs="Times New Roman"/>
          <w:caps w:val="0"/>
          <w:smallCaps w:val="0"/>
          <w:color w:val="auto"/>
          <w:spacing w:val="0"/>
          <w:w w:val="100"/>
          <w:kern w:val="2"/>
          <w:position w:val="0"/>
          <w:highlight w:val="none"/>
        </w:rPr>
        <w:t>管线施工</w:t>
      </w:r>
      <w:r>
        <w:rPr>
          <w:rFonts w:hint="eastAsia" w:ascii="Times New Roman" w:hAnsi="Times New Roman" w:cs="Times New Roman"/>
          <w:caps w:val="0"/>
          <w:smallCaps w:val="0"/>
          <w:color w:val="auto"/>
          <w:spacing w:val="0"/>
          <w:w w:val="100"/>
          <w:kern w:val="2"/>
          <w:position w:val="0"/>
          <w:highlight w:val="none"/>
        </w:rPr>
        <w:t>尽量</w:t>
      </w:r>
      <w:r>
        <w:rPr>
          <w:rFonts w:ascii="Times New Roman" w:hAnsi="Times New Roman" w:cs="Times New Roman"/>
          <w:caps w:val="0"/>
          <w:smallCaps w:val="0"/>
          <w:color w:val="auto"/>
          <w:spacing w:val="0"/>
          <w:w w:val="100"/>
          <w:kern w:val="2"/>
          <w:position w:val="0"/>
          <w:highlight w:val="none"/>
        </w:rPr>
        <w:t>采取人工开挖，降低施工噪声；</w:t>
      </w:r>
    </w:p>
    <w:p w14:paraId="156E5A6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②</w:t>
      </w:r>
      <w:r>
        <w:rPr>
          <w:rFonts w:ascii="Times New Roman" w:hAnsi="Times New Roman" w:cs="Times New Roman"/>
          <w:caps w:val="0"/>
          <w:smallCaps w:val="0"/>
          <w:color w:val="auto"/>
          <w:spacing w:val="0"/>
          <w:w w:val="100"/>
          <w:kern w:val="2"/>
          <w:position w:val="0"/>
          <w:highlight w:val="none"/>
        </w:rPr>
        <w:t>降低设备噪声。选用低噪声设备，注意对设备的维护和保养，合理操作，保证施工机械保持在最佳状态，降低噪声源强度，避免设备不正常运行产生的高噪声。</w:t>
      </w:r>
    </w:p>
    <w:p w14:paraId="0F807BD7">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③</w:t>
      </w:r>
      <w:r>
        <w:rPr>
          <w:rFonts w:ascii="Times New Roman" w:hAnsi="Times New Roman" w:cs="Times New Roman"/>
          <w:caps w:val="0"/>
          <w:smallCaps w:val="0"/>
          <w:color w:val="auto"/>
          <w:spacing w:val="0"/>
          <w:w w:val="100"/>
          <w:kern w:val="2"/>
          <w:position w:val="0"/>
          <w:highlight w:val="none"/>
        </w:rPr>
        <w:t>合理安排施工进度，减少施工时间，不在夜间施工，调整同时作业的施工机械数量，降低对周围环境的影响。</w:t>
      </w:r>
    </w:p>
    <w:p w14:paraId="775B3579">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④</w:t>
      </w:r>
      <w:r>
        <w:rPr>
          <w:rFonts w:ascii="Times New Roman" w:hAnsi="Times New Roman" w:cs="Times New Roman"/>
          <w:caps w:val="0"/>
          <w:smallCaps w:val="0"/>
          <w:color w:val="auto"/>
          <w:spacing w:val="0"/>
          <w:w w:val="100"/>
          <w:kern w:val="2"/>
          <w:position w:val="0"/>
          <w:highlight w:val="none"/>
        </w:rPr>
        <w:t>固定设备增加减震基础，降低噪声源强度，降低噪声对附近居民的影响。</w:t>
      </w:r>
    </w:p>
    <w:p w14:paraId="4BD7AAB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⑤</w:t>
      </w:r>
      <w:r>
        <w:rPr>
          <w:rFonts w:ascii="Times New Roman" w:hAnsi="Times New Roman" w:cs="Times New Roman"/>
          <w:caps w:val="0"/>
          <w:smallCaps w:val="0"/>
          <w:color w:val="auto"/>
          <w:spacing w:val="0"/>
          <w:w w:val="100"/>
          <w:kern w:val="2"/>
          <w:position w:val="0"/>
          <w:highlight w:val="none"/>
        </w:rPr>
        <w:t>合理布置施工现场，尽量将高噪声机械布置远离环境敏感点一侧，同时，避免在同一地点安排较多的动力机械。</w:t>
      </w:r>
    </w:p>
    <w:p w14:paraId="7108A24C">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caps w:val="0"/>
          <w:smallCaps w:val="0"/>
          <w:color w:val="auto"/>
          <w:spacing w:val="0"/>
          <w:w w:val="100"/>
          <w:kern w:val="2"/>
          <w:position w:val="0"/>
          <w:highlight w:val="none"/>
        </w:rPr>
        <w:t>⑥</w:t>
      </w:r>
      <w:r>
        <w:rPr>
          <w:rFonts w:ascii="Times New Roman" w:hAnsi="Times New Roman" w:cs="Times New Roman"/>
          <w:caps w:val="0"/>
          <w:smallCaps w:val="0"/>
          <w:color w:val="auto"/>
          <w:spacing w:val="0"/>
          <w:w w:val="100"/>
          <w:kern w:val="2"/>
          <w:position w:val="0"/>
          <w:highlight w:val="none"/>
        </w:rPr>
        <w:t>施工期运输车辆的运行路线应远离周围的居民区，合理选择路线进行绕行、避让措施，临近居民区应减少汽车鸣笛的次数，减速慢行，减少车辆噪声对居民区的不利影响。</w:t>
      </w:r>
    </w:p>
    <w:p w14:paraId="1A3EECED">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ascii="Times New Roman" w:hAnsi="Times New Roman" w:cs="Times New Roman"/>
          <w:caps w:val="0"/>
          <w:smallCaps w:val="0"/>
          <w:color w:val="auto"/>
          <w:spacing w:val="0"/>
          <w:w w:val="100"/>
          <w:kern w:val="2"/>
          <w:position w:val="0"/>
          <w:highlight w:val="none"/>
        </w:rPr>
        <w:t>⑦</w:t>
      </w:r>
      <w:r>
        <w:rPr>
          <w:rFonts w:ascii="Times New Roman" w:hAnsi="Times New Roman" w:cs="Times New Roman"/>
          <w:caps w:val="0"/>
          <w:smallCaps w:val="0"/>
          <w:color w:val="auto"/>
          <w:spacing w:val="0"/>
          <w:w w:val="100"/>
          <w:kern w:val="2"/>
          <w:position w:val="0"/>
          <w:highlight w:val="none"/>
        </w:rPr>
        <w:t>加强对施工人员的培训及责任教育，做好施工机械和运输车辆的调度和交通疏导工作。</w:t>
      </w:r>
    </w:p>
    <w:p w14:paraId="1892CA2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在采取上述措施后，施工场界噪声可以满足</w:t>
      </w:r>
      <w:r>
        <w:rPr>
          <w:rFonts w:hint="eastAsia" w:ascii="Times New Roman" w:hAnsi="Times New Roman" w:cs="Times New Roman"/>
          <w:caps w:val="0"/>
          <w:smallCaps w:val="0"/>
          <w:color w:val="auto"/>
          <w:spacing w:val="0"/>
          <w:w w:val="100"/>
          <w:kern w:val="2"/>
          <w:position w:val="0"/>
          <w:highlight w:val="none"/>
        </w:rPr>
        <w:t>《建筑施工噪声排放标准》（</w:t>
      </w:r>
      <w:r>
        <w:rPr>
          <w:rFonts w:ascii="Times New Roman" w:hAnsi="Times New Roman" w:cs="Times New Roman"/>
          <w:caps w:val="0"/>
          <w:smallCaps w:val="0"/>
          <w:color w:val="auto"/>
          <w:spacing w:val="0"/>
          <w:w w:val="100"/>
          <w:kern w:val="2"/>
          <w:position w:val="0"/>
          <w:highlight w:val="none"/>
        </w:rPr>
        <w:t>GB12523-2025）标准要求，施工噪声对周围环境的影响较小，且施工期噪声对环境的影响是暂时性的，随着施工结束，其影响也随之消失。</w:t>
      </w:r>
    </w:p>
    <w:p w14:paraId="7048CDCB">
      <w:pPr>
        <w:pStyle w:val="6"/>
        <w:keepNext w:val="0"/>
        <w:keepLines w:val="0"/>
        <w:widowControl w:val="0"/>
        <w:spacing w:before="60" w:after="60"/>
        <w:jc w:val="both"/>
        <w:rPr>
          <w:rFonts w:eastAsiaTheme="minorEastAsia"/>
          <w:b/>
          <w:caps w:val="0"/>
          <w:smallCaps w:val="0"/>
          <w:color w:val="auto"/>
          <w:spacing w:val="0"/>
          <w:w w:val="100"/>
          <w:kern w:val="2"/>
          <w:position w:val="0"/>
          <w:sz w:val="24"/>
          <w:szCs w:val="24"/>
          <w:highlight w:val="none"/>
        </w:rPr>
      </w:pPr>
      <w:bookmarkStart w:id="840" w:name="_Toc77067718"/>
      <w:bookmarkStart w:id="841" w:name="_Toc84929293"/>
      <w:bookmarkStart w:id="842" w:name="_Toc80971438"/>
      <w:bookmarkStart w:id="843" w:name="_Toc86141996"/>
      <w:bookmarkStart w:id="844" w:name="_Toc83209538"/>
      <w:bookmarkStart w:id="845" w:name="_Toc70050243"/>
      <w:bookmarkStart w:id="846" w:name="_Toc76976306"/>
      <w:bookmarkStart w:id="847" w:name="_Toc110438537"/>
      <w:bookmarkStart w:id="848" w:name="_Toc85640821"/>
      <w:bookmarkStart w:id="849" w:name="_Toc78816521"/>
      <w:bookmarkStart w:id="850" w:name="_Toc67860194"/>
      <w:bookmarkStart w:id="851" w:name="_Toc80588316"/>
      <w:r>
        <w:rPr>
          <w:rFonts w:eastAsiaTheme="minorEastAsia"/>
          <w:b/>
          <w:caps w:val="0"/>
          <w:smallCaps w:val="0"/>
          <w:color w:val="auto"/>
          <w:spacing w:val="0"/>
          <w:w w:val="100"/>
          <w:kern w:val="2"/>
          <w:position w:val="0"/>
          <w:sz w:val="24"/>
          <w:szCs w:val="24"/>
          <w:highlight w:val="none"/>
        </w:rPr>
        <w:t>5.4.2运行期</w:t>
      </w:r>
      <w:bookmarkEnd w:id="840"/>
      <w:bookmarkEnd w:id="841"/>
      <w:bookmarkEnd w:id="842"/>
      <w:bookmarkEnd w:id="843"/>
      <w:bookmarkEnd w:id="844"/>
      <w:bookmarkEnd w:id="845"/>
      <w:bookmarkEnd w:id="846"/>
      <w:bookmarkEnd w:id="847"/>
      <w:bookmarkEnd w:id="848"/>
      <w:bookmarkEnd w:id="849"/>
      <w:bookmarkEnd w:id="850"/>
      <w:bookmarkEnd w:id="851"/>
    </w:p>
    <w:p w14:paraId="18BF13A8">
      <w:pPr>
        <w:widowControl w:val="0"/>
        <w:spacing w:line="50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本项目为</w:t>
      </w:r>
      <w:r>
        <w:rPr>
          <w:rFonts w:ascii="Times New Roman" w:hAnsi="Times New Roman" w:cs="Times New Roman"/>
          <w:bCs/>
          <w:caps w:val="0"/>
          <w:smallCaps w:val="0"/>
          <w:color w:val="auto"/>
          <w:spacing w:val="0"/>
          <w:w w:val="100"/>
          <w:kern w:val="2"/>
          <w:position w:val="0"/>
          <w:highlight w:val="none"/>
        </w:rPr>
        <w:t>油田内部</w:t>
      </w:r>
      <w:r>
        <w:rPr>
          <w:rFonts w:hint="eastAsia" w:ascii="Times New Roman" w:hAnsi="Times New Roman" w:cs="Times New Roman"/>
          <w:bCs/>
          <w:caps w:val="0"/>
          <w:smallCaps w:val="0"/>
          <w:color w:val="auto"/>
          <w:spacing w:val="0"/>
          <w:w w:val="100"/>
          <w:kern w:val="2"/>
          <w:position w:val="0"/>
          <w:highlight w:val="none"/>
          <w:lang w:val="en-US" w:eastAsia="zh-CN"/>
        </w:rPr>
        <w:t>集输</w:t>
      </w:r>
      <w:r>
        <w:rPr>
          <w:rFonts w:hint="eastAsia" w:ascii="Times New Roman" w:hAnsi="Times New Roman" w:cs="Times New Roman"/>
          <w:bCs/>
          <w:caps w:val="0"/>
          <w:smallCaps w:val="0"/>
          <w:color w:val="auto"/>
          <w:spacing w:val="0"/>
          <w:w w:val="100"/>
          <w:kern w:val="2"/>
          <w:position w:val="0"/>
          <w:highlight w:val="none"/>
        </w:rPr>
        <w:t>管道</w:t>
      </w:r>
      <w:r>
        <w:rPr>
          <w:rFonts w:ascii="Times New Roman" w:hAnsi="Times New Roman" w:cs="Times New Roman"/>
          <w:bCs/>
          <w:caps w:val="0"/>
          <w:smallCaps w:val="0"/>
          <w:color w:val="auto"/>
          <w:spacing w:val="0"/>
          <w:w w:val="100"/>
          <w:kern w:val="2"/>
          <w:position w:val="0"/>
          <w:highlight w:val="none"/>
        </w:rPr>
        <w:t>建设项目</w:t>
      </w:r>
      <w:r>
        <w:rPr>
          <w:rFonts w:ascii="Times New Roman" w:hAnsi="Times New Roman" w:cs="Times New Roman"/>
          <w:caps w:val="0"/>
          <w:smallCaps w:val="0"/>
          <w:color w:val="auto"/>
          <w:spacing w:val="0"/>
          <w:w w:val="100"/>
          <w:kern w:val="2"/>
          <w:position w:val="0"/>
          <w:highlight w:val="none"/>
        </w:rPr>
        <w:t>，运营期主要采用密闭输送方式输送原油、</w:t>
      </w:r>
      <w:r>
        <w:rPr>
          <w:rFonts w:hint="eastAsia" w:ascii="Times New Roman" w:hAnsi="Times New Roman" w:cs="Times New Roman"/>
          <w:caps w:val="0"/>
          <w:smallCaps w:val="0"/>
          <w:color w:val="auto"/>
          <w:spacing w:val="0"/>
          <w:w w:val="100"/>
          <w:kern w:val="2"/>
          <w:position w:val="0"/>
          <w:highlight w:val="none"/>
          <w:lang w:eastAsia="zh-CN"/>
        </w:rPr>
        <w:t>含油污水</w:t>
      </w:r>
      <w:r>
        <w:rPr>
          <w:rFonts w:ascii="Times New Roman" w:hAnsi="Times New Roman" w:cs="Times New Roman"/>
          <w:caps w:val="0"/>
          <w:smallCaps w:val="0"/>
          <w:color w:val="auto"/>
          <w:spacing w:val="0"/>
          <w:w w:val="100"/>
          <w:kern w:val="2"/>
          <w:position w:val="0"/>
          <w:highlight w:val="none"/>
        </w:rPr>
        <w:t>，正常运行状况下无噪声产生及排放。</w:t>
      </w:r>
    </w:p>
    <w:p w14:paraId="0FF349D8">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852" w:name="_Toc186444349"/>
      <w:bookmarkStart w:id="853" w:name="_Toc65426005"/>
      <w:r>
        <w:rPr>
          <w:rFonts w:eastAsiaTheme="minorEastAsia"/>
          <w:b/>
          <w:caps w:val="0"/>
          <w:smallCaps w:val="0"/>
          <w:color w:val="auto"/>
          <w:spacing w:val="0"/>
          <w:w w:val="100"/>
          <w:kern w:val="2"/>
          <w:position w:val="0"/>
          <w:sz w:val="24"/>
          <w:szCs w:val="24"/>
          <w:highlight w:val="none"/>
        </w:rPr>
        <w:t>5.4.3退役期</w:t>
      </w:r>
      <w:bookmarkEnd w:id="852"/>
    </w:p>
    <w:p w14:paraId="2F4818D2">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本项目退役期产生的噪声主要施工机械和车辆运营噪声。退役期施工机械噪声衰减结果见表5.4-2。</w:t>
      </w:r>
    </w:p>
    <w:p w14:paraId="0B78D02A">
      <w:pPr>
        <w:widowControl w:val="0"/>
        <w:spacing w:line="440" w:lineRule="exact"/>
        <w:ind w:firstLine="482"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b/>
          <w:caps w:val="0"/>
          <w:smallCaps w:val="0"/>
          <w:color w:val="auto"/>
          <w:spacing w:val="0"/>
          <w:w w:val="100"/>
          <w:kern w:val="2"/>
          <w:position w:val="0"/>
          <w:highlight w:val="none"/>
        </w:rPr>
        <w:t>表5.4-2    退役期施工机械噪声统计表    单位：dB(A)</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57"/>
        <w:gridCol w:w="1174"/>
        <w:gridCol w:w="1016"/>
        <w:gridCol w:w="1163"/>
        <w:gridCol w:w="1161"/>
        <w:gridCol w:w="1161"/>
        <w:gridCol w:w="1155"/>
      </w:tblGrid>
      <w:tr w14:paraId="1EA43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Merge w:val="restart"/>
            <w:vAlign w:val="center"/>
          </w:tcPr>
          <w:p w14:paraId="3BFF73F6">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机械名称</w:t>
            </w:r>
          </w:p>
        </w:tc>
        <w:tc>
          <w:tcPr>
            <w:tcW w:w="3677" w:type="pct"/>
            <w:gridSpan w:val="6"/>
          </w:tcPr>
          <w:p w14:paraId="5F0DC6C9">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离施工点距离不同处的噪声值</w:t>
            </w:r>
          </w:p>
        </w:tc>
      </w:tr>
      <w:tr w14:paraId="7765E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Merge w:val="continue"/>
            <w:vAlign w:val="center"/>
          </w:tcPr>
          <w:p w14:paraId="73D57633">
            <w:pPr>
              <w:pStyle w:val="169"/>
              <w:spacing w:line="360" w:lineRule="exact"/>
              <w:rPr>
                <w:rFonts w:ascii="Times New Roman" w:hAnsi="Times New Roman" w:eastAsiaTheme="minorEastAsia"/>
                <w:caps w:val="0"/>
                <w:smallCaps w:val="0"/>
                <w:color w:val="auto"/>
                <w:spacing w:val="0"/>
                <w:w w:val="100"/>
                <w:position w:val="0"/>
                <w:highlight w:val="none"/>
                <w:lang w:val="en-US"/>
              </w:rPr>
            </w:pPr>
          </w:p>
        </w:tc>
        <w:tc>
          <w:tcPr>
            <w:tcW w:w="632" w:type="pct"/>
            <w:vAlign w:val="center"/>
          </w:tcPr>
          <w:p w14:paraId="495AF55C">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10m</w:t>
            </w:r>
          </w:p>
        </w:tc>
        <w:tc>
          <w:tcPr>
            <w:tcW w:w="547" w:type="pct"/>
          </w:tcPr>
          <w:p w14:paraId="25046104">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20m</w:t>
            </w:r>
          </w:p>
        </w:tc>
        <w:tc>
          <w:tcPr>
            <w:tcW w:w="626" w:type="pct"/>
            <w:vAlign w:val="center"/>
          </w:tcPr>
          <w:p w14:paraId="6094EC0D">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50 m</w:t>
            </w:r>
          </w:p>
        </w:tc>
        <w:tc>
          <w:tcPr>
            <w:tcW w:w="625" w:type="pct"/>
            <w:vAlign w:val="center"/>
          </w:tcPr>
          <w:p w14:paraId="5F4517FD">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100 m</w:t>
            </w:r>
          </w:p>
        </w:tc>
        <w:tc>
          <w:tcPr>
            <w:tcW w:w="625" w:type="pct"/>
            <w:vAlign w:val="center"/>
          </w:tcPr>
          <w:p w14:paraId="45F847B6">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200 m</w:t>
            </w:r>
          </w:p>
        </w:tc>
        <w:tc>
          <w:tcPr>
            <w:tcW w:w="622" w:type="pct"/>
            <w:vAlign w:val="center"/>
          </w:tcPr>
          <w:p w14:paraId="0D17F395">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300 m</w:t>
            </w:r>
          </w:p>
        </w:tc>
      </w:tr>
      <w:tr w14:paraId="41895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6E81070F">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挖掘机</w:t>
            </w:r>
          </w:p>
        </w:tc>
        <w:tc>
          <w:tcPr>
            <w:tcW w:w="632" w:type="pct"/>
            <w:vAlign w:val="center"/>
          </w:tcPr>
          <w:p w14:paraId="14D78BA1">
            <w:pPr>
              <w:pStyle w:val="1157"/>
              <w:spacing w:line="360" w:lineRule="exact"/>
              <w:ind w:firstLine="0" w:firstLineChars="0"/>
              <w:rPr>
                <w:rFonts w:cs="Times New Roman" w:eastAsiaTheme="minorEastAsia"/>
                <w:b w:val="0"/>
                <w:caps w:val="0"/>
                <w:smallCaps w:val="0"/>
                <w:color w:val="auto"/>
                <w:spacing w:val="0"/>
                <w:w w:val="100"/>
                <w:position w:val="0"/>
                <w:szCs w:val="21"/>
                <w:highlight w:val="none"/>
              </w:rPr>
            </w:pPr>
            <w:r>
              <w:rPr>
                <w:rFonts w:cs="Times New Roman" w:eastAsiaTheme="minorEastAsia"/>
                <w:b w:val="0"/>
                <w:caps w:val="0"/>
                <w:smallCaps w:val="0"/>
                <w:color w:val="auto"/>
                <w:spacing w:val="0"/>
                <w:w w:val="100"/>
                <w:position w:val="0"/>
                <w:szCs w:val="21"/>
                <w:highlight w:val="none"/>
              </w:rPr>
              <w:t>76.0</w:t>
            </w:r>
          </w:p>
        </w:tc>
        <w:tc>
          <w:tcPr>
            <w:tcW w:w="547" w:type="pct"/>
          </w:tcPr>
          <w:p w14:paraId="3EB3127C">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66.5</w:t>
            </w:r>
          </w:p>
        </w:tc>
        <w:tc>
          <w:tcPr>
            <w:tcW w:w="626" w:type="pct"/>
            <w:vAlign w:val="center"/>
          </w:tcPr>
          <w:p w14:paraId="325432E0">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57.0</w:t>
            </w:r>
          </w:p>
        </w:tc>
        <w:tc>
          <w:tcPr>
            <w:tcW w:w="625" w:type="pct"/>
            <w:vAlign w:val="center"/>
          </w:tcPr>
          <w:p w14:paraId="64E84E35">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50.4</w:t>
            </w:r>
          </w:p>
        </w:tc>
        <w:tc>
          <w:tcPr>
            <w:tcW w:w="625" w:type="pct"/>
            <w:vAlign w:val="center"/>
          </w:tcPr>
          <w:p w14:paraId="38DC2C92">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44.2</w:t>
            </w:r>
          </w:p>
        </w:tc>
        <w:tc>
          <w:tcPr>
            <w:tcW w:w="622" w:type="pct"/>
            <w:vAlign w:val="center"/>
          </w:tcPr>
          <w:p w14:paraId="4E1720C4">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40.6</w:t>
            </w:r>
          </w:p>
        </w:tc>
      </w:tr>
      <w:tr w14:paraId="5445D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696A39DC">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推土机</w:t>
            </w:r>
          </w:p>
        </w:tc>
        <w:tc>
          <w:tcPr>
            <w:tcW w:w="632" w:type="pct"/>
            <w:vAlign w:val="center"/>
          </w:tcPr>
          <w:p w14:paraId="470A1B5B">
            <w:pPr>
              <w:pStyle w:val="1157"/>
              <w:spacing w:line="360" w:lineRule="exact"/>
              <w:ind w:firstLine="0" w:firstLineChars="0"/>
              <w:rPr>
                <w:rFonts w:cs="Times New Roman" w:eastAsiaTheme="minorEastAsia"/>
                <w:b w:val="0"/>
                <w:caps w:val="0"/>
                <w:smallCaps w:val="0"/>
                <w:color w:val="auto"/>
                <w:spacing w:val="0"/>
                <w:w w:val="100"/>
                <w:position w:val="0"/>
                <w:szCs w:val="21"/>
                <w:highlight w:val="none"/>
              </w:rPr>
            </w:pPr>
            <w:r>
              <w:rPr>
                <w:rFonts w:cs="Times New Roman" w:eastAsiaTheme="minorEastAsia"/>
                <w:b w:val="0"/>
                <w:caps w:val="0"/>
                <w:smallCaps w:val="0"/>
                <w:color w:val="auto"/>
                <w:spacing w:val="0"/>
                <w:w w:val="100"/>
                <w:position w:val="0"/>
                <w:szCs w:val="21"/>
                <w:highlight w:val="none"/>
              </w:rPr>
              <w:t>74.0</w:t>
            </w:r>
          </w:p>
        </w:tc>
        <w:tc>
          <w:tcPr>
            <w:tcW w:w="547" w:type="pct"/>
          </w:tcPr>
          <w:p w14:paraId="71E0D069">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64.5</w:t>
            </w:r>
          </w:p>
        </w:tc>
        <w:tc>
          <w:tcPr>
            <w:tcW w:w="626" w:type="pct"/>
            <w:vAlign w:val="center"/>
          </w:tcPr>
          <w:p w14:paraId="704C0C82">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55.0</w:t>
            </w:r>
          </w:p>
        </w:tc>
        <w:tc>
          <w:tcPr>
            <w:tcW w:w="625" w:type="pct"/>
            <w:vAlign w:val="center"/>
          </w:tcPr>
          <w:p w14:paraId="0F7B7103">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48.4</w:t>
            </w:r>
          </w:p>
        </w:tc>
        <w:tc>
          <w:tcPr>
            <w:tcW w:w="625" w:type="pct"/>
            <w:vAlign w:val="center"/>
          </w:tcPr>
          <w:p w14:paraId="36CEE7E7">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42.2</w:t>
            </w:r>
          </w:p>
        </w:tc>
        <w:tc>
          <w:tcPr>
            <w:tcW w:w="622" w:type="pct"/>
            <w:vAlign w:val="center"/>
          </w:tcPr>
          <w:p w14:paraId="666A0F91">
            <w:pPr>
              <w:pStyle w:val="169"/>
              <w:spacing w:line="360" w:lineRule="exact"/>
              <w:rPr>
                <w:rFonts w:ascii="Times New Roman" w:hAnsi="Times New Roman" w:eastAsiaTheme="minorEastAsia"/>
                <w:caps w:val="0"/>
                <w:smallCaps w:val="0"/>
                <w:color w:val="auto"/>
                <w:spacing w:val="0"/>
                <w:w w:val="100"/>
                <w:position w:val="0"/>
                <w:highlight w:val="none"/>
                <w:lang w:val="en-US"/>
              </w:rPr>
            </w:pPr>
            <w:r>
              <w:rPr>
                <w:rFonts w:ascii="Times New Roman" w:hAnsi="Times New Roman" w:eastAsiaTheme="minorEastAsia"/>
                <w:caps w:val="0"/>
                <w:smallCaps w:val="0"/>
                <w:color w:val="auto"/>
                <w:spacing w:val="0"/>
                <w:w w:val="100"/>
                <w:position w:val="0"/>
                <w:highlight w:val="none"/>
                <w:lang w:val="en-US"/>
              </w:rPr>
              <w:t>38.6</w:t>
            </w:r>
          </w:p>
        </w:tc>
      </w:tr>
    </w:tbl>
    <w:p w14:paraId="0B597D2A">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本项目退役期仅在昼间施工，由上表可以看出，主要施工机械在20m以外均能够满足</w:t>
      </w:r>
      <w:r>
        <w:rPr>
          <w:rFonts w:hint="eastAsia" w:ascii="Times New Roman" w:hAnsi="Times New Roman" w:eastAsiaTheme="minorEastAsia"/>
          <w:caps w:val="0"/>
          <w:smallCaps w:val="0"/>
          <w:snapToGrid w:val="0"/>
          <w:color w:val="auto"/>
          <w:spacing w:val="0"/>
          <w:w w:val="100"/>
          <w:position w:val="0"/>
          <w:highlight w:val="none"/>
        </w:rPr>
        <w:t>《建筑施工噪声排放标准》（</w:t>
      </w:r>
      <w:r>
        <w:rPr>
          <w:rFonts w:ascii="Times New Roman" w:hAnsi="Times New Roman" w:eastAsiaTheme="minorEastAsia"/>
          <w:caps w:val="0"/>
          <w:smallCaps w:val="0"/>
          <w:snapToGrid w:val="0"/>
          <w:color w:val="auto"/>
          <w:spacing w:val="0"/>
          <w:w w:val="100"/>
          <w:position w:val="0"/>
          <w:highlight w:val="none"/>
        </w:rPr>
        <w:t>GB12523-2025）</w:t>
      </w:r>
      <w:r>
        <w:rPr>
          <w:rFonts w:ascii="Times New Roman" w:hAnsi="Times New Roman" w:cs="Times New Roman"/>
          <w:caps w:val="0"/>
          <w:smallCaps w:val="0"/>
          <w:color w:val="auto"/>
          <w:spacing w:val="0"/>
          <w:w w:val="100"/>
          <w:kern w:val="2"/>
          <w:position w:val="0"/>
          <w:highlight w:val="none"/>
        </w:rPr>
        <w:t>中昼间限值不超过70dB（A）的要求。根据现场调查，</w:t>
      </w:r>
      <w:r>
        <w:rPr>
          <w:rFonts w:hint="eastAsia" w:ascii="Times New Roman" w:hAnsi="Times New Roman" w:cs="Times New Roman"/>
          <w:bCs/>
          <w:caps w:val="0"/>
          <w:smallCaps w:val="0"/>
          <w:color w:val="auto"/>
          <w:spacing w:val="0"/>
          <w:w w:val="100"/>
          <w:kern w:val="2"/>
          <w:position w:val="0"/>
          <w:highlight w:val="none"/>
        </w:rPr>
        <w:t>本项目2</w:t>
      </w:r>
      <w:r>
        <w:rPr>
          <w:rFonts w:ascii="Times New Roman" w:hAnsi="Times New Roman" w:cs="Times New Roman"/>
          <w:bCs/>
          <w:caps w:val="0"/>
          <w:smallCaps w:val="0"/>
          <w:color w:val="auto"/>
          <w:spacing w:val="0"/>
          <w:w w:val="100"/>
          <w:kern w:val="2"/>
          <w:position w:val="0"/>
          <w:highlight w:val="none"/>
        </w:rPr>
        <w:t>00m范围内无声环境敏感点，为较少施工噪声对</w:t>
      </w:r>
      <w:r>
        <w:rPr>
          <w:rFonts w:hint="eastAsia" w:ascii="Times New Roman" w:hAnsi="Times New Roman" w:cs="Times New Roman"/>
          <w:bCs/>
          <w:caps w:val="0"/>
          <w:smallCaps w:val="0"/>
          <w:color w:val="auto"/>
          <w:spacing w:val="0"/>
          <w:w w:val="100"/>
          <w:kern w:val="2"/>
          <w:position w:val="0"/>
          <w:highlight w:val="none"/>
        </w:rPr>
        <w:t>周边</w:t>
      </w:r>
      <w:r>
        <w:rPr>
          <w:rFonts w:ascii="Times New Roman" w:hAnsi="Times New Roman" w:cs="Times New Roman"/>
          <w:bCs/>
          <w:caps w:val="0"/>
          <w:smallCaps w:val="0"/>
          <w:color w:val="auto"/>
          <w:spacing w:val="0"/>
          <w:w w:val="100"/>
          <w:kern w:val="2"/>
          <w:position w:val="0"/>
          <w:highlight w:val="none"/>
        </w:rPr>
        <w:t>环境的影响，本项目采取尽量采取人工方式进行，减少机械运行</w:t>
      </w:r>
      <w:r>
        <w:rPr>
          <w:rFonts w:ascii="Times New Roman" w:hAnsi="Times New Roman" w:cs="Times New Roman"/>
          <w:caps w:val="0"/>
          <w:smallCaps w:val="0"/>
          <w:color w:val="auto"/>
          <w:spacing w:val="0"/>
          <w:w w:val="100"/>
          <w:kern w:val="2"/>
          <w:position w:val="0"/>
          <w:highlight w:val="none"/>
        </w:rPr>
        <w:t>，项目退役期产生噪声对</w:t>
      </w:r>
      <w:r>
        <w:rPr>
          <w:rFonts w:hint="eastAsia" w:ascii="Times New Roman" w:hAnsi="Times New Roman" w:cs="Times New Roman"/>
          <w:caps w:val="0"/>
          <w:smallCaps w:val="0"/>
          <w:color w:val="auto"/>
          <w:spacing w:val="0"/>
          <w:w w:val="100"/>
          <w:kern w:val="2"/>
          <w:position w:val="0"/>
          <w:highlight w:val="none"/>
        </w:rPr>
        <w:t>周边</w:t>
      </w:r>
      <w:r>
        <w:rPr>
          <w:rFonts w:ascii="Times New Roman" w:hAnsi="Times New Roman" w:cs="Times New Roman"/>
          <w:caps w:val="0"/>
          <w:smallCaps w:val="0"/>
          <w:color w:val="auto"/>
          <w:spacing w:val="0"/>
          <w:w w:val="100"/>
          <w:kern w:val="2"/>
          <w:position w:val="0"/>
          <w:highlight w:val="none"/>
        </w:rPr>
        <w:t>环境影响较小，且噪声对环境的影响是暂时性的，随着施工结束，其影响也随之消失。</w:t>
      </w:r>
    </w:p>
    <w:p w14:paraId="151E29D7">
      <w:pPr>
        <w:pStyle w:val="4"/>
        <w:keepNext w:val="0"/>
        <w:keepLines w:val="0"/>
        <w:widowControl w:val="0"/>
        <w:spacing w:before="120" w:after="120" w:line="440" w:lineRule="exact"/>
        <w:rPr>
          <w:rFonts w:ascii="Times New Roman" w:hAnsi="Times New Roman" w:eastAsiaTheme="minorEastAsia"/>
          <w:b/>
          <w:caps w:val="0"/>
          <w:smallCaps w:val="0"/>
          <w:snapToGrid w:val="0"/>
          <w:color w:val="auto"/>
          <w:spacing w:val="0"/>
          <w:w w:val="100"/>
          <w:position w:val="0"/>
          <w:highlight w:val="none"/>
        </w:rPr>
      </w:pPr>
      <w:bookmarkStart w:id="854" w:name="_Toc219900400"/>
      <w:r>
        <w:rPr>
          <w:rFonts w:ascii="Times New Roman" w:hAnsi="Times New Roman" w:eastAsiaTheme="minorEastAsia"/>
          <w:b/>
          <w:caps w:val="0"/>
          <w:smallCaps w:val="0"/>
          <w:snapToGrid w:val="0"/>
          <w:color w:val="auto"/>
          <w:spacing w:val="0"/>
          <w:w w:val="100"/>
          <w:position w:val="0"/>
          <w:highlight w:val="none"/>
        </w:rPr>
        <w:t>5.5固体废物环境影响分析</w:t>
      </w:r>
      <w:bookmarkEnd w:id="853"/>
      <w:bookmarkEnd w:id="854"/>
    </w:p>
    <w:p w14:paraId="68351E50">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855" w:name="_Toc78816523"/>
      <w:bookmarkStart w:id="856" w:name="_Toc84929295"/>
      <w:bookmarkStart w:id="857" w:name="_Toc67860196"/>
      <w:bookmarkStart w:id="858" w:name="_Toc110438539"/>
      <w:bookmarkStart w:id="859" w:name="_Toc80588318"/>
      <w:bookmarkStart w:id="860" w:name="_Toc76976308"/>
      <w:bookmarkStart w:id="861" w:name="_Toc77067720"/>
      <w:bookmarkStart w:id="862" w:name="_Toc80971440"/>
      <w:bookmarkStart w:id="863" w:name="_Toc83209540"/>
      <w:bookmarkStart w:id="864" w:name="_Toc86141998"/>
      <w:bookmarkStart w:id="865" w:name="_Toc85640823"/>
      <w:bookmarkStart w:id="866" w:name="_Toc70050245"/>
      <w:r>
        <w:rPr>
          <w:rFonts w:eastAsiaTheme="minorEastAsia"/>
          <w:b/>
          <w:caps w:val="0"/>
          <w:smallCaps w:val="0"/>
          <w:color w:val="auto"/>
          <w:spacing w:val="0"/>
          <w:w w:val="100"/>
          <w:kern w:val="2"/>
          <w:position w:val="0"/>
          <w:sz w:val="24"/>
          <w:szCs w:val="24"/>
          <w:highlight w:val="none"/>
        </w:rPr>
        <w:t>5.5.1施工期</w:t>
      </w:r>
      <w:bookmarkEnd w:id="855"/>
      <w:bookmarkEnd w:id="856"/>
      <w:bookmarkEnd w:id="857"/>
      <w:bookmarkEnd w:id="858"/>
      <w:bookmarkEnd w:id="859"/>
      <w:bookmarkEnd w:id="860"/>
      <w:bookmarkEnd w:id="861"/>
      <w:bookmarkEnd w:id="862"/>
      <w:bookmarkEnd w:id="863"/>
      <w:bookmarkEnd w:id="864"/>
      <w:bookmarkEnd w:id="865"/>
      <w:bookmarkEnd w:id="866"/>
    </w:p>
    <w:p w14:paraId="7B0A391E">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bCs/>
          <w:caps w:val="0"/>
          <w:smallCaps w:val="0"/>
          <w:color w:val="auto"/>
          <w:spacing w:val="0"/>
          <w:w w:val="100"/>
          <w:position w:val="0"/>
          <w:sz w:val="24"/>
          <w:highlight w:val="none"/>
        </w:rPr>
        <w:t>（1）</w:t>
      </w:r>
      <w:r>
        <w:rPr>
          <w:rFonts w:eastAsiaTheme="minorEastAsia"/>
          <w:bCs/>
          <w:caps w:val="0"/>
          <w:smallCaps w:val="0"/>
          <w:color w:val="auto"/>
          <w:spacing w:val="0"/>
          <w:w w:val="100"/>
          <w:position w:val="0"/>
          <w:sz w:val="24"/>
          <w:highlight w:val="none"/>
        </w:rPr>
        <w:t>施工废料</w:t>
      </w:r>
      <w:r>
        <w:rPr>
          <w:rFonts w:hint="eastAsia" w:eastAsiaTheme="minorEastAsia"/>
          <w:bCs/>
          <w:caps w:val="0"/>
          <w:smallCaps w:val="0"/>
          <w:color w:val="auto"/>
          <w:spacing w:val="0"/>
          <w:w w:val="100"/>
          <w:position w:val="0"/>
          <w:sz w:val="24"/>
          <w:highlight w:val="none"/>
        </w:rPr>
        <w:t>和废防渗布</w:t>
      </w:r>
    </w:p>
    <w:p w14:paraId="73865133">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施工废料主要为焊接施工中产生废焊条和管道防腐施工过程中产生的废防腐材料，属于一般工业固体废物，根据《固体废物分类与代码目录》（生态环境部公告2024年第4号），施工废料的分类代码为900-099-S59。施工废料采用收集桶回收，拉运至第八采油厂工业固废填埋场处理。</w:t>
      </w:r>
    </w:p>
    <w:p w14:paraId="421109A0">
      <w:pPr>
        <w:snapToGrid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caps w:val="0"/>
          <w:smallCaps w:val="0"/>
          <w:color w:val="auto"/>
          <w:spacing w:val="0"/>
          <w:w w:val="100"/>
          <w:kern w:val="2"/>
          <w:position w:val="0"/>
          <w:szCs w:val="20"/>
          <w:highlight w:val="none"/>
        </w:rPr>
        <w:t>定向钻施工场地中泥浆罐、钢制泥浆槽底部</w:t>
      </w:r>
      <w:r>
        <w:rPr>
          <w:rFonts w:ascii="Times New Roman" w:hAnsi="Times New Roman" w:cs="Times New Roman"/>
          <w:caps w:val="0"/>
          <w:smallCaps w:val="0"/>
          <w:color w:val="auto"/>
          <w:spacing w:val="0"/>
          <w:w w:val="100"/>
          <w:kern w:val="2"/>
          <w:position w:val="0"/>
          <w:szCs w:val="20"/>
          <w:highlight w:val="none"/>
        </w:rPr>
        <w:t>铺设防渗布</w:t>
      </w:r>
      <w:r>
        <w:rPr>
          <w:rFonts w:ascii="Times New Roman" w:hAnsi="Times New Roman" w:cs="Times New Roman"/>
          <w:caps w:val="0"/>
          <w:smallCaps w:val="0"/>
          <w:color w:val="auto"/>
          <w:spacing w:val="0"/>
          <w:w w:val="100"/>
          <w:kern w:val="2"/>
          <w:position w:val="0"/>
          <w:highlight w:val="none"/>
        </w:rPr>
        <w:t>，</w:t>
      </w:r>
      <w:r>
        <w:rPr>
          <w:rFonts w:hint="eastAsia" w:ascii="Times New Roman" w:hAnsi="Times New Roman" w:cs="Times New Roman"/>
          <w:caps w:val="0"/>
          <w:smallCaps w:val="0"/>
          <w:color w:val="auto"/>
          <w:spacing w:val="0"/>
          <w:w w:val="100"/>
          <w:kern w:val="2"/>
          <w:position w:val="0"/>
          <w:highlight w:val="none"/>
        </w:rPr>
        <w:t>废弃防渗布属于</w:t>
      </w:r>
      <w:r>
        <w:rPr>
          <w:rFonts w:ascii="Times New Roman" w:hAnsi="Times New Roman" w:cs="Times New Roman"/>
          <w:caps w:val="0"/>
          <w:smallCaps w:val="0"/>
          <w:color w:val="auto"/>
          <w:spacing w:val="0"/>
          <w:w w:val="100"/>
          <w:kern w:val="2"/>
          <w:position w:val="0"/>
          <w:highlight w:val="none"/>
        </w:rPr>
        <w:t>一般固体废物，根据《固体废物分类与代码目录》（生态环境部公告2024年第4号），废</w:t>
      </w:r>
      <w:r>
        <w:rPr>
          <w:rFonts w:hint="eastAsia" w:ascii="Times New Roman" w:hAnsi="Times New Roman" w:cs="Times New Roman"/>
          <w:caps w:val="0"/>
          <w:smallCaps w:val="0"/>
          <w:color w:val="auto"/>
          <w:spacing w:val="0"/>
          <w:w w:val="100"/>
          <w:kern w:val="2"/>
          <w:position w:val="0"/>
          <w:highlight w:val="none"/>
        </w:rPr>
        <w:t>防渗布</w:t>
      </w:r>
      <w:r>
        <w:rPr>
          <w:rFonts w:ascii="Times New Roman" w:hAnsi="Times New Roman" w:cs="Times New Roman"/>
          <w:caps w:val="0"/>
          <w:smallCaps w:val="0"/>
          <w:color w:val="auto"/>
          <w:spacing w:val="0"/>
          <w:w w:val="100"/>
          <w:kern w:val="2"/>
          <w:position w:val="0"/>
          <w:highlight w:val="none"/>
        </w:rPr>
        <w:t>的分类代码为900-003-S17。</w:t>
      </w:r>
      <w:r>
        <w:rPr>
          <w:rFonts w:hint="eastAsia" w:ascii="Times New Roman" w:hAnsi="Times New Roman" w:cs="Times New Roman"/>
          <w:caps w:val="0"/>
          <w:smallCaps w:val="0"/>
          <w:color w:val="auto"/>
          <w:spacing w:val="0"/>
          <w:w w:val="100"/>
          <w:kern w:val="2"/>
          <w:position w:val="0"/>
          <w:highlight w:val="none"/>
        </w:rPr>
        <w:t>废防渗布</w:t>
      </w:r>
      <w:r>
        <w:rPr>
          <w:rFonts w:ascii="Times New Roman" w:hAnsi="Times New Roman" w:cs="Times New Roman"/>
          <w:caps w:val="0"/>
          <w:smallCaps w:val="0"/>
          <w:color w:val="auto"/>
          <w:spacing w:val="0"/>
          <w:w w:val="100"/>
          <w:position w:val="0"/>
          <w:highlight w:val="none"/>
        </w:rPr>
        <w:t>采用收集桶回收，由施工单位安排拉运至第</w:t>
      </w:r>
      <w:r>
        <w:rPr>
          <w:rFonts w:hint="eastAsia" w:ascii="Times New Roman" w:hAnsi="Times New Roman" w:cs="Times New Roman"/>
          <w:caps w:val="0"/>
          <w:smallCaps w:val="0"/>
          <w:color w:val="auto"/>
          <w:spacing w:val="0"/>
          <w:w w:val="100"/>
          <w:position w:val="0"/>
          <w:highlight w:val="none"/>
        </w:rPr>
        <w:t>八</w:t>
      </w:r>
      <w:r>
        <w:rPr>
          <w:rFonts w:ascii="Times New Roman" w:hAnsi="Times New Roman" w:cs="Times New Roman"/>
          <w:caps w:val="0"/>
          <w:smallCaps w:val="0"/>
          <w:color w:val="auto"/>
          <w:spacing w:val="0"/>
          <w:w w:val="100"/>
          <w:position w:val="0"/>
          <w:highlight w:val="none"/>
        </w:rPr>
        <w:t>采油厂工业固废填埋场处理</w:t>
      </w:r>
      <w:r>
        <w:rPr>
          <w:rFonts w:ascii="Times New Roman" w:hAnsi="Times New Roman" w:cs="Times New Roman"/>
          <w:bCs/>
          <w:caps w:val="0"/>
          <w:smallCaps w:val="0"/>
          <w:color w:val="auto"/>
          <w:spacing w:val="0"/>
          <w:w w:val="100"/>
          <w:kern w:val="2"/>
          <w:position w:val="0"/>
          <w:highlight w:val="none"/>
        </w:rPr>
        <w:t>。</w:t>
      </w:r>
    </w:p>
    <w:p w14:paraId="59A167D7">
      <w:pPr>
        <w:snapToGrid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第八采油厂工业固废填埋场总容量为14000m</w:t>
      </w:r>
      <w:r>
        <w:rPr>
          <w:rFonts w:ascii="Times New Roman" w:hAnsi="Times New Roman" w:cs="Times New Roman" w:eastAsiaTheme="minorEastAsia"/>
          <w:bCs/>
          <w:caps w:val="0"/>
          <w:smallCaps w:val="0"/>
          <w:color w:val="auto"/>
          <w:spacing w:val="0"/>
          <w:w w:val="100"/>
          <w:position w:val="0"/>
          <w:highlight w:val="none"/>
          <w:vertAlign w:val="superscript"/>
        </w:rPr>
        <w:t>3</w:t>
      </w:r>
      <w:r>
        <w:rPr>
          <w:rFonts w:ascii="Times New Roman" w:hAnsi="Times New Roman" w:cs="Times New Roman" w:eastAsiaTheme="minorEastAsia"/>
          <w:bCs/>
          <w:caps w:val="0"/>
          <w:smallCaps w:val="0"/>
          <w:color w:val="auto"/>
          <w:spacing w:val="0"/>
          <w:w w:val="100"/>
          <w:position w:val="0"/>
          <w:highlight w:val="none"/>
        </w:rPr>
        <w:t>，设计年处理能力为581.2m</w:t>
      </w:r>
      <w:r>
        <w:rPr>
          <w:rFonts w:ascii="Times New Roman" w:hAnsi="Times New Roman" w:cs="Times New Roman" w:eastAsiaTheme="minorEastAsia"/>
          <w:bCs/>
          <w:caps w:val="0"/>
          <w:smallCaps w:val="0"/>
          <w:color w:val="auto"/>
          <w:spacing w:val="0"/>
          <w:w w:val="100"/>
          <w:position w:val="0"/>
          <w:highlight w:val="none"/>
          <w:vertAlign w:val="superscript"/>
        </w:rPr>
        <w:t>3</w:t>
      </w:r>
      <w:r>
        <w:rPr>
          <w:rFonts w:ascii="Times New Roman" w:hAnsi="Times New Roman" w:cs="Times New Roman" w:eastAsiaTheme="minorEastAsia"/>
          <w:bCs/>
          <w:caps w:val="0"/>
          <w:smallCaps w:val="0"/>
          <w:color w:val="auto"/>
          <w:spacing w:val="0"/>
          <w:w w:val="100"/>
          <w:position w:val="0"/>
          <w:highlight w:val="none"/>
        </w:rPr>
        <w:t>，目前填埋总量约为9100m</w:t>
      </w:r>
      <w:r>
        <w:rPr>
          <w:rFonts w:ascii="Times New Roman" w:hAnsi="Times New Roman" w:cs="Times New Roman" w:eastAsiaTheme="minorEastAsia"/>
          <w:bCs/>
          <w:caps w:val="0"/>
          <w:smallCaps w:val="0"/>
          <w:color w:val="auto"/>
          <w:spacing w:val="0"/>
          <w:w w:val="100"/>
          <w:position w:val="0"/>
          <w:highlight w:val="none"/>
          <w:vertAlign w:val="superscript"/>
        </w:rPr>
        <w:t>3</w:t>
      </w:r>
      <w:r>
        <w:rPr>
          <w:rFonts w:ascii="Times New Roman" w:hAnsi="Times New Roman" w:cs="Times New Roman" w:eastAsiaTheme="minorEastAsia"/>
          <w:bCs/>
          <w:caps w:val="0"/>
          <w:smallCaps w:val="0"/>
          <w:color w:val="auto"/>
          <w:spacing w:val="0"/>
          <w:w w:val="100"/>
          <w:position w:val="0"/>
          <w:highlight w:val="none"/>
        </w:rPr>
        <w:t>，剩余填埋量约为4900m</w:t>
      </w:r>
      <w:r>
        <w:rPr>
          <w:rFonts w:ascii="Times New Roman" w:hAnsi="Times New Roman" w:cs="Times New Roman" w:eastAsiaTheme="minorEastAsia"/>
          <w:bCs/>
          <w:caps w:val="0"/>
          <w:smallCaps w:val="0"/>
          <w:color w:val="auto"/>
          <w:spacing w:val="0"/>
          <w:w w:val="100"/>
          <w:position w:val="0"/>
          <w:highlight w:val="none"/>
          <w:vertAlign w:val="superscript"/>
        </w:rPr>
        <w:t>3</w:t>
      </w:r>
      <w:r>
        <w:rPr>
          <w:rFonts w:ascii="Times New Roman" w:hAnsi="Times New Roman" w:cs="Times New Roman" w:eastAsiaTheme="minorEastAsia"/>
          <w:bCs/>
          <w:caps w:val="0"/>
          <w:smallCaps w:val="0"/>
          <w:color w:val="auto"/>
          <w:spacing w:val="0"/>
          <w:w w:val="100"/>
          <w:position w:val="0"/>
          <w:highlight w:val="none"/>
        </w:rPr>
        <w:t>，本项目产生施工废料</w:t>
      </w:r>
      <w:r>
        <w:rPr>
          <w:rFonts w:hint="eastAsia" w:ascii="Times New Roman" w:hAnsi="Times New Roman" w:cs="Times New Roman" w:eastAsiaTheme="minorEastAsia"/>
          <w:bCs/>
          <w:caps w:val="0"/>
          <w:smallCaps w:val="0"/>
          <w:color w:val="auto"/>
          <w:spacing w:val="0"/>
          <w:w w:val="100"/>
          <w:position w:val="0"/>
          <w:highlight w:val="none"/>
        </w:rPr>
        <w:t>和废防渗布合计</w:t>
      </w:r>
      <w:r>
        <w:rPr>
          <w:rFonts w:ascii="Times New Roman" w:hAnsi="Times New Roman" w:cs="Times New Roman" w:eastAsiaTheme="minorEastAsia"/>
          <w:bCs/>
          <w:caps w:val="0"/>
          <w:smallCaps w:val="0"/>
          <w:color w:val="auto"/>
          <w:spacing w:val="0"/>
          <w:w w:val="100"/>
          <w:position w:val="0"/>
          <w:highlight w:val="none"/>
        </w:rPr>
        <w:t>产生量约</w:t>
      </w:r>
      <w:r>
        <w:rPr>
          <w:rFonts w:hint="eastAsia" w:ascii="Times New Roman" w:hAnsi="Times New Roman" w:cs="Times New Roman" w:eastAsiaTheme="minorEastAsia"/>
          <w:bCs/>
          <w:caps w:val="0"/>
          <w:smallCaps w:val="0"/>
          <w:color w:val="auto"/>
          <w:spacing w:val="0"/>
          <w:w w:val="100"/>
          <w:position w:val="0"/>
          <w:highlight w:val="none"/>
          <w:lang w:val="en-US" w:eastAsia="zh-CN"/>
        </w:rPr>
        <w:t>0.13</w:t>
      </w:r>
      <w:r>
        <w:rPr>
          <w:rFonts w:ascii="Times New Roman" w:hAnsi="Times New Roman" w:cs="Times New Roman" w:eastAsiaTheme="minorEastAsia"/>
          <w:bCs/>
          <w:caps w:val="0"/>
          <w:smallCaps w:val="0"/>
          <w:color w:val="auto"/>
          <w:spacing w:val="0"/>
          <w:w w:val="100"/>
          <w:position w:val="0"/>
          <w:highlight w:val="none"/>
        </w:rPr>
        <w:t>t，填埋场剩余容量能够容纳本项目施工废料的填埋需求，依托可行。</w:t>
      </w:r>
    </w:p>
    <w:p w14:paraId="37727236">
      <w:pPr>
        <w:snapToGrid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eastAsiaTheme="minorEastAsia"/>
          <w:bCs/>
          <w:caps w:val="0"/>
          <w:smallCaps w:val="0"/>
          <w:color w:val="auto"/>
          <w:spacing w:val="0"/>
          <w:w w:val="100"/>
          <w:position w:val="0"/>
          <w:highlight w:val="none"/>
        </w:rPr>
        <w:t>（2）</w:t>
      </w:r>
      <w:r>
        <w:rPr>
          <w:rFonts w:hint="eastAsia" w:ascii="Times New Roman" w:hAnsi="Times New Roman" w:cs="Times New Roman" w:eastAsiaTheme="minorEastAsia"/>
          <w:bCs/>
          <w:caps w:val="0"/>
          <w:smallCaps w:val="0"/>
          <w:color w:val="auto"/>
          <w:spacing w:val="0"/>
          <w:w w:val="100"/>
          <w:position w:val="0"/>
          <w:highlight w:val="none"/>
          <w:lang w:val="en-US" w:eastAsia="zh-CN"/>
        </w:rPr>
        <w:t>废弃泥浆</w:t>
      </w:r>
    </w:p>
    <w:p w14:paraId="0C6826C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highlight w:val="none"/>
        </w:rPr>
      </w:pPr>
      <w:r>
        <w:rPr>
          <w:rFonts w:ascii="Times New Roman" w:hAnsi="Times New Roman" w:cs="Times New Roman" w:eastAsiaTheme="minorEastAsia"/>
          <w:caps w:val="0"/>
          <w:smallCaps w:val="0"/>
          <w:color w:val="auto"/>
          <w:spacing w:val="0"/>
          <w:w w:val="100"/>
          <w:kern w:val="2"/>
          <w:position w:val="0"/>
          <w:highlight w:val="none"/>
        </w:rPr>
        <w:t>本项目施工期管道定向钻施工会产生废弃泥浆，属于一般工业固体废物。对照《固体废物分类与代码目录》（生态环境部2024年第4号），废弃泥浆的分类代码为900-001-S71。</w:t>
      </w:r>
      <w:r>
        <w:rPr>
          <w:rFonts w:ascii="Times New Roman" w:hAnsi="Times New Roman" w:cs="Times New Roman" w:eastAsiaTheme="minorEastAsia"/>
          <w:bCs/>
          <w:caps w:val="0"/>
          <w:smallCaps w:val="0"/>
          <w:color w:val="auto"/>
          <w:spacing w:val="0"/>
          <w:w w:val="100"/>
          <w:kern w:val="2"/>
          <w:position w:val="0"/>
          <w:highlight w:val="none"/>
        </w:rPr>
        <w:t>废弃泥浆</w:t>
      </w:r>
      <w:r>
        <w:rPr>
          <w:rFonts w:ascii="Times New Roman" w:hAnsi="Times New Roman" w:cs="Times New Roman" w:eastAsiaTheme="minorEastAsia"/>
          <w:caps w:val="0"/>
          <w:smallCaps w:val="0"/>
          <w:color w:val="auto"/>
          <w:spacing w:val="0"/>
          <w:w w:val="100"/>
          <w:kern w:val="2"/>
          <w:position w:val="0"/>
          <w:highlight w:val="none"/>
        </w:rPr>
        <w:t>排入施工场地的钢制泥浆槽中，定期拉运至大庆洁宇环保科技有限公司处理。</w:t>
      </w:r>
    </w:p>
    <w:p w14:paraId="187931A9">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position w:val="0"/>
          <w:highlight w:val="none"/>
        </w:rPr>
      </w:pPr>
      <w:r>
        <w:rPr>
          <w:rFonts w:ascii="Times New Roman" w:hAnsi="Times New Roman" w:cs="Times New Roman" w:eastAsiaTheme="minorEastAsia"/>
          <w:caps w:val="0"/>
          <w:smallCaps w:val="0"/>
          <w:color w:val="auto"/>
          <w:spacing w:val="0"/>
          <w:w w:val="100"/>
          <w:position w:val="0"/>
          <w:highlight w:val="none"/>
        </w:rPr>
        <w:t>大庆洁宇环保科技有限公司</w:t>
      </w:r>
      <w:r>
        <w:rPr>
          <w:rFonts w:hint="eastAsia" w:ascii="Times New Roman" w:hAnsi="Times New Roman" w:cs="Times New Roman" w:eastAsiaTheme="minorEastAsia"/>
          <w:caps w:val="0"/>
          <w:smallCaps w:val="0"/>
          <w:color w:val="auto"/>
          <w:spacing w:val="0"/>
          <w:w w:val="100"/>
          <w:position w:val="0"/>
          <w:highlight w:val="none"/>
        </w:rPr>
        <w:t>泥浆</w:t>
      </w:r>
      <w:r>
        <w:rPr>
          <w:rFonts w:ascii="Times New Roman" w:hAnsi="Times New Roman" w:cs="Times New Roman" w:eastAsiaTheme="minorEastAsia"/>
          <w:caps w:val="0"/>
          <w:smallCaps w:val="0"/>
          <w:color w:val="auto"/>
          <w:spacing w:val="0"/>
          <w:w w:val="100"/>
          <w:position w:val="0"/>
          <w:highlight w:val="none"/>
        </w:rPr>
        <w:t>处理装置最大处理能力为</w:t>
      </w:r>
      <w:r>
        <w:rPr>
          <w:rFonts w:hint="eastAsia" w:ascii="Times New Roman" w:hAnsi="Times New Roman" w:cs="Times New Roman" w:eastAsiaTheme="minorEastAsia"/>
          <w:caps w:val="0"/>
          <w:smallCaps w:val="0"/>
          <w:color w:val="auto"/>
          <w:spacing w:val="0"/>
          <w:w w:val="100"/>
          <w:position w:val="0"/>
          <w:highlight w:val="none"/>
        </w:rPr>
        <w:t>500</w:t>
      </w:r>
      <w:r>
        <w:rPr>
          <w:rFonts w:ascii="Times New Roman" w:hAnsi="Times New Roman" w:cs="Times New Roman" w:eastAsiaTheme="minorEastAsia"/>
          <w:caps w:val="0"/>
          <w:smallCaps w:val="0"/>
          <w:color w:val="auto"/>
          <w:spacing w:val="0"/>
          <w:w w:val="100"/>
          <w:position w:val="0"/>
          <w:highlight w:val="none"/>
        </w:rPr>
        <w:t>m</w:t>
      </w:r>
      <w:r>
        <w:rPr>
          <w:rFonts w:ascii="Times New Roman" w:hAnsi="Times New Roman" w:cs="Times New Roman" w:eastAsiaTheme="minorEastAsia"/>
          <w:caps w:val="0"/>
          <w:smallCaps w:val="0"/>
          <w:color w:val="auto"/>
          <w:spacing w:val="0"/>
          <w:w w:val="100"/>
          <w:position w:val="0"/>
          <w:highlight w:val="none"/>
          <w:vertAlign w:val="superscript"/>
        </w:rPr>
        <w:t>3</w:t>
      </w:r>
      <w:r>
        <w:rPr>
          <w:rFonts w:ascii="Times New Roman" w:hAnsi="Times New Roman" w:cs="Times New Roman" w:eastAsiaTheme="minorEastAsia"/>
          <w:caps w:val="0"/>
          <w:smallCaps w:val="0"/>
          <w:color w:val="auto"/>
          <w:spacing w:val="0"/>
          <w:w w:val="100"/>
          <w:position w:val="0"/>
          <w:highlight w:val="none"/>
        </w:rPr>
        <w:t>/</w:t>
      </w:r>
      <w:r>
        <w:rPr>
          <w:rFonts w:hint="eastAsia" w:ascii="Times New Roman" w:hAnsi="Times New Roman" w:cs="Times New Roman" w:eastAsiaTheme="minorEastAsia"/>
          <w:caps w:val="0"/>
          <w:smallCaps w:val="0"/>
          <w:color w:val="auto"/>
          <w:spacing w:val="0"/>
          <w:w w:val="100"/>
          <w:position w:val="0"/>
          <w:highlight w:val="none"/>
        </w:rPr>
        <w:t>d</w:t>
      </w:r>
      <w:r>
        <w:rPr>
          <w:rFonts w:ascii="Times New Roman" w:hAnsi="Times New Roman" w:cs="Times New Roman" w:eastAsiaTheme="minorEastAsia"/>
          <w:caps w:val="0"/>
          <w:smallCaps w:val="0"/>
          <w:color w:val="auto"/>
          <w:spacing w:val="0"/>
          <w:w w:val="100"/>
          <w:position w:val="0"/>
          <w:highlight w:val="none"/>
        </w:rPr>
        <w:t>，目前处理负荷为355m</w:t>
      </w:r>
      <w:r>
        <w:rPr>
          <w:rFonts w:ascii="Times New Roman" w:hAnsi="Times New Roman" w:cs="Times New Roman" w:eastAsiaTheme="minorEastAsia"/>
          <w:caps w:val="0"/>
          <w:smallCaps w:val="0"/>
          <w:color w:val="auto"/>
          <w:spacing w:val="0"/>
          <w:w w:val="100"/>
          <w:position w:val="0"/>
          <w:highlight w:val="none"/>
          <w:vertAlign w:val="superscript"/>
        </w:rPr>
        <w:t>3</w:t>
      </w:r>
      <w:r>
        <w:rPr>
          <w:rFonts w:ascii="Times New Roman" w:hAnsi="Times New Roman" w:cs="Times New Roman" w:eastAsiaTheme="minorEastAsia"/>
          <w:caps w:val="0"/>
          <w:smallCaps w:val="0"/>
          <w:color w:val="auto"/>
          <w:spacing w:val="0"/>
          <w:w w:val="100"/>
          <w:position w:val="0"/>
          <w:highlight w:val="none"/>
        </w:rPr>
        <w:t>/d，泥浆池已用容量为500m</w:t>
      </w:r>
      <w:r>
        <w:rPr>
          <w:rFonts w:ascii="Times New Roman" w:hAnsi="Times New Roman" w:cs="Times New Roman" w:eastAsiaTheme="minorEastAsia"/>
          <w:caps w:val="0"/>
          <w:smallCaps w:val="0"/>
          <w:color w:val="auto"/>
          <w:spacing w:val="0"/>
          <w:w w:val="100"/>
          <w:position w:val="0"/>
          <w:highlight w:val="none"/>
          <w:vertAlign w:val="superscript"/>
        </w:rPr>
        <w:t>3</w:t>
      </w:r>
      <w:r>
        <w:rPr>
          <w:rFonts w:ascii="Times New Roman" w:hAnsi="Times New Roman" w:cs="Times New Roman" w:eastAsiaTheme="minorEastAsia"/>
          <w:caps w:val="0"/>
          <w:smallCaps w:val="0"/>
          <w:color w:val="auto"/>
          <w:spacing w:val="0"/>
          <w:w w:val="100"/>
          <w:position w:val="0"/>
          <w:highlight w:val="none"/>
        </w:rPr>
        <w:t>。该站剩余处理能力145m</w:t>
      </w:r>
      <w:r>
        <w:rPr>
          <w:rFonts w:ascii="Times New Roman" w:hAnsi="Times New Roman" w:cs="Times New Roman" w:eastAsiaTheme="minorEastAsia"/>
          <w:caps w:val="0"/>
          <w:smallCaps w:val="0"/>
          <w:color w:val="auto"/>
          <w:spacing w:val="0"/>
          <w:w w:val="100"/>
          <w:position w:val="0"/>
          <w:highlight w:val="none"/>
          <w:vertAlign w:val="superscript"/>
        </w:rPr>
        <w:t>3</w:t>
      </w:r>
      <w:r>
        <w:rPr>
          <w:rFonts w:ascii="Times New Roman" w:hAnsi="Times New Roman" w:cs="Times New Roman" w:eastAsiaTheme="minorEastAsia"/>
          <w:caps w:val="0"/>
          <w:smallCaps w:val="0"/>
          <w:color w:val="auto"/>
          <w:spacing w:val="0"/>
          <w:w w:val="100"/>
          <w:position w:val="0"/>
          <w:highlight w:val="none"/>
        </w:rPr>
        <w:t>/d，泥浆暂存池剩余容积为14000m</w:t>
      </w:r>
      <w:r>
        <w:rPr>
          <w:rFonts w:ascii="Times New Roman" w:hAnsi="Times New Roman" w:cs="Times New Roman" w:eastAsiaTheme="minorEastAsia"/>
          <w:caps w:val="0"/>
          <w:smallCaps w:val="0"/>
          <w:color w:val="auto"/>
          <w:spacing w:val="0"/>
          <w:w w:val="100"/>
          <w:position w:val="0"/>
          <w:highlight w:val="none"/>
          <w:vertAlign w:val="superscript"/>
        </w:rPr>
        <w:t>3</w:t>
      </w:r>
      <w:r>
        <w:rPr>
          <w:rFonts w:ascii="Times New Roman" w:hAnsi="Times New Roman" w:cs="Times New Roman" w:eastAsiaTheme="minorEastAsia"/>
          <w:caps w:val="0"/>
          <w:smallCaps w:val="0"/>
          <w:color w:val="auto"/>
          <w:spacing w:val="0"/>
          <w:w w:val="100"/>
          <w:position w:val="0"/>
          <w:highlight w:val="none"/>
        </w:rPr>
        <w:t>，本工程定向钻施工产生的废弃泥浆量</w:t>
      </w:r>
      <w:r>
        <w:rPr>
          <w:rFonts w:hint="eastAsia" w:ascii="Times New Roman" w:hAnsi="Times New Roman" w:cs="Times New Roman" w:eastAsiaTheme="minorEastAsia"/>
          <w:caps w:val="0"/>
          <w:smallCaps w:val="0"/>
          <w:color w:val="auto"/>
          <w:spacing w:val="0"/>
          <w:w w:val="100"/>
          <w:position w:val="0"/>
          <w:highlight w:val="none"/>
          <w:lang w:val="en-US" w:eastAsia="zh-CN"/>
        </w:rPr>
        <w:t>70.56</w:t>
      </w:r>
      <w:r>
        <w:rPr>
          <w:rFonts w:ascii="Times New Roman" w:hAnsi="Times New Roman" w:cs="Times New Roman" w:eastAsiaTheme="minorEastAsia"/>
          <w:caps w:val="0"/>
          <w:smallCaps w:val="0"/>
          <w:color w:val="auto"/>
          <w:spacing w:val="0"/>
          <w:w w:val="100"/>
          <w:position w:val="0"/>
          <w:highlight w:val="none"/>
        </w:rPr>
        <w:t>m</w:t>
      </w:r>
      <w:r>
        <w:rPr>
          <w:rFonts w:ascii="Times New Roman" w:hAnsi="Times New Roman" w:cs="Times New Roman" w:eastAsiaTheme="minorEastAsia"/>
          <w:caps w:val="0"/>
          <w:smallCaps w:val="0"/>
          <w:color w:val="auto"/>
          <w:spacing w:val="0"/>
          <w:w w:val="100"/>
          <w:position w:val="0"/>
          <w:highlight w:val="none"/>
          <w:vertAlign w:val="superscript"/>
        </w:rPr>
        <w:t>3</w:t>
      </w:r>
      <w:r>
        <w:rPr>
          <w:rFonts w:ascii="Times New Roman" w:hAnsi="Times New Roman" w:cs="Times New Roman" w:eastAsiaTheme="minorEastAsia"/>
          <w:caps w:val="0"/>
          <w:smallCaps w:val="0"/>
          <w:color w:val="auto"/>
          <w:spacing w:val="0"/>
          <w:w w:val="100"/>
          <w:position w:val="0"/>
          <w:highlight w:val="none"/>
        </w:rPr>
        <w:t>，</w:t>
      </w:r>
      <w:r>
        <w:rPr>
          <w:rFonts w:hint="eastAsia" w:ascii="Times New Roman" w:hAnsi="Times New Roman" w:cs="Times New Roman" w:eastAsiaTheme="minorEastAsia"/>
          <w:caps w:val="0"/>
          <w:smallCaps w:val="0"/>
          <w:color w:val="auto"/>
          <w:spacing w:val="0"/>
          <w:w w:val="100"/>
          <w:position w:val="0"/>
          <w:highlight w:val="none"/>
        </w:rPr>
        <w:t>新增本工程钻井泥浆后，该站负荷率为</w:t>
      </w:r>
      <w:r>
        <w:rPr>
          <w:rFonts w:hint="eastAsia" w:ascii="Times New Roman" w:hAnsi="Times New Roman" w:cs="Times New Roman" w:eastAsiaTheme="minorEastAsia"/>
          <w:caps w:val="0"/>
          <w:smallCaps w:val="0"/>
          <w:color w:val="auto"/>
          <w:spacing w:val="0"/>
          <w:w w:val="100"/>
          <w:position w:val="0"/>
          <w:highlight w:val="none"/>
          <w:lang w:val="en-US" w:eastAsia="zh-CN"/>
        </w:rPr>
        <w:t>85.1</w:t>
      </w:r>
      <w:r>
        <w:rPr>
          <w:rFonts w:hint="eastAsia" w:ascii="Times New Roman" w:hAnsi="Times New Roman" w:cs="Times New Roman" w:eastAsiaTheme="minorEastAsia"/>
          <w:caps w:val="0"/>
          <w:smallCaps w:val="0"/>
          <w:color w:val="auto"/>
          <w:spacing w:val="0"/>
          <w:w w:val="100"/>
          <w:position w:val="0"/>
          <w:highlight w:val="none"/>
        </w:rPr>
        <w:t>%，能够满足本工程依托需求</w:t>
      </w:r>
      <w:r>
        <w:rPr>
          <w:rFonts w:ascii="Times New Roman" w:hAnsi="Times New Roman" w:cs="Times New Roman" w:eastAsiaTheme="minorEastAsia"/>
          <w:caps w:val="0"/>
          <w:smallCaps w:val="0"/>
          <w:color w:val="auto"/>
          <w:spacing w:val="0"/>
          <w:w w:val="100"/>
          <w:position w:val="0"/>
          <w:highlight w:val="none"/>
        </w:rPr>
        <w:t>。</w:t>
      </w:r>
    </w:p>
    <w:p w14:paraId="2D2AED4B">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（3）生活垃圾</w:t>
      </w:r>
    </w:p>
    <w:p w14:paraId="54870782">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根据《固体废物分类与代码目录》（生态环境部公告2024年第4号），生活垃圾的分类代码为900-099-S64。生活垃圾统一收集后拉运至安达市生活垃圾填埋场处理。</w:t>
      </w:r>
    </w:p>
    <w:p w14:paraId="5B37E4C9">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综上所述，施工期产生的固体废物均得到分类收集，妥善、有效处置，不会对周围环境产生不良影响。</w:t>
      </w:r>
    </w:p>
    <w:p w14:paraId="7E7A29AA">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867" w:name="_Toc127192404"/>
      <w:bookmarkStart w:id="868" w:name="_Toc186444352"/>
      <w:bookmarkStart w:id="869" w:name="_Toc126863455"/>
      <w:bookmarkStart w:id="870" w:name="_Toc143099642"/>
      <w:bookmarkStart w:id="871" w:name="_Toc131167355"/>
      <w:r>
        <w:rPr>
          <w:rFonts w:eastAsiaTheme="minorEastAsia"/>
          <w:b/>
          <w:caps w:val="0"/>
          <w:smallCaps w:val="0"/>
          <w:color w:val="auto"/>
          <w:spacing w:val="0"/>
          <w:w w:val="100"/>
          <w:kern w:val="2"/>
          <w:position w:val="0"/>
          <w:sz w:val="24"/>
          <w:szCs w:val="24"/>
          <w:highlight w:val="none"/>
        </w:rPr>
        <w:t>5.5.2运行期</w:t>
      </w:r>
      <w:bookmarkEnd w:id="867"/>
      <w:bookmarkEnd w:id="868"/>
      <w:bookmarkEnd w:id="869"/>
      <w:bookmarkEnd w:id="870"/>
      <w:bookmarkEnd w:id="871"/>
    </w:p>
    <w:p w14:paraId="6E1CCA16">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本项目运营期管线采用密闭集输工艺流程输送原油、</w:t>
      </w:r>
      <w:r>
        <w:rPr>
          <w:rFonts w:hint="eastAsia" w:eastAsiaTheme="minorEastAsia"/>
          <w:bCs/>
          <w:caps w:val="0"/>
          <w:smallCaps w:val="0"/>
          <w:color w:val="auto"/>
          <w:spacing w:val="0"/>
          <w:w w:val="100"/>
          <w:position w:val="0"/>
          <w:sz w:val="24"/>
          <w:highlight w:val="none"/>
          <w:lang w:val="en-US" w:eastAsia="zh-CN"/>
        </w:rPr>
        <w:t>含油污水</w:t>
      </w:r>
      <w:r>
        <w:rPr>
          <w:rFonts w:eastAsiaTheme="minorEastAsia"/>
          <w:bCs/>
          <w:caps w:val="0"/>
          <w:smallCaps w:val="0"/>
          <w:color w:val="auto"/>
          <w:spacing w:val="0"/>
          <w:w w:val="100"/>
          <w:position w:val="0"/>
          <w:sz w:val="24"/>
          <w:highlight w:val="none"/>
        </w:rPr>
        <w:t>，正常运行情况下无固体废物产生和排放。项目不新增劳动定员，不新增生活垃圾。</w:t>
      </w:r>
    </w:p>
    <w:p w14:paraId="49F05EF1">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872" w:name="_Toc186444354"/>
      <w:bookmarkStart w:id="873" w:name="_Toc127192405"/>
      <w:bookmarkStart w:id="874" w:name="_Toc143099643"/>
      <w:bookmarkStart w:id="875" w:name="_Toc126863456"/>
      <w:bookmarkStart w:id="876" w:name="_Toc131167356"/>
      <w:r>
        <w:rPr>
          <w:rFonts w:eastAsiaTheme="minorEastAsia"/>
          <w:b/>
          <w:caps w:val="0"/>
          <w:smallCaps w:val="0"/>
          <w:color w:val="auto"/>
          <w:spacing w:val="0"/>
          <w:w w:val="100"/>
          <w:kern w:val="2"/>
          <w:position w:val="0"/>
          <w:sz w:val="24"/>
          <w:szCs w:val="24"/>
          <w:highlight w:val="none"/>
        </w:rPr>
        <w:t>5.5.3退役期</w:t>
      </w:r>
      <w:bookmarkEnd w:id="872"/>
    </w:p>
    <w:p w14:paraId="0686B40B">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退役期固体废物主要为生活垃圾，生活垃圾统一收集后拉运至安达市生活垃圾填埋场处理，不会对周围环境产生不良影响。</w:t>
      </w:r>
    </w:p>
    <w:p w14:paraId="3492DC07">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877" w:name="_Toc186444355"/>
      <w:r>
        <w:rPr>
          <w:rFonts w:eastAsiaTheme="minorEastAsia"/>
          <w:b/>
          <w:caps w:val="0"/>
          <w:smallCaps w:val="0"/>
          <w:color w:val="auto"/>
          <w:spacing w:val="0"/>
          <w:w w:val="100"/>
          <w:kern w:val="2"/>
          <w:position w:val="0"/>
          <w:sz w:val="24"/>
          <w:szCs w:val="24"/>
          <w:highlight w:val="none"/>
        </w:rPr>
        <w:t>5.5.</w:t>
      </w:r>
      <w:bookmarkEnd w:id="873"/>
      <w:bookmarkEnd w:id="874"/>
      <w:bookmarkEnd w:id="875"/>
      <w:bookmarkEnd w:id="876"/>
      <w:r>
        <w:rPr>
          <w:rFonts w:eastAsiaTheme="minorEastAsia"/>
          <w:b/>
          <w:caps w:val="0"/>
          <w:smallCaps w:val="0"/>
          <w:color w:val="auto"/>
          <w:spacing w:val="0"/>
          <w:w w:val="100"/>
          <w:kern w:val="2"/>
          <w:position w:val="0"/>
          <w:sz w:val="24"/>
          <w:szCs w:val="24"/>
          <w:highlight w:val="none"/>
        </w:rPr>
        <w:t>4固体废物环境影响评价结论</w:t>
      </w:r>
      <w:bookmarkEnd w:id="877"/>
    </w:p>
    <w:p w14:paraId="4AD8CB9D">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由上述分析可知，本工程对施工期、退役期产生的各类固体废弃物均进行了合理的处置，能够实现固废的减量化、资源化和无害化，对环境影响较小。</w:t>
      </w:r>
    </w:p>
    <w:p w14:paraId="70B5BFE0">
      <w:pPr>
        <w:pStyle w:val="4"/>
        <w:keepNext w:val="0"/>
        <w:keepLines w:val="0"/>
        <w:widowControl w:val="0"/>
        <w:spacing w:before="120" w:after="120" w:line="440" w:lineRule="exact"/>
        <w:rPr>
          <w:rFonts w:ascii="Times New Roman" w:hAnsi="Times New Roman" w:eastAsia="宋体"/>
          <w:b/>
          <w:caps w:val="0"/>
          <w:smallCaps w:val="0"/>
          <w:snapToGrid w:val="0"/>
          <w:color w:val="auto"/>
          <w:spacing w:val="0"/>
          <w:w w:val="100"/>
          <w:position w:val="0"/>
          <w:highlight w:val="none"/>
        </w:rPr>
      </w:pPr>
      <w:bookmarkStart w:id="878" w:name="_Toc186444356"/>
      <w:bookmarkStart w:id="879" w:name="_Toc219900401"/>
      <w:r>
        <w:rPr>
          <w:rFonts w:ascii="Times New Roman" w:hAnsi="Times New Roman" w:eastAsia="宋体"/>
          <w:b/>
          <w:caps w:val="0"/>
          <w:smallCaps w:val="0"/>
          <w:snapToGrid w:val="0"/>
          <w:color w:val="auto"/>
          <w:spacing w:val="0"/>
          <w:w w:val="100"/>
          <w:position w:val="0"/>
          <w:highlight w:val="none"/>
        </w:rPr>
        <w:t>5.6生态环境影响评价</w:t>
      </w:r>
      <w:bookmarkEnd w:id="878"/>
      <w:bookmarkEnd w:id="879"/>
    </w:p>
    <w:p w14:paraId="5562D525">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本项目生态影响评价等级为三级评价，按照《环境影响评价技术导则 生态影响》（HJ19-2022），本次评价采用类比分析法预测分析工程对土地利用、植被、野生动植物等的影响。</w:t>
      </w:r>
    </w:p>
    <w:p w14:paraId="3A685870">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开发区域无重要物种分布，因此工程开发不会造成重要物种的活动、分布及重要生境变化，同时，本项目评价区不是国家重点保护野生动物的集中栖息地和繁殖地，区内野生动物仅为一些常见种类。工程管沟开挖、管道敷设、覆土回填等建设会对周围生态环境造成影响较小。</w:t>
      </w:r>
    </w:p>
    <w:p w14:paraId="26F93C33">
      <w:pPr>
        <w:pStyle w:val="46"/>
        <w:spacing w:after="0" w:line="440" w:lineRule="exact"/>
        <w:ind w:left="0" w:leftChars="0" w:firstLine="480" w:firstLineChars="200"/>
        <w:rPr>
          <w:rFonts w:eastAsiaTheme="minorEastAsia"/>
          <w:bCs/>
          <w:color w:val="auto"/>
          <w:sz w:val="24"/>
          <w:highlight w:val="none"/>
        </w:rPr>
      </w:pPr>
      <w:r>
        <w:rPr>
          <w:rFonts w:eastAsiaTheme="minorEastAsia"/>
          <w:bCs/>
          <w:color w:val="auto"/>
          <w:sz w:val="24"/>
          <w:highlight w:val="none"/>
        </w:rPr>
        <w:t>本项目通过类比分析项目区块周边已建产能开发项目</w:t>
      </w:r>
      <w:r>
        <w:rPr>
          <w:rFonts w:hint="eastAsia" w:eastAsiaTheme="minorEastAsia"/>
          <w:bCs/>
          <w:color w:val="auto"/>
          <w:sz w:val="24"/>
          <w:highlight w:val="none"/>
        </w:rPr>
        <w:t>中管道工程</w:t>
      </w:r>
      <w:r>
        <w:rPr>
          <w:rFonts w:eastAsiaTheme="minorEastAsia"/>
          <w:bCs/>
          <w:color w:val="auto"/>
          <w:sz w:val="24"/>
          <w:highlight w:val="none"/>
        </w:rPr>
        <w:t>环评阶段与验收阶段生态影响，判定本项目开发对生态环境的影响，类比项目建设</w:t>
      </w:r>
      <w:r>
        <w:rPr>
          <w:rFonts w:hint="eastAsia" w:eastAsiaTheme="minorEastAsia"/>
          <w:bCs/>
          <w:color w:val="auto"/>
          <w:sz w:val="24"/>
          <w:highlight w:val="none"/>
        </w:rPr>
        <w:t>包含新建单井集油掺水管道17.26km</w:t>
      </w:r>
      <w:r>
        <w:rPr>
          <w:rFonts w:eastAsiaTheme="minorEastAsia"/>
          <w:bCs/>
          <w:color w:val="auto"/>
          <w:sz w:val="24"/>
          <w:highlight w:val="none"/>
        </w:rPr>
        <w:t>，且与本项目位于同一生态区域内，因此类比可行。《</w:t>
      </w:r>
      <w:r>
        <w:rPr>
          <w:rFonts w:hint="eastAsia" w:eastAsiaTheme="minorEastAsia"/>
          <w:bCs/>
          <w:color w:val="auto"/>
          <w:sz w:val="24"/>
          <w:highlight w:val="none"/>
          <w:lang w:val="en-US" w:eastAsia="zh-CN"/>
        </w:rPr>
        <w:t>2022年卫星油田卫19等区块产能建设地面工程环境影响报告书</w:t>
      </w:r>
      <w:r>
        <w:rPr>
          <w:rFonts w:eastAsiaTheme="minorEastAsia"/>
          <w:bCs/>
          <w:color w:val="auto"/>
          <w:sz w:val="24"/>
          <w:highlight w:val="none"/>
        </w:rPr>
        <w:t>》于</w:t>
      </w:r>
      <w:r>
        <w:rPr>
          <w:rFonts w:hint="eastAsia" w:eastAsiaTheme="minorEastAsia"/>
          <w:bCs/>
          <w:color w:val="auto"/>
          <w:sz w:val="24"/>
          <w:highlight w:val="none"/>
          <w:lang w:val="en-US" w:eastAsia="zh-CN"/>
        </w:rPr>
        <w:t>2022年5月24日取得绥化市环保局批复（绥环审〔2022〕28号），于2024年8月20日完成自主验收</w:t>
      </w:r>
      <w:r>
        <w:rPr>
          <w:rFonts w:eastAsiaTheme="minorEastAsia"/>
          <w:bCs/>
          <w:color w:val="auto"/>
          <w:sz w:val="24"/>
          <w:highlight w:val="none"/>
        </w:rPr>
        <w:t>，通过类比分析项目建设对生态环境的影响。</w:t>
      </w:r>
    </w:p>
    <w:p w14:paraId="1AC01643">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880" w:name="_Toc186444357"/>
      <w:r>
        <w:rPr>
          <w:rFonts w:eastAsiaTheme="minorEastAsia"/>
          <w:b/>
          <w:caps w:val="0"/>
          <w:smallCaps w:val="0"/>
          <w:color w:val="auto"/>
          <w:spacing w:val="0"/>
          <w:w w:val="100"/>
          <w:kern w:val="2"/>
          <w:position w:val="0"/>
          <w:sz w:val="24"/>
          <w:szCs w:val="24"/>
          <w:highlight w:val="none"/>
        </w:rPr>
        <w:t>5.6.1施工期生态环境影响分析</w:t>
      </w:r>
      <w:bookmarkEnd w:id="880"/>
    </w:p>
    <w:p w14:paraId="4D0FE698">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881" w:name="_Toc143099645"/>
      <w:bookmarkStart w:id="882" w:name="_Toc131167358"/>
      <w:bookmarkStart w:id="883" w:name="_Toc126863458"/>
      <w:bookmarkStart w:id="884" w:name="_Toc127192407"/>
      <w:r>
        <w:rPr>
          <w:rFonts w:ascii="Times New Roman" w:hAnsi="Times New Roman" w:eastAsiaTheme="minorEastAsia"/>
          <w:b/>
          <w:caps w:val="0"/>
          <w:smallCaps w:val="0"/>
          <w:color w:val="auto"/>
          <w:spacing w:val="0"/>
          <w:w w:val="100"/>
          <w:position w:val="0"/>
          <w:highlight w:val="none"/>
        </w:rPr>
        <w:t>5.6.1.1</w:t>
      </w:r>
      <w:bookmarkEnd w:id="881"/>
      <w:bookmarkEnd w:id="882"/>
      <w:bookmarkEnd w:id="883"/>
      <w:bookmarkEnd w:id="884"/>
      <w:r>
        <w:rPr>
          <w:rFonts w:ascii="Times New Roman" w:hAnsi="Times New Roman" w:eastAsiaTheme="minorEastAsia"/>
          <w:b/>
          <w:caps w:val="0"/>
          <w:smallCaps w:val="0"/>
          <w:color w:val="auto"/>
          <w:spacing w:val="0"/>
          <w:w w:val="100"/>
          <w:position w:val="0"/>
          <w:highlight w:val="none"/>
        </w:rPr>
        <w:t>对土地利用的影响分析</w:t>
      </w:r>
    </w:p>
    <w:p w14:paraId="1E346F60">
      <w:pPr>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（1）临时占地生态环境影响</w:t>
      </w:r>
    </w:p>
    <w:p w14:paraId="5CA1830D">
      <w:pPr>
        <w:widowControl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本项目管道施工过程中，车辆碾压、机械推挖、人员践踏将会对地表植被造成很大破坏，本项目临时占地</w:t>
      </w:r>
      <w:r>
        <w:rPr>
          <w:rFonts w:hint="eastAsia" w:ascii="Times New Roman" w:hAnsi="Times New Roman" w:cs="Times New Roman"/>
          <w:bCs/>
          <w:caps w:val="0"/>
          <w:smallCaps w:val="0"/>
          <w:color w:val="auto"/>
          <w:spacing w:val="0"/>
          <w:w w:val="100"/>
          <w:position w:val="0"/>
          <w:highlight w:val="none"/>
          <w:lang w:val="en-US" w:eastAsia="zh-CN"/>
        </w:rPr>
        <w:t>21.88</w:t>
      </w:r>
      <w:r>
        <w:rPr>
          <w:rFonts w:ascii="Times New Roman" w:hAnsi="Times New Roman" w:cs="Times New Roman"/>
          <w:bCs/>
          <w:caps w:val="0"/>
          <w:smallCaps w:val="0"/>
          <w:color w:val="auto"/>
          <w:spacing w:val="0"/>
          <w:w w:val="100"/>
          <w:position w:val="0"/>
          <w:highlight w:val="none"/>
        </w:rPr>
        <w:t>hm</w:t>
      </w:r>
      <w:r>
        <w:rPr>
          <w:rFonts w:ascii="Times New Roman" w:hAnsi="Times New Roman" w:cs="Times New Roman"/>
          <w:bCs/>
          <w:caps w:val="0"/>
          <w:smallCaps w:val="0"/>
          <w:color w:val="auto"/>
          <w:spacing w:val="0"/>
          <w:w w:val="100"/>
          <w:position w:val="0"/>
          <w:highlight w:val="none"/>
          <w:vertAlign w:val="superscript"/>
        </w:rPr>
        <w:t>2</w:t>
      </w:r>
      <w:r>
        <w:rPr>
          <w:rFonts w:ascii="Times New Roman" w:hAnsi="Times New Roman" w:cs="Times New Roman"/>
          <w:bCs/>
          <w:caps w:val="0"/>
          <w:smallCaps w:val="0"/>
          <w:color w:val="auto"/>
          <w:spacing w:val="0"/>
          <w:w w:val="100"/>
          <w:position w:val="0"/>
          <w:highlight w:val="none"/>
        </w:rPr>
        <w:t>，为耕地</w:t>
      </w:r>
      <w:r>
        <w:rPr>
          <w:rFonts w:hint="eastAsia" w:ascii="Times New Roman" w:hAnsi="Times New Roman" w:cs="Times New Roman"/>
          <w:bCs/>
          <w:caps w:val="0"/>
          <w:smallCaps w:val="0"/>
          <w:color w:val="auto"/>
          <w:spacing w:val="0"/>
          <w:w w:val="100"/>
          <w:position w:val="0"/>
          <w:highlight w:val="none"/>
        </w:rPr>
        <w:t>和</w:t>
      </w:r>
      <w:r>
        <w:rPr>
          <w:rFonts w:ascii="Times New Roman" w:hAnsi="Times New Roman" w:cs="Times New Roman"/>
          <w:bCs/>
          <w:caps w:val="0"/>
          <w:smallCaps w:val="0"/>
          <w:color w:val="auto"/>
          <w:spacing w:val="0"/>
          <w:w w:val="100"/>
          <w:position w:val="0"/>
          <w:highlight w:val="none"/>
        </w:rPr>
        <w:t>草地，</w:t>
      </w:r>
      <w:r>
        <w:rPr>
          <w:rFonts w:ascii="Times New Roman" w:hAnsi="Times New Roman" w:cs="Times New Roman"/>
          <w:caps w:val="0"/>
          <w:smallCaps w:val="0"/>
          <w:color w:val="auto"/>
          <w:spacing w:val="0"/>
          <w:w w:val="100"/>
          <w:position w:val="0"/>
          <w:highlight w:val="none"/>
        </w:rPr>
        <w:t>临时占地按</w:t>
      </w:r>
      <w:r>
        <w:rPr>
          <w:rFonts w:hint="eastAsia" w:ascii="Times New Roman" w:hAnsi="Times New Roman" w:cs="Times New Roman"/>
          <w:caps w:val="0"/>
          <w:smallCaps w:val="0"/>
          <w:color w:val="auto"/>
          <w:spacing w:val="0"/>
          <w:w w:val="100"/>
          <w:position w:val="0"/>
          <w:highlight w:val="none"/>
        </w:rPr>
        <w:t>相关</w:t>
      </w:r>
      <w:r>
        <w:rPr>
          <w:rFonts w:ascii="Times New Roman" w:hAnsi="Times New Roman" w:cs="Times New Roman"/>
          <w:caps w:val="0"/>
          <w:smallCaps w:val="0"/>
          <w:color w:val="auto"/>
          <w:spacing w:val="0"/>
          <w:w w:val="100"/>
          <w:position w:val="0"/>
          <w:highlight w:val="none"/>
        </w:rPr>
        <w:t>规定</w:t>
      </w:r>
      <w:r>
        <w:rPr>
          <w:rFonts w:hint="eastAsia" w:ascii="Times New Roman" w:hAnsi="Times New Roman" w:cs="Times New Roman"/>
          <w:caps w:val="0"/>
          <w:smallCaps w:val="0"/>
          <w:color w:val="auto"/>
          <w:spacing w:val="0"/>
          <w:w w:val="100"/>
          <w:position w:val="0"/>
          <w:highlight w:val="none"/>
        </w:rPr>
        <w:t>办理征地手续</w:t>
      </w:r>
      <w:r>
        <w:rPr>
          <w:rFonts w:ascii="Times New Roman" w:hAnsi="Times New Roman" w:cs="Times New Roman"/>
          <w:caps w:val="0"/>
          <w:smallCaps w:val="0"/>
          <w:color w:val="auto"/>
          <w:spacing w:val="0"/>
          <w:w w:val="100"/>
          <w:position w:val="0"/>
          <w:highlight w:val="none"/>
        </w:rPr>
        <w:t>，</w:t>
      </w:r>
      <w:r>
        <w:rPr>
          <w:rFonts w:ascii="Times New Roman" w:hAnsi="Times New Roman" w:cs="Times New Roman"/>
          <w:bCs/>
          <w:caps w:val="0"/>
          <w:smallCaps w:val="0"/>
          <w:color w:val="auto"/>
          <w:spacing w:val="0"/>
          <w:w w:val="100"/>
          <w:position w:val="0"/>
          <w:highlight w:val="none"/>
        </w:rPr>
        <w:t>临时占地的影响是短期可逆的。</w:t>
      </w:r>
    </w:p>
    <w:p w14:paraId="3B2D6702">
      <w:pPr>
        <w:widowControl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r>
        <w:rPr>
          <w:rFonts w:ascii="Times New Roman" w:hAnsi="Times New Roman" w:cs="Times New Roman"/>
          <w:bCs/>
          <w:caps w:val="0"/>
          <w:smallCaps w:val="0"/>
          <w:color w:val="auto"/>
          <w:spacing w:val="0"/>
          <w:w w:val="100"/>
          <w:position w:val="0"/>
          <w:highlight w:val="none"/>
        </w:rPr>
        <w:t>项目开工前，</w:t>
      </w:r>
      <w:r>
        <w:rPr>
          <w:rFonts w:hint="eastAsia" w:ascii="Times New Roman" w:hAnsi="Times New Roman" w:cs="Times New Roman"/>
          <w:bCs/>
          <w:caps w:val="0"/>
          <w:smallCaps w:val="0"/>
          <w:color w:val="auto"/>
          <w:spacing w:val="0"/>
          <w:w w:val="100"/>
          <w:position w:val="0"/>
          <w:highlight w:val="none"/>
        </w:rPr>
        <w:t>建设单位编制表土剥离利用方案，</w:t>
      </w:r>
      <w:r>
        <w:rPr>
          <w:rFonts w:ascii="Times New Roman" w:hAnsi="Times New Roman" w:cs="Times New Roman"/>
          <w:bCs/>
          <w:caps w:val="0"/>
          <w:smallCaps w:val="0"/>
          <w:color w:val="auto"/>
          <w:spacing w:val="0"/>
          <w:w w:val="100"/>
          <w:position w:val="0"/>
          <w:highlight w:val="none"/>
        </w:rPr>
        <w:t>针对临时占地剥离表土，采用分层开挖，分层堆放，暂存于</w:t>
      </w:r>
      <w:r>
        <w:rPr>
          <w:rFonts w:hint="eastAsia" w:ascii="Times New Roman" w:hAnsi="Times New Roman" w:cs="Times New Roman"/>
          <w:bCs/>
          <w:caps w:val="0"/>
          <w:smallCaps w:val="0"/>
          <w:color w:val="auto"/>
          <w:spacing w:val="0"/>
          <w:w w:val="100"/>
          <w:position w:val="0"/>
          <w:highlight w:val="none"/>
        </w:rPr>
        <w:t>管沟一</w:t>
      </w:r>
      <w:r>
        <w:rPr>
          <w:rFonts w:ascii="Times New Roman" w:hAnsi="Times New Roman" w:cs="Times New Roman"/>
          <w:bCs/>
          <w:caps w:val="0"/>
          <w:smallCaps w:val="0"/>
          <w:color w:val="auto"/>
          <w:spacing w:val="0"/>
          <w:w w:val="100"/>
          <w:position w:val="0"/>
          <w:highlight w:val="none"/>
        </w:rPr>
        <w:t>侧临时占地内的表土剥离临时堆放</w:t>
      </w:r>
      <w:r>
        <w:rPr>
          <w:rFonts w:hint="eastAsia" w:ascii="Times New Roman" w:hAnsi="Times New Roman" w:cs="Times New Roman"/>
          <w:bCs/>
          <w:caps w:val="0"/>
          <w:smallCaps w:val="0"/>
          <w:color w:val="auto"/>
          <w:spacing w:val="0"/>
          <w:w w:val="100"/>
          <w:position w:val="0"/>
          <w:highlight w:val="none"/>
        </w:rPr>
        <w:t>带</w:t>
      </w:r>
      <w:r>
        <w:rPr>
          <w:rFonts w:ascii="Times New Roman" w:hAnsi="Times New Roman" w:cs="Times New Roman"/>
          <w:bCs/>
          <w:caps w:val="0"/>
          <w:smallCaps w:val="0"/>
          <w:color w:val="auto"/>
          <w:spacing w:val="0"/>
          <w:w w:val="100"/>
          <w:position w:val="0"/>
          <w:highlight w:val="none"/>
        </w:rPr>
        <w:t>，并采取</w:t>
      </w:r>
      <w:r>
        <w:rPr>
          <w:rFonts w:hint="eastAsia" w:ascii="Times New Roman" w:hAnsi="Times New Roman" w:cs="Times New Roman"/>
          <w:bCs/>
          <w:caps w:val="0"/>
          <w:smallCaps w:val="0"/>
          <w:color w:val="auto"/>
          <w:spacing w:val="0"/>
          <w:w w:val="100"/>
          <w:position w:val="0"/>
          <w:highlight w:val="none"/>
        </w:rPr>
        <w:t>防尘网</w:t>
      </w:r>
      <w:r>
        <w:rPr>
          <w:rFonts w:ascii="Times New Roman" w:hAnsi="Times New Roman" w:cs="Times New Roman"/>
          <w:bCs/>
          <w:caps w:val="0"/>
          <w:smallCaps w:val="0"/>
          <w:color w:val="auto"/>
          <w:spacing w:val="0"/>
          <w:w w:val="100"/>
          <w:position w:val="0"/>
          <w:highlight w:val="none"/>
        </w:rPr>
        <w:t>遮盖等措施防止水土流失，定期采取洒水抑尘措施，待施工结束后，回填占地范围，恢复临时占用的生产力，本项目的建设对当地土地利用格局影响在可接受范围内。</w:t>
      </w:r>
    </w:p>
    <w:p w14:paraId="5B3F16BD">
      <w:pPr>
        <w:widowControl w:val="0"/>
        <w:spacing w:line="440" w:lineRule="exact"/>
        <w:ind w:firstLine="480" w:firstLineChars="200"/>
        <w:jc w:val="both"/>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（2）取弃土的影响</w:t>
      </w:r>
    </w:p>
    <w:p w14:paraId="1E583A3D">
      <w:pPr>
        <w:spacing w:line="440" w:lineRule="exact"/>
        <w:ind w:firstLine="480" w:firstLineChars="200"/>
        <w:rPr>
          <w:rFonts w:ascii="Times New Roman" w:hAnsi="Times New Roman" w:cs="Times New Roman"/>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t>本工程没有弃土不设弃土场，工程取土采用外购方式，不自行开采，卖方负责取土后的取土场的生态恢复。</w:t>
      </w:r>
    </w:p>
    <w:p w14:paraId="46C54CB5">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本项目所在区域已进行多年油田开发。通过类比现有油田内部集输管线改造工程的土地恢复情况可知，项目管线沿线的土地恢复情况与未进行管线建设的区域区别不大。因此，项目管线施工对区域的占地类型影响较小。</w:t>
      </w:r>
    </w:p>
    <w:p w14:paraId="00A5D063">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885" w:name="_Toc126863459"/>
      <w:bookmarkStart w:id="886" w:name="_Toc131167359"/>
      <w:bookmarkStart w:id="887" w:name="_Toc143099646"/>
      <w:bookmarkStart w:id="888" w:name="_Toc127192408"/>
      <w:r>
        <w:rPr>
          <w:rFonts w:ascii="Times New Roman" w:hAnsi="Times New Roman" w:eastAsiaTheme="minorEastAsia"/>
          <w:b/>
          <w:caps w:val="0"/>
          <w:smallCaps w:val="0"/>
          <w:color w:val="auto"/>
          <w:spacing w:val="0"/>
          <w:w w:val="100"/>
          <w:position w:val="0"/>
          <w:highlight w:val="none"/>
        </w:rPr>
        <w:t>5.6.1.2工程建设对生态环境的影响</w:t>
      </w:r>
      <w:bookmarkEnd w:id="885"/>
      <w:bookmarkEnd w:id="886"/>
      <w:bookmarkEnd w:id="887"/>
      <w:bookmarkEnd w:id="888"/>
    </w:p>
    <w:p w14:paraId="7C429C69">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该项目工程建设对生态环境的影响主要来自在管线铺设时，会对地表植被造成破坏，对生态系统的分割效应。高于地表的管线培埂形成了对原有生态系统的分割，破坏了生态系统的连续性，可能会阻隔地表径流的原有流向，改变了水分因子的分布，而水分因子对</w:t>
      </w:r>
      <w:r>
        <w:rPr>
          <w:rFonts w:hint="eastAsia" w:eastAsiaTheme="minorEastAsia"/>
          <w:bCs/>
          <w:caps w:val="0"/>
          <w:smallCaps w:val="0"/>
          <w:color w:val="auto"/>
          <w:spacing w:val="0"/>
          <w:w w:val="100"/>
          <w:position w:val="0"/>
          <w:sz w:val="24"/>
          <w:highlight w:val="none"/>
        </w:rPr>
        <w:t>植被</w:t>
      </w:r>
      <w:r>
        <w:rPr>
          <w:rFonts w:eastAsiaTheme="minorEastAsia"/>
          <w:bCs/>
          <w:caps w:val="0"/>
          <w:smallCaps w:val="0"/>
          <w:color w:val="auto"/>
          <w:spacing w:val="0"/>
          <w:w w:val="100"/>
          <w:position w:val="0"/>
          <w:sz w:val="24"/>
          <w:highlight w:val="none"/>
        </w:rPr>
        <w:t>的影响较大。就本工程而言，新建管线采取平埋方式铺设，避免了管道铺设对地表径流的截流；管线走向力求线路顺直，缩短线路长度，以减少管道建设对生态环境的影响，本项目建设对油田开发区的生态系统影响有限。</w:t>
      </w:r>
    </w:p>
    <w:p w14:paraId="3993D08F">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889" w:name="_Toc126863460"/>
      <w:bookmarkStart w:id="890" w:name="_Toc131167360"/>
      <w:bookmarkStart w:id="891" w:name="_Toc127192409"/>
      <w:bookmarkStart w:id="892" w:name="_Toc143099647"/>
      <w:r>
        <w:rPr>
          <w:rFonts w:ascii="Times New Roman" w:hAnsi="Times New Roman" w:eastAsiaTheme="minorEastAsia"/>
          <w:b/>
          <w:caps w:val="0"/>
          <w:smallCaps w:val="0"/>
          <w:color w:val="auto"/>
          <w:spacing w:val="0"/>
          <w:w w:val="100"/>
          <w:position w:val="0"/>
          <w:highlight w:val="none"/>
        </w:rPr>
        <w:t>5.6.1.3对植被的影响分析</w:t>
      </w:r>
      <w:bookmarkEnd w:id="889"/>
      <w:bookmarkEnd w:id="890"/>
      <w:bookmarkEnd w:id="891"/>
      <w:bookmarkEnd w:id="892"/>
    </w:p>
    <w:p w14:paraId="2B47B669">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（1）对植物多样性的影响</w:t>
      </w:r>
    </w:p>
    <w:p w14:paraId="792DA2F9">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经调查，本项目周边区域植被类型主要为耕地、草地，耕地主要物种包括玉米等夹杂有蔬菜作物，少量乔木主要呈带状分布在道路两侧。</w:t>
      </w:r>
    </w:p>
    <w:p w14:paraId="66D21993">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施工期对植被的影响主要有占地范围内原有植物的剥离、清理及占压。在施工过程中，土壤开挖区范围内植物的地上部分与根系均被清除，施工作业带内植被由于挖掘土石的堆放、人员的践踏、施工车辆和机具的碾压而受到不同程度的破坏，会造成地上部分破坏甚至死亡。工程填挖方均占压和清除一定数量的地表植物，使填挖区被生土覆盖或出露生土，植物恢复须经过较长时间。</w:t>
      </w:r>
    </w:p>
    <w:p w14:paraId="252C04A1">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拟建工程对植被的影响，因具体工程类型的不同而有所差异，其中站场建设对植被的影响呈片状分布，而施工管道影响则呈线状分布。从工程类别的影响来看，管线为临时占地，原有植被破坏面积估计可占到80%以上，其中大部分在1～2年内可得到恢复。经调查，工程占地范围内植被类型多为常见种和广布种，施工活动仅会造成植物数量的减少，不会改变评价区范围内的植物区系性质，不会造成区域生物多样性的流失。</w:t>
      </w:r>
    </w:p>
    <w:p w14:paraId="7E530F68">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（2）对植物生长的影响</w:t>
      </w:r>
    </w:p>
    <w:p w14:paraId="5382FF77">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施工期对植物生长影响的主要因素为扬尘、施工机械尾气。扬尘落在植物叶面上，会阻塞表面气孔，影响植物的光合作用和植物生长。施工燃油机械、运输车辆等会产生废气，主要污染物有TSP、CO</w:t>
      </w:r>
      <w:r>
        <w:rPr>
          <w:rFonts w:ascii="Times New Roman" w:hAnsi="Times New Roman" w:cs="Times New Roman"/>
          <w:caps w:val="0"/>
          <w:smallCaps w:val="0"/>
          <w:color w:val="auto"/>
          <w:spacing w:val="0"/>
          <w:w w:val="100"/>
          <w:position w:val="0"/>
          <w:highlight w:val="none"/>
          <w:vertAlign w:val="subscript"/>
          <w:lang w:val="zh-CN" w:bidi="zh-CN"/>
        </w:rPr>
        <w:t>2</w:t>
      </w:r>
      <w:r>
        <w:rPr>
          <w:rFonts w:ascii="Times New Roman" w:hAnsi="Times New Roman" w:cs="Times New Roman"/>
          <w:caps w:val="0"/>
          <w:smallCaps w:val="0"/>
          <w:color w:val="auto"/>
          <w:spacing w:val="0"/>
          <w:w w:val="100"/>
          <w:position w:val="0"/>
          <w:highlight w:val="none"/>
          <w:lang w:val="zh-CN" w:bidi="zh-CN"/>
        </w:rPr>
        <w:t>、NO</w:t>
      </w:r>
      <w:r>
        <w:rPr>
          <w:rFonts w:ascii="Times New Roman" w:hAnsi="Times New Roman" w:cs="Times New Roman"/>
          <w:caps w:val="0"/>
          <w:smallCaps w:val="0"/>
          <w:color w:val="auto"/>
          <w:spacing w:val="0"/>
          <w:w w:val="100"/>
          <w:position w:val="0"/>
          <w:highlight w:val="none"/>
          <w:vertAlign w:val="subscript"/>
          <w:lang w:val="zh-CN" w:bidi="zh-CN"/>
        </w:rPr>
        <w:t>X</w:t>
      </w:r>
      <w:r>
        <w:rPr>
          <w:rFonts w:ascii="Times New Roman" w:hAnsi="Times New Roman" w:cs="Times New Roman"/>
          <w:caps w:val="0"/>
          <w:smallCaps w:val="0"/>
          <w:color w:val="auto"/>
          <w:spacing w:val="0"/>
          <w:w w:val="100"/>
          <w:position w:val="0"/>
          <w:highlight w:val="none"/>
          <w:lang w:val="zh-CN" w:bidi="zh-CN"/>
        </w:rPr>
        <w:t>等，这些有害气体会对植物的生长产生不利影响，但施工期较短，施工产生的粉尘影响在施工结束后即可消除。</w:t>
      </w:r>
    </w:p>
    <w:p w14:paraId="638F6DA4">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bidi="zh-CN"/>
        </w:rPr>
        <w:t>（3）</w:t>
      </w:r>
      <w:r>
        <w:rPr>
          <w:rFonts w:ascii="Times New Roman" w:hAnsi="Times New Roman" w:cs="Times New Roman"/>
          <w:caps w:val="0"/>
          <w:smallCaps w:val="0"/>
          <w:color w:val="auto"/>
          <w:spacing w:val="0"/>
          <w:w w:val="100"/>
          <w:position w:val="0"/>
          <w:highlight w:val="none"/>
          <w:lang w:val="zh-CN" w:bidi="zh-CN"/>
        </w:rPr>
        <w:t>对植物</w:t>
      </w:r>
      <w:r>
        <w:rPr>
          <w:rFonts w:ascii="Times New Roman" w:hAnsi="Times New Roman" w:cs="Times New Roman"/>
          <w:caps w:val="0"/>
          <w:smallCaps w:val="0"/>
          <w:color w:val="auto"/>
          <w:spacing w:val="0"/>
          <w:w w:val="100"/>
          <w:position w:val="0"/>
          <w:highlight w:val="none"/>
          <w:lang w:bidi="zh-CN"/>
        </w:rPr>
        <w:t>生物量</w:t>
      </w:r>
      <w:r>
        <w:rPr>
          <w:rFonts w:ascii="Times New Roman" w:hAnsi="Times New Roman" w:cs="Times New Roman"/>
          <w:caps w:val="0"/>
          <w:smallCaps w:val="0"/>
          <w:color w:val="auto"/>
          <w:spacing w:val="0"/>
          <w:w w:val="100"/>
          <w:position w:val="0"/>
          <w:highlight w:val="none"/>
          <w:lang w:val="zh-CN" w:bidi="zh-CN"/>
        </w:rPr>
        <w:t>的影响</w:t>
      </w:r>
    </w:p>
    <w:p w14:paraId="487FBEDB">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bCs/>
          <w:caps w:val="0"/>
          <w:smallCaps w:val="0"/>
          <w:color w:val="auto"/>
          <w:spacing w:val="0"/>
          <w:w w:val="100"/>
          <w:position w:val="0"/>
          <w:sz w:val="24"/>
          <w:highlight w:val="none"/>
          <w:lang w:val="zh-CN" w:bidi="zh-CN"/>
        </w:rPr>
        <w:t>本项目临时占用草地</w:t>
      </w:r>
      <w:r>
        <w:rPr>
          <w:rFonts w:hint="eastAsia"/>
          <w:bCs/>
          <w:caps w:val="0"/>
          <w:smallCaps w:val="0"/>
          <w:color w:val="auto"/>
          <w:spacing w:val="0"/>
          <w:w w:val="100"/>
          <w:position w:val="0"/>
          <w:sz w:val="24"/>
          <w:highlight w:val="none"/>
          <w:lang w:val="en-US" w:bidi="zh-CN"/>
        </w:rPr>
        <w:t>4.92</w:t>
      </w:r>
      <w:r>
        <w:rPr>
          <w:bCs/>
          <w:caps w:val="0"/>
          <w:smallCaps w:val="0"/>
          <w:color w:val="auto"/>
          <w:spacing w:val="0"/>
          <w:w w:val="100"/>
          <w:position w:val="0"/>
          <w:sz w:val="24"/>
          <w:highlight w:val="none"/>
          <w:lang w:val="zh-CN" w:bidi="zh-CN"/>
        </w:rPr>
        <w:t>hm</w:t>
      </w:r>
      <w:r>
        <w:rPr>
          <w:bCs/>
          <w:caps w:val="0"/>
          <w:smallCaps w:val="0"/>
          <w:color w:val="auto"/>
          <w:spacing w:val="0"/>
          <w:w w:val="100"/>
          <w:position w:val="0"/>
          <w:sz w:val="24"/>
          <w:highlight w:val="none"/>
          <w:vertAlign w:val="superscript"/>
          <w:lang w:val="zh-CN" w:bidi="zh-CN"/>
        </w:rPr>
        <w:t>2</w:t>
      </w:r>
      <w:r>
        <w:rPr>
          <w:bCs/>
          <w:caps w:val="0"/>
          <w:smallCaps w:val="0"/>
          <w:color w:val="auto"/>
          <w:spacing w:val="0"/>
          <w:w w:val="100"/>
          <w:position w:val="0"/>
          <w:sz w:val="24"/>
          <w:highlight w:val="none"/>
          <w:lang w:val="zh-CN" w:bidi="zh-CN"/>
        </w:rPr>
        <w:t>。草地上干草产量按 2.5t/hm</w:t>
      </w:r>
      <w:r>
        <w:rPr>
          <w:bCs/>
          <w:caps w:val="0"/>
          <w:smallCaps w:val="0"/>
          <w:color w:val="auto"/>
          <w:spacing w:val="0"/>
          <w:w w:val="100"/>
          <w:position w:val="0"/>
          <w:sz w:val="24"/>
          <w:highlight w:val="none"/>
          <w:vertAlign w:val="superscript"/>
          <w:lang w:val="zh-CN" w:bidi="zh-CN"/>
        </w:rPr>
        <w:t>2</w:t>
      </w:r>
      <w:r>
        <w:rPr>
          <w:bCs/>
          <w:caps w:val="0"/>
          <w:smallCaps w:val="0"/>
          <w:color w:val="auto"/>
          <w:spacing w:val="0"/>
          <w:w w:val="100"/>
          <w:position w:val="0"/>
          <w:sz w:val="24"/>
          <w:highlight w:val="none"/>
          <w:lang w:val="zh-CN" w:bidi="zh-CN"/>
        </w:rPr>
        <w:t>计算，临时占用耕地</w:t>
      </w:r>
      <w:r>
        <w:rPr>
          <w:rFonts w:hint="eastAsia"/>
          <w:bCs/>
          <w:caps w:val="0"/>
          <w:smallCaps w:val="0"/>
          <w:color w:val="auto"/>
          <w:spacing w:val="0"/>
          <w:w w:val="100"/>
          <w:position w:val="0"/>
          <w:sz w:val="24"/>
          <w:highlight w:val="none"/>
          <w:lang w:val="en-US" w:bidi="zh-CN"/>
        </w:rPr>
        <w:t>16.96</w:t>
      </w:r>
      <w:r>
        <w:rPr>
          <w:bCs/>
          <w:caps w:val="0"/>
          <w:smallCaps w:val="0"/>
          <w:color w:val="auto"/>
          <w:spacing w:val="0"/>
          <w:w w:val="100"/>
          <w:position w:val="0"/>
          <w:sz w:val="24"/>
          <w:highlight w:val="none"/>
          <w:lang w:val="zh-CN" w:bidi="zh-CN"/>
        </w:rPr>
        <w:t>hm</w:t>
      </w:r>
      <w:r>
        <w:rPr>
          <w:bCs/>
          <w:caps w:val="0"/>
          <w:smallCaps w:val="0"/>
          <w:color w:val="auto"/>
          <w:spacing w:val="0"/>
          <w:w w:val="100"/>
          <w:position w:val="0"/>
          <w:sz w:val="24"/>
          <w:highlight w:val="none"/>
          <w:vertAlign w:val="superscript"/>
          <w:lang w:val="zh-CN" w:bidi="zh-CN"/>
        </w:rPr>
        <w:t>2</w:t>
      </w:r>
      <w:r>
        <w:rPr>
          <w:bCs/>
          <w:caps w:val="0"/>
          <w:smallCaps w:val="0"/>
          <w:color w:val="auto"/>
          <w:spacing w:val="0"/>
          <w:w w:val="100"/>
          <w:position w:val="0"/>
          <w:sz w:val="24"/>
          <w:highlight w:val="none"/>
          <w:lang w:val="zh-CN" w:bidi="zh-CN"/>
        </w:rPr>
        <w:t>。耕地产量按 15t/hm</w:t>
      </w:r>
      <w:r>
        <w:rPr>
          <w:bCs/>
          <w:caps w:val="0"/>
          <w:smallCaps w:val="0"/>
          <w:color w:val="auto"/>
          <w:spacing w:val="0"/>
          <w:w w:val="100"/>
          <w:position w:val="0"/>
          <w:sz w:val="24"/>
          <w:highlight w:val="none"/>
          <w:vertAlign w:val="superscript"/>
          <w:lang w:val="zh-CN" w:bidi="zh-CN"/>
        </w:rPr>
        <w:t>2</w:t>
      </w:r>
      <w:r>
        <w:rPr>
          <w:bCs/>
          <w:caps w:val="0"/>
          <w:smallCaps w:val="0"/>
          <w:color w:val="auto"/>
          <w:spacing w:val="0"/>
          <w:w w:val="100"/>
          <w:position w:val="0"/>
          <w:sz w:val="24"/>
          <w:highlight w:val="none"/>
          <w:lang w:val="zh-CN" w:bidi="zh-CN"/>
        </w:rPr>
        <w:t>计算，共损失干草</w:t>
      </w:r>
      <w:r>
        <w:rPr>
          <w:rFonts w:hint="eastAsia"/>
          <w:bCs/>
          <w:caps w:val="0"/>
          <w:smallCaps w:val="0"/>
          <w:color w:val="auto"/>
          <w:spacing w:val="0"/>
          <w:w w:val="100"/>
          <w:position w:val="0"/>
          <w:sz w:val="24"/>
          <w:highlight w:val="none"/>
          <w:lang w:val="en-US" w:bidi="zh-CN"/>
        </w:rPr>
        <w:t>12.3t</w:t>
      </w:r>
      <w:r>
        <w:rPr>
          <w:bCs/>
          <w:caps w:val="0"/>
          <w:smallCaps w:val="0"/>
          <w:color w:val="auto"/>
          <w:spacing w:val="0"/>
          <w:w w:val="100"/>
          <w:position w:val="0"/>
          <w:sz w:val="24"/>
          <w:highlight w:val="none"/>
          <w:lang w:val="zh-CN" w:bidi="zh-CN"/>
        </w:rPr>
        <w:t>，损失玉米</w:t>
      </w:r>
      <w:r>
        <w:rPr>
          <w:rFonts w:hint="eastAsia"/>
          <w:bCs/>
          <w:caps w:val="0"/>
          <w:smallCaps w:val="0"/>
          <w:color w:val="auto"/>
          <w:spacing w:val="0"/>
          <w:w w:val="100"/>
          <w:position w:val="0"/>
          <w:sz w:val="24"/>
          <w:highlight w:val="none"/>
          <w:lang w:val="en-US" w:bidi="zh-CN"/>
        </w:rPr>
        <w:t>254.4</w:t>
      </w:r>
      <w:r>
        <w:rPr>
          <w:bCs/>
          <w:caps w:val="0"/>
          <w:smallCaps w:val="0"/>
          <w:color w:val="auto"/>
          <w:spacing w:val="0"/>
          <w:w w:val="100"/>
          <w:position w:val="0"/>
          <w:sz w:val="24"/>
          <w:highlight w:val="none"/>
          <w:lang w:val="zh-CN" w:bidi="zh-CN"/>
        </w:rPr>
        <w:t>t。临时占地自然植被演替的规律是先是一、二年生的植物，3-5年后可恢复到冷篙、杂草类，10年后可达到原来的顶级群落，永久占用草地采取经济补偿措施。</w:t>
      </w:r>
      <w:r>
        <w:rPr>
          <w:caps w:val="0"/>
          <w:smallCaps w:val="0"/>
          <w:color w:val="auto"/>
          <w:spacing w:val="0"/>
          <w:w w:val="100"/>
          <w:position w:val="0"/>
          <w:sz w:val="24"/>
          <w:highlight w:val="none"/>
          <w:lang w:val="zh-CN" w:bidi="zh-CN"/>
        </w:rPr>
        <w:t>本项目建设会对施工占地内的植被造成破坏，从而导致当地的生物量有一定程度的减少</w:t>
      </w:r>
      <w:r>
        <w:rPr>
          <w:rFonts w:hint="eastAsia"/>
          <w:caps w:val="0"/>
          <w:smallCaps w:val="0"/>
          <w:color w:val="auto"/>
          <w:spacing w:val="0"/>
          <w:w w:val="100"/>
          <w:position w:val="0"/>
          <w:sz w:val="24"/>
          <w:highlight w:val="none"/>
          <w:lang w:val="zh-CN" w:bidi="zh-CN"/>
        </w:rPr>
        <w:t>。</w:t>
      </w:r>
      <w:r>
        <w:rPr>
          <w:rFonts w:eastAsiaTheme="minorEastAsia"/>
          <w:bCs/>
          <w:caps w:val="0"/>
          <w:smallCaps w:val="0"/>
          <w:color w:val="auto"/>
          <w:spacing w:val="0"/>
          <w:w w:val="100"/>
          <w:position w:val="0"/>
          <w:sz w:val="24"/>
          <w:highlight w:val="none"/>
        </w:rPr>
        <w:t xml:space="preserve"> </w:t>
      </w:r>
    </w:p>
    <w:p w14:paraId="0834C4D1">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通过类比区域内现有集输管线沿线植被恢复情况，管线沿线的植被情况与未进行管线建设的区域无明显区别。因此，项目对占地区域的植被影响很小。</w:t>
      </w:r>
    </w:p>
    <w:p w14:paraId="6B6F3A73">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在不同的地形或土壤条件下，本项目埋设管线的大部分临时占地植被自然恢复速度及效果有所不同。经过多年恢复，已经很难看出埋设管线的痕迹，管线周围已恢复原有植被，因此，项目管线施工对区域植被影响在可接受范围内。</w:t>
      </w:r>
    </w:p>
    <w:p w14:paraId="25223448">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893" w:name="_Toc127192410"/>
      <w:bookmarkStart w:id="894" w:name="_Toc143099649"/>
      <w:bookmarkStart w:id="895" w:name="_Toc131167362"/>
      <w:bookmarkStart w:id="896" w:name="_Toc126863461"/>
      <w:r>
        <w:rPr>
          <w:rFonts w:ascii="Times New Roman" w:hAnsi="Times New Roman" w:eastAsiaTheme="minorEastAsia"/>
          <w:b/>
          <w:caps w:val="0"/>
          <w:smallCaps w:val="0"/>
          <w:color w:val="auto"/>
          <w:spacing w:val="0"/>
          <w:w w:val="100"/>
          <w:position w:val="0"/>
          <w:highlight w:val="none"/>
        </w:rPr>
        <w:t>5.6.1.4对基本农田环境影响分析</w:t>
      </w:r>
    </w:p>
    <w:p w14:paraId="2C3C7437">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
          <w:position w:val="0"/>
          <w:szCs w:val="28"/>
          <w:highlight w:val="none"/>
        </w:rPr>
      </w:pPr>
      <w:r>
        <w:rPr>
          <w:rFonts w:ascii="Times New Roman" w:hAnsi="Times New Roman" w:cs="Times New Roman" w:eastAsiaTheme="minorEastAsia"/>
          <w:bCs/>
          <w:caps w:val="0"/>
          <w:smallCaps w:val="0"/>
          <w:color w:val="auto"/>
          <w:spacing w:val="0"/>
          <w:w w:val="100"/>
          <w:kern w:val="2"/>
          <w:position w:val="0"/>
          <w:szCs w:val="28"/>
          <w:highlight w:val="none"/>
        </w:rPr>
        <w:t>根据《基本农田保护条例》（2011 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w:t>
      </w:r>
    </w:p>
    <w:p w14:paraId="26433574">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
          <w:position w:val="0"/>
          <w:szCs w:val="28"/>
          <w:highlight w:val="none"/>
        </w:rPr>
      </w:pPr>
      <w:r>
        <w:rPr>
          <w:rFonts w:ascii="Times New Roman" w:hAnsi="Times New Roman" w:cs="Times New Roman" w:eastAsiaTheme="minorEastAsia"/>
          <w:bCs/>
          <w:caps w:val="0"/>
          <w:smallCaps w:val="0"/>
          <w:color w:val="auto"/>
          <w:spacing w:val="0"/>
          <w:w w:val="100"/>
          <w:kern w:val="2"/>
          <w:position w:val="0"/>
          <w:szCs w:val="28"/>
          <w:highlight w:val="none"/>
        </w:rPr>
        <w:t>根据现场勘查，本项目</w:t>
      </w:r>
      <w:r>
        <w:rPr>
          <w:rFonts w:hint="eastAsia" w:ascii="Times New Roman" w:hAnsi="Times New Roman" w:cs="Times New Roman" w:eastAsiaTheme="minorEastAsia"/>
          <w:bCs/>
          <w:caps w:val="0"/>
          <w:smallCaps w:val="0"/>
          <w:color w:val="auto"/>
          <w:spacing w:val="0"/>
          <w:w w:val="100"/>
          <w:kern w:val="2"/>
          <w:position w:val="0"/>
          <w:szCs w:val="28"/>
          <w:highlight w:val="none"/>
        </w:rPr>
        <w:t>管道工程</w:t>
      </w:r>
      <w:r>
        <w:rPr>
          <w:rFonts w:ascii="Times New Roman" w:hAnsi="Times New Roman" w:cs="Times New Roman" w:eastAsiaTheme="minorEastAsia"/>
          <w:bCs/>
          <w:caps w:val="0"/>
          <w:smallCaps w:val="0"/>
          <w:color w:val="auto"/>
          <w:spacing w:val="0"/>
          <w:w w:val="100"/>
          <w:kern w:val="2"/>
          <w:position w:val="0"/>
          <w:szCs w:val="28"/>
          <w:highlight w:val="none"/>
        </w:rPr>
        <w:t>无法避让基本农田。因此，建设单位应按《中华人民共和国土地管理法》（2019年8月26日修正）、《基本农田保护条例》（2011年1月8日修订）中有关土地管理办法的要求，逐级上报土地管理部门批准用地手续。对占用的耕地，按照“占多少，垦多少”的原则，开垦与所占用耕地的数量和质量相当的耕地；如果没有条件开垦，应当按照省的规定缴纳耕地开垦费，专款用于开垦新的耕地，耕地恢复由当地政府负责开垦相应数量的耕地，进行耕地保护。同时，项目管线施工过程中严格控制施工作业带的宽度，尽量减少临时占用基本农田。</w:t>
      </w:r>
    </w:p>
    <w:p w14:paraId="7B6663F3">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
          <w:position w:val="0"/>
          <w:szCs w:val="28"/>
          <w:highlight w:val="none"/>
        </w:rPr>
      </w:pPr>
      <w:r>
        <w:rPr>
          <w:rFonts w:ascii="Times New Roman" w:hAnsi="Times New Roman" w:cs="Times New Roman" w:eastAsiaTheme="minorEastAsia"/>
          <w:bCs/>
          <w:caps w:val="0"/>
          <w:smallCaps w:val="0"/>
          <w:color w:val="auto"/>
          <w:spacing w:val="0"/>
          <w:w w:val="100"/>
          <w:kern w:val="2"/>
          <w:position w:val="0"/>
          <w:szCs w:val="28"/>
          <w:highlight w:val="none"/>
        </w:rPr>
        <w:t>本项目实施前编制建设项目占用耕地耕作层土壤剥离利用方案，统筹安排剥离、储存和再利用。项目施工过程中表土剥离和利用严格执行《建设占用耕地耕作层土壤剥离利用技术规范》(DB23/T2913-2021)中相关要求。本项目占用范围内耕地均需进行表土剥离，耕地表土剥离厚度为 0.3m，并采用分层开挖，分层堆放，暂存于施工作业带内置土带外侧表土剥离堆放区，采用防护网或苫布覆盖，定时洒水抑尘，施工结束后分层回填，剥离表土层全部回用于临时占地地表平整，对临时占用基本农田全部进行复垦。临时占地</w:t>
      </w:r>
      <w:r>
        <w:rPr>
          <w:rFonts w:hint="eastAsia" w:ascii="Times New Roman" w:hAnsi="Times New Roman" w:cs="Times New Roman" w:eastAsiaTheme="minorEastAsia"/>
          <w:bCs/>
          <w:caps w:val="0"/>
          <w:smallCaps w:val="0"/>
          <w:color w:val="auto"/>
          <w:spacing w:val="0"/>
          <w:w w:val="100"/>
          <w:kern w:val="2"/>
          <w:position w:val="0"/>
          <w:szCs w:val="28"/>
          <w:highlight w:val="none"/>
        </w:rPr>
        <w:t>按规定缴纳土地补偿费</w:t>
      </w:r>
      <w:r>
        <w:rPr>
          <w:rFonts w:ascii="Times New Roman" w:hAnsi="Times New Roman" w:cs="Times New Roman" w:eastAsiaTheme="minorEastAsia"/>
          <w:bCs/>
          <w:caps w:val="0"/>
          <w:smallCaps w:val="0"/>
          <w:color w:val="auto"/>
          <w:spacing w:val="0"/>
          <w:w w:val="100"/>
          <w:kern w:val="2"/>
          <w:position w:val="0"/>
          <w:szCs w:val="28"/>
          <w:highlight w:val="none"/>
        </w:rPr>
        <w:t>。</w:t>
      </w:r>
    </w:p>
    <w:p w14:paraId="2215660D">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
          <w:position w:val="0"/>
          <w:szCs w:val="28"/>
          <w:highlight w:val="none"/>
        </w:rPr>
      </w:pPr>
      <w:r>
        <w:rPr>
          <w:rFonts w:ascii="Times New Roman" w:hAnsi="Times New Roman" w:cs="Times New Roman" w:eastAsiaTheme="minorEastAsia"/>
          <w:bCs/>
          <w:caps w:val="0"/>
          <w:smallCaps w:val="0"/>
          <w:color w:val="auto"/>
          <w:spacing w:val="0"/>
          <w:w w:val="100"/>
          <w:kern w:val="2"/>
          <w:position w:val="0"/>
          <w:szCs w:val="28"/>
          <w:highlight w:val="none"/>
        </w:rPr>
        <w:t>综上，项目占地面积较小，采取以上措施，本项目不会对周围基本农田产生明显影响。</w:t>
      </w:r>
    </w:p>
    <w:p w14:paraId="6D479161">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hint="eastAsia" w:ascii="Times New Roman" w:hAnsi="Times New Roman" w:eastAsiaTheme="minorEastAsia"/>
          <w:b/>
          <w:caps w:val="0"/>
          <w:smallCaps w:val="0"/>
          <w:color w:val="auto"/>
          <w:spacing w:val="0"/>
          <w:w w:val="100"/>
          <w:position w:val="0"/>
          <w:highlight w:val="none"/>
          <w:lang w:val="en-US" w:eastAsia="zh-CN"/>
        </w:rPr>
        <w:t>5.6.1.5</w:t>
      </w:r>
      <w:r>
        <w:rPr>
          <w:rFonts w:ascii="Times New Roman" w:hAnsi="Times New Roman" w:eastAsiaTheme="minorEastAsia"/>
          <w:b/>
          <w:caps w:val="0"/>
          <w:smallCaps w:val="0"/>
          <w:color w:val="auto"/>
          <w:spacing w:val="0"/>
          <w:w w:val="100"/>
          <w:position w:val="0"/>
          <w:highlight w:val="none"/>
        </w:rPr>
        <w:t>对动物的影响分析</w:t>
      </w:r>
      <w:bookmarkEnd w:id="893"/>
      <w:bookmarkEnd w:id="894"/>
      <w:bookmarkEnd w:id="895"/>
      <w:bookmarkEnd w:id="896"/>
    </w:p>
    <w:p w14:paraId="4A2220C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8"/>
          <w:highlight w:val="none"/>
        </w:rPr>
      </w:pPr>
      <w:r>
        <w:rPr>
          <w:rFonts w:ascii="Times New Roman" w:hAnsi="Times New Roman" w:cs="Times New Roman" w:eastAsiaTheme="minorEastAsia"/>
          <w:caps w:val="0"/>
          <w:smallCaps w:val="0"/>
          <w:color w:val="auto"/>
          <w:spacing w:val="0"/>
          <w:w w:val="100"/>
          <w:kern w:val="2"/>
          <w:position w:val="0"/>
          <w:szCs w:val="28"/>
          <w:highlight w:val="none"/>
        </w:rPr>
        <w:t>本工程所在区域属于传统油田开发区域，长期受人为干扰和开发影响，区内野生动物种类、数量较少，本项目建设对动物影响程度不明显。</w:t>
      </w:r>
    </w:p>
    <w:p w14:paraId="1A50576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8"/>
          <w:highlight w:val="none"/>
        </w:rPr>
      </w:pPr>
      <w:r>
        <w:rPr>
          <w:rFonts w:ascii="Times New Roman" w:hAnsi="Times New Roman" w:cs="Times New Roman" w:eastAsiaTheme="minorEastAsia"/>
          <w:caps w:val="0"/>
          <w:smallCaps w:val="0"/>
          <w:color w:val="auto"/>
          <w:spacing w:val="0"/>
          <w:w w:val="100"/>
          <w:kern w:val="2"/>
          <w:position w:val="0"/>
          <w:szCs w:val="28"/>
          <w:highlight w:val="none"/>
        </w:rPr>
        <w:t>根据调查，本项目评价区不是国家重点保护野生动物的集中栖息地和繁殖地，也未发现珍稀濒危野生动物和重点保护野生动物，区内野生动物仅为一些常见种类，例如小家鼠、普通田鼠、野兔，以及喜鹊、小嘴乌鸦、麻雀、家燕等村栖型动物。项目管线施工过程临时占用部分土地，会对当地野生动物栖息环境产生一定的影响。</w:t>
      </w:r>
    </w:p>
    <w:p w14:paraId="1734B2A1">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8"/>
          <w:highlight w:val="none"/>
        </w:rPr>
      </w:pPr>
      <w:r>
        <w:rPr>
          <w:rFonts w:ascii="Times New Roman" w:hAnsi="Times New Roman" w:cs="Times New Roman" w:eastAsiaTheme="minorEastAsia"/>
          <w:caps w:val="0"/>
          <w:smallCaps w:val="0"/>
          <w:color w:val="auto"/>
          <w:spacing w:val="0"/>
          <w:w w:val="100"/>
          <w:kern w:val="2"/>
          <w:position w:val="0"/>
          <w:szCs w:val="28"/>
          <w:highlight w:val="none"/>
        </w:rPr>
        <w:t>（1）对哺乳类动物的影响</w:t>
      </w:r>
    </w:p>
    <w:p w14:paraId="5BB5792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8"/>
          <w:highlight w:val="none"/>
        </w:rPr>
      </w:pPr>
      <w:r>
        <w:rPr>
          <w:rFonts w:ascii="Times New Roman" w:hAnsi="Times New Roman" w:cs="Times New Roman" w:eastAsiaTheme="minorEastAsia"/>
          <w:caps w:val="0"/>
          <w:smallCaps w:val="0"/>
          <w:color w:val="auto"/>
          <w:spacing w:val="0"/>
          <w:w w:val="100"/>
          <w:kern w:val="2"/>
          <w:position w:val="0"/>
          <w:szCs w:val="28"/>
          <w:highlight w:val="none"/>
        </w:rPr>
        <w:t>项目建设过程中，在局部地区由于人类活动的加剧，垃圾、食物等会随之增加，从而吸引一些鼠类，可能会造成这些区域鼠类的种群数量上升，导致这些区域的小型兽类种群结构发生改变。同时，施工期的管线施工等对土地的占用都会直接破坏地表原有植被，使区域内分布的部分野生动物特别是草食性动物的食物减少，从而影响野生动物觅食。与此同时，工程建设造成动物栖息地减少，割断动物的活动区域、迁移途径、栖息区域等，对它们的生存产生一定影响。</w:t>
      </w:r>
    </w:p>
    <w:p w14:paraId="5BF646A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8"/>
          <w:highlight w:val="none"/>
        </w:rPr>
      </w:pPr>
      <w:r>
        <w:rPr>
          <w:rFonts w:ascii="Times New Roman" w:hAnsi="Times New Roman" w:cs="Times New Roman" w:eastAsiaTheme="minorEastAsia"/>
          <w:caps w:val="0"/>
          <w:smallCaps w:val="0"/>
          <w:color w:val="auto"/>
          <w:spacing w:val="0"/>
          <w:w w:val="100"/>
          <w:kern w:val="2"/>
          <w:position w:val="0"/>
          <w:szCs w:val="28"/>
          <w:highlight w:val="none"/>
        </w:rPr>
        <w:t>（2）对鸟类的影响</w:t>
      </w:r>
    </w:p>
    <w:p w14:paraId="120255CF">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8"/>
          <w:highlight w:val="none"/>
        </w:rPr>
      </w:pPr>
      <w:r>
        <w:rPr>
          <w:rFonts w:ascii="Times New Roman" w:hAnsi="Times New Roman" w:cs="Times New Roman" w:eastAsiaTheme="minorEastAsia"/>
          <w:caps w:val="0"/>
          <w:smallCaps w:val="0"/>
          <w:color w:val="auto"/>
          <w:spacing w:val="0"/>
          <w:w w:val="100"/>
          <w:kern w:val="2"/>
          <w:position w:val="0"/>
          <w:szCs w:val="28"/>
          <w:highlight w:val="none"/>
        </w:rPr>
        <w:t>麻雀、喜鹊、灰喜鹊等均为本区常见种，由于鸟类活动受空间限制较小，工程建设对鸟类的觅食影响不大。但由于鸟类容易受到强频振动和噪声的影响，且噪声级大小是影响鸟类繁殖的重要因素，因此，施工期的噪声可能对项目沿线附近的鸟类繁殖产生一定的影响。此外，</w:t>
      </w:r>
      <w:r>
        <w:rPr>
          <w:rFonts w:hint="eastAsia" w:ascii="Times New Roman" w:hAnsi="Times New Roman" w:cs="Times New Roman" w:eastAsiaTheme="minorEastAsia"/>
          <w:caps w:val="0"/>
          <w:smallCaps w:val="0"/>
          <w:color w:val="auto"/>
          <w:spacing w:val="0"/>
          <w:w w:val="100"/>
          <w:kern w:val="2"/>
          <w:position w:val="0"/>
          <w:szCs w:val="28"/>
          <w:highlight w:val="none"/>
        </w:rPr>
        <w:t>施工</w:t>
      </w:r>
      <w:r>
        <w:rPr>
          <w:rFonts w:ascii="Times New Roman" w:hAnsi="Times New Roman" w:cs="Times New Roman" w:eastAsiaTheme="minorEastAsia"/>
          <w:caps w:val="0"/>
          <w:smallCaps w:val="0"/>
          <w:color w:val="auto"/>
          <w:spacing w:val="0"/>
          <w:w w:val="100"/>
          <w:kern w:val="2"/>
          <w:position w:val="0"/>
          <w:szCs w:val="28"/>
          <w:highlight w:val="none"/>
        </w:rPr>
        <w:t>车辆与施工人员的增加与流动也会对鸟类产生影响。沿线未发现珍稀鸟类，项目建设与运行对鸟类繁殖影响不是很大。</w:t>
      </w:r>
    </w:p>
    <w:p w14:paraId="7EA29C72">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8"/>
          <w:highlight w:val="none"/>
        </w:rPr>
      </w:pPr>
      <w:r>
        <w:rPr>
          <w:rFonts w:ascii="Times New Roman" w:hAnsi="Times New Roman" w:cs="Times New Roman" w:eastAsiaTheme="minorEastAsia"/>
          <w:caps w:val="0"/>
          <w:smallCaps w:val="0"/>
          <w:color w:val="auto"/>
          <w:spacing w:val="0"/>
          <w:w w:val="100"/>
          <w:kern w:val="2"/>
          <w:position w:val="0"/>
          <w:szCs w:val="28"/>
          <w:highlight w:val="none"/>
        </w:rPr>
        <w:t>本项目完工后，随着施工范围内施工影响的消失和植被的逐渐恢复，动物的生存环境逐步得以复原，部分暂时离开的动物可以回到原来的栖息地，部分动物可能在新的地点建立新的适生环境，施工造成的对动物活动的影响消失。</w:t>
      </w:r>
    </w:p>
    <w:p w14:paraId="3F58AEB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
          <w:position w:val="0"/>
          <w:szCs w:val="28"/>
          <w:highlight w:val="none"/>
        </w:rPr>
      </w:pPr>
      <w:r>
        <w:rPr>
          <w:rFonts w:ascii="Times New Roman" w:hAnsi="Times New Roman" w:cs="Times New Roman" w:eastAsiaTheme="minorEastAsia"/>
          <w:caps w:val="0"/>
          <w:smallCaps w:val="0"/>
          <w:color w:val="auto"/>
          <w:spacing w:val="0"/>
          <w:w w:val="100"/>
          <w:kern w:val="2"/>
          <w:position w:val="0"/>
          <w:szCs w:val="28"/>
          <w:highlight w:val="none"/>
        </w:rPr>
        <w:t>由现场调查可知，项目附近区域内的野生动物的种类和数量较少，区域内野生动物已基本适应存在多年油田开发的现有生态环境，种类和数量无明显变化，油田开发不会使整个评价区动物种类组成发生明显变化，也不会造成某一动物物种的消失。说明运行多年的油田作业对油田开发区域的野生动物的影响在可接受范围内，通过类比，本项目的建设对周围野生动物的影响较小。</w:t>
      </w:r>
    </w:p>
    <w:p w14:paraId="11A41A2B">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897" w:name="_Toc126863462"/>
      <w:bookmarkStart w:id="898" w:name="_Toc127192411"/>
      <w:bookmarkStart w:id="899" w:name="_Toc143099650"/>
      <w:bookmarkStart w:id="900" w:name="_Toc131167363"/>
      <w:r>
        <w:rPr>
          <w:rFonts w:ascii="Times New Roman" w:hAnsi="Times New Roman" w:eastAsiaTheme="minorEastAsia"/>
          <w:b/>
          <w:caps w:val="0"/>
          <w:smallCaps w:val="0"/>
          <w:color w:val="auto"/>
          <w:spacing w:val="0"/>
          <w:w w:val="100"/>
          <w:position w:val="0"/>
          <w:highlight w:val="none"/>
        </w:rPr>
        <w:t>5.6.1.5防沙治沙影响分析</w:t>
      </w:r>
      <w:bookmarkEnd w:id="897"/>
      <w:bookmarkEnd w:id="898"/>
      <w:bookmarkEnd w:id="899"/>
      <w:bookmarkEnd w:id="900"/>
    </w:p>
    <w:p w14:paraId="3D3D6A24">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ascii="Times New Roman" w:hAnsi="Times New Roman" w:cs="Times New Roman"/>
          <w:caps w:val="0"/>
          <w:smallCaps w:val="0"/>
          <w:color w:val="auto"/>
          <w:spacing w:val="0"/>
          <w:w w:val="100"/>
          <w:kern w:val="2"/>
          <w:position w:val="0"/>
          <w:szCs w:val="28"/>
          <w:highlight w:val="none"/>
        </w:rPr>
        <w:t>根据现场勘查，本项目开发区域沙化土壤分布较少，主要地类为土壤性能良好的耕地，区域内沙化土地所占的比重较小，为减轻植被破坏和农田生态系统受工程影响可能导致的沙化现象，防患于未然，建设单位应采取以下措施进行控制：</w:t>
      </w:r>
    </w:p>
    <w:p w14:paraId="781DB06E">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caps w:val="0"/>
          <w:smallCaps w:val="0"/>
          <w:color w:val="auto"/>
          <w:spacing w:val="0"/>
          <w:w w:val="100"/>
          <w:kern w:val="2"/>
          <w:position w:val="0"/>
          <w:szCs w:val="28"/>
          <w:highlight w:val="none"/>
        </w:rPr>
        <w:t>①</w:t>
      </w:r>
      <w:r>
        <w:rPr>
          <w:rFonts w:ascii="Times New Roman" w:hAnsi="Times New Roman" w:cs="Times New Roman"/>
          <w:caps w:val="0"/>
          <w:smallCaps w:val="0"/>
          <w:color w:val="auto"/>
          <w:spacing w:val="0"/>
          <w:w w:val="100"/>
          <w:kern w:val="2"/>
          <w:position w:val="0"/>
          <w:szCs w:val="28"/>
          <w:highlight w:val="none"/>
        </w:rPr>
        <w:t>施工结束后及时有效地对占地区域土地进行平整，利于植被自然恢复。</w:t>
      </w:r>
    </w:p>
    <w:p w14:paraId="2606657F">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caps w:val="0"/>
          <w:smallCaps w:val="0"/>
          <w:color w:val="auto"/>
          <w:spacing w:val="0"/>
          <w:w w:val="100"/>
          <w:kern w:val="2"/>
          <w:position w:val="0"/>
          <w:szCs w:val="28"/>
          <w:highlight w:val="none"/>
        </w:rPr>
        <w:t>②</w:t>
      </w:r>
      <w:r>
        <w:rPr>
          <w:rFonts w:ascii="Times New Roman" w:hAnsi="Times New Roman" w:cs="Times New Roman"/>
          <w:caps w:val="0"/>
          <w:smallCaps w:val="0"/>
          <w:color w:val="auto"/>
          <w:spacing w:val="0"/>
          <w:w w:val="100"/>
          <w:kern w:val="2"/>
          <w:position w:val="0"/>
          <w:szCs w:val="28"/>
          <w:highlight w:val="none"/>
        </w:rPr>
        <w:t>施工时要特别注意保护原始地表与天然植被，施工尽量缩小占地面积，划定施工活动范围，严格控制和管理车辆及重型机械的运行范围，所有车辆采用“一”字型作业法，避免并行开辟新路，以减少风蚀沙化活动的范围。</w:t>
      </w:r>
    </w:p>
    <w:p w14:paraId="5E708497">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caps w:val="0"/>
          <w:smallCaps w:val="0"/>
          <w:color w:val="auto"/>
          <w:spacing w:val="0"/>
          <w:w w:val="100"/>
          <w:kern w:val="2"/>
          <w:position w:val="0"/>
          <w:szCs w:val="28"/>
          <w:highlight w:val="none"/>
        </w:rPr>
        <w:t>③</w:t>
      </w:r>
      <w:r>
        <w:rPr>
          <w:rFonts w:ascii="Times New Roman" w:hAnsi="Times New Roman" w:cs="Times New Roman"/>
          <w:caps w:val="0"/>
          <w:smallCaps w:val="0"/>
          <w:color w:val="auto"/>
          <w:spacing w:val="0"/>
          <w:w w:val="100"/>
          <w:kern w:val="2"/>
          <w:position w:val="0"/>
          <w:szCs w:val="28"/>
          <w:highlight w:val="none"/>
        </w:rPr>
        <w:t>施工作业避免在大风天施工。</w:t>
      </w:r>
    </w:p>
    <w:p w14:paraId="1D9B6B53">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hint="eastAsia"/>
          <w:caps w:val="0"/>
          <w:smallCaps w:val="0"/>
          <w:color w:val="auto"/>
          <w:spacing w:val="0"/>
          <w:w w:val="100"/>
          <w:kern w:val="2"/>
          <w:position w:val="0"/>
          <w:szCs w:val="28"/>
          <w:highlight w:val="none"/>
        </w:rPr>
        <w:t>④</w:t>
      </w:r>
      <w:r>
        <w:rPr>
          <w:rFonts w:ascii="Times New Roman" w:hAnsi="Times New Roman" w:cs="Times New Roman"/>
          <w:caps w:val="0"/>
          <w:smallCaps w:val="0"/>
          <w:color w:val="auto"/>
          <w:spacing w:val="0"/>
          <w:w w:val="100"/>
          <w:kern w:val="2"/>
          <w:position w:val="0"/>
          <w:szCs w:val="28"/>
          <w:highlight w:val="none"/>
        </w:rPr>
        <w:t>做好施工期开挖土方临时堆存的水土保持措施，确保土方水土流失得到有效控制。对开挖</w:t>
      </w:r>
      <w:r>
        <w:rPr>
          <w:rFonts w:hint="eastAsia" w:ascii="Times New Roman" w:hAnsi="Times New Roman" w:cs="Times New Roman"/>
          <w:caps w:val="0"/>
          <w:smallCaps w:val="0"/>
          <w:color w:val="auto"/>
          <w:spacing w:val="0"/>
          <w:w w:val="100"/>
          <w:kern w:val="2"/>
          <w:position w:val="0"/>
          <w:szCs w:val="28"/>
          <w:highlight w:val="none"/>
        </w:rPr>
        <w:t>管沟</w:t>
      </w:r>
      <w:r>
        <w:rPr>
          <w:rFonts w:ascii="Times New Roman" w:hAnsi="Times New Roman" w:cs="Times New Roman"/>
          <w:caps w:val="0"/>
          <w:smallCaps w:val="0"/>
          <w:color w:val="auto"/>
          <w:spacing w:val="0"/>
          <w:w w:val="100"/>
          <w:kern w:val="2"/>
          <w:position w:val="0"/>
          <w:szCs w:val="28"/>
          <w:highlight w:val="none"/>
        </w:rPr>
        <w:t>造成植被破坏或地表裸露的，必须采取有效的修复措施，所有生态措施应在</w:t>
      </w:r>
      <w:r>
        <w:rPr>
          <w:rFonts w:hint="eastAsia" w:ascii="Times New Roman" w:hAnsi="Times New Roman" w:cs="Times New Roman"/>
          <w:caps w:val="0"/>
          <w:smallCaps w:val="0"/>
          <w:color w:val="auto"/>
          <w:spacing w:val="0"/>
          <w:w w:val="100"/>
          <w:kern w:val="2"/>
          <w:position w:val="0"/>
          <w:szCs w:val="28"/>
          <w:highlight w:val="none"/>
        </w:rPr>
        <w:t>工程</w:t>
      </w:r>
      <w:r>
        <w:rPr>
          <w:rFonts w:ascii="Times New Roman" w:hAnsi="Times New Roman" w:cs="Times New Roman"/>
          <w:caps w:val="0"/>
          <w:smallCaps w:val="0"/>
          <w:color w:val="auto"/>
          <w:spacing w:val="0"/>
          <w:w w:val="100"/>
          <w:kern w:val="2"/>
          <w:position w:val="0"/>
          <w:szCs w:val="28"/>
          <w:highlight w:val="none"/>
        </w:rPr>
        <w:t>投运半年内完成。</w:t>
      </w:r>
    </w:p>
    <w:p w14:paraId="7B9B7540">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szCs w:val="28"/>
          <w:highlight w:val="none"/>
        </w:rPr>
      </w:pPr>
      <w:r>
        <w:rPr>
          <w:rFonts w:ascii="Times New Roman" w:hAnsi="Times New Roman" w:cs="Times New Roman"/>
          <w:caps w:val="0"/>
          <w:smallCaps w:val="0"/>
          <w:color w:val="auto"/>
          <w:spacing w:val="0"/>
          <w:w w:val="100"/>
          <w:kern w:val="2"/>
          <w:position w:val="0"/>
          <w:szCs w:val="28"/>
          <w:highlight w:val="none"/>
        </w:rPr>
        <w:t>通过以上措施，可有效</w:t>
      </w:r>
      <w:r>
        <w:rPr>
          <w:rFonts w:hint="eastAsia" w:ascii="Times New Roman" w:hAnsi="Times New Roman" w:cs="Times New Roman"/>
          <w:caps w:val="0"/>
          <w:smallCaps w:val="0"/>
          <w:color w:val="auto"/>
          <w:spacing w:val="0"/>
          <w:w w:val="100"/>
          <w:kern w:val="2"/>
          <w:position w:val="0"/>
          <w:szCs w:val="28"/>
          <w:highlight w:val="none"/>
          <w:lang w:bidi="zh-CN"/>
        </w:rPr>
        <w:t>减少工程建设对土地沙化的影响</w:t>
      </w:r>
      <w:r>
        <w:rPr>
          <w:rFonts w:ascii="Times New Roman" w:hAnsi="Times New Roman" w:cs="Times New Roman"/>
          <w:caps w:val="0"/>
          <w:smallCaps w:val="0"/>
          <w:color w:val="auto"/>
          <w:spacing w:val="0"/>
          <w:w w:val="100"/>
          <w:kern w:val="2"/>
          <w:position w:val="0"/>
          <w:szCs w:val="28"/>
          <w:highlight w:val="none"/>
        </w:rPr>
        <w:t>。</w:t>
      </w:r>
    </w:p>
    <w:p w14:paraId="18A81F70">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901" w:name="_Toc127192412"/>
      <w:bookmarkStart w:id="902" w:name="_Toc126863463"/>
      <w:bookmarkStart w:id="903" w:name="_Toc143099651"/>
      <w:bookmarkStart w:id="904" w:name="_Toc131167364"/>
      <w:r>
        <w:rPr>
          <w:rFonts w:ascii="Times New Roman" w:hAnsi="Times New Roman" w:eastAsiaTheme="minorEastAsia"/>
          <w:b/>
          <w:caps w:val="0"/>
          <w:smallCaps w:val="0"/>
          <w:color w:val="auto"/>
          <w:spacing w:val="0"/>
          <w:w w:val="100"/>
          <w:position w:val="0"/>
          <w:highlight w:val="none"/>
        </w:rPr>
        <w:t>5.6.</w:t>
      </w:r>
      <w:bookmarkEnd w:id="901"/>
      <w:bookmarkEnd w:id="902"/>
      <w:r>
        <w:rPr>
          <w:rFonts w:ascii="Times New Roman" w:hAnsi="Times New Roman" w:eastAsiaTheme="minorEastAsia"/>
          <w:b/>
          <w:caps w:val="0"/>
          <w:smallCaps w:val="0"/>
          <w:color w:val="auto"/>
          <w:spacing w:val="0"/>
          <w:w w:val="100"/>
          <w:position w:val="0"/>
          <w:highlight w:val="none"/>
        </w:rPr>
        <w:t>1.6对区域水土流失环境影响分析</w:t>
      </w:r>
      <w:bookmarkEnd w:id="903"/>
      <w:bookmarkEnd w:id="904"/>
    </w:p>
    <w:p w14:paraId="73D105D2">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项目建设过程中人为活动造成水土流失的原因主要是破坏地面表层结构以及大风季节临时堆土对周边环境带来的影响，可能造成的水土流失危害主要有以下几个方面：</w:t>
      </w:r>
    </w:p>
    <w:p w14:paraId="34D94A3E">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hint="eastAsia" w:ascii="Times New Roman" w:hAnsi="Times New Roman" w:cs="Times New Roman"/>
          <w:caps w:val="0"/>
          <w:smallCaps w:val="0"/>
          <w:color w:val="auto"/>
          <w:spacing w:val="0"/>
          <w:w w:val="100"/>
          <w:position w:val="0"/>
          <w:highlight w:val="none"/>
          <w:lang w:val="zh-CN" w:bidi="zh-CN"/>
        </w:rPr>
        <w:t>（1）</w:t>
      </w:r>
      <w:r>
        <w:rPr>
          <w:rFonts w:ascii="Times New Roman" w:hAnsi="Times New Roman" w:cs="Times New Roman"/>
          <w:caps w:val="0"/>
          <w:smallCaps w:val="0"/>
          <w:color w:val="auto"/>
          <w:spacing w:val="0"/>
          <w:w w:val="100"/>
          <w:position w:val="0"/>
          <w:highlight w:val="none"/>
          <w:lang w:val="zh-CN" w:bidi="zh-CN"/>
        </w:rPr>
        <w:t>扩大侵蚀面积，加剧水土流失。本项目地处内陆地区，风沙较大，空气干燥，加上地表植被多为草本植被，抗干扰能力较差，因此项目建设过程中对原地貌的扰动会大大降低项目占地范围内的土壤抗侵蚀能力，若在施工过程中不加以治理和防护，遇大风天气易产生严重的水土流失现象。</w:t>
      </w:r>
    </w:p>
    <w:p w14:paraId="0F020E29">
      <w:pPr>
        <w:widowControl w:val="0"/>
        <w:autoSpaceDE w:val="0"/>
        <w:autoSpaceDN w:val="0"/>
        <w:spacing w:line="440" w:lineRule="exact"/>
        <w:ind w:firstLine="480" w:firstLineChars="200"/>
        <w:jc w:val="both"/>
        <w:rPr>
          <w:rFonts w:ascii="Times New Roman" w:hAnsi="Times New Roman" w:cs="Times New Roman"/>
          <w:caps w:val="0"/>
          <w:smallCaps w:val="0"/>
          <w:color w:val="auto"/>
          <w:spacing w:val="0"/>
          <w:w w:val="100"/>
          <w:position w:val="0"/>
          <w:highlight w:val="none"/>
          <w:lang w:val="zh-CN" w:bidi="zh-CN"/>
        </w:rPr>
      </w:pPr>
      <w:r>
        <w:rPr>
          <w:rFonts w:hint="eastAsia" w:ascii="Times New Roman" w:hAnsi="Times New Roman" w:cs="Times New Roman"/>
          <w:caps w:val="0"/>
          <w:smallCaps w:val="0"/>
          <w:color w:val="auto"/>
          <w:spacing w:val="0"/>
          <w:w w:val="100"/>
          <w:position w:val="0"/>
          <w:highlight w:val="none"/>
          <w:lang w:val="zh-CN" w:bidi="zh-CN"/>
        </w:rPr>
        <w:t>（2）</w:t>
      </w:r>
      <w:r>
        <w:rPr>
          <w:rFonts w:ascii="Times New Roman" w:hAnsi="Times New Roman" w:cs="Times New Roman"/>
          <w:caps w:val="0"/>
          <w:smallCaps w:val="0"/>
          <w:color w:val="auto"/>
          <w:spacing w:val="0"/>
          <w:w w:val="100"/>
          <w:position w:val="0"/>
          <w:highlight w:val="none"/>
          <w:lang w:val="zh-CN" w:bidi="zh-CN"/>
        </w:rPr>
        <w:t>破坏生态环境，对周边地区造成影响</w:t>
      </w:r>
      <w:r>
        <w:rPr>
          <w:rFonts w:hint="eastAsia" w:ascii="Times New Roman" w:hAnsi="Times New Roman" w:cs="Times New Roman"/>
          <w:caps w:val="0"/>
          <w:smallCaps w:val="0"/>
          <w:color w:val="auto"/>
          <w:spacing w:val="0"/>
          <w:w w:val="100"/>
          <w:position w:val="0"/>
          <w:highlight w:val="none"/>
          <w:lang w:val="zh-CN" w:bidi="zh-CN"/>
        </w:rPr>
        <w:t>。</w:t>
      </w:r>
      <w:r>
        <w:rPr>
          <w:rFonts w:ascii="Times New Roman" w:hAnsi="Times New Roman" w:cs="Times New Roman"/>
          <w:caps w:val="0"/>
          <w:smallCaps w:val="0"/>
          <w:color w:val="auto"/>
          <w:spacing w:val="0"/>
          <w:w w:val="100"/>
          <w:position w:val="0"/>
          <w:highlight w:val="none"/>
          <w:lang w:val="zh-CN" w:bidi="zh-CN"/>
        </w:rPr>
        <w:t>本项目沿线植被覆盖度不高，施工期对地表结皮破坏，造成一定的生态环境破坏，施工车辆的反复碾压将会使</w:t>
      </w:r>
      <w:r>
        <w:rPr>
          <w:rFonts w:hint="eastAsia" w:ascii="Times New Roman" w:hAnsi="Times New Roman" w:cs="Times New Roman"/>
          <w:caps w:val="0"/>
          <w:smallCaps w:val="0"/>
          <w:color w:val="auto"/>
          <w:spacing w:val="0"/>
          <w:w w:val="100"/>
          <w:position w:val="0"/>
          <w:highlight w:val="none"/>
          <w:lang w:val="zh-CN" w:bidi="zh-CN"/>
        </w:rPr>
        <w:t>施工场地</w:t>
      </w:r>
      <w:r>
        <w:rPr>
          <w:rFonts w:ascii="Times New Roman" w:hAnsi="Times New Roman" w:cs="Times New Roman"/>
          <w:caps w:val="0"/>
          <w:smallCaps w:val="0"/>
          <w:color w:val="auto"/>
          <w:spacing w:val="0"/>
          <w:w w:val="100"/>
          <w:position w:val="0"/>
          <w:highlight w:val="none"/>
          <w:lang w:val="zh-CN" w:bidi="zh-CN"/>
        </w:rPr>
        <w:t>周边长期处于扬尘状况下，给施工人员健康造成危害。</w:t>
      </w:r>
    </w:p>
    <w:p w14:paraId="21CC33C5">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hint="eastAsia"/>
          <w:caps w:val="0"/>
          <w:smallCaps w:val="0"/>
          <w:color w:val="auto"/>
          <w:spacing w:val="0"/>
          <w:w w:val="100"/>
          <w:position w:val="0"/>
          <w:sz w:val="24"/>
          <w:highlight w:val="none"/>
          <w:lang w:val="zh-CN" w:bidi="zh-CN"/>
        </w:rPr>
        <w:t>（3）</w:t>
      </w:r>
      <w:r>
        <w:rPr>
          <w:caps w:val="0"/>
          <w:smallCaps w:val="0"/>
          <w:color w:val="auto"/>
          <w:spacing w:val="0"/>
          <w:w w:val="100"/>
          <w:position w:val="0"/>
          <w:sz w:val="24"/>
          <w:highlight w:val="none"/>
          <w:lang w:val="zh-CN" w:bidi="zh-CN"/>
        </w:rPr>
        <w:t>扰动土地面积、降低土壤抗侵蚀能力</w:t>
      </w:r>
      <w:r>
        <w:rPr>
          <w:rFonts w:hint="eastAsia"/>
          <w:caps w:val="0"/>
          <w:smallCaps w:val="0"/>
          <w:color w:val="auto"/>
          <w:spacing w:val="0"/>
          <w:w w:val="100"/>
          <w:position w:val="0"/>
          <w:sz w:val="24"/>
          <w:highlight w:val="none"/>
          <w:lang w:val="zh-CN" w:bidi="zh-CN"/>
        </w:rPr>
        <w:t>。施工场地内</w:t>
      </w:r>
      <w:r>
        <w:rPr>
          <w:caps w:val="0"/>
          <w:smallCaps w:val="0"/>
          <w:color w:val="auto"/>
          <w:spacing w:val="0"/>
          <w:w w:val="100"/>
          <w:position w:val="0"/>
          <w:sz w:val="24"/>
          <w:highlight w:val="none"/>
          <w:lang w:val="zh-CN" w:bidi="zh-CN"/>
        </w:rPr>
        <w:t>由于车辆行驶，改变了扰动区域的原地貌、土壤结构和地面物质组成，降低了土壤抗侵蚀能力</w:t>
      </w:r>
      <w:r>
        <w:rPr>
          <w:rFonts w:eastAsiaTheme="minorEastAsia"/>
          <w:bCs/>
          <w:caps w:val="0"/>
          <w:smallCaps w:val="0"/>
          <w:color w:val="auto"/>
          <w:spacing w:val="0"/>
          <w:w w:val="100"/>
          <w:position w:val="0"/>
          <w:sz w:val="24"/>
          <w:highlight w:val="none"/>
        </w:rPr>
        <w:t>。</w:t>
      </w:r>
    </w:p>
    <w:p w14:paraId="1D0612FB">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bookmarkStart w:id="905" w:name="_Toc143099652"/>
      <w:bookmarkStart w:id="906" w:name="_Toc131167365"/>
      <w:bookmarkStart w:id="907" w:name="_Toc127192413"/>
      <w:bookmarkStart w:id="908" w:name="_Toc126863464"/>
      <w:r>
        <w:rPr>
          <w:rFonts w:ascii="Times New Roman" w:hAnsi="Times New Roman" w:eastAsiaTheme="minorEastAsia"/>
          <w:b/>
          <w:caps w:val="0"/>
          <w:smallCaps w:val="0"/>
          <w:color w:val="auto"/>
          <w:spacing w:val="0"/>
          <w:w w:val="100"/>
          <w:position w:val="0"/>
          <w:highlight w:val="none"/>
        </w:rPr>
        <w:t>5.6.1.7对黑土地的环境影响分析</w:t>
      </w:r>
    </w:p>
    <w:p w14:paraId="61AAEA00">
      <w:pPr>
        <w:pStyle w:val="46"/>
        <w:spacing w:after="0" w:line="440" w:lineRule="exact"/>
        <w:ind w:left="0" w:leftChars="0" w:firstLine="480" w:firstLineChars="200"/>
        <w:rPr>
          <w:bCs/>
          <w:caps w:val="0"/>
          <w:smallCaps w:val="0"/>
          <w:color w:val="auto"/>
          <w:spacing w:val="0"/>
          <w:w w:val="100"/>
          <w:position w:val="0"/>
          <w:sz w:val="24"/>
          <w:highlight w:val="none"/>
        </w:rPr>
      </w:pPr>
      <w:r>
        <w:rPr>
          <w:bCs/>
          <w:caps w:val="0"/>
          <w:smallCaps w:val="0"/>
          <w:color w:val="auto"/>
          <w:spacing w:val="0"/>
          <w:w w:val="100"/>
          <w:position w:val="0"/>
          <w:sz w:val="24"/>
          <w:highlight w:val="none"/>
        </w:rPr>
        <w:t>本项目</w:t>
      </w:r>
      <w:r>
        <w:rPr>
          <w:rFonts w:hint="eastAsia"/>
          <w:bCs/>
          <w:caps w:val="0"/>
          <w:smallCaps w:val="0"/>
          <w:color w:val="auto"/>
          <w:spacing w:val="0"/>
          <w:w w:val="100"/>
          <w:position w:val="0"/>
          <w:sz w:val="24"/>
          <w:highlight w:val="none"/>
        </w:rPr>
        <w:t>管线工程</w:t>
      </w:r>
      <w:r>
        <w:rPr>
          <w:bCs/>
          <w:caps w:val="0"/>
          <w:smallCaps w:val="0"/>
          <w:color w:val="auto"/>
          <w:spacing w:val="0"/>
          <w:w w:val="100"/>
          <w:position w:val="0"/>
          <w:sz w:val="24"/>
          <w:highlight w:val="none"/>
        </w:rPr>
        <w:t>占用黑土耕地。本项目施工过程中，严格控制施工作业面积，加强施工管理，尽量减少占地面积，并规范行车路线及施工人员行为，严禁随意践踏、碾压施工区范围外的黑土耕地，不准乱挖、乱采野生植物，确保不影响周边黑土耕地。</w:t>
      </w:r>
      <w:r>
        <w:rPr>
          <w:rFonts w:hint="eastAsia"/>
          <w:bCs/>
          <w:caps w:val="0"/>
          <w:smallCaps w:val="0"/>
          <w:color w:val="auto"/>
          <w:spacing w:val="0"/>
          <w:w w:val="100"/>
          <w:position w:val="0"/>
          <w:sz w:val="24"/>
          <w:highlight w:val="none"/>
        </w:rPr>
        <w:t>工程开工前，由</w:t>
      </w:r>
      <w:r>
        <w:rPr>
          <w:rFonts w:hint="eastAsia"/>
          <w:bCs/>
          <w:caps w:val="0"/>
          <w:smallCaps w:val="0"/>
          <w:color w:val="auto"/>
          <w:spacing w:val="0"/>
          <w:w w:val="100"/>
          <w:position w:val="0"/>
          <w:sz w:val="24"/>
          <w:highlight w:val="none"/>
          <w:lang w:val="en-US" w:eastAsia="zh-CN"/>
        </w:rPr>
        <w:t>第十一采油厂</w:t>
      </w:r>
      <w:r>
        <w:rPr>
          <w:rFonts w:hint="eastAsia"/>
          <w:bCs/>
          <w:caps w:val="0"/>
          <w:smallCaps w:val="0"/>
          <w:color w:val="auto"/>
          <w:spacing w:val="0"/>
          <w:w w:val="100"/>
          <w:position w:val="0"/>
          <w:sz w:val="24"/>
          <w:highlight w:val="none"/>
        </w:rPr>
        <w:t>编制表土剥离利用方案，报自然资源主管部门备案，征收土地应报请相关主管部门同意，取得用地审批，临时占地剥离的表土用于临时占地恢复。永久占耕地剥离表土就近用于新开垦耕地和低质耕地改良、被污染耕地的治理、高标准农田建设、土地复垦等。管线范围表层土堆置于管线一侧临时占地内，并对堆放场做好水土保持措施，待施工结束后，回填占地范围，并采用表土复耕，增肥作业，恢复临时占用耕地的生产力，</w:t>
      </w:r>
      <w:r>
        <w:rPr>
          <w:bCs/>
          <w:caps w:val="0"/>
          <w:smallCaps w:val="0"/>
          <w:color w:val="auto"/>
          <w:spacing w:val="0"/>
          <w:w w:val="100"/>
          <w:position w:val="0"/>
          <w:sz w:val="24"/>
          <w:highlight w:val="none"/>
        </w:rPr>
        <w:t>在采取以上措施后，不会对周边黑土地产生明显影响。</w:t>
      </w:r>
    </w:p>
    <w:p w14:paraId="1F785B24">
      <w:pPr>
        <w:widowControl w:val="0"/>
        <w:autoSpaceDE w:val="0"/>
        <w:autoSpaceDN w:val="0"/>
        <w:spacing w:line="440" w:lineRule="exact"/>
        <w:outlineLvl w:val="3"/>
        <w:rPr>
          <w:rFonts w:ascii="Times New Roman" w:hAnsi="Times New Roman" w:cs="Times New Roman"/>
          <w:b/>
          <w:bCs/>
          <w:caps w:val="0"/>
          <w:smallCaps w:val="0"/>
          <w:color w:val="auto"/>
          <w:spacing w:val="0"/>
          <w:w w:val="100"/>
          <w:position w:val="0"/>
          <w:highlight w:val="none"/>
          <w:lang w:val="zh-CN" w:bidi="zh-CN"/>
        </w:rPr>
      </w:pPr>
      <w:bookmarkStart w:id="909" w:name="_Toc186444358"/>
      <w:r>
        <w:rPr>
          <w:rFonts w:hint="eastAsia" w:ascii="Times New Roman" w:hAnsi="Times New Roman" w:cs="Times New Roman"/>
          <w:b/>
          <w:bCs/>
          <w:caps w:val="0"/>
          <w:smallCaps w:val="0"/>
          <w:color w:val="auto"/>
          <w:spacing w:val="0"/>
          <w:w w:val="100"/>
          <w:position w:val="0"/>
          <w:highlight w:val="none"/>
          <w:lang w:bidi="zh-CN"/>
        </w:rPr>
        <w:t>5.5.1.9</w:t>
      </w:r>
      <w:r>
        <w:rPr>
          <w:rFonts w:ascii="Times New Roman" w:hAnsi="Times New Roman" w:cs="Times New Roman"/>
          <w:b/>
          <w:bCs/>
          <w:caps w:val="0"/>
          <w:smallCaps w:val="0"/>
          <w:color w:val="auto"/>
          <w:spacing w:val="0"/>
          <w:w w:val="100"/>
          <w:position w:val="0"/>
          <w:highlight w:val="none"/>
          <w:lang w:val="zh-CN" w:bidi="zh-CN"/>
        </w:rPr>
        <w:t>景观系统影响分析</w:t>
      </w:r>
    </w:p>
    <w:p w14:paraId="674D28C0">
      <w:pPr>
        <w:widowControl w:val="0"/>
        <w:adjustRightInd w:val="0"/>
        <w:snapToGrid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本工程沿线区域农业景观主导性比较明显，受到人类活动干扰和控制的程度较强。管道经过地区，都有人类长期生产活动干扰过的痕迹，并且扰动范围与方式已固定形成，所以系统现状处于相对稳定状态，当外界产生干扰时人工生态系统在人为推动下恢复平衡的能力较强，自然生态系统维持平衡的能力需根据具体扰动强度而定。</w:t>
      </w:r>
    </w:p>
    <w:p w14:paraId="16214231">
      <w:pPr>
        <w:widowControl w:val="0"/>
        <w:autoSpaceDE w:val="0"/>
        <w:autoSpaceDN w:val="0"/>
        <w:spacing w:line="440" w:lineRule="atLeast"/>
        <w:ind w:firstLine="480"/>
        <w:jc w:val="both"/>
        <w:rPr>
          <w:rFonts w:ascii="Times New Roman" w:hAnsi="Times New Roman" w:cs="Times New Roman"/>
          <w:caps w:val="0"/>
          <w:smallCaps w:val="0"/>
          <w:color w:val="auto"/>
          <w:spacing w:val="0"/>
          <w:w w:val="100"/>
          <w:position w:val="0"/>
          <w:highlight w:val="none"/>
          <w:lang w:val="zh-CN" w:bidi="zh-CN"/>
        </w:rPr>
      </w:pPr>
      <w:r>
        <w:rPr>
          <w:rFonts w:ascii="Times New Roman" w:hAnsi="Times New Roman" w:cs="Times New Roman"/>
          <w:caps w:val="0"/>
          <w:smallCaps w:val="0"/>
          <w:color w:val="auto"/>
          <w:spacing w:val="0"/>
          <w:w w:val="100"/>
          <w:position w:val="0"/>
          <w:highlight w:val="none"/>
          <w:lang w:val="zh-CN" w:bidi="zh-CN"/>
        </w:rPr>
        <w:t>管道施工期间会直接影响到该地段的各类景观，由于管道施工对农业景观影响是短暂的，它随着施工结束后的复种、复垦而结束，农田植被即可恢复原来景观，因此对农田景观影响不大，也就是说绝大部分区域农业景观的主导性仍然保留，景观整体生态格局没有发生大的变化。这些影响同样会随着施工的结束而消失。管道沿线附近经过若干</w:t>
      </w:r>
      <w:r>
        <w:rPr>
          <w:rFonts w:hint="eastAsia" w:ascii="Times New Roman" w:hAnsi="Times New Roman" w:cs="Times New Roman"/>
          <w:caps w:val="0"/>
          <w:smallCaps w:val="0"/>
          <w:color w:val="auto"/>
          <w:spacing w:val="0"/>
          <w:w w:val="100"/>
          <w:position w:val="0"/>
          <w:highlight w:val="none"/>
          <w:lang w:val="zh-CN" w:bidi="zh-CN"/>
        </w:rPr>
        <w:t>村屯</w:t>
      </w:r>
      <w:r>
        <w:rPr>
          <w:rFonts w:ascii="Times New Roman" w:hAnsi="Times New Roman" w:cs="Times New Roman"/>
          <w:caps w:val="0"/>
          <w:smallCaps w:val="0"/>
          <w:color w:val="auto"/>
          <w:spacing w:val="0"/>
          <w:w w:val="100"/>
          <w:position w:val="0"/>
          <w:highlight w:val="none"/>
          <w:lang w:val="zh-CN" w:bidi="zh-CN"/>
        </w:rPr>
        <w:t>，工程完工后全部隐蔽于地下，沿线居民视野内生态景观没有变化，管道工程运行期间对居民无不良影响。</w:t>
      </w:r>
    </w:p>
    <w:p w14:paraId="519FDE54">
      <w:pPr>
        <w:widowControl w:val="0"/>
        <w:autoSpaceDE w:val="0"/>
        <w:autoSpaceDN w:val="0"/>
        <w:spacing w:line="440" w:lineRule="exact"/>
        <w:jc w:val="both"/>
        <w:outlineLvl w:val="3"/>
        <w:rPr>
          <w:rFonts w:ascii="Times New Roman" w:hAnsi="Times New Roman" w:cs="Times New Roman"/>
          <w:b/>
          <w:bCs/>
          <w:caps w:val="0"/>
          <w:smallCaps w:val="0"/>
          <w:color w:val="auto"/>
          <w:spacing w:val="0"/>
          <w:w w:val="100"/>
          <w:position w:val="0"/>
          <w:highlight w:val="none"/>
          <w:lang w:val="zh-CN" w:bidi="zh-CN"/>
        </w:rPr>
      </w:pPr>
      <w:bookmarkStart w:id="910" w:name="_Toc370082120"/>
      <w:bookmarkStart w:id="911" w:name="_Toc184036499"/>
      <w:bookmarkStart w:id="912" w:name="_Toc359403313"/>
      <w:bookmarkStart w:id="913" w:name="_Toc181180141"/>
      <w:r>
        <w:rPr>
          <w:rFonts w:hint="eastAsia" w:ascii="Times New Roman" w:hAnsi="Times New Roman" w:cs="Times New Roman"/>
          <w:b/>
          <w:bCs/>
          <w:caps w:val="0"/>
          <w:smallCaps w:val="0"/>
          <w:color w:val="auto"/>
          <w:spacing w:val="0"/>
          <w:w w:val="100"/>
          <w:position w:val="0"/>
          <w:highlight w:val="none"/>
          <w:lang w:bidi="zh-CN"/>
        </w:rPr>
        <w:t>5.5.1.10</w:t>
      </w:r>
      <w:r>
        <w:rPr>
          <w:rFonts w:ascii="Times New Roman" w:hAnsi="Times New Roman" w:cs="Times New Roman"/>
          <w:b/>
          <w:bCs/>
          <w:caps w:val="0"/>
          <w:smallCaps w:val="0"/>
          <w:color w:val="auto"/>
          <w:spacing w:val="0"/>
          <w:w w:val="100"/>
          <w:position w:val="0"/>
          <w:highlight w:val="none"/>
          <w:lang w:val="zh-CN" w:bidi="zh-CN"/>
        </w:rPr>
        <w:t>生态系统影响分析</w:t>
      </w:r>
      <w:bookmarkEnd w:id="910"/>
      <w:bookmarkEnd w:id="911"/>
      <w:bookmarkEnd w:id="912"/>
      <w:bookmarkEnd w:id="913"/>
    </w:p>
    <w:p w14:paraId="6BB87849">
      <w:pPr>
        <w:pStyle w:val="46"/>
        <w:spacing w:after="0" w:line="440" w:lineRule="exact"/>
        <w:ind w:left="0" w:leftChars="0" w:firstLine="480" w:firstLineChars="200"/>
        <w:rPr>
          <w:bCs/>
          <w:caps w:val="0"/>
          <w:smallCaps w:val="0"/>
          <w:color w:val="auto"/>
          <w:spacing w:val="0"/>
          <w:w w:val="100"/>
          <w:position w:val="0"/>
          <w:sz w:val="24"/>
          <w:highlight w:val="none"/>
        </w:rPr>
      </w:pPr>
      <w:r>
        <w:rPr>
          <w:rFonts w:hint="eastAsia"/>
          <w:caps w:val="0"/>
          <w:smallCaps w:val="0"/>
          <w:color w:val="auto"/>
          <w:spacing w:val="0"/>
          <w:w w:val="100"/>
          <w:position w:val="0"/>
          <w:sz w:val="24"/>
          <w:highlight w:val="none"/>
          <w:lang w:val="zh-CN" w:bidi="zh-CN"/>
        </w:rPr>
        <w:t>本</w:t>
      </w:r>
      <w:r>
        <w:rPr>
          <w:caps w:val="0"/>
          <w:smallCaps w:val="0"/>
          <w:color w:val="auto"/>
          <w:spacing w:val="0"/>
          <w:w w:val="100"/>
          <w:position w:val="0"/>
          <w:sz w:val="24"/>
          <w:highlight w:val="none"/>
          <w:lang w:val="zh-CN" w:bidi="zh-CN"/>
        </w:rPr>
        <w:t>工程的建设将对</w:t>
      </w:r>
      <w:r>
        <w:rPr>
          <w:rFonts w:hint="eastAsia"/>
          <w:caps w:val="0"/>
          <w:smallCaps w:val="0"/>
          <w:color w:val="auto"/>
          <w:spacing w:val="0"/>
          <w:w w:val="100"/>
          <w:position w:val="0"/>
          <w:sz w:val="24"/>
          <w:highlight w:val="none"/>
          <w:lang w:val="zh-CN" w:bidi="zh-CN"/>
        </w:rPr>
        <w:t>草地生态系统和</w:t>
      </w:r>
      <w:r>
        <w:rPr>
          <w:caps w:val="0"/>
          <w:smallCaps w:val="0"/>
          <w:color w:val="auto"/>
          <w:spacing w:val="0"/>
          <w:w w:val="100"/>
          <w:position w:val="0"/>
          <w:sz w:val="24"/>
          <w:highlight w:val="none"/>
          <w:lang w:val="zh-CN" w:bidi="zh-CN"/>
        </w:rPr>
        <w:t>农业生态系统的结构和功能产生一定影响，但拟建工程占地面积较小，从整个评价区来看，该工程不会减少生态系统的数量，不会改变评价区生态系统的完整性和稳定性。因此评价认为，采取必要的生态保护措施后，对评价区内的各生态系统影响较小。</w:t>
      </w:r>
    </w:p>
    <w:p w14:paraId="0CDDCF36">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5.6.2运行期生态环境影响分析</w:t>
      </w:r>
      <w:bookmarkEnd w:id="905"/>
      <w:bookmarkEnd w:id="906"/>
      <w:bookmarkEnd w:id="907"/>
      <w:bookmarkEnd w:id="908"/>
      <w:bookmarkEnd w:id="909"/>
    </w:p>
    <w:p w14:paraId="4BFE8D65">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bookmarkStart w:id="914" w:name="_Toc186444359"/>
      <w:bookmarkStart w:id="915" w:name="_Toc131167366"/>
      <w:bookmarkStart w:id="916" w:name="_Toc126863465"/>
      <w:bookmarkStart w:id="917" w:name="_Toc127192414"/>
      <w:bookmarkStart w:id="918" w:name="_Toc143099653"/>
      <w:r>
        <w:rPr>
          <w:rFonts w:eastAsiaTheme="minorEastAsia"/>
          <w:bCs/>
          <w:caps w:val="0"/>
          <w:smallCaps w:val="0"/>
          <w:color w:val="auto"/>
          <w:spacing w:val="0"/>
          <w:w w:val="100"/>
          <w:position w:val="0"/>
          <w:sz w:val="24"/>
          <w:highlight w:val="none"/>
        </w:rPr>
        <w:t>本项目生产运营期对生态环境的影响主要是事故状态下对周围生态环境产生的影响。本项目在发生供水管道穿孔泄漏、作业时操作失误等事故状态下会导致油水进行周围环境，对生态环境的影响主要表现为降低土壤透气、透水性，使植物生产受阻，同时如果附着在植物上会影响植物的光合作用，造成植物枯萎。因此发生事故时应及时对泄漏的油水进行回收，对被污染的土壤进行清理，清理结束后对受影响的区域进行植被恢复。</w:t>
      </w:r>
    </w:p>
    <w:p w14:paraId="5B27004B">
      <w:pPr>
        <w:pStyle w:val="6"/>
        <w:widowControl w:val="0"/>
        <w:tabs>
          <w:tab w:val="left" w:pos="3841"/>
        </w:tabs>
        <w:spacing w:before="60" w:after="60" w:line="440" w:lineRule="exact"/>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5.6.3退役期生态环境影响分析</w:t>
      </w:r>
      <w:bookmarkEnd w:id="914"/>
    </w:p>
    <w:p w14:paraId="6AC2D062">
      <w:pPr>
        <w:pStyle w:val="46"/>
        <w:spacing w:line="440" w:lineRule="exact"/>
        <w:ind w:left="0" w:leftChars="0" w:firstLine="480" w:firstLineChars="200"/>
        <w:rPr>
          <w:rFonts w:eastAsiaTheme="minorEastAsia"/>
          <w:bCs/>
          <w:caps w:val="0"/>
          <w:smallCaps w:val="0"/>
          <w:color w:val="auto"/>
          <w:spacing w:val="0"/>
          <w:w w:val="100"/>
          <w:position w:val="0"/>
          <w:sz w:val="24"/>
          <w:highlight w:val="none"/>
        </w:rPr>
      </w:pPr>
      <w:bookmarkStart w:id="919" w:name="_Toc186444360"/>
      <w:r>
        <w:rPr>
          <w:rFonts w:eastAsiaTheme="minorEastAsia"/>
          <w:bCs/>
          <w:caps w:val="0"/>
          <w:smallCaps w:val="0"/>
          <w:color w:val="auto"/>
          <w:spacing w:val="0"/>
          <w:w w:val="100"/>
          <w:position w:val="0"/>
          <w:sz w:val="24"/>
          <w:highlight w:val="none"/>
        </w:rPr>
        <w:t>本项目在管线退役期施工过程中会造成地表扰动，水土流失，产生一定的生态影响。因此本项目在拆除作业的过程中应合理安排作业计划和作业时间，尽量避开雨天作业，尽量减少场地的裸露时间，尽可能减少施工作业造成的生态影响。施工结束后，在开展场地土壤环境调查与评价，对临时占地内土壤环境质量进行检测，与环评时期背景值进行对比，确定本项目对临时占地土壤无污染后，应及时对受扰动场地进行平整，耕地进行复垦、草地进行植被恢复。采取上述措施后项目退役期施工对原有生态环境影响很小。</w:t>
      </w:r>
    </w:p>
    <w:p w14:paraId="12F45E7F">
      <w:pPr>
        <w:pStyle w:val="6"/>
        <w:keepNext w:val="0"/>
        <w:keepLines w:val="0"/>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r>
        <w:rPr>
          <w:rFonts w:eastAsiaTheme="minorEastAsia"/>
          <w:b/>
          <w:caps w:val="0"/>
          <w:smallCaps w:val="0"/>
          <w:color w:val="auto"/>
          <w:spacing w:val="0"/>
          <w:w w:val="100"/>
          <w:kern w:val="2"/>
          <w:position w:val="0"/>
          <w:sz w:val="24"/>
          <w:szCs w:val="24"/>
          <w:highlight w:val="none"/>
        </w:rPr>
        <w:t>5.6.4生态环境影响评价结论</w:t>
      </w:r>
      <w:bookmarkEnd w:id="915"/>
      <w:bookmarkEnd w:id="916"/>
      <w:bookmarkEnd w:id="917"/>
      <w:bookmarkEnd w:id="918"/>
      <w:bookmarkEnd w:id="919"/>
    </w:p>
    <w:p w14:paraId="7E901E80">
      <w:pPr>
        <w:widowControl w:val="0"/>
        <w:spacing w:line="440" w:lineRule="exact"/>
        <w:ind w:firstLine="480" w:firstLineChars="200"/>
        <w:jc w:val="both"/>
        <w:rPr>
          <w:rFonts w:ascii="Times New Roman" w:hAnsi="Times New Roman" w:cs="Times New Roman"/>
          <w:bCs/>
          <w:caps w:val="0"/>
          <w:smallCaps w:val="0"/>
          <w:color w:val="auto"/>
          <w:spacing w:val="0"/>
          <w:w w:val="100"/>
          <w:position w:val="0"/>
          <w:highlight w:val="none"/>
        </w:rPr>
      </w:pPr>
      <w:bookmarkStart w:id="920" w:name="_Toc219900402"/>
      <w:bookmarkStart w:id="921" w:name="_Toc186444361"/>
      <w:r>
        <w:rPr>
          <w:rFonts w:ascii="Times New Roman" w:hAnsi="Times New Roman" w:cs="Times New Roman"/>
          <w:bCs/>
          <w:caps w:val="0"/>
          <w:smallCaps w:val="0"/>
          <w:color w:val="auto"/>
          <w:spacing w:val="0"/>
          <w:w w:val="100"/>
          <w:position w:val="0"/>
          <w:highlight w:val="none"/>
        </w:rPr>
        <w:t>根据对本项目生态环境现状评价及</w:t>
      </w:r>
      <w:r>
        <w:rPr>
          <w:rFonts w:hint="eastAsia" w:ascii="Times New Roman" w:hAnsi="Times New Roman" w:cs="Times New Roman"/>
          <w:bCs/>
          <w:caps w:val="0"/>
          <w:smallCaps w:val="0"/>
          <w:color w:val="auto"/>
          <w:spacing w:val="0"/>
          <w:w w:val="100"/>
          <w:position w:val="0"/>
          <w:highlight w:val="none"/>
        </w:rPr>
        <w:t>工程建设</w:t>
      </w:r>
      <w:r>
        <w:rPr>
          <w:rFonts w:ascii="Times New Roman" w:hAnsi="Times New Roman" w:cs="Times New Roman"/>
          <w:bCs/>
          <w:caps w:val="0"/>
          <w:smallCaps w:val="0"/>
          <w:color w:val="auto"/>
          <w:spacing w:val="0"/>
          <w:w w:val="100"/>
          <w:position w:val="0"/>
          <w:highlight w:val="none"/>
        </w:rPr>
        <w:t>对生态环境的影响分析，</w:t>
      </w:r>
      <w:r>
        <w:rPr>
          <w:rFonts w:hint="eastAsia" w:ascii="Times New Roman" w:hAnsi="Times New Roman" w:cs="Times New Roman"/>
          <w:bCs/>
          <w:caps w:val="0"/>
          <w:smallCaps w:val="0"/>
          <w:color w:val="auto"/>
          <w:spacing w:val="0"/>
          <w:w w:val="100"/>
          <w:position w:val="0"/>
          <w:highlight w:val="none"/>
        </w:rPr>
        <w:t>本</w:t>
      </w:r>
      <w:r>
        <w:rPr>
          <w:rFonts w:ascii="Times New Roman" w:hAnsi="Times New Roman" w:cs="Times New Roman"/>
          <w:bCs/>
          <w:caps w:val="0"/>
          <w:smallCaps w:val="0"/>
          <w:color w:val="auto"/>
          <w:spacing w:val="0"/>
          <w:w w:val="100"/>
          <w:position w:val="0"/>
          <w:highlight w:val="none"/>
        </w:rPr>
        <w:t>项目的管道建设对土地的侵占，对植被的破坏，将使</w:t>
      </w:r>
      <w:r>
        <w:rPr>
          <w:rFonts w:hint="eastAsia" w:ascii="Times New Roman" w:hAnsi="Times New Roman" w:cs="Times New Roman"/>
          <w:bCs/>
          <w:caps w:val="0"/>
          <w:smallCaps w:val="0"/>
          <w:color w:val="auto"/>
          <w:spacing w:val="0"/>
          <w:w w:val="100"/>
          <w:position w:val="0"/>
          <w:highlight w:val="none"/>
        </w:rPr>
        <w:t>占地内</w:t>
      </w:r>
      <w:r>
        <w:rPr>
          <w:rFonts w:ascii="Times New Roman" w:hAnsi="Times New Roman" w:cs="Times New Roman"/>
          <w:bCs/>
          <w:caps w:val="0"/>
          <w:smallCaps w:val="0"/>
          <w:color w:val="auto"/>
          <w:spacing w:val="0"/>
          <w:w w:val="100"/>
          <w:position w:val="0"/>
          <w:highlight w:val="none"/>
        </w:rPr>
        <w:t>生物量有一定程度的下降。在采取必要的保护措施后，可以最大程度减小对生态环境的不利影响，加快生态环境的恢复。</w:t>
      </w:r>
    </w:p>
    <w:p w14:paraId="2A6A9BE6">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ascii="宋体" w:hAnsi="宋体" w:cs="宋体"/>
          <w:bCs/>
          <w:caps w:val="0"/>
          <w:smallCaps w:val="0"/>
          <w:color w:val="auto"/>
          <w:spacing w:val="0"/>
          <w:w w:val="100"/>
          <w:position w:val="0"/>
          <w:sz w:val="24"/>
          <w:highlight w:val="none"/>
        </w:rPr>
        <w:t>可见，只要采取必要的措施，</w:t>
      </w:r>
      <w:r>
        <w:rPr>
          <w:rFonts w:hint="eastAsia" w:ascii="宋体" w:hAnsi="宋体" w:cs="宋体"/>
          <w:bCs/>
          <w:caps w:val="0"/>
          <w:smallCaps w:val="0"/>
          <w:color w:val="auto"/>
          <w:spacing w:val="0"/>
          <w:w w:val="100"/>
          <w:position w:val="0"/>
          <w:sz w:val="24"/>
          <w:highlight w:val="none"/>
        </w:rPr>
        <w:t>本项目建设</w:t>
      </w:r>
      <w:r>
        <w:rPr>
          <w:rFonts w:ascii="宋体" w:hAnsi="宋体" w:cs="宋体"/>
          <w:bCs/>
          <w:caps w:val="0"/>
          <w:smallCaps w:val="0"/>
          <w:color w:val="auto"/>
          <w:spacing w:val="0"/>
          <w:w w:val="100"/>
          <w:position w:val="0"/>
          <w:sz w:val="24"/>
          <w:highlight w:val="none"/>
        </w:rPr>
        <w:t>对生态环境的影响不会太大，在生态上是可行的</w:t>
      </w:r>
      <w:r>
        <w:rPr>
          <w:rFonts w:eastAsiaTheme="minorEastAsia"/>
          <w:bCs/>
          <w:caps w:val="0"/>
          <w:smallCaps w:val="0"/>
          <w:color w:val="auto"/>
          <w:spacing w:val="0"/>
          <w:w w:val="100"/>
          <w:position w:val="0"/>
          <w:sz w:val="24"/>
          <w:highlight w:val="none"/>
        </w:rPr>
        <w:t>。</w:t>
      </w:r>
    </w:p>
    <w:p w14:paraId="774C315C">
      <w:pPr>
        <w:pStyle w:val="4"/>
        <w:keepNext w:val="0"/>
        <w:keepLines w:val="0"/>
        <w:widowControl w:val="0"/>
        <w:spacing w:before="120" w:after="120" w:line="440" w:lineRule="exact"/>
        <w:rPr>
          <w:rFonts w:ascii="Times New Roman" w:hAnsi="Times New Roman" w:eastAsia="宋体"/>
          <w:b/>
          <w:caps w:val="0"/>
          <w:smallCaps w:val="0"/>
          <w:snapToGrid w:val="0"/>
          <w:color w:val="auto"/>
          <w:spacing w:val="0"/>
          <w:w w:val="100"/>
          <w:position w:val="0"/>
          <w:highlight w:val="none"/>
        </w:rPr>
      </w:pPr>
      <w:r>
        <w:rPr>
          <w:rFonts w:ascii="Times New Roman" w:hAnsi="Times New Roman" w:eastAsia="宋体"/>
          <w:b/>
          <w:caps w:val="0"/>
          <w:smallCaps w:val="0"/>
          <w:snapToGrid w:val="0"/>
          <w:color w:val="auto"/>
          <w:spacing w:val="0"/>
          <w:w w:val="100"/>
          <w:position w:val="0"/>
          <w:highlight w:val="none"/>
        </w:rPr>
        <w:t>5.7土壤环境影响预测与评价</w:t>
      </w:r>
      <w:bookmarkEnd w:id="920"/>
      <w:bookmarkEnd w:id="921"/>
    </w:p>
    <w:p w14:paraId="339F1362">
      <w:pPr>
        <w:keepNext/>
        <w:keepLines/>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bookmarkStart w:id="922" w:name="_Toc127192421"/>
      <w:bookmarkStart w:id="923" w:name="_Toc186444362"/>
      <w:bookmarkStart w:id="924" w:name="_Toc126863472"/>
      <w:r>
        <w:rPr>
          <w:rFonts w:ascii="Times New Roman" w:hAnsi="Times New Roman" w:cs="Times New Roman"/>
          <w:b/>
          <w:bCs/>
          <w:caps w:val="0"/>
          <w:smallCaps w:val="0"/>
          <w:color w:val="auto"/>
          <w:spacing w:val="0"/>
          <w:w w:val="100"/>
          <w:kern w:val="2"/>
          <w:position w:val="0"/>
          <w:highlight w:val="none"/>
        </w:rPr>
        <w:t>5.7.1施工期土壤环境影响分析</w:t>
      </w:r>
      <w:bookmarkEnd w:id="922"/>
      <w:bookmarkEnd w:id="923"/>
      <w:bookmarkEnd w:id="924"/>
    </w:p>
    <w:p w14:paraId="52E80524">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施工期主要为管线施工对土地的占用以及对地表环境的影响。</w:t>
      </w:r>
    </w:p>
    <w:p w14:paraId="2A1A18E9">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（1）施工期临时占地对土壤影响</w:t>
      </w:r>
    </w:p>
    <w:p w14:paraId="463A6C86">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本项目临时占地主要是管道工程占地，占地类型为耕地（基本农田）、草地（非基本草原），合计临时占地</w:t>
      </w:r>
      <w:r>
        <w:rPr>
          <w:rFonts w:hint="eastAsia" w:ascii="Times New Roman" w:hAnsi="Times New Roman"/>
          <w:caps w:val="0"/>
          <w:smallCaps w:val="0"/>
          <w:color w:val="auto"/>
          <w:spacing w:val="0"/>
          <w:w w:val="100"/>
          <w:kern w:val="0"/>
          <w:position w:val="0"/>
          <w:szCs w:val="24"/>
          <w:highlight w:val="none"/>
          <w:lang w:val="en-US" w:bidi="zh-CN"/>
        </w:rPr>
        <w:t>21.88</w:t>
      </w:r>
      <w:r>
        <w:rPr>
          <w:rFonts w:ascii="Times New Roman" w:hAnsi="Times New Roman"/>
          <w:caps w:val="0"/>
          <w:smallCaps w:val="0"/>
          <w:color w:val="auto"/>
          <w:spacing w:val="0"/>
          <w:w w:val="100"/>
          <w:kern w:val="0"/>
          <w:position w:val="0"/>
          <w:szCs w:val="24"/>
          <w:highlight w:val="none"/>
          <w:lang w:bidi="zh-CN"/>
        </w:rPr>
        <w:t>hm</w:t>
      </w:r>
      <w:r>
        <w:rPr>
          <w:rFonts w:ascii="Times New Roman" w:hAnsi="Times New Roman"/>
          <w:caps w:val="0"/>
          <w:smallCaps w:val="0"/>
          <w:color w:val="auto"/>
          <w:spacing w:val="0"/>
          <w:w w:val="100"/>
          <w:kern w:val="0"/>
          <w:position w:val="0"/>
          <w:szCs w:val="24"/>
          <w:highlight w:val="none"/>
          <w:vertAlign w:val="superscript"/>
          <w:lang w:bidi="zh-CN"/>
        </w:rPr>
        <w:t>2</w:t>
      </w:r>
      <w:r>
        <w:rPr>
          <w:rFonts w:ascii="Times New Roman" w:hAnsi="Times New Roman"/>
          <w:caps w:val="0"/>
          <w:smallCaps w:val="0"/>
          <w:color w:val="auto"/>
          <w:spacing w:val="0"/>
          <w:w w:val="100"/>
          <w:kern w:val="0"/>
          <w:position w:val="0"/>
          <w:szCs w:val="24"/>
          <w:highlight w:val="none"/>
          <w:lang w:bidi="zh-CN"/>
        </w:rPr>
        <w:t>。大型、重型机械设备的碾压，施工人员的践踏、材料堆放等都会破坏地表植被，使土壤紧实度增高，会造成局部大片裸地出现，容易引起土壤风蚀和水土流失，特别是风蚀，对土壤环境的影响表现在：</w:t>
      </w:r>
    </w:p>
    <w:p w14:paraId="4A622E44">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hint="eastAsia" w:ascii="宋体" w:hAnsi="宋体" w:cs="宋体"/>
          <w:caps w:val="0"/>
          <w:smallCaps w:val="0"/>
          <w:color w:val="auto"/>
          <w:spacing w:val="0"/>
          <w:w w:val="100"/>
          <w:kern w:val="0"/>
          <w:position w:val="0"/>
          <w:szCs w:val="24"/>
          <w:highlight w:val="none"/>
          <w:lang w:bidi="zh-CN"/>
        </w:rPr>
        <w:t>①</w:t>
      </w:r>
      <w:r>
        <w:rPr>
          <w:rFonts w:ascii="Times New Roman" w:hAnsi="Times New Roman"/>
          <w:caps w:val="0"/>
          <w:smallCaps w:val="0"/>
          <w:color w:val="auto"/>
          <w:spacing w:val="0"/>
          <w:w w:val="100"/>
          <w:kern w:val="0"/>
          <w:position w:val="0"/>
          <w:szCs w:val="24"/>
          <w:highlight w:val="none"/>
          <w:lang w:bidi="zh-CN"/>
        </w:rPr>
        <w:t>破坏土壤结构</w:t>
      </w:r>
    </w:p>
    <w:p w14:paraId="3395BB86">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土壤结构的形成需要漫长的时间，管道在开挖和填埋时，必将破坏土壤结构，干扰了团粒结构的自然形成过程。作为土壤质量重要指标的团粒结构一旦遭到破坏，需要经过较长的时间才能恢复。</w:t>
      </w:r>
    </w:p>
    <w:p w14:paraId="1247CED6">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hint="eastAsia" w:ascii="宋体" w:hAnsi="宋体" w:cs="宋体"/>
          <w:caps w:val="0"/>
          <w:smallCaps w:val="0"/>
          <w:color w:val="auto"/>
          <w:spacing w:val="0"/>
          <w:w w:val="100"/>
          <w:kern w:val="0"/>
          <w:position w:val="0"/>
          <w:szCs w:val="24"/>
          <w:highlight w:val="none"/>
          <w:lang w:bidi="zh-CN"/>
        </w:rPr>
        <w:t>②</w:t>
      </w:r>
      <w:r>
        <w:rPr>
          <w:rFonts w:ascii="Times New Roman" w:hAnsi="Times New Roman"/>
          <w:caps w:val="0"/>
          <w:smallCaps w:val="0"/>
          <w:color w:val="auto"/>
          <w:spacing w:val="0"/>
          <w:w w:val="100"/>
          <w:kern w:val="0"/>
          <w:position w:val="0"/>
          <w:szCs w:val="24"/>
          <w:highlight w:val="none"/>
          <w:lang w:bidi="zh-CN"/>
        </w:rPr>
        <w:t>混合土壤层次，改变土壤质地</w:t>
      </w:r>
    </w:p>
    <w:p w14:paraId="67D6A256">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土壤表层质地与底层的质地截然不同，管道的开挖与回填，会混合原有的土壤层次，降低土壤的蓄水保肥能力，易受风蚀，影响土壤的发育、植被的恢复。</w:t>
      </w:r>
    </w:p>
    <w:p w14:paraId="301E98BB">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hint="eastAsia" w:ascii="宋体" w:hAnsi="宋体" w:cs="宋体"/>
          <w:caps w:val="0"/>
          <w:smallCaps w:val="0"/>
          <w:color w:val="auto"/>
          <w:spacing w:val="0"/>
          <w:w w:val="100"/>
          <w:kern w:val="0"/>
          <w:position w:val="0"/>
          <w:szCs w:val="24"/>
          <w:highlight w:val="none"/>
          <w:lang w:bidi="zh-CN"/>
        </w:rPr>
        <w:t>③</w:t>
      </w:r>
      <w:r>
        <w:rPr>
          <w:rFonts w:ascii="Times New Roman" w:hAnsi="Times New Roman"/>
          <w:caps w:val="0"/>
          <w:smallCaps w:val="0"/>
          <w:color w:val="auto"/>
          <w:spacing w:val="0"/>
          <w:w w:val="100"/>
          <w:kern w:val="0"/>
          <w:position w:val="0"/>
          <w:szCs w:val="24"/>
          <w:highlight w:val="none"/>
          <w:lang w:bidi="zh-CN"/>
        </w:rPr>
        <w:t>土壤养分流失</w:t>
      </w:r>
    </w:p>
    <w:p w14:paraId="20D60F75">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在土壤剖面中各个土层中，就养分状况而言，表土层（腐殖质层、耕作层）远较心土层好，其有机质、全氮、全磷均较其他层次高。施工作业对原有的土体构型产生扰动，使土壤性质发生变化，土壤养分流失，从而影响植物的生长。</w:t>
      </w:r>
    </w:p>
    <w:p w14:paraId="4F1BC6F5">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（2）土壤侵蚀</w:t>
      </w:r>
    </w:p>
    <w:p w14:paraId="6F75583E">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本项目管道建设过程中将开挖管沟，管沟上方的地表植被被完全破坏，新增一定量的土壤侵蚀，挖出的表层土和下层土临时就近分别堆放，如果防护措施不当也会引起水土流失。开挖管沟对土体的扰动将使土壤的结构、组成及理化性质等发生变化，进而影响土壤的侵蚀状况。同时管道施工过程中施工机械的碾压和人员的践踏会破坏管沟两侧施工范围内自然植被和扰动原来相对稳定的地表，使土壤变得疏松，产生一定面积的裸露地面，造成新增土壤侵蚀。管道建设施工结束后，管沟回填先填下层土再填表土，同时对施工迹地地表植被进行恢复，可有效减轻管道建设过程中对土壤环境的影响。</w:t>
      </w:r>
    </w:p>
    <w:p w14:paraId="6927E0ED">
      <w:pPr>
        <w:keepNext/>
        <w:keepLines/>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bookmarkStart w:id="925" w:name="_Toc127192422"/>
      <w:bookmarkStart w:id="926" w:name="_Toc126863473"/>
      <w:bookmarkStart w:id="927" w:name="_Toc186444363"/>
      <w:r>
        <w:rPr>
          <w:rFonts w:ascii="Times New Roman" w:hAnsi="Times New Roman" w:cs="Times New Roman"/>
          <w:b/>
          <w:bCs/>
          <w:caps w:val="0"/>
          <w:smallCaps w:val="0"/>
          <w:color w:val="auto"/>
          <w:spacing w:val="0"/>
          <w:w w:val="100"/>
          <w:kern w:val="2"/>
          <w:position w:val="0"/>
          <w:highlight w:val="none"/>
        </w:rPr>
        <w:t>5.7.2运营期土壤环境影响预测与分析</w:t>
      </w:r>
      <w:bookmarkEnd w:id="925"/>
      <w:bookmarkEnd w:id="926"/>
      <w:bookmarkEnd w:id="927"/>
    </w:p>
    <w:p w14:paraId="5F61A1B2">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根据工程分析，正常情况下，项目管线采用密闭集输工艺流程输送原油、</w:t>
      </w:r>
      <w:r>
        <w:rPr>
          <w:rFonts w:hint="eastAsia" w:ascii="Times New Roman" w:hAnsi="Times New Roman"/>
          <w:caps w:val="0"/>
          <w:smallCaps w:val="0"/>
          <w:color w:val="auto"/>
          <w:spacing w:val="0"/>
          <w:w w:val="100"/>
          <w:kern w:val="0"/>
          <w:position w:val="0"/>
          <w:szCs w:val="24"/>
          <w:highlight w:val="none"/>
          <w:lang w:val="en-US" w:bidi="zh-CN"/>
        </w:rPr>
        <w:t>含油污水</w:t>
      </w:r>
      <w:r>
        <w:rPr>
          <w:rFonts w:ascii="Times New Roman" w:hAnsi="Times New Roman"/>
          <w:caps w:val="0"/>
          <w:smallCaps w:val="0"/>
          <w:color w:val="auto"/>
          <w:spacing w:val="0"/>
          <w:w w:val="100"/>
          <w:kern w:val="0"/>
          <w:position w:val="0"/>
          <w:szCs w:val="24"/>
          <w:highlight w:val="none"/>
          <w:lang w:bidi="zh-CN"/>
        </w:rPr>
        <w:t>，本项目集输管线采用内外防腐层+阴极保护的联合防护措施，管线可以有效阻隔污染物进入到土壤环境中，不会对土壤环境造成污染。同时运行期定期对集输管线进行壁厚检测。发生泄漏事故时管线两端压力检测装置及时启动并报警，管线长时间持续泄漏的可能性较小。</w:t>
      </w:r>
    </w:p>
    <w:p w14:paraId="359391F4">
      <w:pPr>
        <w:pStyle w:val="31"/>
        <w:widowControl w:val="0"/>
        <w:spacing w:line="440" w:lineRule="exact"/>
        <w:ind w:firstLine="480" w:firstLineChars="200"/>
        <w:jc w:val="both"/>
        <w:rPr>
          <w:rFonts w:ascii="Times New Roman" w:hAnsi="Times New Roman"/>
          <w:caps w:val="0"/>
          <w:smallCaps w:val="0"/>
          <w:color w:val="auto"/>
          <w:spacing w:val="0"/>
          <w:w w:val="100"/>
          <w:kern w:val="0"/>
          <w:position w:val="0"/>
          <w:szCs w:val="24"/>
          <w:highlight w:val="none"/>
          <w:lang w:bidi="zh-CN"/>
        </w:rPr>
      </w:pPr>
      <w:r>
        <w:rPr>
          <w:rFonts w:ascii="Times New Roman" w:hAnsi="Times New Roman"/>
          <w:caps w:val="0"/>
          <w:smallCaps w:val="0"/>
          <w:color w:val="auto"/>
          <w:spacing w:val="0"/>
          <w:w w:val="100"/>
          <w:kern w:val="0"/>
          <w:position w:val="0"/>
          <w:szCs w:val="24"/>
          <w:highlight w:val="none"/>
          <w:lang w:bidi="zh-CN"/>
        </w:rPr>
        <w:t>事故状态下，项目集输管线因腐蚀、老化等原因出现集输管道破裂，管道破裂会导致</w:t>
      </w:r>
      <w:r>
        <w:rPr>
          <w:rFonts w:hint="eastAsia" w:ascii="Times New Roman" w:hAnsi="Times New Roman"/>
          <w:caps w:val="0"/>
          <w:smallCaps w:val="0"/>
          <w:color w:val="auto"/>
          <w:spacing w:val="0"/>
          <w:w w:val="100"/>
          <w:kern w:val="0"/>
          <w:position w:val="0"/>
          <w:szCs w:val="24"/>
          <w:highlight w:val="none"/>
          <w:lang w:bidi="zh-CN"/>
        </w:rPr>
        <w:t>原油</w:t>
      </w:r>
      <w:r>
        <w:rPr>
          <w:rFonts w:ascii="Times New Roman" w:hAnsi="Times New Roman"/>
          <w:caps w:val="0"/>
          <w:smallCaps w:val="0"/>
          <w:color w:val="auto"/>
          <w:spacing w:val="0"/>
          <w:w w:val="100"/>
          <w:kern w:val="0"/>
          <w:position w:val="0"/>
          <w:szCs w:val="24"/>
          <w:highlight w:val="none"/>
          <w:lang w:bidi="zh-CN"/>
        </w:rPr>
        <w:t>通过垂直入渗进入土壤。其危害主要表现为降低土壤透气、透水性，改变土壤微生物种群结构，消耗土壤氮素，使植物生长受阻，体内残留量增加，恶化土壤——植物及土壤——食物链系统的环境质量。因此，本项目运营期一定要严防含油污水跑、冒事故的发生，一旦发生管线泄漏事故，应立即采取事故应急措施，及时对污水进行回收，最大限度地恢复地表原貌，从而为利用土壤的自净作用创造条件，在尽可能短的时间使土壤环境得到恢复。</w:t>
      </w:r>
    </w:p>
    <w:p w14:paraId="71FB354B">
      <w:pPr>
        <w:pStyle w:val="149"/>
        <w:widowControl w:val="0"/>
        <w:spacing w:line="440" w:lineRule="exact"/>
        <w:ind w:firstLine="473"/>
        <w:jc w:val="both"/>
        <w:rPr>
          <w:rFonts w:ascii="Times New Roman" w:hAnsi="Times New Roman" w:eastAsiaTheme="minorEastAsia"/>
          <w:caps w:val="0"/>
          <w:smallCaps w:val="0"/>
          <w:color w:val="auto"/>
          <w:spacing w:val="0"/>
          <w:w w:val="100"/>
          <w:kern w:val="21"/>
          <w:position w:val="0"/>
          <w:highlight w:val="none"/>
          <w:lang w:val="zh-CN" w:bidi="zh-CN"/>
        </w:rPr>
      </w:pPr>
      <w:r>
        <w:rPr>
          <w:rFonts w:ascii="Times New Roman" w:hAnsi="Times New Roman" w:eastAsiaTheme="minorEastAsia"/>
          <w:caps w:val="0"/>
          <w:smallCaps w:val="0"/>
          <w:color w:val="auto"/>
          <w:spacing w:val="0"/>
          <w:w w:val="100"/>
          <w:kern w:val="21"/>
          <w:position w:val="0"/>
          <w:highlight w:val="none"/>
          <w:lang w:val="zh-CN" w:bidi="zh-CN"/>
        </w:rPr>
        <w:t>本项目土壤环境影响类型与影响途径见表</w:t>
      </w:r>
      <w:r>
        <w:rPr>
          <w:rFonts w:ascii="Times New Roman" w:hAnsi="Times New Roman" w:eastAsiaTheme="minorEastAsia"/>
          <w:caps w:val="0"/>
          <w:smallCaps w:val="0"/>
          <w:color w:val="auto"/>
          <w:spacing w:val="0"/>
          <w:w w:val="100"/>
          <w:kern w:val="21"/>
          <w:position w:val="0"/>
          <w:highlight w:val="none"/>
          <w:lang w:bidi="zh-CN"/>
        </w:rPr>
        <w:t>5.7-1</w:t>
      </w:r>
      <w:r>
        <w:rPr>
          <w:rFonts w:ascii="Times New Roman" w:hAnsi="Times New Roman" w:eastAsiaTheme="minorEastAsia"/>
          <w:caps w:val="0"/>
          <w:smallCaps w:val="0"/>
          <w:color w:val="auto"/>
          <w:spacing w:val="0"/>
          <w:w w:val="100"/>
          <w:kern w:val="21"/>
          <w:position w:val="0"/>
          <w:highlight w:val="none"/>
          <w:lang w:val="zh-CN" w:bidi="zh-CN"/>
        </w:rPr>
        <w:t>。</w:t>
      </w:r>
    </w:p>
    <w:p w14:paraId="016B808B">
      <w:pPr>
        <w:widowControl w:val="0"/>
        <w:spacing w:line="440" w:lineRule="exact"/>
        <w:ind w:firstLine="482" w:firstLineChars="200"/>
        <w:jc w:val="both"/>
        <w:rPr>
          <w:rFonts w:ascii="Times New Roman" w:hAnsi="Times New Roman" w:cs="Times New Roman" w:eastAsiaTheme="minorEastAsia"/>
          <w:b/>
          <w:caps w:val="0"/>
          <w:smallCaps w:val="0"/>
          <w:color w:val="auto"/>
          <w:spacing w:val="0"/>
          <w:w w:val="100"/>
          <w:kern w:val="21"/>
          <w:position w:val="0"/>
          <w:highlight w:val="none"/>
          <w:lang w:val="zh-CN" w:bidi="zh-CN"/>
        </w:rPr>
      </w:pPr>
      <w:r>
        <w:rPr>
          <w:rFonts w:ascii="Times New Roman" w:hAnsi="Times New Roman" w:cs="Times New Roman" w:eastAsiaTheme="minorEastAsia"/>
          <w:b/>
          <w:caps w:val="0"/>
          <w:smallCaps w:val="0"/>
          <w:color w:val="auto"/>
          <w:spacing w:val="0"/>
          <w:w w:val="100"/>
          <w:kern w:val="21"/>
          <w:position w:val="0"/>
          <w:highlight w:val="none"/>
          <w:lang w:val="zh-CN" w:bidi="zh-CN"/>
        </w:rPr>
        <w:t>表</w:t>
      </w:r>
      <w:r>
        <w:rPr>
          <w:rFonts w:ascii="Times New Roman" w:hAnsi="Times New Roman" w:cs="Times New Roman" w:eastAsiaTheme="minorEastAsia"/>
          <w:b/>
          <w:caps w:val="0"/>
          <w:smallCaps w:val="0"/>
          <w:color w:val="auto"/>
          <w:spacing w:val="0"/>
          <w:w w:val="100"/>
          <w:kern w:val="21"/>
          <w:position w:val="0"/>
          <w:highlight w:val="none"/>
          <w:lang w:bidi="zh-CN"/>
        </w:rPr>
        <w:t xml:space="preserve">5.7-1    </w:t>
      </w:r>
      <w:r>
        <w:rPr>
          <w:rFonts w:ascii="Times New Roman" w:hAnsi="Times New Roman" w:cs="Times New Roman" w:eastAsiaTheme="minorEastAsia"/>
          <w:b/>
          <w:caps w:val="0"/>
          <w:smallCaps w:val="0"/>
          <w:color w:val="auto"/>
          <w:spacing w:val="0"/>
          <w:w w:val="100"/>
          <w:kern w:val="21"/>
          <w:position w:val="0"/>
          <w:highlight w:val="none"/>
          <w:lang w:val="zh-CN" w:bidi="zh-CN"/>
        </w:rPr>
        <w:t>本项目土壤影响类型与影响途径表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59"/>
        <w:gridCol w:w="1870"/>
        <w:gridCol w:w="1908"/>
        <w:gridCol w:w="1878"/>
        <w:gridCol w:w="1272"/>
      </w:tblGrid>
      <w:tr w14:paraId="58223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Merge w:val="restart"/>
            <w:vAlign w:val="center"/>
          </w:tcPr>
          <w:p w14:paraId="2DCDD922">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不同时段</w:t>
            </w:r>
          </w:p>
        </w:tc>
        <w:tc>
          <w:tcPr>
            <w:tcW w:w="3730" w:type="pct"/>
            <w:gridSpan w:val="4"/>
            <w:vAlign w:val="center"/>
          </w:tcPr>
          <w:p w14:paraId="7D39EFAE">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污染影响型</w:t>
            </w:r>
          </w:p>
        </w:tc>
      </w:tr>
      <w:tr w14:paraId="63669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Merge w:val="continue"/>
            <w:vAlign w:val="center"/>
          </w:tcPr>
          <w:p w14:paraId="6E7DA752">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p>
        </w:tc>
        <w:tc>
          <w:tcPr>
            <w:tcW w:w="1007" w:type="pct"/>
            <w:vAlign w:val="center"/>
          </w:tcPr>
          <w:p w14:paraId="5E9A904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大气沉降</w:t>
            </w:r>
          </w:p>
        </w:tc>
        <w:tc>
          <w:tcPr>
            <w:tcW w:w="1027" w:type="pct"/>
            <w:vAlign w:val="center"/>
          </w:tcPr>
          <w:p w14:paraId="7319229F">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地面漫流</w:t>
            </w:r>
          </w:p>
        </w:tc>
        <w:tc>
          <w:tcPr>
            <w:tcW w:w="1011" w:type="pct"/>
            <w:vAlign w:val="center"/>
          </w:tcPr>
          <w:p w14:paraId="02E4954D">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垂直入渗</w:t>
            </w:r>
          </w:p>
        </w:tc>
        <w:tc>
          <w:tcPr>
            <w:tcW w:w="685" w:type="pct"/>
            <w:vAlign w:val="center"/>
          </w:tcPr>
          <w:p w14:paraId="7980FF88">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其他</w:t>
            </w:r>
          </w:p>
        </w:tc>
      </w:tr>
      <w:tr w14:paraId="0DE4F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Align w:val="center"/>
          </w:tcPr>
          <w:p w14:paraId="2DEAFBD8">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建设期</w:t>
            </w:r>
          </w:p>
        </w:tc>
        <w:tc>
          <w:tcPr>
            <w:tcW w:w="1007" w:type="pct"/>
            <w:vAlign w:val="center"/>
          </w:tcPr>
          <w:p w14:paraId="1EF4AB1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w:t>
            </w:r>
          </w:p>
        </w:tc>
        <w:tc>
          <w:tcPr>
            <w:tcW w:w="1027" w:type="pct"/>
            <w:vAlign w:val="center"/>
          </w:tcPr>
          <w:p w14:paraId="3DAA45E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w:t>
            </w:r>
          </w:p>
        </w:tc>
        <w:tc>
          <w:tcPr>
            <w:tcW w:w="1011" w:type="pct"/>
            <w:vAlign w:val="center"/>
          </w:tcPr>
          <w:p w14:paraId="4B87DAE6">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w:t>
            </w:r>
          </w:p>
        </w:tc>
        <w:tc>
          <w:tcPr>
            <w:tcW w:w="685" w:type="pct"/>
            <w:vAlign w:val="center"/>
          </w:tcPr>
          <w:p w14:paraId="203D91C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2"/>
                <w:szCs w:val="21"/>
                <w:highlight w:val="none"/>
              </w:rPr>
            </w:pPr>
            <w:r>
              <w:rPr>
                <w:rFonts w:ascii="Times New Roman" w:hAnsi="Times New Roman" w:cs="Times New Roman" w:eastAsiaTheme="minorEastAsia"/>
                <w:caps w:val="0"/>
                <w:smallCaps w:val="0"/>
                <w:color w:val="auto"/>
                <w:spacing w:val="0"/>
                <w:w w:val="100"/>
                <w:kern w:val="24"/>
                <w:position w:val="0"/>
                <w:sz w:val="22"/>
                <w:szCs w:val="21"/>
                <w:highlight w:val="none"/>
              </w:rPr>
              <w:t>/</w:t>
            </w:r>
          </w:p>
        </w:tc>
      </w:tr>
      <w:tr w14:paraId="343D0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Align w:val="center"/>
          </w:tcPr>
          <w:p w14:paraId="7AB4F31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运营期</w:t>
            </w:r>
          </w:p>
        </w:tc>
        <w:tc>
          <w:tcPr>
            <w:tcW w:w="1007" w:type="pct"/>
            <w:vAlign w:val="center"/>
          </w:tcPr>
          <w:p w14:paraId="1635267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2"/>
                <w:szCs w:val="21"/>
                <w:highlight w:val="none"/>
              </w:rPr>
            </w:pPr>
            <w:r>
              <w:rPr>
                <w:rFonts w:ascii="Times New Roman" w:hAnsi="Times New Roman" w:cs="Times New Roman" w:eastAsiaTheme="minorEastAsia"/>
                <w:caps w:val="0"/>
                <w:smallCaps w:val="0"/>
                <w:color w:val="auto"/>
                <w:spacing w:val="0"/>
                <w:w w:val="100"/>
                <w:kern w:val="24"/>
                <w:position w:val="0"/>
                <w:sz w:val="22"/>
                <w:szCs w:val="21"/>
                <w:highlight w:val="none"/>
              </w:rPr>
              <w:t>/</w:t>
            </w:r>
          </w:p>
        </w:tc>
        <w:tc>
          <w:tcPr>
            <w:tcW w:w="1027" w:type="pct"/>
            <w:vAlign w:val="center"/>
          </w:tcPr>
          <w:p w14:paraId="1B9B6C6C">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2"/>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w:t>
            </w:r>
          </w:p>
        </w:tc>
        <w:tc>
          <w:tcPr>
            <w:tcW w:w="1011" w:type="pct"/>
            <w:vAlign w:val="center"/>
          </w:tcPr>
          <w:p w14:paraId="2A2DDCF6">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1"/>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w:t>
            </w:r>
          </w:p>
        </w:tc>
        <w:tc>
          <w:tcPr>
            <w:tcW w:w="685" w:type="pct"/>
            <w:vAlign w:val="center"/>
          </w:tcPr>
          <w:p w14:paraId="661D2E01">
            <w:pPr>
              <w:adjustRightInd w:val="0"/>
              <w:snapToGrid w:val="0"/>
              <w:spacing w:line="360" w:lineRule="exact"/>
              <w:jc w:val="center"/>
              <w:rPr>
                <w:rFonts w:ascii="Times New Roman" w:hAnsi="Times New Roman" w:cs="Times New Roman" w:eastAsiaTheme="minorEastAsia"/>
                <w:caps w:val="0"/>
                <w:smallCaps w:val="0"/>
                <w:color w:val="auto"/>
                <w:spacing w:val="0"/>
                <w:w w:val="100"/>
                <w:kern w:val="24"/>
                <w:position w:val="0"/>
                <w:sz w:val="22"/>
                <w:szCs w:val="21"/>
                <w:highlight w:val="none"/>
              </w:rPr>
            </w:pPr>
            <w:r>
              <w:rPr>
                <w:rFonts w:ascii="Times New Roman" w:hAnsi="Times New Roman" w:cs="Times New Roman" w:eastAsiaTheme="minorEastAsia"/>
                <w:caps w:val="0"/>
                <w:smallCaps w:val="0"/>
                <w:color w:val="auto"/>
                <w:spacing w:val="0"/>
                <w:w w:val="100"/>
                <w:kern w:val="24"/>
                <w:position w:val="0"/>
                <w:sz w:val="22"/>
                <w:szCs w:val="21"/>
                <w:highlight w:val="none"/>
              </w:rPr>
              <w:t>/</w:t>
            </w:r>
          </w:p>
        </w:tc>
      </w:tr>
      <w:tr w14:paraId="1BF0F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000" w:type="pct"/>
            <w:gridSpan w:val="5"/>
            <w:vAlign w:val="center"/>
          </w:tcPr>
          <w:p w14:paraId="1C643400">
            <w:pPr>
              <w:adjustRightInd w:val="0"/>
              <w:snapToGrid w:val="0"/>
              <w:spacing w:line="360" w:lineRule="exact"/>
              <w:rPr>
                <w:rFonts w:ascii="Times New Roman" w:hAnsi="Times New Roman" w:cs="Times New Roman" w:eastAsiaTheme="minorEastAsia"/>
                <w:caps w:val="0"/>
                <w:smallCaps w:val="0"/>
                <w:color w:val="auto"/>
                <w:spacing w:val="0"/>
                <w:w w:val="100"/>
                <w:kern w:val="24"/>
                <w:position w:val="0"/>
                <w:sz w:val="22"/>
                <w:szCs w:val="21"/>
                <w:highlight w:val="none"/>
              </w:rPr>
            </w:pPr>
            <w:r>
              <w:rPr>
                <w:rFonts w:ascii="Times New Roman" w:hAnsi="Times New Roman" w:cs="Times New Roman" w:eastAsiaTheme="minorEastAsia"/>
                <w:caps w:val="0"/>
                <w:smallCaps w:val="0"/>
                <w:color w:val="auto"/>
                <w:spacing w:val="0"/>
                <w:w w:val="100"/>
                <w:kern w:val="24"/>
                <w:position w:val="0"/>
                <w:sz w:val="21"/>
                <w:szCs w:val="21"/>
                <w:highlight w:val="none"/>
              </w:rPr>
              <w:t>注：在可能产生的土壤影响类型处打“√”，列表未涵盖的可自行设计。</w:t>
            </w:r>
          </w:p>
        </w:tc>
      </w:tr>
    </w:tbl>
    <w:p w14:paraId="4EEFFED6">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lang w:val="zh-CN" w:bidi="zh-CN"/>
        </w:rPr>
      </w:pPr>
      <w:r>
        <w:rPr>
          <w:rFonts w:ascii="Times New Roman" w:hAnsi="Times New Roman" w:cs="Times New Roman" w:eastAsiaTheme="minorEastAsia"/>
          <w:caps w:val="0"/>
          <w:smallCaps w:val="0"/>
          <w:snapToGrid w:val="0"/>
          <w:color w:val="auto"/>
          <w:spacing w:val="0"/>
          <w:w w:val="100"/>
          <w:position w:val="0"/>
          <w:highlight w:val="none"/>
        </w:rPr>
        <w:t>根据上表可知，本项目属于污染型影响建设项目，污染型影响型土壤环境影响源及影响因子识别见</w:t>
      </w:r>
      <w:r>
        <w:rPr>
          <w:rFonts w:ascii="Times New Roman" w:hAnsi="Times New Roman" w:cs="Times New Roman" w:eastAsiaTheme="minorEastAsia"/>
          <w:caps w:val="0"/>
          <w:smallCaps w:val="0"/>
          <w:color w:val="auto"/>
          <w:spacing w:val="0"/>
          <w:w w:val="100"/>
          <w:kern w:val="21"/>
          <w:position w:val="0"/>
          <w:highlight w:val="none"/>
          <w:lang w:val="zh-CN" w:bidi="zh-CN"/>
        </w:rPr>
        <w:t>表</w:t>
      </w:r>
      <w:r>
        <w:rPr>
          <w:rFonts w:ascii="Times New Roman" w:hAnsi="Times New Roman" w:cs="Times New Roman" w:eastAsiaTheme="minorEastAsia"/>
          <w:caps w:val="0"/>
          <w:smallCaps w:val="0"/>
          <w:color w:val="auto"/>
          <w:spacing w:val="0"/>
          <w:w w:val="100"/>
          <w:kern w:val="21"/>
          <w:position w:val="0"/>
          <w:highlight w:val="none"/>
          <w:lang w:bidi="zh-CN"/>
        </w:rPr>
        <w:t>5.7-2</w:t>
      </w:r>
      <w:r>
        <w:rPr>
          <w:rFonts w:ascii="Times New Roman" w:hAnsi="Times New Roman" w:cs="Times New Roman" w:eastAsiaTheme="minorEastAsia"/>
          <w:caps w:val="0"/>
          <w:smallCaps w:val="0"/>
          <w:color w:val="auto"/>
          <w:spacing w:val="0"/>
          <w:w w:val="100"/>
          <w:kern w:val="21"/>
          <w:position w:val="0"/>
          <w:highlight w:val="none"/>
          <w:lang w:val="zh-CN" w:bidi="zh-CN"/>
        </w:rPr>
        <w:t>。</w:t>
      </w:r>
    </w:p>
    <w:p w14:paraId="6479A74A">
      <w:pPr>
        <w:widowControl w:val="0"/>
        <w:spacing w:line="440" w:lineRule="exact"/>
        <w:ind w:firstLine="482" w:firstLineChars="200"/>
        <w:jc w:val="both"/>
        <w:rPr>
          <w:rFonts w:ascii="Times New Roman" w:hAnsi="Times New Roman" w:cs="Times New Roman" w:eastAsiaTheme="minorEastAsia"/>
          <w:b/>
          <w:caps w:val="0"/>
          <w:smallCaps w:val="0"/>
          <w:color w:val="auto"/>
          <w:spacing w:val="0"/>
          <w:w w:val="100"/>
          <w:kern w:val="21"/>
          <w:position w:val="0"/>
          <w:highlight w:val="none"/>
          <w:lang w:val="zh-CN" w:bidi="zh-CN"/>
        </w:rPr>
      </w:pPr>
      <w:r>
        <w:rPr>
          <w:rFonts w:ascii="Times New Roman" w:hAnsi="Times New Roman" w:cs="Times New Roman" w:eastAsiaTheme="minorEastAsia"/>
          <w:b/>
          <w:caps w:val="0"/>
          <w:smallCaps w:val="0"/>
          <w:color w:val="auto"/>
          <w:spacing w:val="0"/>
          <w:w w:val="100"/>
          <w:kern w:val="21"/>
          <w:position w:val="0"/>
          <w:highlight w:val="none"/>
          <w:lang w:val="zh-CN" w:bidi="zh-CN"/>
        </w:rPr>
        <w:t>表</w:t>
      </w:r>
      <w:r>
        <w:rPr>
          <w:rFonts w:ascii="Times New Roman" w:hAnsi="Times New Roman" w:cs="Times New Roman" w:eastAsiaTheme="minorEastAsia"/>
          <w:b/>
          <w:caps w:val="0"/>
          <w:smallCaps w:val="0"/>
          <w:color w:val="auto"/>
          <w:spacing w:val="0"/>
          <w:w w:val="100"/>
          <w:kern w:val="21"/>
          <w:position w:val="0"/>
          <w:highlight w:val="none"/>
          <w:lang w:bidi="zh-CN"/>
        </w:rPr>
        <w:t xml:space="preserve">5.7-2    </w:t>
      </w:r>
      <w:r>
        <w:rPr>
          <w:rFonts w:ascii="Times New Roman" w:hAnsi="Times New Roman" w:cs="Times New Roman" w:eastAsiaTheme="minorEastAsia"/>
          <w:b/>
          <w:caps w:val="0"/>
          <w:smallCaps w:val="0"/>
          <w:color w:val="auto"/>
          <w:spacing w:val="0"/>
          <w:w w:val="100"/>
          <w:kern w:val="21"/>
          <w:position w:val="0"/>
          <w:highlight w:val="none"/>
          <w:lang w:val="zh-CN" w:bidi="zh-CN"/>
        </w:rPr>
        <w:t>污染影响型本项目土壤环境影响源及影响因子识别表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5"/>
        <w:gridCol w:w="1507"/>
        <w:gridCol w:w="1487"/>
        <w:gridCol w:w="2254"/>
        <w:gridCol w:w="2102"/>
        <w:gridCol w:w="876"/>
      </w:tblGrid>
      <w:tr w14:paraId="06C15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71" w:type="pct"/>
            <w:vAlign w:val="center"/>
          </w:tcPr>
          <w:p w14:paraId="4B30A30F">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污染源</w:t>
            </w:r>
          </w:p>
        </w:tc>
        <w:tc>
          <w:tcPr>
            <w:tcW w:w="830" w:type="pct"/>
            <w:vAlign w:val="center"/>
          </w:tcPr>
          <w:p w14:paraId="01624B75">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工艺流程/节点</w:t>
            </w:r>
          </w:p>
        </w:tc>
        <w:tc>
          <w:tcPr>
            <w:tcW w:w="819" w:type="pct"/>
            <w:vAlign w:val="center"/>
          </w:tcPr>
          <w:p w14:paraId="5C84E2B8">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污染途径</w:t>
            </w:r>
          </w:p>
        </w:tc>
        <w:tc>
          <w:tcPr>
            <w:tcW w:w="1241" w:type="pct"/>
            <w:vAlign w:val="center"/>
          </w:tcPr>
          <w:p w14:paraId="7B889E68">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全部污染物指标</w:t>
            </w:r>
          </w:p>
        </w:tc>
        <w:tc>
          <w:tcPr>
            <w:tcW w:w="1157" w:type="pct"/>
            <w:vAlign w:val="center"/>
          </w:tcPr>
          <w:p w14:paraId="308F59EB">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特征因子</w:t>
            </w:r>
          </w:p>
        </w:tc>
        <w:tc>
          <w:tcPr>
            <w:tcW w:w="482" w:type="pct"/>
            <w:vAlign w:val="center"/>
          </w:tcPr>
          <w:p w14:paraId="2161549A">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备注</w:t>
            </w:r>
          </w:p>
        </w:tc>
      </w:tr>
      <w:tr w14:paraId="79644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71" w:type="pct"/>
            <w:vAlign w:val="center"/>
          </w:tcPr>
          <w:p w14:paraId="4BD55A8F">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管线</w:t>
            </w:r>
          </w:p>
        </w:tc>
        <w:tc>
          <w:tcPr>
            <w:tcW w:w="830" w:type="pct"/>
            <w:vAlign w:val="center"/>
          </w:tcPr>
          <w:p w14:paraId="66FD152C">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管道泄漏</w:t>
            </w:r>
          </w:p>
        </w:tc>
        <w:tc>
          <w:tcPr>
            <w:tcW w:w="819" w:type="pct"/>
            <w:vAlign w:val="center"/>
          </w:tcPr>
          <w:p w14:paraId="68296033">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垂直入渗</w:t>
            </w:r>
          </w:p>
        </w:tc>
        <w:tc>
          <w:tcPr>
            <w:tcW w:w="1241" w:type="pct"/>
            <w:vAlign w:val="center"/>
          </w:tcPr>
          <w:p w14:paraId="639F6447">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石油烃</w:t>
            </w:r>
          </w:p>
        </w:tc>
        <w:tc>
          <w:tcPr>
            <w:tcW w:w="1157" w:type="pct"/>
            <w:vAlign w:val="center"/>
          </w:tcPr>
          <w:p w14:paraId="17D61C55">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石油烃</w:t>
            </w:r>
          </w:p>
        </w:tc>
        <w:tc>
          <w:tcPr>
            <w:tcW w:w="482" w:type="pct"/>
            <w:vAlign w:val="center"/>
          </w:tcPr>
          <w:p w14:paraId="05BA76AA">
            <w:pPr>
              <w:widowControl w:val="0"/>
              <w:spacing w:line="320" w:lineRule="exact"/>
              <w:jc w:val="center"/>
              <w:rPr>
                <w:rFonts w:ascii="Times New Roman" w:hAnsi="Times New Roman" w:cs="Times New Roman" w:eastAsiaTheme="minorEastAsia"/>
                <w:caps w:val="0"/>
                <w:smallCaps w:val="0"/>
                <w:color w:val="auto"/>
                <w:spacing w:val="0"/>
                <w:w w:val="100"/>
                <w:position w:val="0"/>
                <w:sz w:val="21"/>
                <w:highlight w:val="none"/>
              </w:rPr>
            </w:pPr>
            <w:r>
              <w:rPr>
                <w:rFonts w:ascii="Times New Roman" w:hAnsi="Times New Roman" w:cs="Times New Roman" w:eastAsiaTheme="minorEastAsia"/>
                <w:caps w:val="0"/>
                <w:smallCaps w:val="0"/>
                <w:color w:val="auto"/>
                <w:spacing w:val="0"/>
                <w:w w:val="100"/>
                <w:position w:val="0"/>
                <w:sz w:val="21"/>
                <w:highlight w:val="none"/>
              </w:rPr>
              <w:t>事故</w:t>
            </w:r>
          </w:p>
        </w:tc>
      </w:tr>
    </w:tbl>
    <w:p w14:paraId="33034464">
      <w:pPr>
        <w:keepNext/>
        <w:keepLines/>
        <w:widowControl w:val="0"/>
        <w:spacing w:before="60" w:after="60" w:line="440" w:lineRule="exact"/>
        <w:jc w:val="both"/>
        <w:outlineLvl w:val="2"/>
        <w:rPr>
          <w:rFonts w:ascii="Times New Roman" w:hAnsi="Times New Roman" w:cs="Times New Roman"/>
          <w:b/>
          <w:bCs/>
          <w:caps w:val="0"/>
          <w:smallCaps w:val="0"/>
          <w:color w:val="auto"/>
          <w:spacing w:val="0"/>
          <w:w w:val="100"/>
          <w:kern w:val="2"/>
          <w:position w:val="0"/>
          <w:highlight w:val="none"/>
        </w:rPr>
      </w:pPr>
      <w:r>
        <w:rPr>
          <w:rFonts w:ascii="Times New Roman" w:hAnsi="Times New Roman" w:cs="Times New Roman"/>
          <w:b/>
          <w:bCs/>
          <w:caps w:val="0"/>
          <w:smallCaps w:val="0"/>
          <w:color w:val="auto"/>
          <w:spacing w:val="0"/>
          <w:w w:val="100"/>
          <w:kern w:val="2"/>
          <w:position w:val="0"/>
          <w:highlight w:val="none"/>
        </w:rPr>
        <w:t>5.7.3土壤环境影响预测与评价</w:t>
      </w:r>
    </w:p>
    <w:p w14:paraId="487EA569">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（1）预测评价范围</w:t>
      </w:r>
    </w:p>
    <w:p w14:paraId="619D65E6">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土壤预测评价范围与调查评价范围一致，为拟建管线工程边界两侧向外延伸0.2 km的土壤环境。</w:t>
      </w:r>
    </w:p>
    <w:p w14:paraId="0ABB9713">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（2）预测评价时段</w:t>
      </w:r>
    </w:p>
    <w:p w14:paraId="4C01E5F8">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评价时段为运营期。</w:t>
      </w:r>
    </w:p>
    <w:p w14:paraId="5CB17F33">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（3）情景设置</w:t>
      </w:r>
    </w:p>
    <w:p w14:paraId="3B7445B6">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按项目正常状态情形为预测情景。</w:t>
      </w:r>
    </w:p>
    <w:p w14:paraId="67728408">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（4）预测与评价因子</w:t>
      </w:r>
    </w:p>
    <w:p w14:paraId="7026FD0E">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评价因子为石油烃（C</w:t>
      </w:r>
      <w:r>
        <w:rPr>
          <w:rFonts w:eastAsiaTheme="minorEastAsia"/>
          <w:bCs/>
          <w:caps w:val="0"/>
          <w:smallCaps w:val="0"/>
          <w:color w:val="auto"/>
          <w:spacing w:val="0"/>
          <w:w w:val="100"/>
          <w:position w:val="0"/>
          <w:sz w:val="24"/>
          <w:highlight w:val="none"/>
          <w:vertAlign w:val="subscript"/>
        </w:rPr>
        <w:t>10</w:t>
      </w:r>
      <w:r>
        <w:rPr>
          <w:rFonts w:eastAsiaTheme="minorEastAsia"/>
          <w:bCs/>
          <w:caps w:val="0"/>
          <w:smallCaps w:val="0"/>
          <w:color w:val="auto"/>
          <w:spacing w:val="0"/>
          <w:w w:val="100"/>
          <w:position w:val="0"/>
          <w:sz w:val="24"/>
          <w:highlight w:val="none"/>
        </w:rPr>
        <w:t xml:space="preserve"> -C</w:t>
      </w:r>
      <w:r>
        <w:rPr>
          <w:rFonts w:eastAsiaTheme="minorEastAsia"/>
          <w:bCs/>
          <w:caps w:val="0"/>
          <w:smallCaps w:val="0"/>
          <w:color w:val="auto"/>
          <w:spacing w:val="0"/>
          <w:w w:val="100"/>
          <w:position w:val="0"/>
          <w:sz w:val="24"/>
          <w:highlight w:val="none"/>
          <w:vertAlign w:val="subscript"/>
        </w:rPr>
        <w:t>40</w:t>
      </w:r>
      <w:r>
        <w:rPr>
          <w:rFonts w:eastAsiaTheme="minorEastAsia"/>
          <w:bCs/>
          <w:caps w:val="0"/>
          <w:smallCaps w:val="0"/>
          <w:color w:val="auto"/>
          <w:spacing w:val="0"/>
          <w:w w:val="100"/>
          <w:position w:val="0"/>
          <w:sz w:val="24"/>
          <w:highlight w:val="none"/>
        </w:rPr>
        <w:t>）。</w:t>
      </w:r>
    </w:p>
    <w:p w14:paraId="05CA574D">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（5）预测评价标准</w:t>
      </w:r>
    </w:p>
    <w:p w14:paraId="33EED60E">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《土壤环境质量 农用地土壤污染风险管控标准（试行）》（GB15618-2018）中农用地土壤污染风险筛选值标准；石油烃（C</w:t>
      </w:r>
      <w:r>
        <w:rPr>
          <w:rFonts w:eastAsiaTheme="minorEastAsia"/>
          <w:bCs/>
          <w:caps w:val="0"/>
          <w:smallCaps w:val="0"/>
          <w:color w:val="auto"/>
          <w:spacing w:val="0"/>
          <w:w w:val="100"/>
          <w:position w:val="0"/>
          <w:sz w:val="24"/>
          <w:highlight w:val="none"/>
          <w:vertAlign w:val="subscript"/>
        </w:rPr>
        <w:t>10</w:t>
      </w:r>
      <w:r>
        <w:rPr>
          <w:rFonts w:eastAsiaTheme="minorEastAsia"/>
          <w:bCs/>
          <w:caps w:val="0"/>
          <w:smallCaps w:val="0"/>
          <w:color w:val="auto"/>
          <w:spacing w:val="0"/>
          <w:w w:val="100"/>
          <w:position w:val="0"/>
          <w:sz w:val="24"/>
          <w:highlight w:val="none"/>
        </w:rPr>
        <w:t>-C</w:t>
      </w:r>
      <w:r>
        <w:rPr>
          <w:rFonts w:eastAsiaTheme="minorEastAsia"/>
          <w:bCs/>
          <w:caps w:val="0"/>
          <w:smallCaps w:val="0"/>
          <w:color w:val="auto"/>
          <w:spacing w:val="0"/>
          <w:w w:val="100"/>
          <w:position w:val="0"/>
          <w:sz w:val="24"/>
          <w:highlight w:val="none"/>
          <w:vertAlign w:val="subscript"/>
        </w:rPr>
        <w:t>40</w:t>
      </w:r>
      <w:r>
        <w:rPr>
          <w:rFonts w:eastAsiaTheme="minorEastAsia"/>
          <w:bCs/>
          <w:caps w:val="0"/>
          <w:smallCaps w:val="0"/>
          <w:color w:val="auto"/>
          <w:spacing w:val="0"/>
          <w:w w:val="100"/>
          <w:position w:val="0"/>
          <w:sz w:val="24"/>
          <w:highlight w:val="none"/>
        </w:rPr>
        <w:t>）参照执行《土壤环境质量 建设用地土壤污染风险管控标准（试行）》（GB36600-2018）中表2第一类用地风险筛选值（826mg/kg）。</w:t>
      </w:r>
    </w:p>
    <w:p w14:paraId="05B7B107">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（6）预测评价方法</w:t>
      </w:r>
    </w:p>
    <w:p w14:paraId="6DADB2A5">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根据《环境影响评价技术导则 土壤环境（试行）》（HJ964-2018），本项目采用类比法对土壤环境影响进行评价。选取项目周围油田内已实施的管线项目验收阶段监测数据达标情况，判定本项目拟建管线对区域内土壤环境的影响。</w:t>
      </w:r>
    </w:p>
    <w:p w14:paraId="06650098">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类比项目基本情况见表5.7-3。</w:t>
      </w:r>
    </w:p>
    <w:p w14:paraId="1B92F4FD">
      <w:pPr>
        <w:pStyle w:val="149"/>
        <w:widowControl w:val="0"/>
        <w:spacing w:line="440" w:lineRule="exact"/>
        <w:ind w:firstLine="482"/>
        <w:rPr>
          <w:rFonts w:ascii="Times New Roman" w:hAnsi="Times New Roman"/>
          <w:snapToGrid w:val="0"/>
          <w:color w:val="auto"/>
          <w:highlight w:val="none"/>
        </w:rPr>
      </w:pPr>
      <w:r>
        <w:rPr>
          <w:rFonts w:ascii="Times New Roman" w:hAnsi="Times New Roman" w:eastAsiaTheme="minorEastAsia"/>
          <w:b/>
          <w:bCs/>
          <w:caps w:val="0"/>
          <w:smallCaps w:val="0"/>
          <w:color w:val="auto"/>
          <w:spacing w:val="0"/>
          <w:w w:val="100"/>
          <w:position w:val="0"/>
          <w:highlight w:val="none"/>
        </w:rPr>
        <w:t>表5.7-3    类比项目基本情况</w:t>
      </w:r>
      <w:r>
        <w:rPr>
          <w:rFonts w:ascii="Times New Roman" w:hAnsi="Times New Roman" w:eastAsiaTheme="minorEastAsia"/>
          <w:b/>
          <w:bCs/>
          <w:color w:val="auto"/>
          <w:highlight w:val="none"/>
        </w:rPr>
        <w:t>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94"/>
        <w:gridCol w:w="7693"/>
      </w:tblGrid>
      <w:tr w14:paraId="5EA38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6FCD54DD">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项目名称</w:t>
            </w:r>
          </w:p>
        </w:tc>
        <w:tc>
          <w:tcPr>
            <w:tcW w:w="4142" w:type="pct"/>
          </w:tcPr>
          <w:p w14:paraId="333DA303">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hint="eastAsia" w:ascii="Times New Roman" w:hAnsi="Times New Roman" w:cs="Times New Roman" w:eastAsiaTheme="minorEastAsia"/>
                <w:color w:val="auto"/>
                <w:kern w:val="2"/>
                <w:sz w:val="21"/>
                <w:szCs w:val="21"/>
                <w:highlight w:val="none"/>
              </w:rPr>
              <w:t>卫星油田太11、太12、卫2-22-28区块加密，卫星油田太108、太109、太121等区块加密，卫212-1区块产能建设地面工程</w:t>
            </w:r>
          </w:p>
        </w:tc>
      </w:tr>
      <w:tr w14:paraId="3D24C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42650EFF">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地理位置</w:t>
            </w:r>
          </w:p>
        </w:tc>
        <w:tc>
          <w:tcPr>
            <w:tcW w:w="4142" w:type="pct"/>
          </w:tcPr>
          <w:p w14:paraId="39FD153E">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bCs/>
                <w:color w:val="auto"/>
                <w:kern w:val="2"/>
                <w:sz w:val="21"/>
                <w:szCs w:val="21"/>
                <w:highlight w:val="none"/>
              </w:rPr>
              <w:t>黑龙江省安达市</w:t>
            </w:r>
            <w:r>
              <w:rPr>
                <w:rFonts w:hint="eastAsia" w:ascii="Times New Roman" w:hAnsi="Times New Roman" w:cs="Times New Roman" w:eastAsiaTheme="minorEastAsia"/>
                <w:bCs/>
                <w:color w:val="auto"/>
                <w:kern w:val="2"/>
                <w:sz w:val="21"/>
                <w:szCs w:val="21"/>
                <w:highlight w:val="none"/>
              </w:rPr>
              <w:t>昌德镇</w:t>
            </w:r>
            <w:r>
              <w:rPr>
                <w:rFonts w:ascii="Times New Roman" w:hAnsi="Times New Roman" w:cs="Times New Roman" w:eastAsiaTheme="minorEastAsia"/>
                <w:bCs/>
                <w:color w:val="auto"/>
                <w:kern w:val="2"/>
                <w:sz w:val="21"/>
                <w:szCs w:val="21"/>
                <w:highlight w:val="none"/>
              </w:rPr>
              <w:t>北</w:t>
            </w:r>
            <w:r>
              <w:rPr>
                <w:rFonts w:hint="eastAsia" w:ascii="Times New Roman" w:hAnsi="Times New Roman" w:cs="Times New Roman" w:eastAsiaTheme="minorEastAsia"/>
                <w:bCs/>
                <w:color w:val="auto"/>
                <w:kern w:val="2"/>
                <w:sz w:val="21"/>
                <w:szCs w:val="21"/>
                <w:highlight w:val="none"/>
              </w:rPr>
              <w:t>、</w:t>
            </w:r>
            <w:r>
              <w:rPr>
                <w:rFonts w:ascii="Times New Roman" w:hAnsi="Times New Roman" w:cs="Times New Roman" w:eastAsiaTheme="minorEastAsia"/>
                <w:bCs/>
                <w:color w:val="auto"/>
                <w:kern w:val="2"/>
                <w:sz w:val="21"/>
                <w:szCs w:val="21"/>
                <w:highlight w:val="none"/>
              </w:rPr>
              <w:t>梁大草房西部区域</w:t>
            </w:r>
          </w:p>
        </w:tc>
      </w:tr>
      <w:tr w14:paraId="5A3A4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46C2B1CF">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环评批复</w:t>
            </w:r>
          </w:p>
        </w:tc>
        <w:tc>
          <w:tcPr>
            <w:tcW w:w="4142" w:type="pct"/>
          </w:tcPr>
          <w:p w14:paraId="362C3D59">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于201</w:t>
            </w:r>
            <w:r>
              <w:rPr>
                <w:rFonts w:hint="eastAsia" w:ascii="Times New Roman" w:hAnsi="Times New Roman" w:cs="Times New Roman" w:eastAsiaTheme="minorEastAsia"/>
                <w:color w:val="auto"/>
                <w:kern w:val="2"/>
                <w:sz w:val="21"/>
                <w:szCs w:val="21"/>
                <w:highlight w:val="none"/>
              </w:rPr>
              <w:t>9年</w:t>
            </w:r>
            <w:r>
              <w:rPr>
                <w:rFonts w:ascii="Times New Roman" w:hAnsi="Times New Roman" w:cs="Times New Roman" w:eastAsiaTheme="minorEastAsia"/>
                <w:color w:val="auto"/>
                <w:kern w:val="2"/>
                <w:sz w:val="21"/>
                <w:szCs w:val="21"/>
                <w:highlight w:val="none"/>
              </w:rPr>
              <w:t>6</w:t>
            </w:r>
            <w:r>
              <w:rPr>
                <w:rFonts w:hint="eastAsia" w:ascii="Times New Roman" w:hAnsi="Times New Roman" w:cs="Times New Roman" w:eastAsiaTheme="minorEastAsia"/>
                <w:color w:val="auto"/>
                <w:kern w:val="2"/>
                <w:sz w:val="21"/>
                <w:szCs w:val="21"/>
                <w:highlight w:val="none"/>
              </w:rPr>
              <w:t>月</w:t>
            </w:r>
            <w:r>
              <w:rPr>
                <w:rFonts w:ascii="Times New Roman" w:hAnsi="Times New Roman" w:cs="Times New Roman" w:eastAsiaTheme="minorEastAsia"/>
                <w:color w:val="auto"/>
                <w:kern w:val="2"/>
                <w:sz w:val="21"/>
                <w:szCs w:val="21"/>
                <w:highlight w:val="none"/>
              </w:rPr>
              <w:t>11</w:t>
            </w:r>
            <w:r>
              <w:rPr>
                <w:rFonts w:hint="eastAsia" w:ascii="Times New Roman" w:hAnsi="Times New Roman" w:cs="Times New Roman" w:eastAsiaTheme="minorEastAsia"/>
                <w:color w:val="auto"/>
                <w:kern w:val="2"/>
                <w:sz w:val="21"/>
                <w:szCs w:val="21"/>
                <w:highlight w:val="none"/>
              </w:rPr>
              <w:t>日</w:t>
            </w:r>
            <w:r>
              <w:rPr>
                <w:rFonts w:ascii="Times New Roman" w:hAnsi="Times New Roman" w:cs="Times New Roman" w:eastAsiaTheme="minorEastAsia"/>
                <w:color w:val="auto"/>
                <w:kern w:val="2"/>
                <w:sz w:val="21"/>
                <w:szCs w:val="21"/>
                <w:highlight w:val="none"/>
              </w:rPr>
              <w:t>获得</w:t>
            </w:r>
            <w:r>
              <w:rPr>
                <w:rFonts w:hint="eastAsia" w:ascii="Times New Roman" w:hAnsi="Times New Roman" w:cs="Times New Roman" w:eastAsiaTheme="minorEastAsia"/>
                <w:color w:val="auto"/>
                <w:kern w:val="2"/>
                <w:sz w:val="21"/>
                <w:szCs w:val="21"/>
                <w:highlight w:val="none"/>
              </w:rPr>
              <w:t>绥化</w:t>
            </w:r>
            <w:r>
              <w:rPr>
                <w:rFonts w:ascii="Times New Roman" w:hAnsi="Times New Roman" w:cs="Times New Roman" w:eastAsiaTheme="minorEastAsia"/>
                <w:color w:val="auto"/>
                <w:kern w:val="2"/>
                <w:sz w:val="21"/>
                <w:szCs w:val="21"/>
                <w:highlight w:val="none"/>
              </w:rPr>
              <w:t>市生态环境局的批复（</w:t>
            </w:r>
            <w:r>
              <w:rPr>
                <w:rFonts w:hint="eastAsia" w:ascii="Times New Roman" w:hAnsi="Times New Roman" w:cs="Times New Roman" w:eastAsiaTheme="minorEastAsia"/>
                <w:color w:val="auto"/>
                <w:kern w:val="2"/>
                <w:sz w:val="21"/>
                <w:szCs w:val="21"/>
                <w:highlight w:val="none"/>
              </w:rPr>
              <w:t>绥</w:t>
            </w:r>
            <w:r>
              <w:rPr>
                <w:rFonts w:ascii="Times New Roman" w:hAnsi="Times New Roman" w:cs="Times New Roman" w:eastAsiaTheme="minorEastAsia"/>
                <w:color w:val="auto"/>
                <w:kern w:val="2"/>
                <w:sz w:val="21"/>
                <w:szCs w:val="21"/>
                <w:highlight w:val="none"/>
              </w:rPr>
              <w:t>环审〔20</w:t>
            </w:r>
            <w:r>
              <w:rPr>
                <w:rFonts w:hint="eastAsia" w:ascii="Times New Roman" w:hAnsi="Times New Roman" w:cs="Times New Roman" w:eastAsiaTheme="minorEastAsia"/>
                <w:color w:val="auto"/>
                <w:kern w:val="2"/>
                <w:sz w:val="21"/>
                <w:szCs w:val="21"/>
                <w:highlight w:val="none"/>
              </w:rPr>
              <w:t>19</w:t>
            </w:r>
            <w:r>
              <w:rPr>
                <w:rFonts w:ascii="Times New Roman" w:hAnsi="Times New Roman" w:cs="Times New Roman" w:eastAsiaTheme="minorEastAsia"/>
                <w:color w:val="auto"/>
                <w:kern w:val="2"/>
                <w:sz w:val="21"/>
                <w:szCs w:val="21"/>
                <w:highlight w:val="none"/>
              </w:rPr>
              <w:t>〕1</w:t>
            </w:r>
            <w:r>
              <w:rPr>
                <w:rFonts w:hint="eastAsia" w:ascii="Times New Roman" w:hAnsi="Times New Roman" w:cs="Times New Roman" w:eastAsiaTheme="minorEastAsia"/>
                <w:color w:val="auto"/>
                <w:kern w:val="2"/>
                <w:sz w:val="21"/>
                <w:szCs w:val="21"/>
                <w:highlight w:val="none"/>
              </w:rPr>
              <w:t>78</w:t>
            </w:r>
            <w:r>
              <w:rPr>
                <w:rFonts w:ascii="Times New Roman" w:hAnsi="Times New Roman" w:cs="Times New Roman" w:eastAsiaTheme="minorEastAsia"/>
                <w:color w:val="auto"/>
                <w:kern w:val="2"/>
                <w:sz w:val="21"/>
                <w:szCs w:val="21"/>
                <w:highlight w:val="none"/>
              </w:rPr>
              <w:t>号）</w:t>
            </w:r>
          </w:p>
        </w:tc>
      </w:tr>
      <w:tr w14:paraId="117E9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0A060F79">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验收手续</w:t>
            </w:r>
          </w:p>
        </w:tc>
        <w:tc>
          <w:tcPr>
            <w:tcW w:w="4142" w:type="pct"/>
          </w:tcPr>
          <w:p w14:paraId="258C46A3">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于202</w:t>
            </w:r>
            <w:r>
              <w:rPr>
                <w:rFonts w:hint="eastAsia" w:ascii="Times New Roman" w:hAnsi="Times New Roman" w:cs="Times New Roman" w:eastAsiaTheme="minorEastAsia"/>
                <w:color w:val="auto"/>
                <w:kern w:val="2"/>
                <w:sz w:val="21"/>
                <w:szCs w:val="21"/>
                <w:highlight w:val="none"/>
              </w:rPr>
              <w:t>1</w:t>
            </w:r>
            <w:r>
              <w:rPr>
                <w:rFonts w:ascii="Times New Roman" w:hAnsi="Times New Roman" w:cs="Times New Roman" w:eastAsiaTheme="minorEastAsia"/>
                <w:color w:val="auto"/>
                <w:kern w:val="2"/>
                <w:sz w:val="21"/>
                <w:szCs w:val="21"/>
                <w:highlight w:val="none"/>
              </w:rPr>
              <w:t>年12月完成自主验收</w:t>
            </w:r>
          </w:p>
        </w:tc>
      </w:tr>
      <w:tr w14:paraId="474BE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41AA71A7">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主要工程内容</w:t>
            </w:r>
          </w:p>
        </w:tc>
        <w:tc>
          <w:tcPr>
            <w:tcW w:w="4142" w:type="pct"/>
          </w:tcPr>
          <w:p w14:paraId="42D6D8E7">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hint="eastAsia" w:ascii="Times New Roman" w:hAnsi="Times New Roman" w:cs="Times New Roman" w:eastAsiaTheme="minorEastAsia"/>
                <w:color w:val="auto"/>
                <w:kern w:val="2"/>
                <w:sz w:val="21"/>
                <w:szCs w:val="21"/>
                <w:highlight w:val="none"/>
              </w:rPr>
              <w:t>实际</w:t>
            </w:r>
            <w:r>
              <w:rPr>
                <w:rFonts w:ascii="Times New Roman" w:hAnsi="Times New Roman" w:cs="Times New Roman" w:eastAsiaTheme="minorEastAsia"/>
                <w:color w:val="auto"/>
                <w:kern w:val="2"/>
                <w:sz w:val="21"/>
                <w:szCs w:val="21"/>
                <w:highlight w:val="none"/>
              </w:rPr>
              <w:t>基建油</w:t>
            </w:r>
            <w:r>
              <w:rPr>
                <w:rFonts w:hint="eastAsia" w:ascii="Times New Roman" w:hAnsi="Times New Roman" w:cs="Times New Roman" w:eastAsiaTheme="minorEastAsia"/>
                <w:color w:val="auto"/>
                <w:kern w:val="2"/>
                <w:sz w:val="21"/>
                <w:szCs w:val="21"/>
                <w:highlight w:val="none"/>
              </w:rPr>
              <w:t>水</w:t>
            </w:r>
            <w:r>
              <w:rPr>
                <w:rFonts w:ascii="Times New Roman" w:hAnsi="Times New Roman" w:cs="Times New Roman" w:eastAsiaTheme="minorEastAsia"/>
                <w:color w:val="auto"/>
                <w:kern w:val="2"/>
                <w:sz w:val="21"/>
                <w:szCs w:val="21"/>
                <w:highlight w:val="none"/>
              </w:rPr>
              <w:t>井46口</w:t>
            </w:r>
            <w:r>
              <w:rPr>
                <w:rFonts w:hint="eastAsia" w:ascii="Times New Roman" w:hAnsi="Times New Roman" w:cs="Times New Roman" w:eastAsiaTheme="minorEastAsia"/>
                <w:color w:val="auto"/>
                <w:kern w:val="2"/>
                <w:sz w:val="21"/>
                <w:szCs w:val="21"/>
                <w:highlight w:val="none"/>
              </w:rPr>
              <w:t>，新建单井集油掺水管道</w:t>
            </w:r>
            <w:r>
              <w:rPr>
                <w:rFonts w:ascii="Times New Roman" w:hAnsi="Times New Roman" w:cs="Times New Roman" w:eastAsiaTheme="minorEastAsia"/>
                <w:color w:val="auto"/>
                <w:kern w:val="2"/>
                <w:sz w:val="21"/>
                <w:szCs w:val="21"/>
                <w:highlight w:val="none"/>
              </w:rPr>
              <w:t>26</w:t>
            </w:r>
            <w:r>
              <w:rPr>
                <w:rFonts w:hint="eastAsia" w:ascii="Times New Roman" w:hAnsi="Times New Roman" w:cs="Times New Roman" w:eastAsiaTheme="minorEastAsia"/>
                <w:color w:val="auto"/>
                <w:kern w:val="2"/>
                <w:sz w:val="21"/>
                <w:szCs w:val="21"/>
                <w:highlight w:val="none"/>
              </w:rPr>
              <w:t>km；改造注配间</w:t>
            </w:r>
            <w:r>
              <w:rPr>
                <w:rFonts w:ascii="Times New Roman" w:hAnsi="Times New Roman" w:cs="Times New Roman" w:eastAsiaTheme="minorEastAsia"/>
                <w:color w:val="auto"/>
                <w:kern w:val="2"/>
                <w:sz w:val="21"/>
                <w:szCs w:val="21"/>
                <w:highlight w:val="none"/>
              </w:rPr>
              <w:t>9</w:t>
            </w:r>
            <w:r>
              <w:rPr>
                <w:rFonts w:hint="eastAsia" w:ascii="Times New Roman" w:hAnsi="Times New Roman" w:cs="Times New Roman" w:eastAsiaTheme="minorEastAsia"/>
                <w:color w:val="auto"/>
                <w:kern w:val="2"/>
                <w:sz w:val="21"/>
                <w:szCs w:val="21"/>
                <w:highlight w:val="none"/>
              </w:rPr>
              <w:t>座</w:t>
            </w:r>
            <w:r>
              <w:rPr>
                <w:rFonts w:ascii="Times New Roman" w:hAnsi="Times New Roman" w:cs="Times New Roman" w:eastAsiaTheme="minorEastAsia"/>
                <w:color w:val="auto"/>
                <w:kern w:val="2"/>
                <w:sz w:val="21"/>
                <w:szCs w:val="21"/>
                <w:highlight w:val="none"/>
              </w:rPr>
              <w:t>，新建注水单井支线</w:t>
            </w:r>
            <w:r>
              <w:rPr>
                <w:rFonts w:hint="eastAsia" w:ascii="Times New Roman" w:hAnsi="Times New Roman" w:cs="Times New Roman" w:eastAsiaTheme="minorEastAsia"/>
                <w:color w:val="auto"/>
                <w:kern w:val="2"/>
                <w:sz w:val="21"/>
                <w:szCs w:val="21"/>
                <w:highlight w:val="none"/>
              </w:rPr>
              <w:t>和</w:t>
            </w:r>
            <w:r>
              <w:rPr>
                <w:rFonts w:ascii="Times New Roman" w:hAnsi="Times New Roman" w:cs="Times New Roman" w:eastAsiaTheme="minorEastAsia"/>
                <w:color w:val="auto"/>
                <w:kern w:val="2"/>
                <w:sz w:val="21"/>
                <w:szCs w:val="21"/>
                <w:highlight w:val="none"/>
              </w:rPr>
              <w:t>供水管线18.8km</w:t>
            </w:r>
            <w:r>
              <w:rPr>
                <w:rFonts w:ascii="Times New Roman" w:hAnsi="Times New Roman" w:cs="Times New Roman" w:eastAsiaTheme="minorEastAsia"/>
                <w:bCs/>
                <w:color w:val="auto"/>
                <w:kern w:val="2"/>
                <w:sz w:val="21"/>
                <w:szCs w:val="21"/>
                <w:highlight w:val="none"/>
              </w:rPr>
              <w:t>。管道材质</w:t>
            </w:r>
            <w:r>
              <w:rPr>
                <w:rFonts w:ascii="Times New Roman" w:hAnsi="Times New Roman" w:cs="Times New Roman" w:eastAsiaTheme="minorEastAsia"/>
                <w:color w:val="auto"/>
                <w:kern w:val="2"/>
                <w:sz w:val="21"/>
                <w:szCs w:val="21"/>
                <w:highlight w:val="none"/>
              </w:rPr>
              <w:t>采用无缝管外硬质聚氨酯泡沫保温管外3PE加强级防腐钢管</w:t>
            </w:r>
            <w:r>
              <w:rPr>
                <w:rFonts w:ascii="Times New Roman" w:hAnsi="Times New Roman" w:cs="Times New Roman" w:eastAsiaTheme="minorEastAsia"/>
                <w:bCs/>
                <w:color w:val="auto"/>
                <w:kern w:val="2"/>
                <w:sz w:val="21"/>
                <w:szCs w:val="21"/>
                <w:highlight w:val="none"/>
              </w:rPr>
              <w:t>，</w:t>
            </w:r>
            <w:r>
              <w:rPr>
                <w:rFonts w:ascii="Times New Roman" w:hAnsi="Times New Roman" w:cs="Times New Roman" w:eastAsiaTheme="minorEastAsia"/>
                <w:color w:val="auto"/>
                <w:kern w:val="2"/>
                <w:sz w:val="21"/>
                <w:szCs w:val="21"/>
                <w:highlight w:val="none"/>
              </w:rPr>
              <w:t>采用管道内防腐，管道的外防腐进行防腐保温。外防腐采用沥青防腐胶带特加强级，连接方式采用焊接。</w:t>
            </w:r>
            <w:r>
              <w:rPr>
                <w:rFonts w:ascii="Times New Roman" w:hAnsi="Times New Roman" w:cs="Times New Roman" w:eastAsiaTheme="minorEastAsia"/>
                <w:bCs/>
                <w:color w:val="auto"/>
                <w:kern w:val="2"/>
                <w:sz w:val="21"/>
                <w:szCs w:val="21"/>
                <w:highlight w:val="none"/>
              </w:rPr>
              <w:t>施工作业带宽10m，油气集输管线埋深为-1.0m（管顶），供水管道埋深为-1.8m（管顶）。</w:t>
            </w:r>
          </w:p>
        </w:tc>
      </w:tr>
      <w:tr w14:paraId="2DD42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46484203">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土壤影响</w:t>
            </w:r>
          </w:p>
        </w:tc>
        <w:tc>
          <w:tcPr>
            <w:tcW w:w="4142" w:type="pct"/>
          </w:tcPr>
          <w:p w14:paraId="5D194761">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施工临时占地大型、重型机械设备的碾压，施工人员的践踏、材料堆放等都会破坏地表植被，使土壤紧实度增高，对土壤产生影响；运营期管线泄漏产生的污油污水可能对土壤环境造成污染影响。</w:t>
            </w:r>
          </w:p>
        </w:tc>
      </w:tr>
      <w:tr w14:paraId="1A060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3F436F16">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土壤环保措施落实情况</w:t>
            </w:r>
          </w:p>
        </w:tc>
        <w:tc>
          <w:tcPr>
            <w:tcW w:w="4142" w:type="pct"/>
          </w:tcPr>
          <w:p w14:paraId="19096F78">
            <w:pPr>
              <w:widowControl w:val="0"/>
              <w:adjustRightInd w:val="0"/>
              <w:snapToGrid w:val="0"/>
              <w:spacing w:line="360" w:lineRule="exact"/>
              <w:jc w:val="center"/>
              <w:rPr>
                <w:rFonts w:ascii="Times New Roman" w:hAnsi="Times New Roman" w:cs="Times New Roman" w:eastAsiaTheme="minorEastAsia"/>
                <w:color w:val="auto"/>
                <w:kern w:val="2"/>
                <w:sz w:val="21"/>
                <w:szCs w:val="21"/>
                <w:highlight w:val="none"/>
              </w:rPr>
            </w:pPr>
            <w:r>
              <w:rPr>
                <w:rFonts w:ascii="Times New Roman" w:hAnsi="Times New Roman" w:cs="Times New Roman" w:eastAsiaTheme="minorEastAsia"/>
                <w:color w:val="auto"/>
                <w:kern w:val="2"/>
                <w:sz w:val="21"/>
                <w:szCs w:val="21"/>
                <w:highlight w:val="none"/>
              </w:rPr>
              <w:t>施工期采取了施工过程中严格控制临时占地，以最大限度降低对地表植被的影响；经现场调查，管线施工作业带临时占用的草地基本恢复现状，耕地基本上已完成了复垦。项目运营期管线采用密闭集输工艺流程输送含水原油及伴生气、回注水。项目集输管线更换后可大大降低管线泄漏等环境风险，减少了由于管线破裂对</w:t>
            </w:r>
            <w:r>
              <w:rPr>
                <w:rFonts w:hint="eastAsia" w:ascii="Times New Roman" w:hAnsi="Times New Roman" w:cs="Times New Roman" w:eastAsiaTheme="minorEastAsia"/>
                <w:color w:val="auto"/>
                <w:kern w:val="2"/>
                <w:sz w:val="21"/>
                <w:szCs w:val="21"/>
                <w:highlight w:val="none"/>
              </w:rPr>
              <w:t>土</w:t>
            </w:r>
            <w:r>
              <w:rPr>
                <w:rFonts w:ascii="Times New Roman" w:hAnsi="Times New Roman" w:cs="Times New Roman" w:eastAsiaTheme="minorEastAsia"/>
                <w:color w:val="auto"/>
                <w:kern w:val="2"/>
                <w:sz w:val="21"/>
                <w:szCs w:val="21"/>
                <w:highlight w:val="none"/>
              </w:rPr>
              <w:t>壤植被、地表水、地下水造成的污染。根据项目验收调查报告，项目已建管道临时占地植被自然恢复情况良好，与周围植被基本无差别。</w:t>
            </w:r>
          </w:p>
        </w:tc>
      </w:tr>
    </w:tbl>
    <w:p w14:paraId="7402F8C7">
      <w:pPr>
        <w:pStyle w:val="46"/>
        <w:spacing w:after="0" w:line="440" w:lineRule="exact"/>
        <w:ind w:left="0" w:leftChars="0" w:firstLine="480" w:firstLineChars="200"/>
        <w:rPr>
          <w:rFonts w:eastAsiaTheme="minorEastAsia"/>
          <w:bCs/>
          <w:color w:val="auto"/>
          <w:sz w:val="24"/>
          <w:highlight w:val="none"/>
        </w:rPr>
      </w:pPr>
      <w:r>
        <w:rPr>
          <w:rFonts w:eastAsiaTheme="minorEastAsia"/>
          <w:bCs/>
          <w:color w:val="auto"/>
          <w:sz w:val="24"/>
          <w:highlight w:val="none"/>
        </w:rPr>
        <w:t>由上表可知，本项目与上述项目均为</w:t>
      </w:r>
      <w:r>
        <w:rPr>
          <w:rFonts w:hint="eastAsia"/>
          <w:bCs/>
          <w:caps w:val="0"/>
          <w:smallCaps w:val="0"/>
          <w:color w:val="auto"/>
          <w:spacing w:val="0"/>
          <w:w w:val="100"/>
          <w:position w:val="0"/>
          <w:sz w:val="24"/>
          <w:highlight w:val="none"/>
          <w:lang w:val="en-US" w:eastAsia="zh-CN"/>
        </w:rPr>
        <w:t>第十一采油厂</w:t>
      </w:r>
      <w:r>
        <w:rPr>
          <w:rFonts w:eastAsiaTheme="minorEastAsia"/>
          <w:bCs/>
          <w:color w:val="auto"/>
          <w:sz w:val="24"/>
          <w:highlight w:val="none"/>
        </w:rPr>
        <w:t>在</w:t>
      </w:r>
      <w:r>
        <w:rPr>
          <w:rFonts w:hint="eastAsia" w:eastAsiaTheme="minorEastAsia"/>
          <w:bCs/>
          <w:color w:val="auto"/>
          <w:sz w:val="24"/>
          <w:highlight w:val="none"/>
        </w:rPr>
        <w:t>昌德</w:t>
      </w:r>
      <w:r>
        <w:rPr>
          <w:rFonts w:eastAsiaTheme="minorEastAsia"/>
          <w:bCs/>
          <w:color w:val="auto"/>
          <w:sz w:val="24"/>
          <w:highlight w:val="none"/>
        </w:rPr>
        <w:t>镇内实施的油田建设项目，</w:t>
      </w:r>
      <w:r>
        <w:rPr>
          <w:rFonts w:hint="eastAsia" w:eastAsiaTheme="minorEastAsia"/>
          <w:bCs/>
          <w:color w:val="auto"/>
          <w:sz w:val="24"/>
          <w:highlight w:val="none"/>
        </w:rPr>
        <w:t>主体内容均包含管道更换工程</w:t>
      </w:r>
      <w:r>
        <w:rPr>
          <w:rFonts w:eastAsiaTheme="minorEastAsia"/>
          <w:bCs/>
          <w:color w:val="auto"/>
          <w:sz w:val="24"/>
          <w:highlight w:val="none"/>
        </w:rPr>
        <w:t>。上述项目与本项目施工期施工工艺、产污及污染途径、污染防治措施等均基本一致，自然环境和土壤类型、周边土壤环境敏感程度均相同，且上述类比项目已取得相关环保手续，因此，本项目土壤影响可以类比上述项目。</w:t>
      </w:r>
    </w:p>
    <w:p w14:paraId="68D2E7CB">
      <w:pPr>
        <w:pStyle w:val="46"/>
        <w:spacing w:after="0" w:line="440" w:lineRule="exact"/>
        <w:ind w:left="0" w:leftChars="0" w:firstLine="480" w:firstLineChars="200"/>
        <w:rPr>
          <w:rFonts w:eastAsiaTheme="minorEastAsia"/>
          <w:bCs/>
          <w:caps w:val="0"/>
          <w:smallCaps w:val="0"/>
          <w:color w:val="auto"/>
          <w:spacing w:val="0"/>
          <w:w w:val="100"/>
          <w:position w:val="0"/>
          <w:sz w:val="24"/>
          <w:highlight w:val="none"/>
        </w:rPr>
      </w:pPr>
      <w:r>
        <w:rPr>
          <w:rFonts w:eastAsiaTheme="minorEastAsia"/>
          <w:bCs/>
          <w:caps w:val="0"/>
          <w:smallCaps w:val="0"/>
          <w:color w:val="auto"/>
          <w:spacing w:val="0"/>
          <w:w w:val="100"/>
          <w:position w:val="0"/>
          <w:sz w:val="24"/>
          <w:highlight w:val="none"/>
        </w:rPr>
        <w:t>（4）预测结果分析</w:t>
      </w:r>
    </w:p>
    <w:p w14:paraId="21447E8C">
      <w:pPr>
        <w:pStyle w:val="46"/>
        <w:spacing w:after="0" w:line="440" w:lineRule="exact"/>
        <w:ind w:left="0" w:leftChars="0" w:firstLine="480" w:firstLineChars="200"/>
        <w:rPr>
          <w:rFonts w:eastAsiaTheme="minorEastAsia"/>
          <w:bCs/>
          <w:color w:val="auto"/>
          <w:sz w:val="24"/>
          <w:highlight w:val="none"/>
        </w:rPr>
      </w:pPr>
      <w:r>
        <w:rPr>
          <w:rFonts w:eastAsiaTheme="minorEastAsia"/>
          <w:bCs/>
          <w:color w:val="auto"/>
          <w:sz w:val="24"/>
          <w:highlight w:val="none"/>
        </w:rPr>
        <w:t>根据类比项目验收调查报告中对管道临时占地内及占地外的土壤监测结果，来判定本项目</w:t>
      </w:r>
      <w:r>
        <w:rPr>
          <w:rFonts w:hint="eastAsia" w:eastAsiaTheme="minorEastAsia"/>
          <w:bCs/>
          <w:color w:val="auto"/>
          <w:sz w:val="24"/>
          <w:highlight w:val="none"/>
          <w:lang w:val="en-US" w:eastAsia="zh-CN"/>
        </w:rPr>
        <w:t>集输</w:t>
      </w:r>
      <w:r>
        <w:rPr>
          <w:rFonts w:eastAsiaTheme="minorEastAsia"/>
          <w:bCs/>
          <w:color w:val="auto"/>
          <w:sz w:val="24"/>
          <w:highlight w:val="none"/>
        </w:rPr>
        <w:t>管道</w:t>
      </w:r>
      <w:r>
        <w:rPr>
          <w:rFonts w:hint="eastAsia" w:eastAsiaTheme="minorEastAsia"/>
          <w:bCs/>
          <w:color w:val="auto"/>
          <w:sz w:val="24"/>
          <w:highlight w:val="none"/>
        </w:rPr>
        <w:t>和阀组间</w:t>
      </w:r>
      <w:r>
        <w:rPr>
          <w:rFonts w:eastAsiaTheme="minorEastAsia"/>
          <w:bCs/>
          <w:color w:val="auto"/>
          <w:sz w:val="24"/>
          <w:highlight w:val="none"/>
        </w:rPr>
        <w:t>建设可能对土壤的影响，类比项目验收阶段临时占地内与</w:t>
      </w:r>
      <w:r>
        <w:rPr>
          <w:rFonts w:eastAsiaTheme="minorEastAsia"/>
          <w:bCs/>
          <w:color w:val="auto"/>
          <w:sz w:val="24"/>
          <w:highlight w:val="none"/>
        </w:rPr>
        <w:t>占地外土壤监测数据对比情况见表5.7-4。</w:t>
      </w:r>
    </w:p>
    <w:p w14:paraId="5BB772C3">
      <w:pPr>
        <w:widowControl w:val="0"/>
        <w:spacing w:line="440" w:lineRule="exact"/>
        <w:ind w:firstLine="482" w:firstLineChars="200"/>
        <w:jc w:val="both"/>
        <w:rPr>
          <w:rFonts w:ascii="Times New Roman" w:hAnsi="Times New Roman" w:cs="Times New Roman" w:eastAsiaTheme="minorEastAsia"/>
          <w:b/>
          <w:color w:val="auto"/>
          <w:kern w:val="21"/>
          <w:highlight w:val="none"/>
        </w:rPr>
      </w:pPr>
      <w:r>
        <w:rPr>
          <w:rFonts w:ascii="Times New Roman" w:hAnsi="Times New Roman" w:cs="Times New Roman" w:eastAsiaTheme="minorEastAsia"/>
          <w:b/>
          <w:color w:val="auto"/>
          <w:kern w:val="21"/>
          <w:highlight w:val="none"/>
        </w:rPr>
        <w:t>表</w:t>
      </w:r>
      <w:r>
        <w:rPr>
          <w:rFonts w:ascii="Times New Roman" w:hAnsi="Times New Roman" w:cs="Times New Roman" w:eastAsiaTheme="minorEastAsia"/>
          <w:b/>
          <w:color w:val="auto"/>
          <w:kern w:val="2"/>
          <w:highlight w:val="none"/>
        </w:rPr>
        <w:t>5.7-4</w:t>
      </w:r>
      <w:r>
        <w:rPr>
          <w:rFonts w:ascii="Times New Roman" w:hAnsi="Times New Roman" w:cs="Times New Roman" w:eastAsiaTheme="minorEastAsia"/>
          <w:b/>
          <w:color w:val="auto"/>
          <w:kern w:val="21"/>
          <w:highlight w:val="none"/>
        </w:rPr>
        <w:t xml:space="preserve">    </w:t>
      </w:r>
      <w:r>
        <w:rPr>
          <w:rFonts w:ascii="Times New Roman" w:hAnsi="Times New Roman" w:cs="Times New Roman" w:eastAsiaTheme="minorEastAsia"/>
          <w:b/>
          <w:bCs/>
          <w:color w:val="auto"/>
          <w:kern w:val="21"/>
          <w:highlight w:val="none"/>
        </w:rPr>
        <w:t>类比项目验收阶段占地内与占地外土壤监测数据对比</w:t>
      </w:r>
      <w:r>
        <w:rPr>
          <w:rFonts w:ascii="Times New Roman" w:hAnsi="Times New Roman" w:cs="Times New Roman" w:eastAsiaTheme="minorEastAsia"/>
          <w:b/>
          <w:color w:val="auto"/>
          <w:kern w:val="21"/>
          <w:highlight w:val="none"/>
        </w:rPr>
        <w:t xml:space="preserve">    单位：mg/kg</w:t>
      </w:r>
    </w:p>
    <w:tbl>
      <w:tblPr>
        <w:tblStyle w:val="80"/>
        <w:tblW w:w="512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75"/>
        <w:gridCol w:w="1214"/>
        <w:gridCol w:w="1650"/>
        <w:gridCol w:w="2788"/>
      </w:tblGrid>
      <w:tr w14:paraId="77B25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33" w:type="pct"/>
            <w:vAlign w:val="center"/>
          </w:tcPr>
          <w:p w14:paraId="27BA7BA2">
            <w:pPr>
              <w:widowControl w:val="0"/>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监测点位</w:t>
            </w:r>
          </w:p>
        </w:tc>
        <w:tc>
          <w:tcPr>
            <w:tcW w:w="637" w:type="pct"/>
            <w:vAlign w:val="center"/>
          </w:tcPr>
          <w:p w14:paraId="3825B2B2">
            <w:pPr>
              <w:widowControl w:val="0"/>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监测因子</w:t>
            </w:r>
          </w:p>
        </w:tc>
        <w:tc>
          <w:tcPr>
            <w:tcW w:w="865" w:type="pct"/>
            <w:vAlign w:val="center"/>
          </w:tcPr>
          <w:p w14:paraId="19451D06">
            <w:pPr>
              <w:widowControl w:val="0"/>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监测结果（mg/kg）</w:t>
            </w:r>
          </w:p>
        </w:tc>
        <w:tc>
          <w:tcPr>
            <w:tcW w:w="1463" w:type="pct"/>
            <w:vAlign w:val="center"/>
          </w:tcPr>
          <w:p w14:paraId="0B77382A">
            <w:pPr>
              <w:widowControl w:val="0"/>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风险筛选值（建设用地1类）</w:t>
            </w:r>
          </w:p>
        </w:tc>
      </w:tr>
      <w:tr w14:paraId="74295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33" w:type="pct"/>
            <w:vAlign w:val="center"/>
          </w:tcPr>
          <w:p w14:paraId="0F3D8167">
            <w:pPr>
              <w:widowControl w:val="0"/>
              <w:spacing w:line="320" w:lineRule="exact"/>
              <w:jc w:val="center"/>
              <w:rPr>
                <w:rFonts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lang w:val="en-US" w:eastAsia="zh-CN"/>
              </w:rPr>
              <w:t>1</w:t>
            </w:r>
            <w:r>
              <w:rPr>
                <w:rFonts w:hint="eastAsia" w:ascii="Times New Roman" w:hAnsi="Times New Roman" w:cs="Times New Roman" w:eastAsiaTheme="minorEastAsia"/>
                <w:color w:val="auto"/>
                <w:sz w:val="21"/>
                <w:szCs w:val="21"/>
                <w:highlight w:val="none"/>
              </w:rPr>
              <w:t>号平台井场新建</w:t>
            </w:r>
            <w:r>
              <w:rPr>
                <w:rFonts w:ascii="Times New Roman" w:hAnsi="Times New Roman" w:cs="Times New Roman" w:eastAsiaTheme="minorEastAsia"/>
                <w:color w:val="auto"/>
                <w:sz w:val="21"/>
                <w:szCs w:val="21"/>
                <w:highlight w:val="none"/>
              </w:rPr>
              <w:t>管道临时占地内</w:t>
            </w:r>
            <w:r>
              <w:rPr>
                <w:rFonts w:hint="eastAsia" w:ascii="Times New Roman" w:hAnsi="Times New Roman" w:cs="Times New Roman" w:eastAsiaTheme="minorEastAsia"/>
                <w:color w:val="auto"/>
                <w:sz w:val="21"/>
                <w:szCs w:val="21"/>
                <w:highlight w:val="none"/>
              </w:rPr>
              <w:t>耕地</w:t>
            </w:r>
          </w:p>
        </w:tc>
        <w:tc>
          <w:tcPr>
            <w:tcW w:w="637" w:type="pct"/>
            <w:vMerge w:val="restart"/>
            <w:vAlign w:val="center"/>
          </w:tcPr>
          <w:p w14:paraId="459A1313">
            <w:pPr>
              <w:widowControl w:val="0"/>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bCs/>
                <w:color w:val="auto"/>
                <w:sz w:val="21"/>
                <w:szCs w:val="21"/>
                <w:highlight w:val="none"/>
              </w:rPr>
              <w:t>石油烃（C</w:t>
            </w:r>
            <w:r>
              <w:rPr>
                <w:rFonts w:ascii="Times New Roman" w:hAnsi="Times New Roman" w:cs="Times New Roman" w:eastAsiaTheme="minorEastAsia"/>
                <w:bCs/>
                <w:color w:val="auto"/>
                <w:sz w:val="21"/>
                <w:szCs w:val="21"/>
                <w:highlight w:val="none"/>
                <w:vertAlign w:val="subscript"/>
              </w:rPr>
              <w:t>10</w:t>
            </w:r>
            <w:r>
              <w:rPr>
                <w:rFonts w:ascii="Times New Roman" w:hAnsi="Times New Roman" w:cs="Times New Roman" w:eastAsiaTheme="minorEastAsia"/>
                <w:bCs/>
                <w:color w:val="auto"/>
                <w:sz w:val="21"/>
                <w:szCs w:val="21"/>
                <w:highlight w:val="none"/>
              </w:rPr>
              <w:t>-C</w:t>
            </w:r>
            <w:r>
              <w:rPr>
                <w:rFonts w:ascii="Times New Roman" w:hAnsi="Times New Roman" w:cs="Times New Roman" w:eastAsiaTheme="minorEastAsia"/>
                <w:bCs/>
                <w:color w:val="auto"/>
                <w:sz w:val="21"/>
                <w:szCs w:val="21"/>
                <w:highlight w:val="none"/>
                <w:vertAlign w:val="subscript"/>
              </w:rPr>
              <w:t>40</w:t>
            </w:r>
            <w:r>
              <w:rPr>
                <w:rFonts w:ascii="Times New Roman" w:hAnsi="Times New Roman" w:cs="Times New Roman" w:eastAsiaTheme="minorEastAsia"/>
                <w:bCs/>
                <w:color w:val="auto"/>
                <w:sz w:val="21"/>
                <w:szCs w:val="21"/>
                <w:highlight w:val="none"/>
              </w:rPr>
              <w:t>）</w:t>
            </w:r>
          </w:p>
        </w:tc>
        <w:tc>
          <w:tcPr>
            <w:tcW w:w="865" w:type="pct"/>
            <w:vAlign w:val="center"/>
          </w:tcPr>
          <w:p w14:paraId="42DAA4C2">
            <w:pPr>
              <w:widowControl w:val="0"/>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未检出</w:t>
            </w:r>
          </w:p>
        </w:tc>
        <w:tc>
          <w:tcPr>
            <w:tcW w:w="1463" w:type="pct"/>
            <w:vMerge w:val="restart"/>
            <w:vAlign w:val="center"/>
          </w:tcPr>
          <w:p w14:paraId="58EF6CAF">
            <w:pPr>
              <w:widowControl w:val="0"/>
              <w:spacing w:line="320" w:lineRule="exact"/>
              <w:jc w:val="center"/>
              <w:rPr>
                <w:rFonts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rPr>
              <w:t>4500</w:t>
            </w:r>
            <w:r>
              <w:rPr>
                <w:rFonts w:ascii="Times New Roman" w:hAnsi="Times New Roman" w:cs="Times New Roman" w:eastAsiaTheme="minorEastAsia"/>
                <w:color w:val="auto"/>
                <w:sz w:val="21"/>
                <w:szCs w:val="21"/>
                <w:highlight w:val="none"/>
              </w:rPr>
              <w:t>mg/kg</w:t>
            </w:r>
          </w:p>
        </w:tc>
      </w:tr>
      <w:tr w14:paraId="23E37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33" w:type="pct"/>
            <w:vAlign w:val="center"/>
          </w:tcPr>
          <w:p w14:paraId="70FABA1D">
            <w:pPr>
              <w:widowControl w:val="0"/>
              <w:spacing w:line="320" w:lineRule="exact"/>
              <w:jc w:val="center"/>
              <w:rPr>
                <w:rFonts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lang w:val="en-US" w:eastAsia="zh-CN"/>
              </w:rPr>
              <w:t>9</w:t>
            </w:r>
            <w:r>
              <w:rPr>
                <w:rFonts w:hint="eastAsia" w:ascii="Times New Roman" w:hAnsi="Times New Roman" w:cs="Times New Roman" w:eastAsiaTheme="minorEastAsia"/>
                <w:color w:val="auto"/>
                <w:sz w:val="21"/>
                <w:szCs w:val="21"/>
                <w:highlight w:val="none"/>
              </w:rPr>
              <w:t>号平台井场新建</w:t>
            </w:r>
            <w:r>
              <w:rPr>
                <w:rFonts w:ascii="Times New Roman" w:hAnsi="Times New Roman" w:cs="Times New Roman" w:eastAsiaTheme="minorEastAsia"/>
                <w:color w:val="auto"/>
                <w:sz w:val="21"/>
                <w:szCs w:val="21"/>
                <w:highlight w:val="none"/>
              </w:rPr>
              <w:t>管道临时占地内</w:t>
            </w:r>
            <w:r>
              <w:rPr>
                <w:rFonts w:hint="eastAsia" w:ascii="Times New Roman" w:hAnsi="Times New Roman" w:cs="Times New Roman" w:eastAsiaTheme="minorEastAsia"/>
                <w:color w:val="auto"/>
                <w:sz w:val="21"/>
                <w:szCs w:val="21"/>
                <w:highlight w:val="none"/>
              </w:rPr>
              <w:t>耕地</w:t>
            </w:r>
          </w:p>
        </w:tc>
        <w:tc>
          <w:tcPr>
            <w:tcW w:w="637" w:type="pct"/>
            <w:vMerge w:val="continue"/>
            <w:vAlign w:val="center"/>
          </w:tcPr>
          <w:p w14:paraId="5DC2F021">
            <w:pPr>
              <w:widowControl w:val="0"/>
              <w:spacing w:line="320" w:lineRule="exact"/>
              <w:jc w:val="center"/>
              <w:rPr>
                <w:rFonts w:ascii="Times New Roman" w:hAnsi="Times New Roman" w:cs="Times New Roman" w:eastAsiaTheme="minorEastAsia"/>
                <w:color w:val="auto"/>
                <w:sz w:val="21"/>
                <w:szCs w:val="21"/>
                <w:highlight w:val="none"/>
              </w:rPr>
            </w:pPr>
          </w:p>
        </w:tc>
        <w:tc>
          <w:tcPr>
            <w:tcW w:w="865" w:type="pct"/>
            <w:vAlign w:val="center"/>
          </w:tcPr>
          <w:p w14:paraId="1A831D19">
            <w:pPr>
              <w:widowControl w:val="0"/>
              <w:spacing w:line="320" w:lineRule="exact"/>
              <w:jc w:val="center"/>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未检出</w:t>
            </w:r>
          </w:p>
        </w:tc>
        <w:tc>
          <w:tcPr>
            <w:tcW w:w="1463" w:type="pct"/>
            <w:vMerge w:val="continue"/>
            <w:vAlign w:val="center"/>
          </w:tcPr>
          <w:p w14:paraId="33000C45">
            <w:pPr>
              <w:widowControl w:val="0"/>
              <w:spacing w:line="320" w:lineRule="exact"/>
              <w:jc w:val="center"/>
              <w:rPr>
                <w:rFonts w:ascii="Times New Roman" w:hAnsi="Times New Roman" w:cs="Times New Roman" w:eastAsiaTheme="minorEastAsia"/>
                <w:color w:val="auto"/>
                <w:sz w:val="21"/>
                <w:szCs w:val="21"/>
                <w:highlight w:val="none"/>
              </w:rPr>
            </w:pPr>
          </w:p>
        </w:tc>
      </w:tr>
    </w:tbl>
    <w:p w14:paraId="6FBC0ADF">
      <w:pPr>
        <w:pStyle w:val="31"/>
        <w:widowControl w:val="0"/>
        <w:spacing w:line="440" w:lineRule="exact"/>
        <w:ind w:firstLine="480" w:firstLineChars="200"/>
        <w:jc w:val="both"/>
        <w:rPr>
          <w:rFonts w:ascii="Times New Roman" w:hAnsi="Times New Roman" w:eastAsiaTheme="minorEastAsia"/>
          <w:color w:val="auto"/>
          <w:kern w:val="21"/>
          <w:highlight w:val="none"/>
        </w:rPr>
      </w:pPr>
      <w:r>
        <w:rPr>
          <w:rFonts w:ascii="Times New Roman" w:hAnsi="Times New Roman" w:eastAsiaTheme="minorEastAsia"/>
          <w:color w:val="auto"/>
          <w:kern w:val="21"/>
          <w:highlight w:val="none"/>
        </w:rPr>
        <w:t>根据监测结果，该项目建设完成后，管线施工临时占地范围内土壤中的特征污染物</w:t>
      </w:r>
      <w:r>
        <w:rPr>
          <w:rFonts w:ascii="Times New Roman" w:hAnsi="Times New Roman" w:eastAsiaTheme="minorEastAsia"/>
          <w:bCs/>
          <w:color w:val="auto"/>
          <w:kern w:val="21"/>
          <w:highlight w:val="none"/>
        </w:rPr>
        <w:t>石油烃（C</w:t>
      </w:r>
      <w:r>
        <w:rPr>
          <w:rFonts w:ascii="Times New Roman" w:hAnsi="Times New Roman" w:eastAsiaTheme="minorEastAsia"/>
          <w:bCs/>
          <w:color w:val="auto"/>
          <w:kern w:val="21"/>
          <w:highlight w:val="none"/>
          <w:vertAlign w:val="subscript"/>
        </w:rPr>
        <w:t>10</w:t>
      </w:r>
      <w:r>
        <w:rPr>
          <w:rFonts w:ascii="Times New Roman" w:hAnsi="Times New Roman" w:eastAsiaTheme="minorEastAsia"/>
          <w:bCs/>
          <w:color w:val="auto"/>
          <w:kern w:val="21"/>
          <w:highlight w:val="none"/>
        </w:rPr>
        <w:t>-C</w:t>
      </w:r>
      <w:r>
        <w:rPr>
          <w:rFonts w:ascii="Times New Roman" w:hAnsi="Times New Roman" w:eastAsiaTheme="minorEastAsia"/>
          <w:bCs/>
          <w:color w:val="auto"/>
          <w:kern w:val="21"/>
          <w:highlight w:val="none"/>
          <w:vertAlign w:val="subscript"/>
        </w:rPr>
        <w:t>40</w:t>
      </w:r>
      <w:r>
        <w:rPr>
          <w:rFonts w:ascii="Times New Roman" w:hAnsi="Times New Roman" w:eastAsiaTheme="minorEastAsia"/>
          <w:bCs/>
          <w:color w:val="auto"/>
          <w:kern w:val="21"/>
          <w:highlight w:val="none"/>
        </w:rPr>
        <w:t>）</w:t>
      </w:r>
      <w:r>
        <w:rPr>
          <w:rFonts w:hint="eastAsia" w:ascii="Times New Roman" w:hAnsi="Times New Roman" w:eastAsiaTheme="minorEastAsia"/>
          <w:color w:val="auto"/>
          <w:kern w:val="21"/>
          <w:highlight w:val="none"/>
        </w:rPr>
        <w:t>未检出，</w:t>
      </w:r>
      <w:r>
        <w:rPr>
          <w:rFonts w:ascii="Times New Roman" w:hAnsi="Times New Roman" w:eastAsiaTheme="minorEastAsia"/>
          <w:color w:val="auto"/>
          <w:kern w:val="21"/>
          <w:highlight w:val="none"/>
        </w:rPr>
        <w:t>满足《土壤环境质量 建设用地土壤污染风险管控标准（试行）》（GB36600-2018）表2中第一类用地风险筛选值，土壤类比项目的验收意见见附件5。由此可知，项目区域土壤环境质量现状较好，建设单位在项目建设及运营过程中较好的落实了各项土壤污染防治措施，项目</w:t>
      </w:r>
      <w:r>
        <w:rPr>
          <w:rFonts w:hint="eastAsia" w:ascii="Times New Roman" w:hAnsi="Times New Roman" w:eastAsiaTheme="minorEastAsia"/>
          <w:color w:val="auto"/>
          <w:kern w:val="21"/>
          <w:highlight w:val="none"/>
        </w:rPr>
        <w:t>管道工程</w:t>
      </w:r>
      <w:r>
        <w:rPr>
          <w:rFonts w:ascii="Times New Roman" w:hAnsi="Times New Roman" w:eastAsiaTheme="minorEastAsia"/>
          <w:color w:val="auto"/>
          <w:kern w:val="21"/>
          <w:highlight w:val="none"/>
        </w:rPr>
        <w:t>对周围土壤环境影响较小。</w:t>
      </w:r>
    </w:p>
    <w:p w14:paraId="1BF9F8B0">
      <w:pPr>
        <w:pStyle w:val="31"/>
        <w:widowControl w:val="0"/>
        <w:spacing w:line="440" w:lineRule="exact"/>
        <w:ind w:firstLine="480" w:firstLineChars="200"/>
        <w:jc w:val="both"/>
        <w:rPr>
          <w:rFonts w:ascii="Times New Roman" w:hAnsi="Times New Roman" w:eastAsiaTheme="minorEastAsia"/>
          <w:color w:val="auto"/>
          <w:kern w:val="21"/>
          <w:highlight w:val="none"/>
        </w:rPr>
      </w:pPr>
      <w:r>
        <w:rPr>
          <w:rFonts w:ascii="Times New Roman" w:hAnsi="Times New Roman" w:eastAsiaTheme="minorEastAsia"/>
          <w:color w:val="auto"/>
          <w:kern w:val="21"/>
          <w:highlight w:val="none"/>
        </w:rPr>
        <w:t>通过类比</w:t>
      </w:r>
      <w:r>
        <w:rPr>
          <w:rFonts w:hint="eastAsia" w:ascii="Times New Roman" w:hAnsi="Times New Roman" w:eastAsiaTheme="minorEastAsia"/>
          <w:color w:val="auto"/>
          <w:kern w:val="21"/>
          <w:highlight w:val="none"/>
        </w:rPr>
        <w:t>同类</w:t>
      </w:r>
      <w:r>
        <w:rPr>
          <w:rFonts w:ascii="Times New Roman" w:hAnsi="Times New Roman" w:eastAsiaTheme="minorEastAsia"/>
          <w:color w:val="auto"/>
          <w:kern w:val="21"/>
          <w:highlight w:val="none"/>
        </w:rPr>
        <w:t>建设项目的土壤环境验收监测数据可以得出，在建设单位严格落实各项土壤污染防控措施的前提下，项目对周围土壤环境影响较小。</w:t>
      </w:r>
    </w:p>
    <w:p w14:paraId="39D9FB78">
      <w:pPr>
        <w:pStyle w:val="6"/>
        <w:widowControl w:val="0"/>
        <w:spacing w:before="60" w:after="60" w:line="440" w:lineRule="exact"/>
        <w:jc w:val="both"/>
        <w:rPr>
          <w:rFonts w:eastAsiaTheme="minorEastAsia"/>
          <w:b/>
          <w:caps w:val="0"/>
          <w:smallCaps w:val="0"/>
          <w:color w:val="auto"/>
          <w:spacing w:val="0"/>
          <w:w w:val="100"/>
          <w:kern w:val="2"/>
          <w:position w:val="0"/>
          <w:sz w:val="24"/>
          <w:szCs w:val="24"/>
          <w:highlight w:val="none"/>
        </w:rPr>
      </w:pPr>
      <w:bookmarkStart w:id="928" w:name="_Toc186444364"/>
      <w:r>
        <w:rPr>
          <w:rFonts w:eastAsiaTheme="minorEastAsia"/>
          <w:b/>
          <w:caps w:val="0"/>
          <w:smallCaps w:val="0"/>
          <w:color w:val="auto"/>
          <w:spacing w:val="0"/>
          <w:w w:val="100"/>
          <w:kern w:val="2"/>
          <w:position w:val="0"/>
          <w:sz w:val="24"/>
          <w:szCs w:val="24"/>
          <w:highlight w:val="none"/>
        </w:rPr>
        <w:t>5.7.4评价结论</w:t>
      </w:r>
      <w:bookmarkEnd w:id="928"/>
    </w:p>
    <w:p w14:paraId="33F4EF2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lang w:bidi="zh-CN"/>
        </w:rPr>
        <w:t>综上所述，本项目在施工期及运营期采取上述相关防治措施后，项目的开发建设对区域土壤环境影响较小。</w:t>
      </w:r>
      <w:r>
        <w:rPr>
          <w:rFonts w:ascii="Times New Roman" w:hAnsi="Times New Roman" w:cs="Times New Roman" w:eastAsiaTheme="minorEastAsia"/>
          <w:caps w:val="0"/>
          <w:smallCaps w:val="0"/>
          <w:color w:val="auto"/>
          <w:spacing w:val="0"/>
          <w:w w:val="100"/>
          <w:kern w:val="21"/>
          <w:position w:val="0"/>
          <w:highlight w:val="none"/>
        </w:rPr>
        <w:t>本项目土壤环境影响评价自查表见附表3。</w:t>
      </w:r>
    </w:p>
    <w:p w14:paraId="62F2C60E">
      <w:pPr>
        <w:pStyle w:val="4"/>
        <w:keepNext w:val="0"/>
        <w:keepLines w:val="0"/>
        <w:widowControl w:val="0"/>
        <w:spacing w:before="120" w:after="120"/>
        <w:rPr>
          <w:rFonts w:ascii="Times New Roman" w:hAnsi="Times New Roman" w:eastAsiaTheme="minorEastAsia"/>
          <w:b/>
          <w:caps w:val="0"/>
          <w:smallCaps w:val="0"/>
          <w:snapToGrid w:val="0"/>
          <w:color w:val="auto"/>
          <w:spacing w:val="0"/>
          <w:w w:val="100"/>
          <w:position w:val="0"/>
          <w:highlight w:val="none"/>
        </w:rPr>
      </w:pPr>
      <w:bookmarkStart w:id="929" w:name="_Toc65426007"/>
      <w:bookmarkStart w:id="930" w:name="_Toc219900403"/>
      <w:r>
        <w:rPr>
          <w:rFonts w:ascii="Times New Roman" w:hAnsi="Times New Roman" w:eastAsiaTheme="minorEastAsia"/>
          <w:b/>
          <w:caps w:val="0"/>
          <w:smallCaps w:val="0"/>
          <w:snapToGrid w:val="0"/>
          <w:color w:val="auto"/>
          <w:spacing w:val="0"/>
          <w:w w:val="100"/>
          <w:position w:val="0"/>
          <w:highlight w:val="none"/>
        </w:rPr>
        <w:t>5.8环境风险分析</w:t>
      </w:r>
      <w:bookmarkEnd w:id="929"/>
      <w:bookmarkEnd w:id="930"/>
    </w:p>
    <w:p w14:paraId="60DE1EDC">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auto"/>
          <w:spacing w:val="0"/>
          <w:w w:val="100"/>
          <w:kern w:val="2"/>
          <w:position w:val="0"/>
          <w:highlight w:val="none"/>
        </w:rPr>
      </w:pPr>
      <w:bookmarkStart w:id="931" w:name="_Toc127192416"/>
      <w:bookmarkStart w:id="932" w:name="_Toc126863467"/>
      <w:bookmarkStart w:id="933" w:name="_Toc186444366"/>
      <w:bookmarkStart w:id="934" w:name="_Toc143099655"/>
      <w:bookmarkStart w:id="935" w:name="_Toc131167368"/>
      <w:bookmarkStart w:id="936" w:name="_Toc83209552"/>
      <w:bookmarkStart w:id="937" w:name="_Toc78816535"/>
      <w:bookmarkStart w:id="938" w:name="_Toc70050260"/>
      <w:bookmarkStart w:id="939" w:name="_Toc80588330"/>
      <w:bookmarkStart w:id="940" w:name="_Toc85640835"/>
      <w:bookmarkStart w:id="941" w:name="_Toc77067732"/>
      <w:bookmarkStart w:id="942" w:name="_Toc80971452"/>
      <w:bookmarkStart w:id="943" w:name="_Toc110438552"/>
      <w:bookmarkStart w:id="944" w:name="_Toc84929307"/>
      <w:bookmarkStart w:id="945" w:name="_Toc76976320"/>
      <w:bookmarkStart w:id="946" w:name="_Toc86142010"/>
      <w:bookmarkStart w:id="947" w:name="_Toc67860210"/>
      <w:r>
        <w:rPr>
          <w:rFonts w:ascii="Times New Roman" w:hAnsi="Times New Roman" w:cs="Times New Roman" w:eastAsiaTheme="minorEastAsia"/>
          <w:b/>
          <w:bCs/>
          <w:caps w:val="0"/>
          <w:smallCaps w:val="0"/>
          <w:color w:val="auto"/>
          <w:spacing w:val="0"/>
          <w:w w:val="100"/>
          <w:kern w:val="2"/>
          <w:position w:val="0"/>
          <w:highlight w:val="none"/>
        </w:rPr>
        <w:t>5.8.1风险调查</w:t>
      </w:r>
      <w:bookmarkEnd w:id="931"/>
      <w:bookmarkEnd w:id="932"/>
      <w:bookmarkEnd w:id="933"/>
      <w:bookmarkEnd w:id="934"/>
      <w:bookmarkEnd w:id="935"/>
    </w:p>
    <w:p w14:paraId="3C75015E">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本项目涉及的主要危险物质是原油</w:t>
      </w:r>
      <w:r>
        <w:rPr>
          <w:rFonts w:hint="eastAsia" w:ascii="Times New Roman" w:hAnsi="Times New Roman" w:cs="Times New Roman" w:eastAsiaTheme="minorEastAsia"/>
          <w:bCs/>
          <w:caps w:val="0"/>
          <w:smallCaps w:val="0"/>
          <w:color w:val="auto"/>
          <w:spacing w:val="0"/>
          <w:w w:val="100"/>
          <w:position w:val="0"/>
          <w:highlight w:val="none"/>
          <w:lang w:eastAsia="zh-CN"/>
        </w:rPr>
        <w:t>（</w:t>
      </w:r>
      <w:r>
        <w:rPr>
          <w:rFonts w:hint="eastAsia" w:ascii="Times New Roman" w:hAnsi="Times New Roman" w:cs="Times New Roman" w:eastAsiaTheme="minorEastAsia"/>
          <w:bCs/>
          <w:caps w:val="0"/>
          <w:smallCaps w:val="0"/>
          <w:color w:val="auto"/>
          <w:spacing w:val="0"/>
          <w:w w:val="100"/>
          <w:position w:val="0"/>
          <w:highlight w:val="none"/>
          <w:lang w:val="en-US" w:eastAsia="zh-CN"/>
        </w:rPr>
        <w:t>集油管线及含油污水中的原油</w:t>
      </w:r>
      <w:r>
        <w:rPr>
          <w:rFonts w:hint="eastAsia" w:ascii="Times New Roman" w:hAnsi="Times New Roman" w:cs="Times New Roman" w:eastAsiaTheme="minorEastAsia"/>
          <w:bCs/>
          <w:caps w:val="0"/>
          <w:smallCaps w:val="0"/>
          <w:color w:val="auto"/>
          <w:spacing w:val="0"/>
          <w:w w:val="100"/>
          <w:position w:val="0"/>
          <w:highlight w:val="none"/>
          <w:lang w:eastAsia="zh-CN"/>
        </w:rPr>
        <w:t>）</w:t>
      </w:r>
      <w:r>
        <w:rPr>
          <w:rFonts w:ascii="Times New Roman" w:hAnsi="Times New Roman" w:cs="Times New Roman" w:eastAsiaTheme="minorEastAsia"/>
          <w:bCs/>
          <w:caps w:val="0"/>
          <w:smallCaps w:val="0"/>
          <w:color w:val="auto"/>
          <w:spacing w:val="0"/>
          <w:w w:val="100"/>
          <w:position w:val="0"/>
          <w:highlight w:val="none"/>
        </w:rPr>
        <w:t>，原油具有易燃、易爆的性质。物料的危险性分析如下：</w:t>
      </w:r>
    </w:p>
    <w:p w14:paraId="5F97352B">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原油闪点小于28</w:t>
      </w:r>
      <w:r>
        <w:rPr>
          <w:rFonts w:ascii="Times New Roman" w:hAnsi="Times New Roman" w:cs="Times New Roman"/>
          <w:bCs/>
          <w:caps w:val="0"/>
          <w:smallCaps w:val="0"/>
          <w:color w:val="auto"/>
          <w:spacing w:val="0"/>
          <w:w w:val="100"/>
          <w:position w:val="0"/>
          <w:highlight w:val="none"/>
        </w:rPr>
        <w:t>℃</w:t>
      </w:r>
      <w:r>
        <w:rPr>
          <w:rFonts w:ascii="Times New Roman" w:hAnsi="Times New Roman" w:cs="Times New Roman" w:eastAsiaTheme="minorEastAsia"/>
          <w:bCs/>
          <w:caps w:val="0"/>
          <w:smallCaps w:val="0"/>
          <w:color w:val="auto"/>
          <w:spacing w:val="0"/>
          <w:w w:val="100"/>
          <w:position w:val="0"/>
          <w:highlight w:val="none"/>
        </w:rPr>
        <w:t>，属甲B类易燃、易爆物。原油闪点范围较宽，凝固点较高，其蒸气与空气形成爆炸混合物，遇明火、高热能引起燃烧爆炸，与氧化剂能发生强烈反应，遇高热可分解出有毒烟雾。</w:t>
      </w:r>
    </w:p>
    <w:p w14:paraId="13FFCB96">
      <w:pPr>
        <w:widowControl w:val="0"/>
        <w:spacing w:line="440" w:lineRule="exact"/>
        <w:ind w:firstLine="482"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
          <w:bCs/>
          <w:caps w:val="0"/>
          <w:smallCaps w:val="0"/>
          <w:color w:val="auto"/>
          <w:spacing w:val="0"/>
          <w:w w:val="100"/>
          <w:position w:val="0"/>
          <w:highlight w:val="none"/>
        </w:rPr>
        <w:t>表5.8-1    原油安全技术说明书</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2"/>
        <w:gridCol w:w="1780"/>
        <w:gridCol w:w="2933"/>
        <w:gridCol w:w="1104"/>
        <w:gridCol w:w="2748"/>
      </w:tblGrid>
      <w:tr w14:paraId="349A5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restart"/>
            <w:vAlign w:val="center"/>
          </w:tcPr>
          <w:p w14:paraId="43E5BC3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理化</w:t>
            </w:r>
          </w:p>
          <w:p w14:paraId="79D0E2C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常数</w:t>
            </w:r>
          </w:p>
        </w:tc>
        <w:tc>
          <w:tcPr>
            <w:tcW w:w="1737" w:type="dxa"/>
            <w:vAlign w:val="center"/>
          </w:tcPr>
          <w:p w14:paraId="52F75CF9">
            <w:pPr>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序号</w:t>
            </w:r>
          </w:p>
        </w:tc>
        <w:tc>
          <w:tcPr>
            <w:tcW w:w="6620" w:type="dxa"/>
            <w:gridSpan w:val="3"/>
            <w:vAlign w:val="center"/>
          </w:tcPr>
          <w:p w14:paraId="2149B12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1967</w:t>
            </w:r>
          </w:p>
        </w:tc>
      </w:tr>
      <w:tr w14:paraId="51479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482BEC1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54904DE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CAS号</w:t>
            </w:r>
          </w:p>
        </w:tc>
        <w:tc>
          <w:tcPr>
            <w:tcW w:w="6620" w:type="dxa"/>
            <w:gridSpan w:val="3"/>
            <w:vAlign w:val="center"/>
          </w:tcPr>
          <w:p w14:paraId="0404851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p>
        </w:tc>
      </w:tr>
      <w:tr w14:paraId="5EC59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3A5E6BE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7E3B256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中文名称</w:t>
            </w:r>
          </w:p>
        </w:tc>
        <w:tc>
          <w:tcPr>
            <w:tcW w:w="6620" w:type="dxa"/>
            <w:gridSpan w:val="3"/>
            <w:vAlign w:val="center"/>
          </w:tcPr>
          <w:p w14:paraId="7274327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原油</w:t>
            </w:r>
          </w:p>
        </w:tc>
      </w:tr>
      <w:tr w14:paraId="7BE53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17B9B49B">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06599D1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英文名称</w:t>
            </w:r>
          </w:p>
        </w:tc>
        <w:tc>
          <w:tcPr>
            <w:tcW w:w="6620" w:type="dxa"/>
            <w:gridSpan w:val="3"/>
            <w:vAlign w:val="center"/>
          </w:tcPr>
          <w:p w14:paraId="184B6E3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CrudeoU；Petrolemn</w:t>
            </w:r>
          </w:p>
        </w:tc>
      </w:tr>
      <w:tr w14:paraId="11981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0160408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3CD3E43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别名</w:t>
            </w:r>
          </w:p>
        </w:tc>
        <w:tc>
          <w:tcPr>
            <w:tcW w:w="6620" w:type="dxa"/>
            <w:gridSpan w:val="3"/>
            <w:vAlign w:val="center"/>
          </w:tcPr>
          <w:p w14:paraId="7F26515A">
            <w:pPr>
              <w:widowControl w:val="0"/>
              <w:spacing w:line="360" w:lineRule="exact"/>
              <w:jc w:val="center"/>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石油</w:t>
            </w:r>
          </w:p>
        </w:tc>
      </w:tr>
      <w:tr w14:paraId="48B45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39A17BC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28734A4B">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外观与性状</w:t>
            </w:r>
          </w:p>
        </w:tc>
        <w:tc>
          <w:tcPr>
            <w:tcW w:w="6620" w:type="dxa"/>
            <w:gridSpan w:val="3"/>
            <w:vAlign w:val="center"/>
          </w:tcPr>
          <w:p w14:paraId="18D7B91B">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黑色的可燃性黏稠液体</w:t>
            </w:r>
          </w:p>
        </w:tc>
      </w:tr>
      <w:tr w14:paraId="17350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53D52577">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63A5EC3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闪点</w:t>
            </w:r>
          </w:p>
        </w:tc>
        <w:tc>
          <w:tcPr>
            <w:tcW w:w="6620" w:type="dxa"/>
            <w:gridSpan w:val="3"/>
            <w:vAlign w:val="center"/>
          </w:tcPr>
          <w:p w14:paraId="0301259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&lt;28</w:t>
            </w:r>
            <w:r>
              <w:rPr>
                <w:rFonts w:ascii="Times New Roman" w:hAnsi="Times New Roman" w:cs="Times New Roman"/>
                <w:caps w:val="0"/>
                <w:smallCaps w:val="0"/>
                <w:color w:val="auto"/>
                <w:spacing w:val="0"/>
                <w:w w:val="100"/>
                <w:position w:val="0"/>
                <w:sz w:val="21"/>
                <w:szCs w:val="21"/>
                <w:highlight w:val="none"/>
              </w:rPr>
              <w:t>℃</w:t>
            </w:r>
          </w:p>
        </w:tc>
      </w:tr>
      <w:tr w14:paraId="1C7D2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578AEC1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1678960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凝固点</w:t>
            </w:r>
          </w:p>
        </w:tc>
        <w:tc>
          <w:tcPr>
            <w:tcW w:w="2862" w:type="dxa"/>
            <w:vAlign w:val="center"/>
          </w:tcPr>
          <w:p w14:paraId="13912F0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18.3～19</w:t>
            </w:r>
            <w:r>
              <w:rPr>
                <w:rFonts w:ascii="Times New Roman" w:hAnsi="Times New Roman" w:cs="Times New Roman"/>
                <w:caps w:val="0"/>
                <w:smallCaps w:val="0"/>
                <w:color w:val="auto"/>
                <w:spacing w:val="0"/>
                <w:w w:val="100"/>
                <w:position w:val="0"/>
                <w:sz w:val="21"/>
                <w:szCs w:val="21"/>
                <w:highlight w:val="none"/>
              </w:rPr>
              <w:t>℃</w:t>
            </w:r>
          </w:p>
        </w:tc>
        <w:tc>
          <w:tcPr>
            <w:tcW w:w="1077" w:type="dxa"/>
            <w:vAlign w:val="center"/>
          </w:tcPr>
          <w:p w14:paraId="4E55B187">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溶解性</w:t>
            </w:r>
          </w:p>
        </w:tc>
        <w:tc>
          <w:tcPr>
            <w:tcW w:w="2681" w:type="dxa"/>
            <w:vAlign w:val="center"/>
          </w:tcPr>
          <w:p w14:paraId="1DF6551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不溶于水，溶于苯、乙醚、三氯甲烷、四氯化碳等有机溶剂。</w:t>
            </w:r>
          </w:p>
        </w:tc>
      </w:tr>
      <w:tr w14:paraId="34AFC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5673A94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4061E01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密度</w:t>
            </w:r>
          </w:p>
        </w:tc>
        <w:tc>
          <w:tcPr>
            <w:tcW w:w="2862" w:type="dxa"/>
            <w:vAlign w:val="center"/>
          </w:tcPr>
          <w:p w14:paraId="46F4167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相对密度（水=1）0.84～0.86</w:t>
            </w:r>
          </w:p>
        </w:tc>
        <w:tc>
          <w:tcPr>
            <w:tcW w:w="1077" w:type="dxa"/>
            <w:vAlign w:val="center"/>
          </w:tcPr>
          <w:p w14:paraId="4552A1D0">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稳定性</w:t>
            </w:r>
          </w:p>
        </w:tc>
        <w:tc>
          <w:tcPr>
            <w:tcW w:w="2681" w:type="dxa"/>
            <w:vAlign w:val="center"/>
          </w:tcPr>
          <w:p w14:paraId="2EDBFFF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稳定</w:t>
            </w:r>
          </w:p>
        </w:tc>
      </w:tr>
      <w:tr w14:paraId="4ECC3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5DB5ECB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1737" w:type="dxa"/>
            <w:vAlign w:val="center"/>
          </w:tcPr>
          <w:p w14:paraId="49758C7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爆炸极限</w:t>
            </w:r>
          </w:p>
        </w:tc>
        <w:tc>
          <w:tcPr>
            <w:tcW w:w="2862" w:type="dxa"/>
            <w:vAlign w:val="center"/>
          </w:tcPr>
          <w:p w14:paraId="0FD5546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1.1％～8.7％（体积）</w:t>
            </w:r>
          </w:p>
        </w:tc>
        <w:tc>
          <w:tcPr>
            <w:tcW w:w="1077" w:type="dxa"/>
            <w:vAlign w:val="center"/>
          </w:tcPr>
          <w:p w14:paraId="248B00B9">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自燃温度</w:t>
            </w:r>
          </w:p>
        </w:tc>
        <w:tc>
          <w:tcPr>
            <w:tcW w:w="2681" w:type="dxa"/>
            <w:vAlign w:val="center"/>
          </w:tcPr>
          <w:p w14:paraId="70C31E96">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280</w:t>
            </w:r>
            <w:r>
              <w:rPr>
                <w:rFonts w:ascii="Times New Roman" w:hAnsi="Times New Roman" w:cs="Times New Roman"/>
                <w:caps w:val="0"/>
                <w:smallCaps w:val="0"/>
                <w:color w:val="auto"/>
                <w:spacing w:val="0"/>
                <w:w w:val="100"/>
                <w:position w:val="0"/>
                <w:sz w:val="21"/>
                <w:szCs w:val="21"/>
                <w:highlight w:val="none"/>
              </w:rPr>
              <w:t>℃</w:t>
            </w:r>
            <w:r>
              <w:rPr>
                <w:rFonts w:ascii="Times New Roman" w:hAnsi="Times New Roman" w:cs="Times New Roman" w:eastAsiaTheme="minorEastAsia"/>
                <w:caps w:val="0"/>
                <w:smallCaps w:val="0"/>
                <w:color w:val="auto"/>
                <w:spacing w:val="0"/>
                <w:w w:val="100"/>
                <w:position w:val="0"/>
                <w:sz w:val="21"/>
                <w:szCs w:val="21"/>
                <w:highlight w:val="none"/>
              </w:rPr>
              <w:t>～380</w:t>
            </w:r>
            <w:r>
              <w:rPr>
                <w:rFonts w:ascii="Times New Roman" w:hAnsi="Times New Roman" w:cs="Times New Roman"/>
                <w:caps w:val="0"/>
                <w:smallCaps w:val="0"/>
                <w:color w:val="auto"/>
                <w:spacing w:val="0"/>
                <w:w w:val="100"/>
                <w:position w:val="0"/>
                <w:sz w:val="21"/>
                <w:szCs w:val="21"/>
                <w:highlight w:val="none"/>
              </w:rPr>
              <w:t>℃</w:t>
            </w:r>
          </w:p>
        </w:tc>
      </w:tr>
      <w:tr w14:paraId="2ED67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765923B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主要</w:t>
            </w:r>
          </w:p>
          <w:p w14:paraId="7DF888AE">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用途</w:t>
            </w:r>
          </w:p>
        </w:tc>
        <w:tc>
          <w:tcPr>
            <w:tcW w:w="8357" w:type="dxa"/>
            <w:gridSpan w:val="4"/>
            <w:vAlign w:val="center"/>
          </w:tcPr>
          <w:p w14:paraId="35036651">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主要用于生产汽油、航空煤油、柴油等发动机燃料以及液化气、石脑油、润滑油、石蜡、沥青、石油焦等，通过其馏分的高温热解，还用于生产乙烯、丙烯、丁烯等基本有机化工原料。</w:t>
            </w:r>
          </w:p>
        </w:tc>
      </w:tr>
      <w:tr w14:paraId="431E6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08D51344">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危险</w:t>
            </w:r>
          </w:p>
          <w:p w14:paraId="0FB96F95">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特性</w:t>
            </w:r>
          </w:p>
        </w:tc>
        <w:tc>
          <w:tcPr>
            <w:tcW w:w="8357" w:type="dxa"/>
            <w:gridSpan w:val="4"/>
            <w:vAlign w:val="center"/>
          </w:tcPr>
          <w:p w14:paraId="500990B3">
            <w:pPr>
              <w:widowControl w:val="0"/>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易燃，蒸气与空气能形成爆炸性混合物，遇明火、高热能引起燃烧爆炸。与硝酸、浓硫酸、高锰酸钾、重铬酸盐等强氧化剂接触会剧烈反应，甚至发生燃烧爆炸。</w:t>
            </w:r>
          </w:p>
        </w:tc>
      </w:tr>
      <w:tr w14:paraId="1E105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393F08AF">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健康</w:t>
            </w:r>
          </w:p>
          <w:p w14:paraId="10D2F811">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危害</w:t>
            </w:r>
          </w:p>
        </w:tc>
        <w:tc>
          <w:tcPr>
            <w:tcW w:w="8357" w:type="dxa"/>
            <w:gridSpan w:val="4"/>
            <w:vAlign w:val="center"/>
          </w:tcPr>
          <w:p w14:paraId="7430D385">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毒性：IV（轻度危害），属低毒类。</w:t>
            </w:r>
          </w:p>
          <w:p w14:paraId="45A5D88A">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侵入途径：吸入、食入、经皮吸收。</w:t>
            </w:r>
          </w:p>
          <w:p w14:paraId="69CAB1DF">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健康危害：未见原油引起急慢性中毒的报道。原油在分馏、裂解和深加工过程中的产品和中间产品表现出不同的毒性。长期接触可引起皮肤损害。</w:t>
            </w:r>
          </w:p>
        </w:tc>
      </w:tr>
      <w:tr w14:paraId="7AF57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4CA2CD8D">
            <w:pPr>
              <w:widowControl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泄漏应急处理</w:t>
            </w:r>
          </w:p>
        </w:tc>
        <w:tc>
          <w:tcPr>
            <w:tcW w:w="8357" w:type="dxa"/>
            <w:gridSpan w:val="4"/>
            <w:vAlign w:val="center"/>
          </w:tcPr>
          <w:p w14:paraId="56122092">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根据液体流动和蒸气扩散的影响区域划定警戒区，无关人员从侧风、上风向撤离至安全区。消除所有点火源。应急人员应佩戴正压式空气呼吸机，穿防火服，使用防爆等级达到要求的通讯工具。采取关闭阀门或堵漏等措施切断泄漏源。如果槽车或储罐发生泄漏，可通过倒罐转移尚未泄漏的液体。构筑围堤或挖坑收容泄漏物，防止流入河流、下水道、排洪沟等地方。收容的泄漏液用防爆泵转移至槽车或专用收集器内。用砂土吸收残液。</w:t>
            </w:r>
          </w:p>
        </w:tc>
      </w:tr>
      <w:tr w14:paraId="6C46B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381605A2">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防护</w:t>
            </w:r>
          </w:p>
          <w:p w14:paraId="4FD3790C">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措施</w:t>
            </w:r>
          </w:p>
        </w:tc>
        <w:tc>
          <w:tcPr>
            <w:tcW w:w="8357" w:type="dxa"/>
            <w:gridSpan w:val="4"/>
            <w:vAlign w:val="center"/>
          </w:tcPr>
          <w:p w14:paraId="5498DA57">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工程控制：生产过程密闭，全面通风。呼吸系统防护：空气中浓度超标时，佩戴正压式空气呼吸机。眼睛防护：必要时，戴化学安全防护眼镜。身体防护：穿防静电工作服。手防护：戴橡胶手套。其它：工作现场严禁吸烟。避免长期反复接触。</w:t>
            </w:r>
          </w:p>
        </w:tc>
      </w:tr>
      <w:tr w14:paraId="03BC5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620DE3D8">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急救</w:t>
            </w:r>
          </w:p>
          <w:p w14:paraId="0AE9880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措施</w:t>
            </w:r>
          </w:p>
        </w:tc>
        <w:tc>
          <w:tcPr>
            <w:tcW w:w="8357" w:type="dxa"/>
            <w:gridSpan w:val="4"/>
            <w:vAlign w:val="center"/>
          </w:tcPr>
          <w:p w14:paraId="660AC970">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皮肤接触：脱去污染的衣着，用肥皂水及清水彻底冲洗。眼睛接触：立即提起眼睑，用流动清水冲洗。吸入：迅速脱离现场至空气新鲜处。注意保暖，呼吸困难时给输氧。呼吸停止时，立即进行人工呼吸。就医。食入：误服者给充分漱口、饮水，就医。</w:t>
            </w:r>
          </w:p>
        </w:tc>
      </w:tr>
      <w:tr w14:paraId="520A3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37A63924">
            <w:pPr>
              <w:widowControl w:val="0"/>
              <w:tabs>
                <w:tab w:val="left" w:leader="underscore" w:pos="1134"/>
              </w:tabs>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灭火</w:t>
            </w:r>
          </w:p>
          <w:p w14:paraId="49E8616B">
            <w:pPr>
              <w:widowControl w:val="0"/>
              <w:tabs>
                <w:tab w:val="left" w:leader="underscore" w:pos="1134"/>
              </w:tabs>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方法</w:t>
            </w:r>
          </w:p>
        </w:tc>
        <w:tc>
          <w:tcPr>
            <w:tcW w:w="8357" w:type="dxa"/>
            <w:gridSpan w:val="4"/>
            <w:vAlign w:val="center"/>
          </w:tcPr>
          <w:p w14:paraId="027D5B9B">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消防人员须穿全身防火防毒服，佩戴空气呼吸器，在上风向灭火。喷水冷却燃烧罐和临近罐，直至灭火结束。处在火场中若发生异常变化或发出异常声音，须马上撤离。</w:t>
            </w:r>
          </w:p>
          <w:p w14:paraId="1A1EC73B">
            <w:pPr>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灭火剂：泡沫、干粉、砂土、二氧化碳。</w:t>
            </w:r>
          </w:p>
        </w:tc>
      </w:tr>
    </w:tbl>
    <w:p w14:paraId="656298EE">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auto"/>
          <w:spacing w:val="0"/>
          <w:w w:val="100"/>
          <w:kern w:val="2"/>
          <w:position w:val="0"/>
          <w:highlight w:val="none"/>
        </w:rPr>
      </w:pPr>
      <w:bookmarkStart w:id="948" w:name="_Toc127192417"/>
      <w:bookmarkStart w:id="949" w:name="_Toc131167369"/>
      <w:bookmarkStart w:id="950" w:name="_Toc186444367"/>
      <w:bookmarkStart w:id="951" w:name="_Toc126863468"/>
      <w:bookmarkStart w:id="952" w:name="_Toc143099656"/>
      <w:r>
        <w:rPr>
          <w:rFonts w:ascii="Times New Roman" w:hAnsi="Times New Roman" w:cs="Times New Roman" w:eastAsiaTheme="minorEastAsia"/>
          <w:b/>
          <w:bCs/>
          <w:caps w:val="0"/>
          <w:smallCaps w:val="0"/>
          <w:color w:val="auto"/>
          <w:spacing w:val="0"/>
          <w:w w:val="100"/>
          <w:kern w:val="2"/>
          <w:position w:val="0"/>
          <w:highlight w:val="none"/>
        </w:rPr>
        <w:t>5.8.2风险识别</w:t>
      </w:r>
      <w:bookmarkEnd w:id="948"/>
      <w:bookmarkEnd w:id="949"/>
      <w:bookmarkEnd w:id="950"/>
      <w:bookmarkEnd w:id="951"/>
      <w:bookmarkEnd w:id="952"/>
    </w:p>
    <w:p w14:paraId="00313550">
      <w:pPr>
        <w:pStyle w:val="149"/>
        <w:widowControl w:val="0"/>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5.8.2.1</w:t>
      </w:r>
      <w:r>
        <w:rPr>
          <w:rFonts w:hint="eastAsia" w:ascii="Times New Roman" w:hAnsi="Times New Roman" w:eastAsiaTheme="minorEastAsia"/>
          <w:b/>
          <w:caps w:val="0"/>
          <w:smallCaps w:val="0"/>
          <w:color w:val="auto"/>
          <w:spacing w:val="0"/>
          <w:w w:val="100"/>
          <w:position w:val="0"/>
          <w:highlight w:val="none"/>
        </w:rPr>
        <w:t>物料危险性识别</w:t>
      </w:r>
    </w:p>
    <w:p w14:paraId="2BB6C4D3">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ascii="Times New Roman" w:hAnsi="Times New Roman" w:cs="Times New Roman"/>
          <w:caps w:val="0"/>
          <w:smallCaps w:val="0"/>
          <w:color w:val="auto"/>
          <w:spacing w:val="0"/>
          <w:w w:val="100"/>
          <w:kern w:val="2"/>
          <w:position w:val="0"/>
          <w:highlight w:val="none"/>
        </w:rPr>
        <w:t>本项目涉及的危险物质为集输管线内的原油</w:t>
      </w:r>
      <w:r>
        <w:rPr>
          <w:rFonts w:hint="eastAsia" w:ascii="Times New Roman" w:hAnsi="Times New Roman" w:cs="Times New Roman"/>
          <w:caps w:val="0"/>
          <w:smallCaps w:val="0"/>
          <w:color w:val="auto"/>
          <w:spacing w:val="0"/>
          <w:w w:val="100"/>
          <w:kern w:val="2"/>
          <w:position w:val="0"/>
          <w:highlight w:val="none"/>
          <w:lang w:val="en-US" w:eastAsia="zh-CN"/>
        </w:rPr>
        <w:t>及含油污水</w:t>
      </w:r>
      <w:r>
        <w:rPr>
          <w:rFonts w:ascii="Times New Roman" w:hAnsi="Times New Roman" w:cs="Times New Roman"/>
          <w:caps w:val="0"/>
          <w:smallCaps w:val="0"/>
          <w:color w:val="auto"/>
          <w:spacing w:val="0"/>
          <w:w w:val="100"/>
          <w:kern w:val="2"/>
          <w:position w:val="0"/>
          <w:highlight w:val="none"/>
        </w:rPr>
        <w:t>。管道发生穿孔刺漏事故时产生高压射流，对巡检人员造成人身伤害，泄漏的含油污水对周边土壤环境、生态环境、地下水环境也会造成污染。</w:t>
      </w:r>
    </w:p>
    <w:p w14:paraId="72D115E2">
      <w:pPr>
        <w:pStyle w:val="149"/>
        <w:widowControl w:val="0"/>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5.8.2.2生产系统危险性识别</w:t>
      </w:r>
    </w:p>
    <w:p w14:paraId="3E62C1B0">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本项目集输管道内的介质主要是原油、</w:t>
      </w:r>
      <w:r>
        <w:rPr>
          <w:rFonts w:hint="eastAsia" w:ascii="Times New Roman" w:hAnsi="Times New Roman" w:cs="Times New Roman" w:eastAsiaTheme="minorEastAsia"/>
          <w:bCs/>
          <w:caps w:val="0"/>
          <w:smallCaps w:val="0"/>
          <w:color w:val="auto"/>
          <w:spacing w:val="0"/>
          <w:w w:val="100"/>
          <w:position w:val="0"/>
          <w:highlight w:val="none"/>
          <w:lang w:val="en-US" w:eastAsia="zh-CN"/>
        </w:rPr>
        <w:t>含油污水</w:t>
      </w:r>
      <w:r>
        <w:rPr>
          <w:rFonts w:hint="eastAsia" w:ascii="Times New Roman" w:hAnsi="Times New Roman" w:cs="Times New Roman" w:eastAsiaTheme="minorEastAsia"/>
          <w:bCs/>
          <w:caps w:val="0"/>
          <w:smallCaps w:val="0"/>
          <w:color w:val="auto"/>
          <w:spacing w:val="0"/>
          <w:w w:val="100"/>
          <w:position w:val="0"/>
          <w:highlight w:val="none"/>
        </w:rPr>
        <w:t>，由于管材本身的质量、施工、运行和管理等各环节都可能出现缺陷和失误，从而导致事故发生。集输管道的常见事故是管线穿孔或破裂导致管道内介质泄漏，会导致原油和</w:t>
      </w:r>
      <w:r>
        <w:rPr>
          <w:rFonts w:hint="eastAsia" w:ascii="Times New Roman" w:hAnsi="Times New Roman" w:cs="Times New Roman" w:eastAsiaTheme="minorEastAsia"/>
          <w:bCs/>
          <w:caps w:val="0"/>
          <w:smallCaps w:val="0"/>
          <w:color w:val="auto"/>
          <w:spacing w:val="0"/>
          <w:w w:val="100"/>
          <w:position w:val="0"/>
          <w:highlight w:val="none"/>
          <w:lang w:eastAsia="zh-CN"/>
        </w:rPr>
        <w:t>含油污水</w:t>
      </w:r>
      <w:r>
        <w:rPr>
          <w:rFonts w:hint="eastAsia" w:ascii="Times New Roman" w:hAnsi="Times New Roman" w:cs="Times New Roman" w:eastAsiaTheme="minorEastAsia"/>
          <w:bCs/>
          <w:caps w:val="0"/>
          <w:smallCaps w:val="0"/>
          <w:color w:val="auto"/>
          <w:spacing w:val="0"/>
          <w:w w:val="100"/>
          <w:position w:val="0"/>
          <w:highlight w:val="none"/>
        </w:rPr>
        <w:t>外泄，对环境污染较大。泄漏的油气如遇明火将引起火灾、爆炸。导致管线事故的主要因素分析如下：</w:t>
      </w:r>
    </w:p>
    <w:p w14:paraId="170EFC14">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①管道由于腐蚀造成穿孔，焊缝开裂出现裂纹；</w:t>
      </w:r>
    </w:p>
    <w:p w14:paraId="1D97E296">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②管道材料缺陷或焊接缺陷；</w:t>
      </w:r>
    </w:p>
    <w:p w14:paraId="781E58F3">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③操作失误；</w:t>
      </w:r>
    </w:p>
    <w:p w14:paraId="6A544AE7">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④由于外物撞击而造成管线破裂；</w:t>
      </w:r>
    </w:p>
    <w:p w14:paraId="68865892">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⑤由于地震、洪水自然灾害而引起的管线破裂；</w:t>
      </w:r>
    </w:p>
    <w:p w14:paraId="783B0B5D">
      <w:pPr>
        <w:widowControl w:val="0"/>
        <w:spacing w:line="440" w:lineRule="exact"/>
        <w:ind w:firstLine="480" w:firstLineChars="200"/>
        <w:jc w:val="both"/>
        <w:rPr>
          <w:rFonts w:hint="eastAsia" w:ascii="Times New Roman" w:hAnsi="Times New Roman" w:cs="Times New Roman" w:eastAsiaTheme="minorEastAsia"/>
          <w:bCs/>
          <w:caps w:val="0"/>
          <w:smallCaps w:val="0"/>
          <w:color w:val="auto"/>
          <w:spacing w:val="0"/>
          <w:w w:val="100"/>
          <w:position w:val="0"/>
          <w:highlight w:val="none"/>
          <w:lang w:eastAsia="zh-CN"/>
        </w:rPr>
      </w:pPr>
      <w:r>
        <w:rPr>
          <w:rFonts w:hint="eastAsia" w:ascii="Times New Roman" w:hAnsi="Times New Roman" w:cs="Times New Roman" w:eastAsiaTheme="minorEastAsia"/>
          <w:bCs/>
          <w:caps w:val="0"/>
          <w:smallCaps w:val="0"/>
          <w:color w:val="auto"/>
          <w:spacing w:val="0"/>
          <w:w w:val="100"/>
          <w:position w:val="0"/>
          <w:highlight w:val="none"/>
        </w:rPr>
        <w:t>⑥由于误开挖造成管道破裂</w:t>
      </w:r>
      <w:r>
        <w:rPr>
          <w:rFonts w:hint="eastAsia" w:ascii="Times New Roman" w:hAnsi="Times New Roman" w:cs="Times New Roman" w:eastAsiaTheme="minorEastAsia"/>
          <w:bCs/>
          <w:caps w:val="0"/>
          <w:smallCaps w:val="0"/>
          <w:color w:val="auto"/>
          <w:spacing w:val="0"/>
          <w:w w:val="100"/>
          <w:position w:val="0"/>
          <w:highlight w:val="none"/>
          <w:lang w:eastAsia="zh-CN"/>
        </w:rPr>
        <w:t>。</w:t>
      </w:r>
    </w:p>
    <w:p w14:paraId="7148ED2C">
      <w:pPr>
        <w:widowControl w:val="0"/>
        <w:spacing w:line="440" w:lineRule="exact"/>
        <w:ind w:firstLine="482" w:firstLineChars="200"/>
        <w:jc w:val="both"/>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5.8.2.3危险物质向环境转移的途径识别</w:t>
      </w:r>
    </w:p>
    <w:p w14:paraId="100C252A">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通过以上物质、生产设施识别，本项目危险物质扩散途径：原油集输管线发生泄漏事故，泄漏原油进入土壤，对土壤、植被的影响；泄漏原油通过包气带进入地下水环境从而对地下水造成污染。</w:t>
      </w:r>
    </w:p>
    <w:p w14:paraId="5B5F04AA">
      <w:pPr>
        <w:pStyle w:val="149"/>
        <w:widowControl w:val="0"/>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5.8.2.4</w:t>
      </w:r>
      <w:r>
        <w:rPr>
          <w:rFonts w:hint="eastAsia" w:ascii="Times New Roman" w:hAnsi="Times New Roman" w:eastAsiaTheme="minorEastAsia"/>
          <w:b/>
          <w:caps w:val="0"/>
          <w:smallCaps w:val="0"/>
          <w:color w:val="auto"/>
          <w:spacing w:val="0"/>
          <w:w w:val="100"/>
          <w:position w:val="0"/>
          <w:highlight w:val="none"/>
        </w:rPr>
        <w:t>风险识别结果</w:t>
      </w:r>
    </w:p>
    <w:p w14:paraId="4864E8E0">
      <w:pPr>
        <w:widowControl w:val="0"/>
        <w:spacing w:line="50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hint="eastAsia" w:ascii="Times New Roman" w:hAnsi="Times New Roman" w:cs="Times New Roman"/>
          <w:caps w:val="0"/>
          <w:smallCaps w:val="0"/>
          <w:color w:val="auto"/>
          <w:spacing w:val="0"/>
          <w:w w:val="100"/>
          <w:kern w:val="2"/>
          <w:position w:val="0"/>
          <w:highlight w:val="none"/>
        </w:rPr>
        <w:t>项目危险单元划分及其环境风险识别结果见表</w:t>
      </w:r>
      <w:r>
        <w:rPr>
          <w:rFonts w:ascii="Times New Roman" w:hAnsi="Times New Roman" w:cs="Times New Roman"/>
          <w:caps w:val="0"/>
          <w:smallCaps w:val="0"/>
          <w:color w:val="auto"/>
          <w:spacing w:val="0"/>
          <w:w w:val="100"/>
          <w:kern w:val="2"/>
          <w:position w:val="0"/>
          <w:highlight w:val="none"/>
        </w:rPr>
        <w:t>5.8-4。</w:t>
      </w:r>
    </w:p>
    <w:p w14:paraId="59B67008">
      <w:pPr>
        <w:widowControl w:val="0"/>
        <w:spacing w:line="440" w:lineRule="exact"/>
        <w:ind w:firstLine="482" w:firstLineChars="200"/>
        <w:rPr>
          <w:rFonts w:ascii="Times New Roman" w:hAnsi="Times New Roman" w:cs="Times New Roman" w:eastAsiaTheme="minorEastAsia"/>
          <w:b/>
          <w:bCs/>
          <w:caps w:val="0"/>
          <w:smallCaps w:val="0"/>
          <w:color w:val="auto"/>
          <w:spacing w:val="0"/>
          <w:w w:val="100"/>
          <w:position w:val="0"/>
          <w:highlight w:val="none"/>
        </w:rPr>
      </w:pPr>
      <w:r>
        <w:rPr>
          <w:rFonts w:hint="eastAsia" w:ascii="Times New Roman" w:hAnsi="Times New Roman" w:cs="Times New Roman" w:eastAsiaTheme="minorEastAsia"/>
          <w:b/>
          <w:bCs/>
          <w:caps w:val="0"/>
          <w:smallCaps w:val="0"/>
          <w:color w:val="auto"/>
          <w:spacing w:val="0"/>
          <w:w w:val="100"/>
          <w:position w:val="0"/>
          <w:highlight w:val="none"/>
        </w:rPr>
        <w:t>表</w:t>
      </w:r>
      <w:r>
        <w:rPr>
          <w:rFonts w:ascii="Times New Roman" w:hAnsi="Times New Roman" w:cs="Times New Roman" w:eastAsiaTheme="minorEastAsia"/>
          <w:b/>
          <w:bCs/>
          <w:caps w:val="0"/>
          <w:smallCaps w:val="0"/>
          <w:color w:val="auto"/>
          <w:spacing w:val="0"/>
          <w:w w:val="100"/>
          <w:position w:val="0"/>
          <w:highlight w:val="none"/>
        </w:rPr>
        <w:t>5.8-4    项目主要环境风险识别表</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51"/>
        <w:gridCol w:w="708"/>
        <w:gridCol w:w="1418"/>
        <w:gridCol w:w="3402"/>
        <w:gridCol w:w="1978"/>
      </w:tblGrid>
      <w:tr w14:paraId="208E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Align w:val="center"/>
          </w:tcPr>
          <w:p w14:paraId="4B38505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影响时段</w:t>
            </w:r>
          </w:p>
        </w:tc>
        <w:tc>
          <w:tcPr>
            <w:tcW w:w="851" w:type="dxa"/>
            <w:vAlign w:val="center"/>
          </w:tcPr>
          <w:p w14:paraId="3ECEA49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主要事故类型</w:t>
            </w:r>
          </w:p>
        </w:tc>
        <w:tc>
          <w:tcPr>
            <w:tcW w:w="708" w:type="dxa"/>
            <w:vAlign w:val="center"/>
          </w:tcPr>
          <w:p w14:paraId="3216158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来源</w:t>
            </w:r>
          </w:p>
        </w:tc>
        <w:tc>
          <w:tcPr>
            <w:tcW w:w="1418" w:type="dxa"/>
            <w:vAlign w:val="center"/>
          </w:tcPr>
          <w:p w14:paraId="6236B5E0">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危险物质</w:t>
            </w:r>
          </w:p>
        </w:tc>
        <w:tc>
          <w:tcPr>
            <w:tcW w:w="3402" w:type="dxa"/>
            <w:vAlign w:val="center"/>
          </w:tcPr>
          <w:p w14:paraId="3505452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影响环境途径</w:t>
            </w:r>
          </w:p>
        </w:tc>
        <w:tc>
          <w:tcPr>
            <w:tcW w:w="1978" w:type="dxa"/>
            <w:vAlign w:val="center"/>
          </w:tcPr>
          <w:p w14:paraId="1C72C2D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可能受影响的环境敏感目标</w:t>
            </w:r>
          </w:p>
        </w:tc>
      </w:tr>
      <w:tr w14:paraId="00C9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Merge w:val="restart"/>
            <w:vAlign w:val="center"/>
          </w:tcPr>
          <w:p w14:paraId="7040F7C4">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运营期</w:t>
            </w:r>
          </w:p>
        </w:tc>
        <w:tc>
          <w:tcPr>
            <w:tcW w:w="851" w:type="dxa"/>
            <w:vAlign w:val="center"/>
          </w:tcPr>
          <w:p w14:paraId="5783B8D7">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泄漏</w:t>
            </w:r>
          </w:p>
        </w:tc>
        <w:tc>
          <w:tcPr>
            <w:tcW w:w="708" w:type="dxa"/>
            <w:vAlign w:val="center"/>
          </w:tcPr>
          <w:p w14:paraId="3C9BB4E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集输管线</w:t>
            </w:r>
          </w:p>
        </w:tc>
        <w:tc>
          <w:tcPr>
            <w:tcW w:w="1418" w:type="dxa"/>
            <w:vAlign w:val="center"/>
          </w:tcPr>
          <w:p w14:paraId="79A5ED6B">
            <w:pPr>
              <w:widowControl w:val="0"/>
              <w:spacing w:line="320" w:lineRule="exact"/>
              <w:jc w:val="center"/>
              <w:rPr>
                <w:rFonts w:hint="eastAsia" w:ascii="Times New Roman" w:hAnsi="Times New Roman" w:cs="Times New Roman" w:eastAsiaTheme="minorEastAsia"/>
                <w:caps w:val="0"/>
                <w:smallCaps w:val="0"/>
                <w:color w:val="auto"/>
                <w:spacing w:val="0"/>
                <w:w w:val="100"/>
                <w:kern w:val="2"/>
                <w:position w:val="0"/>
                <w:sz w:val="21"/>
                <w:szCs w:val="21"/>
                <w:highlight w:val="none"/>
                <w:lang w:eastAsia="zh-CN"/>
              </w:rPr>
            </w:pPr>
            <w:r>
              <w:rPr>
                <w:rFonts w:ascii="Times New Roman" w:hAnsi="Times New Roman" w:cs="Times New Roman" w:eastAsiaTheme="minorEastAsia"/>
                <w:caps w:val="0"/>
                <w:smallCaps w:val="0"/>
                <w:color w:val="auto"/>
                <w:spacing w:val="0"/>
                <w:w w:val="100"/>
                <w:kern w:val="2"/>
                <w:position w:val="0"/>
                <w:sz w:val="21"/>
                <w:szCs w:val="21"/>
                <w:highlight w:val="none"/>
              </w:rPr>
              <w:t>原油、</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含油污水</w:t>
            </w:r>
          </w:p>
        </w:tc>
        <w:tc>
          <w:tcPr>
            <w:tcW w:w="3402" w:type="dxa"/>
            <w:vAlign w:val="center"/>
          </w:tcPr>
          <w:p w14:paraId="2CEA1DE2">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泄漏原油及伴生气直接进入大气环境，对其造成污染影响；泄漏的原油进入地表环境，阻塞土壤孔隙，使土壤板结，通透性变差，不利于植物生长；原油泄漏随地表径流进入地表水体，形成油膜，降低水体溶解氧浓度，使水质变差；原油泄漏后聚积地面，通过地面渗透进入地下含水层，污染地下水。</w:t>
            </w:r>
          </w:p>
        </w:tc>
        <w:tc>
          <w:tcPr>
            <w:tcW w:w="1978" w:type="dxa"/>
            <w:vAlign w:val="center"/>
          </w:tcPr>
          <w:p w14:paraId="1616C3B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周围居民区及企事业单位、周边大气环境、地表水、地下水、土壤环境</w:t>
            </w:r>
          </w:p>
        </w:tc>
      </w:tr>
      <w:tr w14:paraId="6E3D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Merge w:val="continue"/>
            <w:vAlign w:val="center"/>
          </w:tcPr>
          <w:p w14:paraId="31D09D1A">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p>
        </w:tc>
        <w:tc>
          <w:tcPr>
            <w:tcW w:w="851" w:type="dxa"/>
            <w:vAlign w:val="center"/>
          </w:tcPr>
          <w:p w14:paraId="383C4F7B">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火灾爆炸</w:t>
            </w:r>
          </w:p>
        </w:tc>
        <w:tc>
          <w:tcPr>
            <w:tcW w:w="708" w:type="dxa"/>
            <w:vAlign w:val="center"/>
          </w:tcPr>
          <w:p w14:paraId="1B384465">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集输管线</w:t>
            </w:r>
          </w:p>
        </w:tc>
        <w:tc>
          <w:tcPr>
            <w:tcW w:w="1418" w:type="dxa"/>
            <w:vAlign w:val="center"/>
          </w:tcPr>
          <w:p w14:paraId="2BA6F489">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原油、</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含油污水</w:t>
            </w:r>
          </w:p>
        </w:tc>
        <w:tc>
          <w:tcPr>
            <w:tcW w:w="3402" w:type="dxa"/>
            <w:vAlign w:val="center"/>
          </w:tcPr>
          <w:p w14:paraId="3BDAB40C">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原油及伴生气遇明火发生火灾爆炸事故，有害气体进入大气环境，对其造成污染影响，火灾爆炸事故产生的消防废水没有及时收集处理，可能对周围地表水、土壤及地下水环境造成污染影响。</w:t>
            </w:r>
          </w:p>
        </w:tc>
        <w:tc>
          <w:tcPr>
            <w:tcW w:w="1978" w:type="dxa"/>
            <w:vAlign w:val="center"/>
          </w:tcPr>
          <w:p w14:paraId="2B523906">
            <w:pPr>
              <w:widowControl w:val="0"/>
              <w:spacing w:line="320" w:lineRule="exact"/>
              <w:jc w:val="center"/>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周围居民区及企事业单位、周边大气环境、地表水、地下水、土壤环境</w:t>
            </w:r>
          </w:p>
        </w:tc>
      </w:tr>
    </w:tbl>
    <w:p w14:paraId="32A863A7">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auto"/>
          <w:spacing w:val="0"/>
          <w:w w:val="100"/>
          <w:kern w:val="2"/>
          <w:position w:val="0"/>
          <w:highlight w:val="none"/>
        </w:rPr>
      </w:pPr>
      <w:bookmarkStart w:id="953" w:name="_Toc143099657"/>
      <w:bookmarkStart w:id="954" w:name="_Toc126863469"/>
      <w:bookmarkStart w:id="955" w:name="_Toc127192418"/>
      <w:bookmarkStart w:id="956" w:name="_Toc186444368"/>
      <w:bookmarkStart w:id="957" w:name="_Toc131167370"/>
      <w:r>
        <w:rPr>
          <w:rFonts w:ascii="Times New Roman" w:hAnsi="Times New Roman" w:cs="Times New Roman" w:eastAsiaTheme="minorEastAsia"/>
          <w:b/>
          <w:bCs/>
          <w:caps w:val="0"/>
          <w:smallCaps w:val="0"/>
          <w:color w:val="auto"/>
          <w:spacing w:val="0"/>
          <w:w w:val="100"/>
          <w:kern w:val="2"/>
          <w:position w:val="0"/>
          <w:highlight w:val="none"/>
        </w:rPr>
        <w:t>5.8.3环境风险分析</w:t>
      </w:r>
      <w:bookmarkEnd w:id="953"/>
      <w:bookmarkEnd w:id="954"/>
      <w:bookmarkEnd w:id="955"/>
      <w:bookmarkEnd w:id="956"/>
      <w:bookmarkEnd w:id="957"/>
    </w:p>
    <w:p w14:paraId="73822528">
      <w:pPr>
        <w:widowControl w:val="0"/>
        <w:spacing w:line="440" w:lineRule="exact"/>
        <w:jc w:val="both"/>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5.8.3.1事故状态下对大气环境影响</w:t>
      </w:r>
    </w:p>
    <w:p w14:paraId="6CF70F00">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本项目运行期集油管道因腐蚀等原因发生原油及</w:t>
      </w:r>
      <w:r>
        <w:rPr>
          <w:rFonts w:hint="eastAsia" w:ascii="Times New Roman" w:hAnsi="Times New Roman" w:cs="Times New Roman" w:eastAsiaTheme="minorEastAsia"/>
          <w:bCs/>
          <w:caps w:val="0"/>
          <w:smallCaps w:val="0"/>
          <w:color w:val="auto"/>
          <w:spacing w:val="0"/>
          <w:w w:val="100"/>
          <w:position w:val="0"/>
          <w:highlight w:val="none"/>
          <w:lang w:val="en-US" w:eastAsia="zh-CN"/>
        </w:rPr>
        <w:t>含油污水</w:t>
      </w:r>
      <w:r>
        <w:rPr>
          <w:rFonts w:hint="eastAsia" w:ascii="Times New Roman" w:hAnsi="Times New Roman" w:cs="Times New Roman" w:eastAsiaTheme="minorEastAsia"/>
          <w:bCs/>
          <w:caps w:val="0"/>
          <w:smallCaps w:val="0"/>
          <w:color w:val="auto"/>
          <w:spacing w:val="0"/>
          <w:w w:val="100"/>
          <w:position w:val="0"/>
          <w:highlight w:val="none"/>
        </w:rPr>
        <w:t>泄漏会直接对周围大气环境造成污染影响。原油及</w:t>
      </w:r>
      <w:r>
        <w:rPr>
          <w:rFonts w:hint="eastAsia" w:ascii="Times New Roman" w:hAnsi="Times New Roman" w:cs="Times New Roman" w:eastAsiaTheme="minorEastAsia"/>
          <w:bCs/>
          <w:caps w:val="0"/>
          <w:smallCaps w:val="0"/>
          <w:color w:val="auto"/>
          <w:spacing w:val="0"/>
          <w:w w:val="100"/>
          <w:position w:val="0"/>
          <w:highlight w:val="none"/>
          <w:lang w:val="en-US" w:eastAsia="zh-CN"/>
        </w:rPr>
        <w:t>含油污水</w:t>
      </w:r>
      <w:r>
        <w:rPr>
          <w:rFonts w:hint="eastAsia" w:ascii="Times New Roman" w:hAnsi="Times New Roman" w:cs="Times New Roman" w:eastAsiaTheme="minorEastAsia"/>
          <w:bCs/>
          <w:caps w:val="0"/>
          <w:smallCaps w:val="0"/>
          <w:color w:val="auto"/>
          <w:spacing w:val="0"/>
          <w:w w:val="100"/>
          <w:position w:val="0"/>
          <w:highlight w:val="none"/>
        </w:rPr>
        <w:t>泄漏对大气环境的影响主要指原油中较轻组分（包括各种烃类气体）逐渐挥发进入大气造成烃类污染。如果泄漏的原油得不到及时处理，则烃类组分的挥发过程将持续较长时间，直到剩下较重的多环芳烃及沥青等物质。经查，多环芳烃在空气中超过一定浓度范围则会致人与动物癌变，通常苯并芘在空气中的浓度为</w:t>
      </w:r>
      <w:r>
        <w:rPr>
          <w:rFonts w:ascii="Times New Roman" w:hAnsi="Times New Roman" w:cs="Times New Roman" w:eastAsiaTheme="minorEastAsia"/>
          <w:bCs/>
          <w:caps w:val="0"/>
          <w:smallCaps w:val="0"/>
          <w:color w:val="auto"/>
          <w:spacing w:val="0"/>
          <w:w w:val="100"/>
          <w:position w:val="0"/>
          <w:highlight w:val="none"/>
        </w:rPr>
        <w:t>0.01~100μg/1000m</w:t>
      </w:r>
      <w:r>
        <w:rPr>
          <w:rFonts w:ascii="Times New Roman" w:hAnsi="Times New Roman" w:cs="Times New Roman" w:eastAsiaTheme="minorEastAsia"/>
          <w:bCs/>
          <w:caps w:val="0"/>
          <w:smallCaps w:val="0"/>
          <w:color w:val="auto"/>
          <w:spacing w:val="0"/>
          <w:w w:val="100"/>
          <w:position w:val="0"/>
          <w:highlight w:val="none"/>
          <w:vertAlign w:val="superscript"/>
        </w:rPr>
        <w:t>3</w:t>
      </w:r>
      <w:r>
        <w:rPr>
          <w:rFonts w:ascii="Times New Roman" w:hAnsi="Times New Roman" w:cs="Times New Roman" w:eastAsiaTheme="minorEastAsia"/>
          <w:bCs/>
          <w:caps w:val="0"/>
          <w:smallCaps w:val="0"/>
          <w:color w:val="auto"/>
          <w:spacing w:val="0"/>
          <w:w w:val="100"/>
          <w:position w:val="0"/>
          <w:highlight w:val="none"/>
        </w:rPr>
        <w:t>，超过这个范围时，则对在其</w:t>
      </w:r>
      <w:r>
        <w:rPr>
          <w:rFonts w:hint="eastAsia" w:ascii="Times New Roman" w:hAnsi="Times New Roman" w:cs="Times New Roman" w:eastAsiaTheme="minorEastAsia"/>
          <w:bCs/>
          <w:caps w:val="0"/>
          <w:smallCaps w:val="0"/>
          <w:color w:val="auto"/>
          <w:spacing w:val="0"/>
          <w:w w:val="100"/>
          <w:position w:val="0"/>
          <w:highlight w:val="none"/>
        </w:rPr>
        <w:t>环境中工作的人员有致癌作用。因原油泄漏而造成的大气污染的程度，一般取决于原油成份、泄漏量、覆盖面积、气温及持续时间等。原油及</w:t>
      </w:r>
      <w:r>
        <w:rPr>
          <w:rFonts w:hint="eastAsia" w:ascii="Times New Roman" w:hAnsi="Times New Roman" w:cs="Times New Roman" w:eastAsiaTheme="minorEastAsia"/>
          <w:bCs/>
          <w:caps w:val="0"/>
          <w:smallCaps w:val="0"/>
          <w:color w:val="auto"/>
          <w:spacing w:val="0"/>
          <w:w w:val="100"/>
          <w:position w:val="0"/>
          <w:highlight w:val="none"/>
          <w:lang w:val="en-US" w:eastAsia="zh-CN"/>
        </w:rPr>
        <w:t>含油污水</w:t>
      </w:r>
      <w:r>
        <w:rPr>
          <w:rFonts w:hint="eastAsia" w:ascii="Times New Roman" w:hAnsi="Times New Roman" w:cs="Times New Roman" w:eastAsiaTheme="minorEastAsia"/>
          <w:bCs/>
          <w:caps w:val="0"/>
          <w:smallCaps w:val="0"/>
          <w:color w:val="auto"/>
          <w:spacing w:val="0"/>
          <w:w w:val="100"/>
          <w:position w:val="0"/>
          <w:highlight w:val="none"/>
        </w:rPr>
        <w:t>泄漏量越多、覆盖面积越大、气温越高、持续时间越长，因此而造成的烃类气体污染也越严重。反之，则污染相对较轻。原油及伴生气泄漏时局部大气中非甲烷总烃浓度可比正常情况高出数倍甚至数十倍。若遇明火引发的火灾事故可在短时间内产生大量燃烧烟气，对大气环境造成短时间的严重污染。</w:t>
      </w:r>
    </w:p>
    <w:p w14:paraId="4155D390">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项目依托现有管线压力监控系统进行实时压力监控，加强对集输管线进行巡查，及时发现管线腐蚀、穿孔等问题，可有效的避免泄漏、火灾爆炸事故的发生。此外，项目所在区域地势平坦，扩散条件好在一定的气象条件下一次性事故形成的局部大气污染中烃类气体聚集成高浓度的可能性较小，环境风险受控。</w:t>
      </w:r>
    </w:p>
    <w:p w14:paraId="384599CF">
      <w:pPr>
        <w:widowControl w:val="0"/>
        <w:spacing w:line="440" w:lineRule="exact"/>
        <w:jc w:val="both"/>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5.8.3.2事故状态下对地表水环境影响</w:t>
      </w:r>
    </w:p>
    <w:p w14:paraId="279279CC">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本项目管线对周围地表水体的主要影响途径为：事故状态下，</w:t>
      </w:r>
      <w:r>
        <w:rPr>
          <w:rFonts w:hint="eastAsia" w:ascii="Times New Roman" w:hAnsi="Times New Roman" w:cs="Times New Roman" w:eastAsiaTheme="minorEastAsia"/>
          <w:bCs/>
          <w:caps w:val="0"/>
          <w:smallCaps w:val="0"/>
          <w:color w:val="auto"/>
          <w:spacing w:val="0"/>
          <w:w w:val="100"/>
          <w:position w:val="0"/>
          <w:highlight w:val="none"/>
        </w:rPr>
        <w:t>输油</w:t>
      </w:r>
      <w:r>
        <w:rPr>
          <w:rFonts w:ascii="Times New Roman" w:hAnsi="Times New Roman" w:cs="Times New Roman" w:eastAsiaTheme="minorEastAsia"/>
          <w:bCs/>
          <w:caps w:val="0"/>
          <w:smallCaps w:val="0"/>
          <w:color w:val="auto"/>
          <w:spacing w:val="0"/>
          <w:w w:val="100"/>
          <w:position w:val="0"/>
          <w:highlight w:val="none"/>
        </w:rPr>
        <w:t>管线发生泄漏事故造成大量</w:t>
      </w:r>
      <w:r>
        <w:rPr>
          <w:rFonts w:hint="eastAsia" w:ascii="Times New Roman" w:hAnsi="Times New Roman" w:cs="Times New Roman" w:eastAsiaTheme="minorEastAsia"/>
          <w:bCs/>
          <w:caps w:val="0"/>
          <w:smallCaps w:val="0"/>
          <w:color w:val="auto"/>
          <w:spacing w:val="0"/>
          <w:w w:val="100"/>
          <w:position w:val="0"/>
          <w:highlight w:val="none"/>
        </w:rPr>
        <w:t>原油</w:t>
      </w:r>
      <w:r>
        <w:rPr>
          <w:rFonts w:ascii="Times New Roman" w:hAnsi="Times New Roman" w:cs="Times New Roman" w:eastAsiaTheme="minorEastAsia"/>
          <w:bCs/>
          <w:caps w:val="0"/>
          <w:smallCaps w:val="0"/>
          <w:color w:val="auto"/>
          <w:spacing w:val="0"/>
          <w:w w:val="100"/>
          <w:position w:val="0"/>
          <w:highlight w:val="none"/>
        </w:rPr>
        <w:t>外泄，如果泄漏的原油不能及时完全回收可能直接或随地表径流进入周围地表水环境，会对其造成严重污染。</w:t>
      </w:r>
    </w:p>
    <w:p w14:paraId="51FC1AF4">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原油进入地表水体后将在水面形成一层油膜，受到破碎波的作用，使一部分以油滴形式在水中形成分散油，另外，由于机械动力，如旋涡、破碎浪花、湍流等因素，使油和水激烈混合，形成油包水乳物和水包油乳化物。这两种作用都将增加水质的油类浓度，特别是上层水中的浓度将明显增加。另外，由于油膜覆盖，将影响到水-气之间的交换，减弱了水体复氧作用。同时油类的生物分解和其自身氧化作用又消耗水体中的溶解氧，使水体缺氧并可能导致生物体死亡。另外，油膜还能降低表层水体中的阳光辐射量，阻碍浮游植物的光合作用，甚至引起死亡，同时也使以浮游植物为主要食物来源的浮游动物大量减少死亡。油类化学毒性还会破坏细胞膜的正常结构，干扰生物体的酶系。</w:t>
      </w:r>
    </w:p>
    <w:p w14:paraId="3ABA15A2">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原油具有低毒性，对于耐毒性较差的生物可能会死亡，尤其是初级和幼体生物；耐毒性较强的生物也降低了对传染病和外界刺激的抵抗能力；由于某个生物群落中断繁殖，可能破坏食物链的某个环节，导致生态破坏；石油在生物体内可积累，使其进入食物链，最终将影响人类的健康。</w:t>
      </w:r>
    </w:p>
    <w:p w14:paraId="762EEF56">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原油溢至水中后存在的状态如图 5.8-1。</w:t>
      </w:r>
    </w:p>
    <w:p w14:paraId="6DB3FA49">
      <w:pPr>
        <w:jc w:val="center"/>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caps w:val="0"/>
          <w:smallCaps w:val="0"/>
          <w:color w:val="auto"/>
          <w:spacing w:val="0"/>
          <w:w w:val="100"/>
          <w:position w:val="0"/>
          <w:highlight w:val="none"/>
        </w:rPr>
        <w:drawing>
          <wp:inline distT="0" distB="0" distL="0" distR="0">
            <wp:extent cx="3292475" cy="2266950"/>
            <wp:effectExtent l="19050" t="19050" r="22225" b="190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56"/>
                    <a:stretch>
                      <a:fillRect/>
                    </a:stretch>
                  </pic:blipFill>
                  <pic:spPr>
                    <a:xfrm>
                      <a:off x="0" y="0"/>
                      <a:ext cx="3296063" cy="2269563"/>
                    </a:xfrm>
                    <a:prstGeom prst="rect">
                      <a:avLst/>
                    </a:prstGeom>
                    <a:ln w="6350">
                      <a:solidFill>
                        <a:schemeClr val="tx1"/>
                      </a:solidFill>
                    </a:ln>
                  </pic:spPr>
                </pic:pic>
              </a:graphicData>
            </a:graphic>
          </wp:inline>
        </w:drawing>
      </w:r>
    </w:p>
    <w:p w14:paraId="036F661C">
      <w:pPr>
        <w:jc w:val="center"/>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图5.8-1    石油类物质在水中的多相分布图</w:t>
      </w:r>
    </w:p>
    <w:p w14:paraId="6B43CCA7">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由以上分析可知，原油进入地表水后会对地表水产生一定的污染影响。</w:t>
      </w:r>
    </w:p>
    <w:p w14:paraId="0B1F37D0">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本项目</w:t>
      </w:r>
      <w:r>
        <w:rPr>
          <w:rFonts w:hint="eastAsia" w:ascii="Times New Roman" w:hAnsi="Times New Roman" w:cs="Times New Roman" w:eastAsiaTheme="minorEastAsia"/>
          <w:bCs/>
          <w:caps w:val="0"/>
          <w:smallCaps w:val="0"/>
          <w:color w:val="auto"/>
          <w:spacing w:val="0"/>
          <w:w w:val="100"/>
          <w:position w:val="0"/>
          <w:highlight w:val="none"/>
          <w:lang w:val="en-US" w:eastAsia="zh-CN"/>
        </w:rPr>
        <w:t>集输</w:t>
      </w:r>
      <w:r>
        <w:rPr>
          <w:rFonts w:hint="eastAsia" w:ascii="Times New Roman" w:hAnsi="Times New Roman" w:cs="Times New Roman" w:eastAsiaTheme="minorEastAsia"/>
          <w:bCs/>
          <w:caps w:val="0"/>
          <w:smallCaps w:val="0"/>
          <w:color w:val="auto"/>
          <w:spacing w:val="0"/>
          <w:w w:val="100"/>
          <w:position w:val="0"/>
          <w:highlight w:val="none"/>
        </w:rPr>
        <w:t>管道</w:t>
      </w:r>
      <w:r>
        <w:rPr>
          <w:rFonts w:ascii="Times New Roman" w:hAnsi="Times New Roman" w:cs="Times New Roman" w:eastAsiaTheme="minorEastAsia"/>
          <w:bCs/>
          <w:caps w:val="0"/>
          <w:smallCaps w:val="0"/>
          <w:color w:val="auto"/>
          <w:spacing w:val="0"/>
          <w:w w:val="100"/>
          <w:position w:val="0"/>
          <w:highlight w:val="none"/>
        </w:rPr>
        <w:t>采用内环氧粉末普通级外2PE加强沥青防腐钢管，输油管道</w:t>
      </w:r>
      <w:r>
        <w:rPr>
          <w:rFonts w:hint="eastAsia" w:ascii="Times New Roman" w:hAnsi="Times New Roman" w:cs="Times New Roman" w:eastAsiaTheme="minorEastAsia"/>
          <w:bCs/>
          <w:caps w:val="0"/>
          <w:smallCaps w:val="0"/>
          <w:color w:val="auto"/>
          <w:spacing w:val="0"/>
          <w:w w:val="100"/>
          <w:position w:val="0"/>
          <w:highlight w:val="none"/>
        </w:rPr>
        <w:t>外防腐保温层采用</w:t>
      </w:r>
      <w:r>
        <w:rPr>
          <w:rFonts w:ascii="Times New Roman" w:hAnsi="Times New Roman" w:cs="Times New Roman" w:eastAsiaTheme="minorEastAsia"/>
          <w:bCs/>
          <w:caps w:val="0"/>
          <w:smallCaps w:val="0"/>
          <w:color w:val="auto"/>
          <w:spacing w:val="0"/>
          <w:w w:val="100"/>
          <w:position w:val="0"/>
          <w:highlight w:val="none"/>
        </w:rPr>
        <w:t>内缠胶带硬质聚氨酯泡沫夹克管，同时对集输管道进行阴极保护，采用强制电流保护进行永久阴极保护、牺牲阳极法进行临时阴极保护的方法。项目运营期对集输管线定期进行巡检，定期检测集输管线壁厚。此外，本项目依托现有管线压力监控系统进行实时压力监控，一旦发生泄漏事故，集输管道压力就会出现异常，工作人员可第一时间发现，发现后立即采取关闭机泵，管线泄漏点处采取沙袋围堰封堵，并将被污染的土壤回收处置，避免污染物随地表径流进入水体。</w:t>
      </w:r>
    </w:p>
    <w:p w14:paraId="62630CFB">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运行期应加强的巡查与维护，提高巡线的有效性；每天检查管道施工带，查看地表情况，并关注在此地带的人员活动情况，发现对管道安全有影响的行为，应及时制止、采取相应措施并向上级报告。确保应急工具和设备齐备完好，准备围油栏、吸油毡、消油剂、接油桶等应急物资，以便在发生泄漏事故时对产生的污油污水进行及时回收和处理，避免污染</w:t>
      </w:r>
      <w:r>
        <w:rPr>
          <w:rFonts w:hint="eastAsia" w:ascii="Times New Roman" w:hAnsi="Times New Roman" w:cs="Times New Roman" w:eastAsiaTheme="minorEastAsia"/>
          <w:bCs/>
          <w:caps w:val="0"/>
          <w:smallCaps w:val="0"/>
          <w:color w:val="auto"/>
          <w:spacing w:val="0"/>
          <w:w w:val="100"/>
          <w:position w:val="0"/>
          <w:highlight w:val="none"/>
        </w:rPr>
        <w:t>周边</w:t>
      </w:r>
      <w:r>
        <w:rPr>
          <w:rFonts w:ascii="Times New Roman" w:hAnsi="Times New Roman" w:cs="Times New Roman" w:eastAsiaTheme="minorEastAsia"/>
          <w:bCs/>
          <w:caps w:val="0"/>
          <w:smallCaps w:val="0"/>
          <w:color w:val="auto"/>
          <w:spacing w:val="0"/>
          <w:w w:val="100"/>
          <w:position w:val="0"/>
          <w:highlight w:val="none"/>
        </w:rPr>
        <w:t>地表水体。采取以上措施后，环境风险受控</w:t>
      </w:r>
      <w:r>
        <w:rPr>
          <w:rFonts w:hint="eastAsia" w:ascii="Times New Roman" w:hAnsi="Times New Roman" w:cs="Times New Roman" w:eastAsiaTheme="minorEastAsia"/>
          <w:bCs/>
          <w:caps w:val="0"/>
          <w:smallCaps w:val="0"/>
          <w:color w:val="auto"/>
          <w:spacing w:val="0"/>
          <w:w w:val="100"/>
          <w:position w:val="0"/>
          <w:highlight w:val="none"/>
        </w:rPr>
        <w:t>。</w:t>
      </w:r>
    </w:p>
    <w:p w14:paraId="4876DA94">
      <w:pPr>
        <w:widowControl w:val="0"/>
        <w:spacing w:line="440" w:lineRule="exact"/>
        <w:jc w:val="both"/>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5.8.3.3事故状态下对地下水环境影响</w:t>
      </w:r>
    </w:p>
    <w:p w14:paraId="529ECC9E">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本项目事故状况下发生</w:t>
      </w:r>
      <w:r>
        <w:rPr>
          <w:rFonts w:hint="eastAsia" w:ascii="Times New Roman" w:hAnsi="Times New Roman" w:cs="Times New Roman" w:eastAsiaTheme="minorEastAsia"/>
          <w:bCs/>
          <w:caps w:val="0"/>
          <w:smallCaps w:val="0"/>
          <w:color w:val="auto"/>
          <w:spacing w:val="0"/>
          <w:w w:val="100"/>
          <w:position w:val="0"/>
          <w:highlight w:val="none"/>
          <w:lang w:val="en-US" w:eastAsia="zh-CN"/>
        </w:rPr>
        <w:t>集输</w:t>
      </w:r>
      <w:r>
        <w:rPr>
          <w:rFonts w:ascii="Times New Roman" w:hAnsi="Times New Roman" w:cs="Times New Roman" w:eastAsiaTheme="minorEastAsia"/>
          <w:bCs/>
          <w:caps w:val="0"/>
          <w:smallCaps w:val="0"/>
          <w:color w:val="auto"/>
          <w:spacing w:val="0"/>
          <w:w w:val="100"/>
          <w:position w:val="0"/>
          <w:highlight w:val="none"/>
        </w:rPr>
        <w:t>管道原油泄漏事故，可能对地下水环境产生不利影响。资料研究结果表明：石油类污染物在一般土壤中绝大部分集中在泄漏层以下0～10cm及 10～30cm范围，一般下渗深度在80cm以内，一般很难下渗2m以下，存在对潜水含水层造成影响的可能。根据对地下水预测结果可知，随着时间增加，污染范围有所增加，但管线泄漏影响范围内无饮用水井。因此本项目管线破损泄漏对周边村屯地下水环境的影响较小。且项目事故状态下主要影响潜水含水层。区域承压含水层一般都有隔水顶板，与潜水层相互隔离，其透水性很差，因此，项目事故状态下对承压水层产生影响的可能性较小。</w:t>
      </w:r>
    </w:p>
    <w:p w14:paraId="4BE31B17">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本项目</w:t>
      </w:r>
      <w:r>
        <w:rPr>
          <w:rFonts w:hint="eastAsia" w:ascii="Times New Roman" w:hAnsi="Times New Roman" w:cs="Times New Roman" w:eastAsiaTheme="minorEastAsia"/>
          <w:bCs/>
          <w:caps w:val="0"/>
          <w:smallCaps w:val="0"/>
          <w:color w:val="auto"/>
          <w:spacing w:val="0"/>
          <w:w w:val="100"/>
          <w:position w:val="0"/>
          <w:highlight w:val="none"/>
          <w:lang w:val="en-US" w:eastAsia="zh-CN"/>
        </w:rPr>
        <w:t>集输</w:t>
      </w:r>
      <w:r>
        <w:rPr>
          <w:rFonts w:hint="eastAsia" w:ascii="Times New Roman" w:hAnsi="Times New Roman" w:cs="Times New Roman" w:eastAsiaTheme="minorEastAsia"/>
          <w:bCs/>
          <w:caps w:val="0"/>
          <w:smallCaps w:val="0"/>
          <w:color w:val="auto"/>
          <w:spacing w:val="0"/>
          <w:w w:val="100"/>
          <w:position w:val="0"/>
          <w:highlight w:val="none"/>
        </w:rPr>
        <w:t>管道</w:t>
      </w:r>
      <w:r>
        <w:rPr>
          <w:rFonts w:ascii="Times New Roman" w:hAnsi="Times New Roman" w:cs="Times New Roman" w:eastAsiaTheme="minorEastAsia"/>
          <w:bCs/>
          <w:caps w:val="0"/>
          <w:smallCaps w:val="0"/>
          <w:color w:val="auto"/>
          <w:spacing w:val="0"/>
          <w:w w:val="100"/>
          <w:position w:val="0"/>
          <w:highlight w:val="none"/>
        </w:rPr>
        <w:t>均采用内环氧粉末普通级外2PE加强沥青防腐钢管，输油管道</w:t>
      </w:r>
      <w:r>
        <w:rPr>
          <w:rFonts w:hint="eastAsia" w:ascii="Times New Roman" w:hAnsi="Times New Roman" w:cs="Times New Roman" w:eastAsiaTheme="minorEastAsia"/>
          <w:bCs/>
          <w:caps w:val="0"/>
          <w:smallCaps w:val="0"/>
          <w:color w:val="auto"/>
          <w:spacing w:val="0"/>
          <w:w w:val="100"/>
          <w:position w:val="0"/>
          <w:highlight w:val="none"/>
        </w:rPr>
        <w:t>外防腐保温层采用</w:t>
      </w:r>
      <w:r>
        <w:rPr>
          <w:rFonts w:ascii="Times New Roman" w:hAnsi="Times New Roman" w:cs="Times New Roman" w:eastAsiaTheme="minorEastAsia"/>
          <w:bCs/>
          <w:caps w:val="0"/>
          <w:smallCaps w:val="0"/>
          <w:color w:val="auto"/>
          <w:spacing w:val="0"/>
          <w:w w:val="100"/>
          <w:position w:val="0"/>
          <w:highlight w:val="none"/>
        </w:rPr>
        <w:t>内缠胶带硬质聚氨酯泡沫夹克管。项目在运营期定期进行巡检，定期进行集输管线壁厚检测。此外，本项目依托现有管线压力监控系统进行实时压力监控，一旦发生泄漏管道压力就会出现异常，工作人员可第一时间发现，发现后采取关闭机泵等措施进行控制。因此，在严格落实上述措施后，</w:t>
      </w:r>
      <w:r>
        <w:rPr>
          <w:rFonts w:hint="eastAsia" w:ascii="Times New Roman" w:hAnsi="Times New Roman" w:cs="Times New Roman" w:eastAsiaTheme="minorEastAsia"/>
          <w:bCs/>
          <w:caps w:val="0"/>
          <w:smallCaps w:val="0"/>
          <w:color w:val="auto"/>
          <w:spacing w:val="0"/>
          <w:w w:val="100"/>
          <w:position w:val="0"/>
          <w:highlight w:val="none"/>
        </w:rPr>
        <w:t>环境</w:t>
      </w:r>
      <w:r>
        <w:rPr>
          <w:rFonts w:ascii="Times New Roman" w:hAnsi="Times New Roman" w:cs="Times New Roman" w:eastAsiaTheme="minorEastAsia"/>
          <w:bCs/>
          <w:caps w:val="0"/>
          <w:smallCaps w:val="0"/>
          <w:color w:val="auto"/>
          <w:spacing w:val="0"/>
          <w:w w:val="100"/>
          <w:position w:val="0"/>
          <w:highlight w:val="none"/>
        </w:rPr>
        <w:t>风险受控，不会对周边地下水造成影响。</w:t>
      </w:r>
    </w:p>
    <w:p w14:paraId="6E6A2233">
      <w:pPr>
        <w:widowControl w:val="0"/>
        <w:spacing w:line="440" w:lineRule="exact"/>
        <w:jc w:val="both"/>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5.8.3.4对土壤环境的影响</w:t>
      </w:r>
    </w:p>
    <w:p w14:paraId="59F2E317">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本项目事故状况下发生集输管线原油泄漏事故，泄漏原油可能对土壤环境造成破坏，对土壤的化学、生物性质等方面造成影响。原油泄漏渗入土壤孔隙，会降低土壤的通透性，抑制土壤中酶活性，使土壤生物减少。一般而言，原油集中于土壤表层</w:t>
      </w:r>
      <w:r>
        <w:rPr>
          <w:rFonts w:ascii="Times New Roman" w:hAnsi="Times New Roman" w:cs="Times New Roman" w:eastAsiaTheme="minorEastAsia"/>
          <w:bCs/>
          <w:caps w:val="0"/>
          <w:smallCaps w:val="0"/>
          <w:color w:val="auto"/>
          <w:spacing w:val="0"/>
          <w:w w:val="100"/>
          <w:position w:val="0"/>
          <w:highlight w:val="none"/>
        </w:rPr>
        <w:t>0~30cm的范围内，使得根系分布于此深度的植物不能生长。石油类对土壤的污染，可使土地肥力下降，改变土壤的理化性质，影响局部区域土壤正常的结构和功能。事故性原油的大规模泄漏可影响耕地的生态环境，危害植物生长。其危害最显著的表现为植物，原油黏附于枝叶，阻止植物进行光合作用，可使植物枯萎死亡</w:t>
      </w:r>
      <w:r>
        <w:rPr>
          <w:rFonts w:hint="eastAsia" w:ascii="Times New Roman" w:hAnsi="Times New Roman" w:cs="Times New Roman" w:eastAsiaTheme="minorEastAsia"/>
          <w:bCs/>
          <w:caps w:val="0"/>
          <w:smallCaps w:val="0"/>
          <w:color w:val="auto"/>
          <w:spacing w:val="0"/>
          <w:w w:val="100"/>
          <w:position w:val="0"/>
          <w:highlight w:val="none"/>
        </w:rPr>
        <w:t>；</w:t>
      </w:r>
      <w:r>
        <w:rPr>
          <w:rFonts w:ascii="Times New Roman" w:hAnsi="Times New Roman" w:cs="Times New Roman" w:eastAsiaTheme="minorEastAsia"/>
          <w:bCs/>
          <w:caps w:val="0"/>
          <w:smallCaps w:val="0"/>
          <w:color w:val="auto"/>
          <w:spacing w:val="0"/>
          <w:w w:val="100"/>
          <w:position w:val="0"/>
          <w:highlight w:val="none"/>
        </w:rPr>
        <w:t>在土壤</w:t>
      </w:r>
      <w:r>
        <w:rPr>
          <w:rFonts w:hint="eastAsia" w:ascii="Times New Roman" w:hAnsi="Times New Roman" w:cs="Times New Roman" w:eastAsiaTheme="minorEastAsia"/>
          <w:bCs/>
          <w:caps w:val="0"/>
          <w:smallCaps w:val="0"/>
          <w:color w:val="auto"/>
          <w:spacing w:val="0"/>
          <w:w w:val="100"/>
          <w:position w:val="0"/>
          <w:highlight w:val="none"/>
        </w:rPr>
        <w:t>中粘附于植物根系，可阻止植物吸收水分和矿物质而死亡。</w:t>
      </w:r>
    </w:p>
    <w:p w14:paraId="0B516FBD">
      <w:pPr>
        <w:widowControl w:val="0"/>
        <w:spacing w:line="440" w:lineRule="exact"/>
        <w:jc w:val="both"/>
        <w:outlineLvl w:val="3"/>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position w:val="0"/>
          <w:highlight w:val="none"/>
        </w:rPr>
        <w:t>5.8.3.5对生态环境的影响</w:t>
      </w:r>
    </w:p>
    <w:p w14:paraId="6BDF9556">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原油</w:t>
      </w:r>
      <w:r>
        <w:rPr>
          <w:rFonts w:ascii="Times New Roman" w:hAnsi="Times New Roman" w:cs="Times New Roman" w:eastAsiaTheme="minorEastAsia"/>
          <w:bCs/>
          <w:caps w:val="0"/>
          <w:smallCaps w:val="0"/>
          <w:color w:val="auto"/>
          <w:spacing w:val="0"/>
          <w:w w:val="100"/>
          <w:position w:val="0"/>
          <w:highlight w:val="none"/>
        </w:rPr>
        <w:t>泄漏可影响草地的生态环境，危害植物生长。其危害最显著的表现为植物，原油黏附于枝叶，阻止植物进行光合作用，可使植物枯萎死亡；在土壤中粘附于植物根系，可阻止植物吸收水分和矿物质而死亡。所以，原油泄漏可引起原生植被生态系统退化，次生植被生态系统的演替，原油相对而言危害较小。本项目</w:t>
      </w:r>
      <w:r>
        <w:rPr>
          <w:rFonts w:hint="eastAsia" w:ascii="Times New Roman" w:hAnsi="Times New Roman" w:cs="Times New Roman" w:eastAsiaTheme="minorEastAsia"/>
          <w:bCs/>
          <w:caps w:val="0"/>
          <w:smallCaps w:val="0"/>
          <w:color w:val="auto"/>
          <w:spacing w:val="0"/>
          <w:w w:val="100"/>
          <w:position w:val="0"/>
          <w:highlight w:val="none"/>
        </w:rPr>
        <w:t>输油管道</w:t>
      </w:r>
      <w:r>
        <w:rPr>
          <w:rFonts w:ascii="Times New Roman" w:hAnsi="Times New Roman" w:cs="Times New Roman" w:eastAsiaTheme="minorEastAsia"/>
          <w:bCs/>
          <w:caps w:val="0"/>
          <w:smallCaps w:val="0"/>
          <w:color w:val="auto"/>
          <w:spacing w:val="0"/>
          <w:w w:val="100"/>
          <w:position w:val="0"/>
          <w:highlight w:val="none"/>
        </w:rPr>
        <w:t>均采用内环氧粉末普通级外2PE加强沥青防腐钢管，从源头控制原油的泄漏，且定期对</w:t>
      </w:r>
      <w:r>
        <w:rPr>
          <w:rFonts w:hint="eastAsia" w:ascii="Times New Roman" w:hAnsi="Times New Roman" w:cs="Times New Roman" w:eastAsiaTheme="minorEastAsia"/>
          <w:bCs/>
          <w:caps w:val="0"/>
          <w:smallCaps w:val="0"/>
          <w:color w:val="auto"/>
          <w:spacing w:val="0"/>
          <w:w w:val="100"/>
          <w:position w:val="0"/>
          <w:highlight w:val="none"/>
        </w:rPr>
        <w:t>集输</w:t>
      </w:r>
      <w:r>
        <w:rPr>
          <w:rFonts w:ascii="Times New Roman" w:hAnsi="Times New Roman" w:cs="Times New Roman" w:eastAsiaTheme="minorEastAsia"/>
          <w:bCs/>
          <w:caps w:val="0"/>
          <w:smallCaps w:val="0"/>
          <w:color w:val="auto"/>
          <w:spacing w:val="0"/>
          <w:w w:val="100"/>
          <w:position w:val="0"/>
          <w:highlight w:val="none"/>
        </w:rPr>
        <w:t>管道进行巡线，发现泄漏及时处理，清理溢出的原油，并将污染土壤清理并拉运至含油污泥站处理，清理结束后及时平整并恢复地表植被，泄漏事故对周边生态环境影响较小。</w:t>
      </w:r>
    </w:p>
    <w:p w14:paraId="7DC4633C">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auto"/>
          <w:spacing w:val="0"/>
          <w:w w:val="100"/>
          <w:kern w:val="2"/>
          <w:position w:val="0"/>
          <w:highlight w:val="none"/>
        </w:rPr>
      </w:pPr>
      <w:bookmarkStart w:id="958" w:name="_Toc131167371"/>
      <w:bookmarkStart w:id="959" w:name="_Toc127192419"/>
      <w:bookmarkStart w:id="960" w:name="_Toc143099658"/>
      <w:bookmarkStart w:id="961" w:name="_Toc126863470"/>
      <w:bookmarkStart w:id="962" w:name="_Toc186444369"/>
      <w:r>
        <w:rPr>
          <w:rFonts w:ascii="Times New Roman" w:hAnsi="Times New Roman" w:cs="Times New Roman" w:eastAsiaTheme="minorEastAsia"/>
          <w:b/>
          <w:bCs/>
          <w:caps w:val="0"/>
          <w:smallCaps w:val="0"/>
          <w:color w:val="auto"/>
          <w:spacing w:val="0"/>
          <w:w w:val="100"/>
          <w:kern w:val="2"/>
          <w:position w:val="0"/>
          <w:highlight w:val="none"/>
        </w:rPr>
        <w:t>5.8.4环境风险应急要求</w:t>
      </w:r>
    </w:p>
    <w:p w14:paraId="0B792FF5">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本项目为改建项目，目前</w:t>
      </w:r>
      <w:r>
        <w:rPr>
          <w:rFonts w:hint="eastAsia" w:ascii="Times New Roman" w:hAnsi="Times New Roman" w:cs="Times New Roman" w:eastAsiaTheme="minorEastAsia"/>
          <w:bCs/>
          <w:caps w:val="0"/>
          <w:smallCaps w:val="0"/>
          <w:color w:val="auto"/>
          <w:spacing w:val="0"/>
          <w:w w:val="100"/>
          <w:position w:val="0"/>
          <w:highlight w:val="none"/>
          <w:lang w:val="en-US" w:eastAsia="zh-CN"/>
        </w:rPr>
        <w:t>大庆油田有限责任公司第十一采油厂</w:t>
      </w:r>
      <w:r>
        <w:rPr>
          <w:rFonts w:ascii="Times New Roman" w:hAnsi="Times New Roman" w:cs="Times New Roman" w:eastAsiaTheme="minorEastAsia"/>
          <w:bCs/>
          <w:caps w:val="0"/>
          <w:smallCaps w:val="0"/>
          <w:color w:val="auto"/>
          <w:spacing w:val="0"/>
          <w:w w:val="100"/>
          <w:position w:val="0"/>
          <w:highlight w:val="none"/>
        </w:rPr>
        <w:t>已建立较完善的应急预案体系，</w:t>
      </w:r>
      <w:r>
        <w:rPr>
          <w:rFonts w:hint="eastAsia" w:ascii="Times New Roman" w:hAnsi="Times New Roman" w:cs="Times New Roman" w:eastAsiaTheme="minorEastAsia"/>
          <w:bCs/>
          <w:caps w:val="0"/>
          <w:smallCaps w:val="0"/>
          <w:color w:val="auto"/>
          <w:spacing w:val="0"/>
          <w:w w:val="100"/>
          <w:position w:val="0"/>
          <w:highlight w:val="none"/>
          <w:lang w:eastAsia="zh-CN"/>
        </w:rPr>
        <w:t>大庆油田有限责任公司第十一采油厂</w:t>
      </w:r>
      <w:r>
        <w:rPr>
          <w:rFonts w:ascii="Times New Roman" w:hAnsi="Times New Roman" w:cs="Times New Roman" w:eastAsiaTheme="minorEastAsia"/>
          <w:bCs/>
          <w:caps w:val="0"/>
          <w:smallCaps w:val="0"/>
          <w:color w:val="auto"/>
          <w:spacing w:val="0"/>
          <w:w w:val="100"/>
          <w:position w:val="0"/>
          <w:highlight w:val="none"/>
        </w:rPr>
        <w:t>制定有《</w:t>
      </w:r>
      <w:r>
        <w:rPr>
          <w:rFonts w:hint="eastAsia" w:ascii="Times New Roman" w:hAnsi="Times New Roman" w:cs="Times New Roman" w:eastAsiaTheme="minorEastAsia"/>
          <w:bCs/>
          <w:caps w:val="0"/>
          <w:smallCaps w:val="0"/>
          <w:color w:val="auto"/>
          <w:spacing w:val="0"/>
          <w:w w:val="100"/>
          <w:position w:val="0"/>
          <w:highlight w:val="none"/>
          <w:lang w:eastAsia="zh-CN"/>
        </w:rPr>
        <w:t>大庆油田有限责任公司第十一采油厂突发环境事件应急预案</w:t>
      </w:r>
      <w:r>
        <w:rPr>
          <w:rFonts w:ascii="Times New Roman" w:hAnsi="Times New Roman" w:cs="Times New Roman" w:eastAsiaTheme="minorEastAsia"/>
          <w:bCs/>
          <w:caps w:val="0"/>
          <w:smallCaps w:val="0"/>
          <w:color w:val="auto"/>
          <w:spacing w:val="0"/>
          <w:w w:val="100"/>
          <w:position w:val="0"/>
          <w:highlight w:val="none"/>
        </w:rPr>
        <w:t>》，主要包括应急组织机构及职责明确、监测与预警、应急处置与应急响应、恢复与重建、应急保障与培训等内容</w:t>
      </w:r>
      <w:r>
        <w:rPr>
          <w:rFonts w:hint="eastAsia" w:ascii="Times New Roman" w:hAnsi="Times New Roman" w:cs="Times New Roman" w:eastAsiaTheme="minorEastAsia"/>
          <w:bCs/>
          <w:caps w:val="0"/>
          <w:smallCaps w:val="0"/>
          <w:color w:val="auto"/>
          <w:spacing w:val="0"/>
          <w:w w:val="100"/>
          <w:position w:val="0"/>
          <w:highlight w:val="none"/>
          <w:lang w:eastAsia="zh-CN"/>
        </w:rPr>
        <w:t>，并于</w:t>
      </w:r>
      <w:r>
        <w:rPr>
          <w:rFonts w:hint="eastAsia" w:ascii="Times New Roman" w:hAnsi="Times New Roman" w:cs="Times New Roman" w:eastAsiaTheme="minorEastAsia"/>
          <w:bCs/>
          <w:caps w:val="0"/>
          <w:smallCaps w:val="0"/>
          <w:color w:val="auto"/>
          <w:spacing w:val="0"/>
          <w:w w:val="100"/>
          <w:position w:val="0"/>
          <w:highlight w:val="none"/>
          <w:lang w:val="en-US" w:eastAsia="zh-CN"/>
        </w:rPr>
        <w:t>2025</w:t>
      </w:r>
      <w:r>
        <w:rPr>
          <w:rFonts w:hint="eastAsia" w:ascii="Times New Roman" w:hAnsi="Times New Roman" w:cs="Times New Roman" w:eastAsiaTheme="minorEastAsia"/>
          <w:bCs/>
          <w:caps w:val="0"/>
          <w:smallCaps w:val="0"/>
          <w:color w:val="auto"/>
          <w:spacing w:val="0"/>
          <w:w w:val="100"/>
          <w:position w:val="0"/>
          <w:highlight w:val="none"/>
          <w:lang w:eastAsia="zh-CN"/>
        </w:rPr>
        <w:t>年</w:t>
      </w:r>
      <w:r>
        <w:rPr>
          <w:rFonts w:hint="eastAsia" w:ascii="Times New Roman" w:hAnsi="Times New Roman" w:cs="Times New Roman" w:eastAsiaTheme="minorEastAsia"/>
          <w:bCs/>
          <w:caps w:val="0"/>
          <w:smallCaps w:val="0"/>
          <w:color w:val="auto"/>
          <w:spacing w:val="0"/>
          <w:w w:val="100"/>
          <w:position w:val="0"/>
          <w:highlight w:val="none"/>
          <w:lang w:val="en-US" w:eastAsia="zh-CN"/>
        </w:rPr>
        <w:t>3</w:t>
      </w:r>
      <w:r>
        <w:rPr>
          <w:rFonts w:hint="eastAsia" w:ascii="Times New Roman" w:hAnsi="Times New Roman" w:cs="Times New Roman" w:eastAsiaTheme="minorEastAsia"/>
          <w:bCs/>
          <w:caps w:val="0"/>
          <w:smallCaps w:val="0"/>
          <w:color w:val="auto"/>
          <w:spacing w:val="0"/>
          <w:w w:val="100"/>
          <w:position w:val="0"/>
          <w:highlight w:val="none"/>
          <w:lang w:eastAsia="zh-CN"/>
        </w:rPr>
        <w:t>月</w:t>
      </w:r>
      <w:r>
        <w:rPr>
          <w:rFonts w:hint="eastAsia" w:ascii="Times New Roman" w:hAnsi="Times New Roman" w:cs="Times New Roman" w:eastAsiaTheme="minorEastAsia"/>
          <w:bCs/>
          <w:caps w:val="0"/>
          <w:smallCaps w:val="0"/>
          <w:color w:val="auto"/>
          <w:spacing w:val="0"/>
          <w:w w:val="100"/>
          <w:position w:val="0"/>
          <w:highlight w:val="none"/>
          <w:lang w:val="en-US" w:eastAsia="zh-CN"/>
        </w:rPr>
        <w:t>25</w:t>
      </w:r>
      <w:r>
        <w:rPr>
          <w:rFonts w:hint="eastAsia" w:ascii="Times New Roman" w:hAnsi="Times New Roman" w:cs="Times New Roman" w:eastAsiaTheme="minorEastAsia"/>
          <w:bCs/>
          <w:caps w:val="0"/>
          <w:smallCaps w:val="0"/>
          <w:color w:val="auto"/>
          <w:spacing w:val="0"/>
          <w:w w:val="100"/>
          <w:position w:val="0"/>
          <w:highlight w:val="none"/>
          <w:lang w:eastAsia="zh-CN"/>
        </w:rPr>
        <w:t>日在</w:t>
      </w:r>
      <w:r>
        <w:rPr>
          <w:rFonts w:hint="eastAsia" w:ascii="Times New Roman" w:hAnsi="Times New Roman" w:cs="Times New Roman" w:eastAsiaTheme="minorEastAsia"/>
          <w:bCs/>
          <w:caps w:val="0"/>
          <w:smallCaps w:val="0"/>
          <w:color w:val="auto"/>
          <w:spacing w:val="0"/>
          <w:w w:val="100"/>
          <w:position w:val="0"/>
          <w:highlight w:val="none"/>
          <w:lang w:val="en-US" w:eastAsia="zh-CN"/>
        </w:rPr>
        <w:t>绥化市安达市</w:t>
      </w:r>
      <w:r>
        <w:rPr>
          <w:rFonts w:hint="eastAsia" w:ascii="Times New Roman" w:hAnsi="Times New Roman" w:cs="Times New Roman" w:eastAsiaTheme="minorEastAsia"/>
          <w:bCs/>
          <w:caps w:val="0"/>
          <w:smallCaps w:val="0"/>
          <w:color w:val="auto"/>
          <w:spacing w:val="0"/>
          <w:w w:val="100"/>
          <w:position w:val="0"/>
          <w:highlight w:val="none"/>
          <w:lang w:eastAsia="zh-CN"/>
        </w:rPr>
        <w:t>生态环境局进行了备案，备案编号为 231281-2025-014-L。</w:t>
      </w:r>
    </w:p>
    <w:p w14:paraId="78251104">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w:t>
      </w:r>
      <w:r>
        <w:rPr>
          <w:rFonts w:hint="eastAsia" w:ascii="Times New Roman" w:hAnsi="Times New Roman" w:cs="Times New Roman" w:eastAsiaTheme="minorEastAsia"/>
          <w:bCs/>
          <w:caps w:val="0"/>
          <w:smallCaps w:val="0"/>
          <w:color w:val="auto"/>
          <w:spacing w:val="0"/>
          <w:w w:val="100"/>
          <w:position w:val="0"/>
          <w:highlight w:val="none"/>
          <w:lang w:eastAsia="zh-CN"/>
        </w:rPr>
        <w:t>大庆油田有限责任公司第十一采油厂突发环境事件应急预案</w:t>
      </w:r>
      <w:r>
        <w:rPr>
          <w:rFonts w:ascii="Times New Roman" w:hAnsi="Times New Roman" w:cs="Times New Roman" w:eastAsiaTheme="minorEastAsia"/>
          <w:bCs/>
          <w:caps w:val="0"/>
          <w:smallCaps w:val="0"/>
          <w:color w:val="auto"/>
          <w:spacing w:val="0"/>
          <w:w w:val="100"/>
          <w:position w:val="0"/>
          <w:highlight w:val="none"/>
        </w:rPr>
        <w:t>》中包含了风险分析与事件分级、应急响应等内容，而且明确了环境突发事件应急储备物资清单、应急联络单等内容。根据自然灾害、人为破坏、人为操作失误和设备缺陷等原因，在生产、使用、贮存、运输和油气处置工艺过程中易出现原油等危化品泄漏现象确定突发事件类型，主要涵盖4类风险：</w:t>
      </w:r>
    </w:p>
    <w:p w14:paraId="35D96B05">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①</w:t>
      </w:r>
      <w:r>
        <w:rPr>
          <w:rFonts w:hint="eastAsia" w:ascii="Times New Roman" w:hAnsi="Times New Roman" w:cs="Times New Roman" w:eastAsiaTheme="minorEastAsia"/>
          <w:bCs/>
          <w:caps w:val="0"/>
          <w:smallCaps w:val="0"/>
          <w:color w:val="auto"/>
          <w:spacing w:val="0"/>
          <w:w w:val="100"/>
          <w:position w:val="0"/>
          <w:highlight w:val="none"/>
          <w:lang w:val="en-US" w:eastAsia="zh-CN"/>
        </w:rPr>
        <w:t>原油</w:t>
      </w:r>
      <w:r>
        <w:rPr>
          <w:rFonts w:ascii="Times New Roman" w:hAnsi="Times New Roman" w:cs="Times New Roman" w:eastAsiaTheme="minorEastAsia"/>
          <w:bCs/>
          <w:caps w:val="0"/>
          <w:smallCaps w:val="0"/>
          <w:color w:val="auto"/>
          <w:spacing w:val="0"/>
          <w:w w:val="100"/>
          <w:position w:val="0"/>
          <w:highlight w:val="none"/>
        </w:rPr>
        <w:t>生产过程中输送物料管道发生泄漏。</w:t>
      </w:r>
    </w:p>
    <w:p w14:paraId="5E4D62A0">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②</w:t>
      </w:r>
      <w:r>
        <w:rPr>
          <w:rFonts w:ascii="Times New Roman" w:hAnsi="Times New Roman" w:cs="Times New Roman" w:eastAsiaTheme="minorEastAsia"/>
          <w:bCs/>
          <w:caps w:val="0"/>
          <w:smallCaps w:val="0"/>
          <w:color w:val="auto"/>
          <w:spacing w:val="0"/>
          <w:w w:val="100"/>
          <w:position w:val="0"/>
          <w:highlight w:val="none"/>
        </w:rPr>
        <w:t>产品储存区等出现泄漏事故。</w:t>
      </w:r>
    </w:p>
    <w:p w14:paraId="74D9A6C8">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③</w:t>
      </w:r>
      <w:r>
        <w:rPr>
          <w:rFonts w:ascii="Times New Roman" w:hAnsi="Times New Roman" w:cs="Times New Roman" w:eastAsiaTheme="minorEastAsia"/>
          <w:bCs/>
          <w:caps w:val="0"/>
          <w:smallCaps w:val="0"/>
          <w:color w:val="auto"/>
          <w:spacing w:val="0"/>
          <w:w w:val="100"/>
          <w:position w:val="0"/>
          <w:highlight w:val="none"/>
        </w:rPr>
        <w:t>作业环境由于储罐、管道、阀门、法兰等容器使用、腐蚀、损伤或密封圈损坏等原因，出现泄漏。</w:t>
      </w:r>
    </w:p>
    <w:p w14:paraId="3A0CCAC0">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hint="eastAsia" w:ascii="Times New Roman" w:hAnsi="Times New Roman" w:cs="Times New Roman" w:eastAsiaTheme="minorEastAsia"/>
          <w:bCs/>
          <w:caps w:val="0"/>
          <w:smallCaps w:val="0"/>
          <w:color w:val="auto"/>
          <w:spacing w:val="0"/>
          <w:w w:val="100"/>
          <w:position w:val="0"/>
          <w:highlight w:val="none"/>
        </w:rPr>
        <w:t>④</w:t>
      </w:r>
      <w:r>
        <w:rPr>
          <w:rFonts w:ascii="Times New Roman" w:hAnsi="Times New Roman" w:cs="Times New Roman" w:eastAsiaTheme="minorEastAsia"/>
          <w:bCs/>
          <w:caps w:val="0"/>
          <w:smallCaps w:val="0"/>
          <w:color w:val="auto"/>
          <w:spacing w:val="0"/>
          <w:w w:val="100"/>
          <w:position w:val="0"/>
          <w:highlight w:val="none"/>
        </w:rPr>
        <w:t>装卸过程中，由于泵、法兰、管道、密闭等处发生泄漏或者由于装料过满、受热膨胀等发生泄漏。</w:t>
      </w:r>
    </w:p>
    <w:p w14:paraId="6261350A">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针对这四种风险，该应急预案进行了组织机构及职责明确、预防与预警设置、应急响应与保障内容确定以及油气集输突发事件的联络信息公布，预案内容针对性较强，组织结构框架合理。总体上看，建设单位目前拥有的应急预案内容较为完善，已有应急预案能够满足建设项目的要求，但应加强对应急预案的定期风险应急演练及员工培训。上述制定的事故应急预案，已报当地政府备案，并定期进行演练。</w:t>
      </w:r>
    </w:p>
    <w:p w14:paraId="51B54454">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通过分析，工程在发生事故状态下可依托已经制定了相关应急预案及相关应急资源。不需对本工程提出新的应急预案，发生风险事故时按已建立的事故风险应急预案执行，在执行应急预案的同时，要加强区域应急联动体系，定期进行地企联动应急演练，提高突发事件的应急处理能力。</w:t>
      </w:r>
    </w:p>
    <w:p w14:paraId="65E853B1">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auto"/>
          <w:spacing w:val="0"/>
          <w:w w:val="100"/>
          <w:kern w:val="2"/>
          <w:position w:val="0"/>
          <w:highlight w:val="none"/>
        </w:rPr>
      </w:pPr>
      <w:r>
        <w:rPr>
          <w:rFonts w:ascii="Times New Roman" w:hAnsi="Times New Roman" w:cs="Times New Roman" w:eastAsiaTheme="minorEastAsia"/>
          <w:b/>
          <w:bCs/>
          <w:caps w:val="0"/>
          <w:smallCaps w:val="0"/>
          <w:color w:val="auto"/>
          <w:spacing w:val="0"/>
          <w:w w:val="100"/>
          <w:kern w:val="2"/>
          <w:position w:val="0"/>
          <w:highlight w:val="none"/>
        </w:rPr>
        <w:t>5.8.5环境风险评价结论</w:t>
      </w:r>
      <w:bookmarkEnd w:id="958"/>
      <w:bookmarkEnd w:id="959"/>
      <w:bookmarkEnd w:id="960"/>
      <w:bookmarkEnd w:id="961"/>
      <w:bookmarkEnd w:id="962"/>
    </w:p>
    <w:p w14:paraId="4DB5D916">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Cs/>
          <w:caps w:val="0"/>
          <w:smallCaps w:val="0"/>
          <w:color w:val="auto"/>
          <w:spacing w:val="0"/>
          <w:w w:val="100"/>
          <w:position w:val="0"/>
          <w:highlight w:val="none"/>
        </w:rPr>
        <w:t>通过对本工程产能建设工程的环境风险分析可知，本工程的主要环境风险是泄漏，对区域内的地下水环境、地表水环境、土壤环境和空气环境有潜在危害性。在工程采取一系列风险防范措施、应急措施和建立环境风险防控体系后，事故影响可控，可以降低事故的发生率和事故情况下对周围环境的影响。但建设单位应加强员工的环保教育和培训，完善项目的事故应急预案，增加事故应急监测及事故评估等规定内容并定期演习，避免重大污染事故的发生。</w:t>
      </w:r>
    </w:p>
    <w:p w14:paraId="15869891">
      <w:pPr>
        <w:widowControl w:val="0"/>
        <w:spacing w:line="440" w:lineRule="exact"/>
        <w:ind w:firstLine="482" w:firstLineChars="200"/>
        <w:jc w:val="both"/>
        <w:rPr>
          <w:rFonts w:ascii="Times New Roman" w:hAnsi="Times New Roman" w:cs="Times New Roman" w:eastAsiaTheme="minorEastAsia"/>
          <w:bCs/>
          <w:caps w:val="0"/>
          <w:smallCaps w:val="0"/>
          <w:color w:val="auto"/>
          <w:spacing w:val="0"/>
          <w:w w:val="100"/>
          <w:position w:val="0"/>
          <w:highlight w:val="none"/>
        </w:rPr>
      </w:pPr>
      <w:r>
        <w:rPr>
          <w:rFonts w:ascii="Times New Roman" w:hAnsi="Times New Roman" w:cs="Times New Roman" w:eastAsiaTheme="minorEastAsia"/>
          <w:b/>
          <w:bCs/>
          <w:caps w:val="0"/>
          <w:smallCaps w:val="0"/>
          <w:color w:val="auto"/>
          <w:spacing w:val="0"/>
          <w:w w:val="100"/>
          <w:position w:val="0"/>
          <w:highlight w:val="none"/>
        </w:rPr>
        <w:t>表5.8-5    建设项目环境风险简单分析内容表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1211"/>
        <w:gridCol w:w="1070"/>
        <w:gridCol w:w="2855"/>
        <w:gridCol w:w="1142"/>
        <w:gridCol w:w="1919"/>
        <w:gridCol w:w="931"/>
      </w:tblGrid>
      <w:tr w14:paraId="21DF8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4478637C">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建设项目名称</w:t>
            </w:r>
          </w:p>
        </w:tc>
        <w:tc>
          <w:tcPr>
            <w:tcW w:w="4337" w:type="pct"/>
            <w:gridSpan w:val="5"/>
            <w:vAlign w:val="center"/>
          </w:tcPr>
          <w:p w14:paraId="388418CA">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lang w:val="en-US" w:eastAsia="zh-CN"/>
              </w:rPr>
              <w:t>大庆油田第十一采油厂油系统管道安全隐</w:t>
            </w:r>
            <w:r>
              <w:rPr>
                <w:rFonts w:hint="default" w:ascii="Times New Roman" w:hAnsi="Times New Roman" w:cs="Times New Roman" w:eastAsiaTheme="minorEastAsia"/>
                <w:caps w:val="0"/>
                <w:smallCaps w:val="0"/>
                <w:color w:val="auto"/>
                <w:spacing w:val="0"/>
                <w:w w:val="100"/>
                <w:position w:val="0"/>
                <w:sz w:val="21"/>
                <w:szCs w:val="21"/>
                <w:highlight w:val="none"/>
                <w:lang w:val="en-US" w:eastAsia="zh-CN"/>
              </w:rPr>
              <w:t>患治理工程</w:t>
            </w:r>
            <w:r>
              <w:rPr>
                <w:rFonts w:ascii="Times New Roman" w:hAnsi="Times New Roman" w:cs="Times New Roman" w:eastAsiaTheme="minorEastAsia"/>
                <w:caps w:val="0"/>
                <w:smallCaps w:val="0"/>
                <w:color w:val="auto"/>
                <w:spacing w:val="0"/>
                <w:w w:val="100"/>
                <w:position w:val="0"/>
                <w:sz w:val="21"/>
                <w:szCs w:val="21"/>
                <w:highlight w:val="none"/>
              </w:rPr>
              <w:t>项目</w:t>
            </w:r>
          </w:p>
        </w:tc>
      </w:tr>
      <w:tr w14:paraId="20A83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2693BB82">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建设地点</w:t>
            </w:r>
          </w:p>
        </w:tc>
        <w:tc>
          <w:tcPr>
            <w:tcW w:w="586" w:type="pct"/>
            <w:vAlign w:val="center"/>
          </w:tcPr>
          <w:p w14:paraId="45AC8B95">
            <w:pPr>
              <w:tabs>
                <w:tab w:val="left" w:pos="449"/>
              </w:tabs>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黑龙江省</w:t>
            </w:r>
          </w:p>
        </w:tc>
        <w:tc>
          <w:tcPr>
            <w:tcW w:w="1564" w:type="pct"/>
            <w:vAlign w:val="center"/>
          </w:tcPr>
          <w:p w14:paraId="0C6D6681">
            <w:pPr>
              <w:tabs>
                <w:tab w:val="left" w:pos="657"/>
              </w:tabs>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绥化</w:t>
            </w:r>
            <w:r>
              <w:rPr>
                <w:rFonts w:ascii="Times New Roman" w:hAnsi="Times New Roman" w:cs="Times New Roman" w:eastAsiaTheme="minorEastAsia"/>
                <w:caps w:val="0"/>
                <w:smallCaps w:val="0"/>
                <w:color w:val="auto"/>
                <w:spacing w:val="0"/>
                <w:w w:val="100"/>
                <w:position w:val="0"/>
                <w:sz w:val="21"/>
                <w:szCs w:val="21"/>
                <w:highlight w:val="none"/>
                <w:lang w:eastAsia="en-US"/>
              </w:rPr>
              <w:t>市</w:t>
            </w:r>
          </w:p>
        </w:tc>
        <w:tc>
          <w:tcPr>
            <w:tcW w:w="626" w:type="pct"/>
            <w:vAlign w:val="center"/>
          </w:tcPr>
          <w:p w14:paraId="227CC6A4">
            <w:pPr>
              <w:tabs>
                <w:tab w:val="left" w:pos="449"/>
              </w:tabs>
              <w:kinsoku w:val="0"/>
              <w:overflowPunct w:val="0"/>
              <w:spacing w:line="360" w:lineRule="exact"/>
              <w:jc w:val="center"/>
              <w:rPr>
                <w:rFonts w:hint="eastAsia" w:ascii="Times New Roman" w:hAnsi="Times New Roman" w:cs="Times New Roman" w:eastAsiaTheme="minorEastAsia"/>
                <w:caps w:val="0"/>
                <w:smallCaps w:val="0"/>
                <w:color w:val="auto"/>
                <w:spacing w:val="0"/>
                <w:w w:val="100"/>
                <w:position w:val="0"/>
                <w:sz w:val="21"/>
                <w:szCs w:val="21"/>
                <w:highlight w:val="none"/>
                <w:lang w:eastAsia="zh-CN"/>
              </w:rPr>
            </w:pP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安达市</w:t>
            </w:r>
          </w:p>
        </w:tc>
        <w:tc>
          <w:tcPr>
            <w:tcW w:w="1051" w:type="pct"/>
            <w:vAlign w:val="center"/>
          </w:tcPr>
          <w:p w14:paraId="178DE2C1">
            <w:pPr>
              <w:tabs>
                <w:tab w:val="left" w:pos="632"/>
              </w:tabs>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昌德</w:t>
            </w:r>
            <w:r>
              <w:rPr>
                <w:rFonts w:ascii="Times New Roman" w:hAnsi="Times New Roman" w:cs="Times New Roman" w:eastAsiaTheme="minorEastAsia"/>
                <w:caps w:val="0"/>
                <w:smallCaps w:val="0"/>
                <w:color w:val="auto"/>
                <w:spacing w:val="0"/>
                <w:w w:val="100"/>
                <w:position w:val="0"/>
                <w:sz w:val="21"/>
                <w:szCs w:val="21"/>
                <w:highlight w:val="none"/>
              </w:rPr>
              <w:t>镇）</w:t>
            </w:r>
          </w:p>
        </w:tc>
        <w:tc>
          <w:tcPr>
            <w:tcW w:w="510" w:type="pct"/>
            <w:vAlign w:val="center"/>
          </w:tcPr>
          <w:p w14:paraId="5A457D91">
            <w:pPr>
              <w:tabs>
                <w:tab w:val="left" w:pos="647"/>
              </w:tabs>
              <w:kinsoku w:val="0"/>
              <w:overflowPunct w:val="0"/>
              <w:spacing w:line="360" w:lineRule="exact"/>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（）园区</w:t>
            </w:r>
          </w:p>
        </w:tc>
      </w:tr>
      <w:tr w14:paraId="2337E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4AA292BE">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地理坐标</w:t>
            </w:r>
          </w:p>
        </w:tc>
        <w:tc>
          <w:tcPr>
            <w:tcW w:w="586" w:type="pct"/>
            <w:vAlign w:val="center"/>
          </w:tcPr>
          <w:p w14:paraId="4991BFB7">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经度</w:t>
            </w:r>
          </w:p>
        </w:tc>
        <w:tc>
          <w:tcPr>
            <w:tcW w:w="1564" w:type="pct"/>
            <w:vAlign w:val="center"/>
          </w:tcPr>
          <w:p w14:paraId="659C2EA3">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124°</w:t>
            </w:r>
            <w:r>
              <w:rPr>
                <w:rFonts w:hint="eastAsia" w:ascii="Times New Roman" w:hAnsi="Times New Roman" w:cs="Times New Roman" w:eastAsiaTheme="minorEastAsia"/>
                <w:caps w:val="0"/>
                <w:smallCaps w:val="0"/>
                <w:color w:val="auto"/>
                <w:spacing w:val="0"/>
                <w:w w:val="100"/>
                <w:position w:val="0"/>
                <w:sz w:val="21"/>
                <w:szCs w:val="21"/>
                <w:highlight w:val="none"/>
              </w:rPr>
              <w:t>5</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6</w:t>
            </w:r>
            <w:r>
              <w:rPr>
                <w:rFonts w:ascii="Times New Roman" w:hAnsi="Times New Roman" w:cs="Times New Roman" w:eastAsiaTheme="minorEastAsia"/>
                <w:caps w:val="0"/>
                <w:smallCaps w:val="0"/>
                <w:color w:val="auto"/>
                <w:spacing w:val="0"/>
                <w:w w:val="100"/>
                <w:position w:val="0"/>
                <w:sz w:val="21"/>
                <w:szCs w:val="21"/>
                <w:highlight w:val="none"/>
              </w:rPr>
              <w: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21.569</w:t>
            </w:r>
            <w:r>
              <w:rPr>
                <w:rFonts w:ascii="Times New Roman" w:hAnsi="Times New Roman" w:cs="Times New Roman" w:eastAsiaTheme="minorEastAsia"/>
                <w:caps w:val="0"/>
                <w:smallCaps w:val="0"/>
                <w:color w:val="auto"/>
                <w:spacing w:val="0"/>
                <w:w w:val="100"/>
                <w:position w:val="0"/>
                <w:sz w:val="21"/>
                <w:szCs w:val="21"/>
                <w:highlight w:val="none"/>
              </w:rPr>
              <w:t>"~ 12</w:t>
            </w:r>
            <w:r>
              <w:rPr>
                <w:rFonts w:hint="eastAsia" w:ascii="Times New Roman" w:hAnsi="Times New Roman" w:cs="Times New Roman" w:eastAsiaTheme="minorEastAsia"/>
                <w:caps w:val="0"/>
                <w:smallCaps w:val="0"/>
                <w:color w:val="auto"/>
                <w:spacing w:val="0"/>
                <w:w w:val="100"/>
                <w:position w:val="0"/>
                <w:sz w:val="21"/>
                <w:szCs w:val="21"/>
                <w:highlight w:val="none"/>
              </w:rPr>
              <w:t>5</w:t>
            </w:r>
            <w:r>
              <w:rPr>
                <w:rFonts w:ascii="Times New Roman" w:hAnsi="Times New Roman" w:cs="Times New Roman" w:eastAsiaTheme="minorEastAsia"/>
                <w:caps w:val="0"/>
                <w:smallCaps w:val="0"/>
                <w:color w:val="auto"/>
                <w:spacing w:val="0"/>
                <w:w w:val="100"/>
                <w:position w:val="0"/>
                <w:sz w:val="21"/>
                <w:szCs w:val="21"/>
                <w:highlight w:val="none"/>
              </w:rPr>
              <w: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2</w:t>
            </w:r>
            <w:r>
              <w:rPr>
                <w:rFonts w:ascii="Times New Roman" w:hAnsi="Times New Roman" w:cs="Times New Roman" w:eastAsiaTheme="minorEastAsia"/>
                <w:caps w:val="0"/>
                <w:smallCaps w:val="0"/>
                <w:color w:val="auto"/>
                <w:spacing w:val="0"/>
                <w:w w:val="100"/>
                <w:position w:val="0"/>
                <w:sz w:val="21"/>
                <w:szCs w:val="21"/>
                <w:highlight w:val="none"/>
              </w:rPr>
              <w: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42.254</w:t>
            </w:r>
            <w:r>
              <w:rPr>
                <w:rFonts w:ascii="Times New Roman" w:hAnsi="Times New Roman" w:cs="Times New Roman" w:eastAsiaTheme="minorEastAsia"/>
                <w:caps w:val="0"/>
                <w:smallCaps w:val="0"/>
                <w:color w:val="auto"/>
                <w:spacing w:val="0"/>
                <w:w w:val="100"/>
                <w:position w:val="0"/>
                <w:sz w:val="21"/>
                <w:szCs w:val="21"/>
                <w:highlight w:val="none"/>
              </w:rPr>
              <w:t>"</w:t>
            </w:r>
          </w:p>
        </w:tc>
        <w:tc>
          <w:tcPr>
            <w:tcW w:w="626" w:type="pct"/>
            <w:vAlign w:val="center"/>
          </w:tcPr>
          <w:p w14:paraId="75BEBD34">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纬度</w:t>
            </w:r>
          </w:p>
        </w:tc>
        <w:tc>
          <w:tcPr>
            <w:tcW w:w="1561" w:type="pct"/>
            <w:gridSpan w:val="2"/>
            <w:vAlign w:val="center"/>
          </w:tcPr>
          <w:p w14:paraId="3D9A807D">
            <w:pPr>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46°</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7</w:t>
            </w:r>
            <w:r>
              <w:rPr>
                <w:rFonts w:ascii="Times New Roman" w:hAnsi="Times New Roman" w:cs="Times New Roman" w:eastAsiaTheme="minorEastAsia"/>
                <w:caps w:val="0"/>
                <w:smallCaps w:val="0"/>
                <w:color w:val="auto"/>
                <w:spacing w:val="0"/>
                <w:w w:val="100"/>
                <w:position w:val="0"/>
                <w:sz w:val="21"/>
                <w:szCs w:val="21"/>
                <w:highlight w:val="none"/>
              </w:rPr>
              <w: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57.512</w:t>
            </w:r>
            <w:r>
              <w:rPr>
                <w:rFonts w:ascii="Times New Roman" w:hAnsi="Times New Roman" w:cs="Times New Roman" w:eastAsiaTheme="minorEastAsia"/>
                <w:caps w:val="0"/>
                <w:smallCaps w:val="0"/>
                <w:color w:val="auto"/>
                <w:spacing w:val="0"/>
                <w:w w:val="100"/>
                <w:position w:val="0"/>
                <w:sz w:val="21"/>
                <w:szCs w:val="21"/>
                <w:highlight w:val="none"/>
              </w:rPr>
              <w:t>" ~ 46°1</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0</w:t>
            </w:r>
            <w:r>
              <w:rPr>
                <w:rFonts w:ascii="Times New Roman" w:hAnsi="Times New Roman" w:cs="Times New Roman" w:eastAsiaTheme="minorEastAsia"/>
                <w:caps w:val="0"/>
                <w:smallCaps w:val="0"/>
                <w:color w:val="auto"/>
                <w:spacing w:val="0"/>
                <w:w w:val="100"/>
                <w:position w:val="0"/>
                <w:sz w:val="21"/>
                <w:szCs w:val="21"/>
                <w:highlight w:val="none"/>
              </w:rPr>
              <w: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6.042</w:t>
            </w:r>
            <w:r>
              <w:rPr>
                <w:rFonts w:ascii="Times New Roman" w:hAnsi="Times New Roman" w:cs="Times New Roman" w:eastAsiaTheme="minorEastAsia"/>
                <w:caps w:val="0"/>
                <w:smallCaps w:val="0"/>
                <w:color w:val="auto"/>
                <w:spacing w:val="0"/>
                <w:w w:val="100"/>
                <w:position w:val="0"/>
                <w:sz w:val="21"/>
                <w:szCs w:val="21"/>
                <w:highlight w:val="none"/>
              </w:rPr>
              <w:t>"</w:t>
            </w:r>
          </w:p>
        </w:tc>
      </w:tr>
      <w:tr w14:paraId="0FE29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5A755BCE">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主要危险物质及分布</w:t>
            </w:r>
          </w:p>
        </w:tc>
        <w:tc>
          <w:tcPr>
            <w:tcW w:w="4337" w:type="pct"/>
            <w:gridSpan w:val="5"/>
            <w:vAlign w:val="center"/>
          </w:tcPr>
          <w:p w14:paraId="4C84C00D">
            <w:pPr>
              <w:spacing w:line="360" w:lineRule="exact"/>
              <w:rPr>
                <w:rFonts w:ascii="Times New Roman" w:hAnsi="Times New Roman" w:cs="Times New Roman" w:eastAsiaTheme="minorEastAsia"/>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position w:val="0"/>
                <w:sz w:val="21"/>
                <w:szCs w:val="21"/>
                <w:highlight w:val="none"/>
              </w:rPr>
              <w:t>运行期将各段集输管线划分为危险单元，输油管道中原油最大存在量为</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320.668</w:t>
            </w:r>
            <w:r>
              <w:rPr>
                <w:rFonts w:ascii="Times New Roman" w:hAnsi="Times New Roman" w:cs="Times New Roman" w:eastAsiaTheme="minorEastAsia"/>
                <w:caps w:val="0"/>
                <w:smallCaps w:val="0"/>
                <w:color w:val="auto"/>
                <w:spacing w:val="0"/>
                <w:w w:val="100"/>
                <w:position w:val="0"/>
                <w:sz w:val="21"/>
                <w:szCs w:val="21"/>
                <w:highlight w:val="none"/>
              </w:rPr>
              <w:t xml:space="preserve">t。 </w:t>
            </w:r>
          </w:p>
        </w:tc>
      </w:tr>
      <w:tr w14:paraId="1198F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restart"/>
            <w:vAlign w:val="center"/>
          </w:tcPr>
          <w:p w14:paraId="1A7FA241">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环境影响途径及危害后果（大气、地表水、地下水等）</w:t>
            </w:r>
          </w:p>
        </w:tc>
        <w:tc>
          <w:tcPr>
            <w:tcW w:w="4337" w:type="pct"/>
            <w:gridSpan w:val="5"/>
            <w:vAlign w:val="center"/>
          </w:tcPr>
          <w:p w14:paraId="5021F8FD">
            <w:pPr>
              <w:kinsoku w:val="0"/>
              <w:overflowPunct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大气环境：</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事故状态下原油泄漏将导致局部大气中总烃浓度比正常情况高出数倍甚至数十倍，对大气环境造成短时的严重污染。若遇明火，引发的火灾事故可在短时间内产生大量燃烧烟气，对大气环境造成短时的严重污染。项目所处地势平坦，扩散条件好，一次性事故形成的局部大气污染在一定的气象条件下聚集成高浓度的可能性较小，对周围大气环境的影响不会太严重。</w:t>
            </w:r>
          </w:p>
        </w:tc>
      </w:tr>
      <w:tr w14:paraId="368B2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continue"/>
            <w:vAlign w:val="center"/>
          </w:tcPr>
          <w:p w14:paraId="0D93E2D4">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337" w:type="pct"/>
            <w:gridSpan w:val="5"/>
            <w:vAlign w:val="center"/>
          </w:tcPr>
          <w:p w14:paraId="2D741210">
            <w:pPr>
              <w:kinsoku w:val="0"/>
              <w:overflowPunct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地表水环境：</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项目集输管线距离周围地表水体较近，集输管线泄漏造成石油类可能随地表径流或雨水进入地表水体，对地表水造成污染影响。</w:t>
            </w:r>
          </w:p>
        </w:tc>
      </w:tr>
      <w:tr w14:paraId="1EBC2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continue"/>
            <w:vAlign w:val="center"/>
          </w:tcPr>
          <w:p w14:paraId="38A36867">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337" w:type="pct"/>
            <w:gridSpan w:val="5"/>
            <w:vAlign w:val="center"/>
          </w:tcPr>
          <w:p w14:paraId="36EED9CB">
            <w:pPr>
              <w:kinsoku w:val="0"/>
              <w:overflowPunct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地下水环境：</w:t>
            </w:r>
            <w:r>
              <w:rPr>
                <w:rFonts w:hint="eastAsia" w:ascii="Times New Roman" w:hAnsi="Times New Roman" w:cs="Times New Roman" w:eastAsiaTheme="minorEastAsia"/>
                <w:caps w:val="0"/>
                <w:smallCaps w:val="0"/>
                <w:color w:val="auto"/>
                <w:spacing w:val="0"/>
                <w:w w:val="100"/>
                <w:kern w:val="2"/>
                <w:position w:val="0"/>
                <w:sz w:val="21"/>
                <w:szCs w:val="21"/>
                <w:highlight w:val="none"/>
              </w:rPr>
              <w:t>本项目事故状态下对地下水污染途径主要是集输管线发生原油泄漏，原油、含油污水就可能会渗透到含水层中，造成地下水环境污染。</w:t>
            </w:r>
          </w:p>
        </w:tc>
      </w:tr>
      <w:tr w14:paraId="48363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continue"/>
            <w:vAlign w:val="center"/>
          </w:tcPr>
          <w:p w14:paraId="74A1BE1C">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337" w:type="pct"/>
            <w:gridSpan w:val="5"/>
            <w:vAlign w:val="center"/>
          </w:tcPr>
          <w:p w14:paraId="5B7B83CF">
            <w:pPr>
              <w:kinsoku w:val="0"/>
              <w:overflowPunct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土壤环境：</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原油及含油污水泄漏渗入土壤孔隙，会降低土壤的通透性，抑制土壤中酶活性，使土壤生物减少。</w:t>
            </w:r>
          </w:p>
        </w:tc>
      </w:tr>
      <w:tr w14:paraId="68419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continue"/>
            <w:vAlign w:val="center"/>
          </w:tcPr>
          <w:p w14:paraId="0FD04C22">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rPr>
            </w:pPr>
          </w:p>
        </w:tc>
        <w:tc>
          <w:tcPr>
            <w:tcW w:w="4337" w:type="pct"/>
            <w:gridSpan w:val="5"/>
            <w:vAlign w:val="center"/>
          </w:tcPr>
          <w:p w14:paraId="62AE6404">
            <w:pPr>
              <w:kinsoku w:val="0"/>
              <w:overflowPunct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生态环境：</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原油</w:t>
            </w:r>
            <w:r>
              <w:rPr>
                <w:rFonts w:ascii="Times New Roman" w:hAnsi="Times New Roman" w:cs="Times New Roman" w:eastAsiaTheme="minorEastAsia"/>
                <w:bCs/>
                <w:caps w:val="0"/>
                <w:smallCaps w:val="0"/>
                <w:color w:val="auto"/>
                <w:spacing w:val="0"/>
                <w:w w:val="100"/>
                <w:kern w:val="2"/>
                <w:position w:val="0"/>
                <w:sz w:val="21"/>
                <w:szCs w:val="21"/>
                <w:highlight w:val="none"/>
              </w:rPr>
              <w:t>泄漏可影响草地的生态环境，危害植物生长</w:t>
            </w:r>
            <w:r>
              <w:rPr>
                <w:rFonts w:ascii="Times New Roman" w:hAnsi="Times New Roman" w:cs="Times New Roman" w:eastAsiaTheme="minorEastAsia"/>
                <w:caps w:val="0"/>
                <w:smallCaps w:val="0"/>
                <w:color w:val="auto"/>
                <w:spacing w:val="0"/>
                <w:w w:val="100"/>
                <w:kern w:val="2"/>
                <w:position w:val="0"/>
                <w:sz w:val="21"/>
                <w:szCs w:val="21"/>
                <w:highlight w:val="none"/>
              </w:rPr>
              <w:t>。</w:t>
            </w:r>
            <w:r>
              <w:rPr>
                <w:rFonts w:ascii="Times New Roman" w:hAnsi="Times New Roman" w:cs="Times New Roman" w:eastAsiaTheme="minorEastAsia"/>
                <w:bCs/>
                <w:caps w:val="0"/>
                <w:smallCaps w:val="0"/>
                <w:color w:val="auto"/>
                <w:spacing w:val="0"/>
                <w:w w:val="100"/>
                <w:kern w:val="2"/>
                <w:position w:val="0"/>
                <w:sz w:val="21"/>
                <w:szCs w:val="21"/>
                <w:highlight w:val="none"/>
              </w:rPr>
              <w:t>本项目新建管线均采用内环氧粉末普通级外2PE加强沥青防腐钢管，从源头控制含油污水的泄漏，且定期对</w:t>
            </w:r>
            <w:r>
              <w:rPr>
                <w:rFonts w:hint="eastAsia" w:ascii="Times New Roman" w:hAnsi="Times New Roman" w:cs="Times New Roman" w:eastAsiaTheme="minorEastAsia"/>
                <w:bCs/>
                <w:caps w:val="0"/>
                <w:smallCaps w:val="0"/>
                <w:color w:val="auto"/>
                <w:spacing w:val="0"/>
                <w:w w:val="100"/>
                <w:kern w:val="2"/>
                <w:position w:val="0"/>
                <w:sz w:val="21"/>
                <w:szCs w:val="21"/>
                <w:highlight w:val="none"/>
              </w:rPr>
              <w:t>输油管道</w:t>
            </w:r>
            <w:r>
              <w:rPr>
                <w:rFonts w:ascii="Times New Roman" w:hAnsi="Times New Roman" w:cs="Times New Roman" w:eastAsiaTheme="minorEastAsia"/>
                <w:bCs/>
                <w:caps w:val="0"/>
                <w:smallCaps w:val="0"/>
                <w:color w:val="auto"/>
                <w:spacing w:val="0"/>
                <w:w w:val="100"/>
                <w:kern w:val="2"/>
                <w:position w:val="0"/>
                <w:sz w:val="21"/>
                <w:szCs w:val="21"/>
                <w:highlight w:val="none"/>
              </w:rPr>
              <w:t>进行巡线，发现泄漏及时处理，清理溢出的原油，并将污染土壤清理并拉运至含油污泥站处理，清理结束后及时平整并恢复地表植被，泄漏事故对周边生态环境影响较小。</w:t>
            </w:r>
          </w:p>
        </w:tc>
      </w:tr>
      <w:tr w14:paraId="5B83A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7FA7126C">
            <w:pPr>
              <w:kinsoku w:val="0"/>
              <w:overflowPunct w:val="0"/>
              <w:spacing w:line="360" w:lineRule="exact"/>
              <w:jc w:val="center"/>
              <w:rPr>
                <w:rFonts w:ascii="Times New Roman" w:hAnsi="Times New Roman" w:cs="Times New Roman" w:eastAsiaTheme="minorEastAsia"/>
                <w:caps w:val="0"/>
                <w:smallCaps w:val="0"/>
                <w:color w:val="auto"/>
                <w:spacing w:val="0"/>
                <w:w w:val="100"/>
                <w:position w:val="0"/>
                <w:sz w:val="21"/>
                <w:szCs w:val="21"/>
                <w:highlight w:val="none"/>
                <w:lang w:eastAsia="en-US"/>
              </w:rPr>
            </w:pPr>
            <w:r>
              <w:rPr>
                <w:rFonts w:ascii="Times New Roman" w:hAnsi="Times New Roman" w:cs="Times New Roman" w:eastAsiaTheme="minorEastAsia"/>
                <w:caps w:val="0"/>
                <w:smallCaps w:val="0"/>
                <w:color w:val="auto"/>
                <w:spacing w:val="0"/>
                <w:w w:val="100"/>
                <w:position w:val="0"/>
                <w:sz w:val="21"/>
                <w:szCs w:val="21"/>
                <w:highlight w:val="none"/>
                <w:lang w:eastAsia="en-US"/>
              </w:rPr>
              <w:t>风险防范措施要求</w:t>
            </w:r>
          </w:p>
        </w:tc>
        <w:tc>
          <w:tcPr>
            <w:tcW w:w="4337" w:type="pct"/>
            <w:gridSpan w:val="5"/>
            <w:vAlign w:val="center"/>
          </w:tcPr>
          <w:p w14:paraId="5BDD30BA">
            <w:pPr>
              <w:widowControl w:val="0"/>
              <w:spacing w:line="360" w:lineRule="exact"/>
              <w:ind w:firstLine="420" w:firstLineChars="200"/>
              <w:jc w:val="both"/>
              <w:rPr>
                <w:rFonts w:ascii="Times New Roman" w:hAnsi="Times New Roman" w:cs="Times New Roman" w:eastAsiaTheme="minorEastAsia"/>
                <w:caps w:val="0"/>
                <w:smallCaps w:val="0"/>
                <w:snapToGrid w:val="0"/>
                <w:color w:val="auto"/>
                <w:spacing w:val="0"/>
                <w:w w:val="100"/>
                <w:position w:val="0"/>
                <w:sz w:val="21"/>
                <w:szCs w:val="21"/>
                <w:highlight w:val="none"/>
              </w:rPr>
            </w:pPr>
            <w:r>
              <w:rPr>
                <w:rFonts w:ascii="Times New Roman" w:hAnsi="Times New Roman" w:cs="Times New Roman" w:eastAsiaTheme="minorEastAsia"/>
                <w:caps w:val="0"/>
                <w:smallCaps w:val="0"/>
                <w:snapToGrid w:val="0"/>
                <w:color w:val="auto"/>
                <w:spacing w:val="0"/>
                <w:w w:val="100"/>
                <w:position w:val="0"/>
                <w:sz w:val="21"/>
                <w:szCs w:val="21"/>
                <w:highlight w:val="none"/>
              </w:rPr>
              <w:t>本项目</w:t>
            </w:r>
            <w:r>
              <w:rPr>
                <w:rFonts w:hint="eastAsia" w:ascii="Times New Roman" w:hAnsi="Times New Roman" w:cs="Times New Roman" w:eastAsiaTheme="minorEastAsia"/>
                <w:caps w:val="0"/>
                <w:smallCaps w:val="0"/>
                <w:snapToGrid w:val="0"/>
                <w:color w:val="auto"/>
                <w:spacing w:val="0"/>
                <w:w w:val="100"/>
                <w:position w:val="0"/>
                <w:sz w:val="21"/>
                <w:szCs w:val="21"/>
                <w:highlight w:val="none"/>
                <w:lang w:val="en-US" w:eastAsia="zh-CN"/>
              </w:rPr>
              <w:t>集输</w:t>
            </w:r>
            <w:r>
              <w:rPr>
                <w:rFonts w:hint="eastAsia" w:ascii="Times New Roman" w:hAnsi="Times New Roman" w:cs="Times New Roman" w:eastAsiaTheme="minorEastAsia"/>
                <w:caps w:val="0"/>
                <w:smallCaps w:val="0"/>
                <w:snapToGrid w:val="0"/>
                <w:color w:val="auto"/>
                <w:spacing w:val="0"/>
                <w:w w:val="100"/>
                <w:position w:val="0"/>
                <w:sz w:val="21"/>
                <w:szCs w:val="21"/>
                <w:highlight w:val="none"/>
              </w:rPr>
              <w:t>管道</w:t>
            </w:r>
            <w:r>
              <w:rPr>
                <w:rFonts w:hint="eastAsia" w:ascii="Times New Roman" w:hAnsi="Times New Roman" w:cs="Times New Roman"/>
                <w:bCs/>
                <w:caps w:val="0"/>
                <w:smallCaps w:val="0"/>
                <w:color w:val="auto"/>
                <w:spacing w:val="0"/>
                <w:w w:val="100"/>
                <w:position w:val="0"/>
                <w:sz w:val="21"/>
                <w:szCs w:val="21"/>
                <w:highlight w:val="none"/>
                <w:lang w:val="en-US" w:eastAsia="zh-CN"/>
              </w:rPr>
              <w:t>防腐采用</w:t>
            </w:r>
            <w:r>
              <w:rPr>
                <w:rFonts w:ascii="Times New Roman" w:hAnsi="Times New Roman" w:cs="Times New Roman"/>
                <w:bCs/>
                <w:caps w:val="0"/>
                <w:smallCaps w:val="0"/>
                <w:color w:val="auto"/>
                <w:spacing w:val="0"/>
                <w:w w:val="100"/>
                <w:position w:val="0"/>
                <w:sz w:val="21"/>
                <w:szCs w:val="21"/>
                <w:highlight w:val="none"/>
                <w:lang w:val="en-US" w:eastAsia="zh-CN"/>
              </w:rPr>
              <w:t>内缠聚乙烯胶带普通级防腐聚</w:t>
            </w:r>
            <w:r>
              <w:rPr>
                <w:rFonts w:hint="default" w:ascii="Times New Roman" w:hAnsi="Times New Roman" w:cs="Times New Roman"/>
                <w:bCs/>
                <w:caps w:val="0"/>
                <w:smallCaps w:val="0"/>
                <w:color w:val="auto"/>
                <w:spacing w:val="0"/>
                <w:w w:val="100"/>
                <w:position w:val="0"/>
                <w:sz w:val="21"/>
                <w:szCs w:val="21"/>
                <w:highlight w:val="none"/>
                <w:lang w:val="en-US" w:eastAsia="zh-CN"/>
              </w:rPr>
              <w:t>氨酯保温聚乙烯保护成品管</w:t>
            </w:r>
            <w:r>
              <w:rPr>
                <w:rFonts w:hint="eastAsia" w:ascii="Times New Roman" w:hAnsi="Times New Roman" w:cs="Times New Roman"/>
                <w:bCs/>
                <w:caps w:val="0"/>
                <w:smallCaps w:val="0"/>
                <w:color w:val="auto"/>
                <w:spacing w:val="0"/>
                <w:w w:val="100"/>
                <w:position w:val="0"/>
                <w:sz w:val="21"/>
                <w:szCs w:val="21"/>
                <w:highlight w:val="none"/>
                <w:lang w:val="en-US" w:eastAsia="zh-CN"/>
              </w:rPr>
              <w:t>，套管内外壁防腐采用环氧煤沥青涂料普通级，1底4面。防腐补口采用配套聚乙烯黏胶带。保温补口采用配套硬质聚氨酯管壳补口。保护层补口采用配套2PE交联聚乙烯热收缩带补口。 沥青防腐胶带补口采用无溶剂环氧底漆+沥青防腐胶带，加强级，胶带缠2遍</w:t>
            </w:r>
            <w:r>
              <w:rPr>
                <w:rFonts w:ascii="Times New Roman" w:hAnsi="Times New Roman" w:cs="Times New Roman" w:eastAsiaTheme="minorEastAsia"/>
                <w:caps w:val="0"/>
                <w:smallCaps w:val="0"/>
                <w:snapToGrid w:val="0"/>
                <w:color w:val="auto"/>
                <w:spacing w:val="0"/>
                <w:w w:val="100"/>
                <w:position w:val="0"/>
                <w:sz w:val="21"/>
                <w:szCs w:val="21"/>
                <w:highlight w:val="none"/>
              </w:rPr>
              <w:t>。项目在运营期定期进行巡检，定期进行集输管线壁厚检测。此外，本项目依托现有管线压力监控系统进行实时压力监控，一旦发生泄漏管道压力就会出现异常，工作人员可第一时间发现，发现后采取关闭机泵等措施进行控制。</w:t>
            </w:r>
          </w:p>
        </w:tc>
      </w:tr>
      <w:tr w14:paraId="727AB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000" w:type="pct"/>
            <w:gridSpan w:val="6"/>
            <w:vAlign w:val="center"/>
          </w:tcPr>
          <w:p w14:paraId="0AB1B3FB">
            <w:pPr>
              <w:kinsoku w:val="0"/>
              <w:overflowPunct w:val="0"/>
              <w:spacing w:line="360" w:lineRule="exact"/>
              <w:jc w:val="both"/>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填表说明（列出项目相关信息及评价说明）：</w:t>
            </w:r>
          </w:p>
          <w:p w14:paraId="4F60F13A">
            <w:pPr>
              <w:spacing w:line="360" w:lineRule="exact"/>
              <w:rPr>
                <w:rFonts w:ascii="Times New Roman" w:hAnsi="Times New Roman" w:cs="Times New Roman" w:eastAsiaTheme="minorEastAsia"/>
                <w:caps w:val="0"/>
                <w:smallCaps w:val="0"/>
                <w:color w:val="auto"/>
                <w:spacing w:val="0"/>
                <w:w w:val="100"/>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项目相关信息：</w:t>
            </w:r>
            <w:r>
              <w:rPr>
                <w:rFonts w:hint="eastAsia" w:ascii="Times New Roman" w:hAnsi="Times New Roman" w:cs="Times New Roman" w:eastAsiaTheme="minorEastAsia"/>
                <w:caps w:val="0"/>
                <w:smallCaps w:val="0"/>
                <w:color w:val="auto"/>
                <w:spacing w:val="0"/>
                <w:w w:val="100"/>
                <w:position w:val="0"/>
                <w:sz w:val="21"/>
                <w:szCs w:val="21"/>
                <w:highlight w:val="none"/>
              </w:rPr>
              <w:t>运行期将各段集输管线划分为危险单元，输油管道中原油最大存在量为</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320.668</w:t>
            </w:r>
            <w:r>
              <w:rPr>
                <w:rFonts w:ascii="Times New Roman" w:hAnsi="Times New Roman" w:cs="Times New Roman" w:eastAsiaTheme="minorEastAsia"/>
                <w:caps w:val="0"/>
                <w:smallCaps w:val="0"/>
                <w:color w:val="auto"/>
                <w:spacing w:val="0"/>
                <w:w w:val="100"/>
                <w:position w:val="0"/>
                <w:sz w:val="21"/>
                <w:szCs w:val="21"/>
                <w:highlight w:val="none"/>
              </w:rPr>
              <w:t>t</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t</w:t>
            </w:r>
            <w:r>
              <w:rPr>
                <w:rFonts w:ascii="Times New Roman" w:hAnsi="Times New Roman" w:cs="Times New Roman" w:eastAsiaTheme="minorEastAsia"/>
                <w:caps w:val="0"/>
                <w:smallCaps w:val="0"/>
                <w:color w:val="auto"/>
                <w:spacing w:val="0"/>
                <w:w w:val="100"/>
                <w:position w:val="0"/>
                <w:sz w:val="21"/>
                <w:szCs w:val="21"/>
                <w:highlight w:val="none"/>
              </w:rPr>
              <w:t>。</w:t>
            </w:r>
          </w:p>
          <w:p w14:paraId="746C93C0">
            <w:pPr>
              <w:kinsoku w:val="0"/>
              <w:overflowPunct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kern w:val="2"/>
                <w:position w:val="0"/>
                <w:sz w:val="21"/>
                <w:szCs w:val="21"/>
                <w:highlight w:val="none"/>
              </w:rPr>
              <w:t>本项目危险物质数量与临界量的比值运营期Q</w:t>
            </w:r>
            <w:r>
              <w:rPr>
                <w:rFonts w:ascii="Times New Roman" w:hAnsi="Times New Roman" w:cs="Times New Roman" w:eastAsiaTheme="minorEastAsia"/>
                <w:caps w:val="0"/>
                <w:smallCaps w:val="0"/>
                <w:color w:val="auto"/>
                <w:spacing w:val="0"/>
                <w:w w:val="100"/>
                <w:kern w:val="2"/>
                <w:position w:val="0"/>
                <w:sz w:val="21"/>
                <w:szCs w:val="21"/>
                <w:highlight w:val="none"/>
                <w:vertAlign w:val="subscript"/>
              </w:rPr>
              <w:t>最大值</w:t>
            </w:r>
            <w:r>
              <w:rPr>
                <w:rFonts w:ascii="Times New Roman" w:hAnsi="Times New Roman" w:cs="Times New Roman" w:eastAsiaTheme="minorEastAsia"/>
                <w:caps w:val="0"/>
                <w:smallCaps w:val="0"/>
                <w:color w:val="auto"/>
                <w:spacing w:val="0"/>
                <w:w w:val="100"/>
                <w:kern w:val="2"/>
                <w:position w:val="0"/>
                <w:sz w:val="21"/>
                <w:szCs w:val="21"/>
                <w:highlight w:val="none"/>
              </w:rPr>
              <w:t>=0.</w:t>
            </w:r>
            <w:r>
              <w:rPr>
                <w:rFonts w:hint="eastAsia" w:ascii="Times New Roman" w:hAnsi="Times New Roman" w:cs="Times New Roman" w:eastAsiaTheme="minorEastAsia"/>
                <w:caps w:val="0"/>
                <w:smallCaps w:val="0"/>
                <w:color w:val="auto"/>
                <w:spacing w:val="0"/>
                <w:w w:val="100"/>
                <w:kern w:val="2"/>
                <w:position w:val="0"/>
                <w:sz w:val="21"/>
                <w:szCs w:val="21"/>
                <w:highlight w:val="none"/>
                <w:lang w:val="en-US" w:eastAsia="zh-CN"/>
              </w:rPr>
              <w:t>1283</w:t>
            </w:r>
            <w:r>
              <w:rPr>
                <w:rFonts w:ascii="Times New Roman" w:hAnsi="Times New Roman" w:cs="Times New Roman" w:eastAsiaTheme="minorEastAsia"/>
                <w:caps w:val="0"/>
                <w:smallCaps w:val="0"/>
                <w:color w:val="auto"/>
                <w:spacing w:val="0"/>
                <w:w w:val="100"/>
                <w:kern w:val="2"/>
                <w:position w:val="0"/>
                <w:sz w:val="21"/>
                <w:szCs w:val="21"/>
                <w:highlight w:val="none"/>
              </w:rPr>
              <w:t>＜1，环境风险潜势为</w:t>
            </w:r>
            <w:r>
              <w:rPr>
                <w:rFonts w:ascii="Times New Roman" w:hAnsi="Times New Roman" w:cs="Times New Roman"/>
                <w:caps w:val="0"/>
                <w:smallCaps w:val="0"/>
                <w:color w:val="auto"/>
                <w:spacing w:val="0"/>
                <w:w w:val="100"/>
                <w:kern w:val="2"/>
                <w:position w:val="0"/>
                <w:sz w:val="21"/>
                <w:szCs w:val="21"/>
                <w:highlight w:val="none"/>
              </w:rPr>
              <w:t>Ⅰ</w:t>
            </w:r>
            <w:r>
              <w:rPr>
                <w:rFonts w:ascii="Times New Roman" w:hAnsi="Times New Roman" w:cs="Times New Roman" w:eastAsiaTheme="minorEastAsia"/>
                <w:caps w:val="0"/>
                <w:smallCaps w:val="0"/>
                <w:color w:val="auto"/>
                <w:spacing w:val="0"/>
                <w:w w:val="100"/>
                <w:kern w:val="2"/>
                <w:position w:val="0"/>
                <w:sz w:val="21"/>
                <w:szCs w:val="21"/>
                <w:highlight w:val="none"/>
              </w:rPr>
              <w:t>，风险评价等级为简单分析。</w:t>
            </w:r>
          </w:p>
          <w:p w14:paraId="66D79DF1">
            <w:pPr>
              <w:kinsoku w:val="0"/>
              <w:overflowPunct w:val="0"/>
              <w:spacing w:line="360" w:lineRule="exact"/>
              <w:jc w:val="both"/>
              <w:rPr>
                <w:rFonts w:ascii="Times New Roman" w:hAnsi="Times New Roman" w:cs="Times New Roman" w:eastAsiaTheme="minorEastAsia"/>
                <w:caps w:val="0"/>
                <w:smallCaps w:val="0"/>
                <w:color w:val="auto"/>
                <w:spacing w:val="0"/>
                <w:w w:val="100"/>
                <w:kern w:val="2"/>
                <w:position w:val="0"/>
                <w:sz w:val="21"/>
                <w:szCs w:val="21"/>
                <w:highlight w:val="none"/>
              </w:rPr>
            </w:pPr>
            <w:r>
              <w:rPr>
                <w:rFonts w:ascii="Times New Roman" w:hAnsi="Times New Roman" w:cs="Times New Roman" w:eastAsiaTheme="minorEastAsia"/>
                <w:caps w:val="0"/>
                <w:smallCaps w:val="0"/>
                <w:color w:val="auto"/>
                <w:spacing w:val="0"/>
                <w:w w:val="100"/>
                <w:position w:val="0"/>
                <w:sz w:val="21"/>
                <w:szCs w:val="21"/>
                <w:highlight w:val="none"/>
              </w:rPr>
              <w:t>本工程的主要环境风险是</w:t>
            </w:r>
            <w:r>
              <w:rPr>
                <w:rFonts w:hint="eastAsia" w:ascii="Times New Roman" w:hAnsi="Times New Roman" w:cs="Times New Roman" w:eastAsiaTheme="minorEastAsia"/>
                <w:caps w:val="0"/>
                <w:smallCaps w:val="0"/>
                <w:color w:val="auto"/>
                <w:spacing w:val="0"/>
                <w:w w:val="100"/>
                <w:position w:val="0"/>
                <w:sz w:val="21"/>
                <w:szCs w:val="21"/>
                <w:highlight w:val="none"/>
              </w:rPr>
              <w:t>原油</w:t>
            </w:r>
            <w:r>
              <w:rPr>
                <w:rFonts w:ascii="Times New Roman" w:hAnsi="Times New Roman" w:cs="Times New Roman" w:eastAsiaTheme="minorEastAsia"/>
                <w:caps w:val="0"/>
                <w:smallCaps w:val="0"/>
                <w:color w:val="auto"/>
                <w:spacing w:val="0"/>
                <w:w w:val="100"/>
                <w:position w:val="0"/>
                <w:sz w:val="21"/>
                <w:szCs w:val="21"/>
                <w:highlight w:val="none"/>
              </w:rPr>
              <w:t>及</w:t>
            </w:r>
            <w:r>
              <w:rPr>
                <w:rFonts w:hint="eastAsia" w:ascii="Times New Roman" w:hAnsi="Times New Roman" w:cs="Times New Roman" w:eastAsiaTheme="minorEastAsia"/>
                <w:caps w:val="0"/>
                <w:smallCaps w:val="0"/>
                <w:color w:val="auto"/>
                <w:spacing w:val="0"/>
                <w:w w:val="100"/>
                <w:position w:val="0"/>
                <w:sz w:val="21"/>
                <w:szCs w:val="21"/>
                <w:highlight w:val="none"/>
                <w:lang w:val="en-US" w:eastAsia="zh-CN"/>
              </w:rPr>
              <w:t>含油污水</w:t>
            </w:r>
            <w:r>
              <w:rPr>
                <w:rFonts w:ascii="Times New Roman" w:hAnsi="Times New Roman" w:cs="Times New Roman" w:eastAsiaTheme="minorEastAsia"/>
                <w:caps w:val="0"/>
                <w:smallCaps w:val="0"/>
                <w:color w:val="auto"/>
                <w:spacing w:val="0"/>
                <w:w w:val="100"/>
                <w:position w:val="0"/>
                <w:sz w:val="21"/>
                <w:szCs w:val="21"/>
                <w:highlight w:val="none"/>
              </w:rPr>
              <w:t>泄漏，对区域内的大气环境、地下水环境、地表水环境和土壤植被等危害性不大。在工程采取一系列风险防范措施和应急措施后，可以控制和降低工程发生事故情况下对周围环境的影响。但建设单位应加强员工的环保教育和培训，避免污染事故的发生。</w:t>
            </w:r>
          </w:p>
        </w:tc>
      </w:tr>
    </w:tbl>
    <w:p w14:paraId="7DFC54EB">
      <w:pPr>
        <w:widowControl w:val="0"/>
        <w:spacing w:line="500" w:lineRule="exact"/>
        <w:jc w:val="both"/>
        <w:rPr>
          <w:rFonts w:ascii="Times New Roman" w:hAnsi="Times New Roman" w:cs="Times New Roman"/>
          <w:b/>
          <w:caps w:val="0"/>
          <w:smallCaps w:val="0"/>
          <w:color w:val="auto"/>
          <w:spacing w:val="0"/>
          <w:w w:val="100"/>
          <w:position w:val="0"/>
          <w:highlight w:val="none"/>
        </w:rPr>
      </w:pPr>
    </w:p>
    <w:p w14:paraId="7E2C1568">
      <w:pPr>
        <w:pStyle w:val="102"/>
        <w:rPr>
          <w:caps w:val="0"/>
          <w:smallCaps w:val="0"/>
          <w:color w:val="auto"/>
          <w:spacing w:val="0"/>
          <w:w w:val="100"/>
          <w:position w:val="0"/>
          <w:highlight w:val="none"/>
        </w:rPr>
      </w:pPr>
    </w:p>
    <w:p w14:paraId="1672F744">
      <w:pPr>
        <w:rPr>
          <w:rFonts w:ascii="Times New Roman" w:hAnsi="Times New Roman" w:cs="Times New Roman"/>
          <w:caps w:val="0"/>
          <w:smallCaps w:val="0"/>
          <w:color w:val="auto"/>
          <w:spacing w:val="0"/>
          <w:w w:val="100"/>
          <w:position w:val="0"/>
          <w:highlight w:val="none"/>
        </w:rPr>
      </w:pPr>
    </w:p>
    <w:p w14:paraId="73D4769C">
      <w:pPr>
        <w:pStyle w:val="102"/>
        <w:jc w:val="left"/>
        <w:rPr>
          <w:rFonts w:hint="eastAsia"/>
          <w:caps w:val="0"/>
          <w:smallCaps w:val="0"/>
          <w:color w:val="auto"/>
          <w:spacing w:val="0"/>
          <w:w w:val="100"/>
          <w:position w:val="0"/>
          <w:highlight w:val="none"/>
        </w:rPr>
      </w:pPr>
    </w:p>
    <w:bookmarkEnd w:id="759"/>
    <w:bookmarkEnd w:id="936"/>
    <w:bookmarkEnd w:id="937"/>
    <w:bookmarkEnd w:id="938"/>
    <w:bookmarkEnd w:id="939"/>
    <w:bookmarkEnd w:id="940"/>
    <w:bookmarkEnd w:id="941"/>
    <w:bookmarkEnd w:id="942"/>
    <w:bookmarkEnd w:id="943"/>
    <w:bookmarkEnd w:id="944"/>
    <w:bookmarkEnd w:id="945"/>
    <w:bookmarkEnd w:id="946"/>
    <w:bookmarkEnd w:id="947"/>
    <w:p w14:paraId="6640B3EB">
      <w:pPr>
        <w:pStyle w:val="3"/>
        <w:widowControl w:val="0"/>
        <w:spacing w:before="180" w:after="180" w:line="500" w:lineRule="exact"/>
        <w:rPr>
          <w:rFonts w:ascii="Times New Roman" w:hAnsi="Times New Roman" w:eastAsiaTheme="minorEastAsia"/>
          <w:b/>
          <w:caps w:val="0"/>
          <w:smallCaps w:val="0"/>
          <w:snapToGrid w:val="0"/>
          <w:color w:val="auto"/>
          <w:spacing w:val="0"/>
          <w:w w:val="100"/>
          <w:position w:val="0"/>
          <w:sz w:val="30"/>
          <w:szCs w:val="30"/>
          <w:highlight w:val="none"/>
        </w:rPr>
        <w:sectPr>
          <w:headerReference r:id="rId11" w:type="default"/>
          <w:type w:val="nextColumn"/>
          <w:pgSz w:w="11907" w:h="16840"/>
          <w:pgMar w:top="1418" w:right="1418" w:bottom="1418" w:left="1418" w:header="851" w:footer="992" w:gutter="0"/>
          <w:cols w:space="720" w:num="1"/>
          <w:docGrid w:linePitch="319" w:charSpace="0"/>
        </w:sectPr>
      </w:pPr>
    </w:p>
    <w:bookmarkEnd w:id="738"/>
    <w:bookmarkEnd w:id="739"/>
    <w:p w14:paraId="555F068B">
      <w:pPr>
        <w:pStyle w:val="3"/>
        <w:widowControl w:val="0"/>
        <w:spacing w:before="180" w:after="180" w:line="500" w:lineRule="exact"/>
        <w:rPr>
          <w:rFonts w:ascii="Times New Roman" w:hAnsi="Times New Roman" w:eastAsiaTheme="minorEastAsia"/>
          <w:b/>
          <w:caps w:val="0"/>
          <w:smallCaps w:val="0"/>
          <w:snapToGrid w:val="0"/>
          <w:color w:val="auto"/>
          <w:spacing w:val="0"/>
          <w:w w:val="100"/>
          <w:position w:val="0"/>
          <w:sz w:val="30"/>
          <w:szCs w:val="30"/>
          <w:highlight w:val="none"/>
        </w:rPr>
      </w:pPr>
      <w:bookmarkStart w:id="963" w:name="_Toc195661909"/>
      <w:bookmarkStart w:id="964" w:name="_Toc480447677"/>
      <w:bookmarkStart w:id="965" w:name="_Toc219900407"/>
      <w:bookmarkStart w:id="966" w:name="_Toc502736528"/>
      <w:r>
        <w:rPr>
          <w:rFonts w:ascii="Times New Roman" w:hAnsi="Times New Roman" w:eastAsiaTheme="minorEastAsia"/>
          <w:b/>
          <w:caps w:val="0"/>
          <w:smallCaps w:val="0"/>
          <w:snapToGrid w:val="0"/>
          <w:color w:val="auto"/>
          <w:spacing w:val="0"/>
          <w:w w:val="100"/>
          <w:position w:val="0"/>
          <w:sz w:val="30"/>
          <w:szCs w:val="30"/>
          <w:highlight w:val="none"/>
        </w:rPr>
        <w:t>6环境保护措施及其可行性论证</w:t>
      </w:r>
      <w:bookmarkEnd w:id="963"/>
    </w:p>
    <w:p w14:paraId="398AEE2B">
      <w:pPr>
        <w:pStyle w:val="4"/>
        <w:keepNext w:val="0"/>
        <w:keepLines w:val="0"/>
        <w:widowControl w:val="0"/>
        <w:spacing w:before="120" w:after="120"/>
        <w:rPr>
          <w:rFonts w:ascii="Times New Roman" w:hAnsi="Times New Roman" w:eastAsia="宋体"/>
          <w:b/>
          <w:caps w:val="0"/>
          <w:smallCaps w:val="0"/>
          <w:snapToGrid w:val="0"/>
          <w:color w:val="auto"/>
          <w:spacing w:val="0"/>
          <w:w w:val="100"/>
          <w:position w:val="0"/>
          <w:highlight w:val="none"/>
        </w:rPr>
      </w:pPr>
      <w:bookmarkStart w:id="967" w:name="_Toc186444377"/>
      <w:bookmarkStart w:id="968" w:name="_Toc195661910"/>
      <w:bookmarkStart w:id="969" w:name="_Toc203373354"/>
      <w:bookmarkStart w:id="970" w:name="_Toc189535437"/>
      <w:bookmarkStart w:id="971" w:name="_Toc200162815"/>
      <w:bookmarkStart w:id="972" w:name="_Toc98920169"/>
      <w:bookmarkStart w:id="973" w:name="_Toc4419"/>
      <w:bookmarkStart w:id="974" w:name="_Toc57707984"/>
      <w:bookmarkStart w:id="975" w:name="_Toc57203314"/>
      <w:bookmarkStart w:id="976" w:name="_Toc203113621"/>
      <w:bookmarkStart w:id="977" w:name="_Toc201330164"/>
      <w:bookmarkStart w:id="978" w:name="_Toc177403565"/>
      <w:bookmarkStart w:id="979" w:name="_Toc65426011"/>
      <w:bookmarkStart w:id="980" w:name="_Toc200162118"/>
      <w:bookmarkStart w:id="981" w:name="_Toc196215813"/>
      <w:bookmarkStart w:id="982" w:name="_Toc57976736"/>
      <w:bookmarkStart w:id="983" w:name="_Toc83525150"/>
      <w:bookmarkStart w:id="984" w:name="_Toc204572393"/>
      <w:bookmarkStart w:id="985" w:name="_Toc17898242"/>
      <w:bookmarkStart w:id="986" w:name="_Toc225741623"/>
      <w:bookmarkStart w:id="987" w:name="_Toc200952546"/>
      <w:bookmarkStart w:id="988" w:name="_Toc502736516"/>
      <w:r>
        <w:rPr>
          <w:rFonts w:ascii="Times New Roman" w:hAnsi="Times New Roman" w:eastAsia="宋体"/>
          <w:b/>
          <w:caps w:val="0"/>
          <w:smallCaps w:val="0"/>
          <w:snapToGrid w:val="0"/>
          <w:color w:val="auto"/>
          <w:spacing w:val="0"/>
          <w:w w:val="100"/>
          <w:position w:val="0"/>
          <w:highlight w:val="none"/>
        </w:rPr>
        <w:t>6.1污染防治措施</w:t>
      </w:r>
      <w:bookmarkEnd w:id="967"/>
      <w:bookmarkEnd w:id="968"/>
    </w:p>
    <w:p w14:paraId="21DFC223">
      <w:pPr>
        <w:pStyle w:val="6"/>
        <w:keepNext w:val="0"/>
        <w:keepLines w:val="0"/>
        <w:widowControl w:val="0"/>
        <w:spacing w:before="60" w:after="60"/>
        <w:jc w:val="both"/>
        <w:rPr>
          <w:rFonts w:eastAsia="宋体"/>
          <w:b/>
          <w:caps w:val="0"/>
          <w:smallCaps w:val="0"/>
          <w:color w:val="auto"/>
          <w:spacing w:val="0"/>
          <w:w w:val="100"/>
          <w:kern w:val="2"/>
          <w:position w:val="0"/>
          <w:sz w:val="24"/>
          <w:szCs w:val="24"/>
          <w:highlight w:val="none"/>
        </w:rPr>
      </w:pPr>
      <w:bookmarkStart w:id="989" w:name="_Toc186444378"/>
      <w:r>
        <w:rPr>
          <w:rFonts w:eastAsia="宋体"/>
          <w:b/>
          <w:caps w:val="0"/>
          <w:smallCaps w:val="0"/>
          <w:color w:val="auto"/>
          <w:spacing w:val="0"/>
          <w:w w:val="100"/>
          <w:kern w:val="2"/>
          <w:position w:val="0"/>
          <w:sz w:val="24"/>
          <w:szCs w:val="24"/>
          <w:highlight w:val="none"/>
        </w:rPr>
        <w:t>6.1.1大气污染防治措施</w:t>
      </w:r>
      <w:bookmarkEnd w:id="989"/>
    </w:p>
    <w:p w14:paraId="20277C61">
      <w:pPr>
        <w:pStyle w:val="149"/>
        <w:widowControl w:val="0"/>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6.1.1.1施工期</w:t>
      </w:r>
    </w:p>
    <w:p w14:paraId="25DB498A">
      <w:pPr>
        <w:pStyle w:val="874"/>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caps w:val="0"/>
          <w:smallCaps w:val="0"/>
          <w:color w:val="auto"/>
          <w:spacing w:val="0"/>
          <w:w w:val="100"/>
          <w:position w:val="0"/>
          <w:sz w:val="24"/>
          <w:szCs w:val="24"/>
          <w:highlight w:val="none"/>
        </w:rPr>
        <w:t>本项目施工期的环境空气影响主要来源自施工时管沟开挖、敷设、土方堆填，</w:t>
      </w:r>
      <w:r>
        <w:rPr>
          <w:rFonts w:ascii="Times New Roman" w:hAnsi="Times New Roman" w:eastAsia="宋体"/>
          <w:caps w:val="0"/>
          <w:smallCaps w:val="0"/>
          <w:color w:val="auto"/>
          <w:spacing w:val="0"/>
          <w:w w:val="100"/>
          <w:position w:val="0"/>
          <w:sz w:val="24"/>
          <w:szCs w:val="24"/>
          <w:highlight w:val="none"/>
        </w:rPr>
        <w:t>阀组间</w:t>
      </w:r>
      <w:r>
        <w:rPr>
          <w:rFonts w:hint="default" w:ascii="Times New Roman" w:hAnsi="Times New Roman" w:eastAsia="宋体"/>
          <w:caps w:val="0"/>
          <w:smallCaps w:val="0"/>
          <w:color w:val="auto"/>
          <w:spacing w:val="0"/>
          <w:w w:val="100"/>
          <w:position w:val="0"/>
          <w:sz w:val="24"/>
          <w:szCs w:val="24"/>
          <w:highlight w:val="none"/>
        </w:rPr>
        <w:t>工程</w:t>
      </w:r>
      <w:r>
        <w:rPr>
          <w:rFonts w:ascii="Times New Roman" w:hAnsi="Times New Roman" w:eastAsia="宋体"/>
          <w:caps w:val="0"/>
          <w:smallCaps w:val="0"/>
          <w:color w:val="auto"/>
          <w:spacing w:val="0"/>
          <w:w w:val="100"/>
          <w:position w:val="0"/>
          <w:sz w:val="24"/>
          <w:szCs w:val="24"/>
          <w:highlight w:val="none"/>
        </w:rPr>
        <w:t>基础</w:t>
      </w:r>
      <w:r>
        <w:rPr>
          <w:rFonts w:hint="default" w:ascii="Times New Roman" w:hAnsi="Times New Roman" w:eastAsia="宋体"/>
          <w:caps w:val="0"/>
          <w:smallCaps w:val="0"/>
          <w:color w:val="auto"/>
          <w:spacing w:val="0"/>
          <w:w w:val="100"/>
          <w:position w:val="0"/>
          <w:sz w:val="24"/>
          <w:szCs w:val="24"/>
          <w:highlight w:val="none"/>
        </w:rPr>
        <w:t>施工、车辆运输、恢复原有地面等过程中产生的粉尘、二次扬尘，管道焊接过程产生的焊接烟尘，以及施工设备和运输车辆尾气。</w:t>
      </w:r>
    </w:p>
    <w:p w14:paraId="68A104BA">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caps w:val="0"/>
          <w:smallCaps w:val="0"/>
          <w:color w:val="auto"/>
          <w:spacing w:val="0"/>
          <w:w w:val="100"/>
          <w:position w:val="0"/>
          <w:sz w:val="24"/>
          <w:szCs w:val="24"/>
          <w:highlight w:val="none"/>
        </w:rPr>
        <w:t>（1）施工扬尘污染防治措施</w:t>
      </w:r>
    </w:p>
    <w:p w14:paraId="043F4C5C">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①</w:t>
      </w:r>
      <w:r>
        <w:rPr>
          <w:rFonts w:hint="default" w:ascii="Times New Roman" w:hAnsi="Times New Roman" w:eastAsia="宋体"/>
          <w:caps w:val="0"/>
          <w:smallCaps w:val="0"/>
          <w:color w:val="auto"/>
          <w:spacing w:val="0"/>
          <w:w w:val="100"/>
          <w:position w:val="0"/>
          <w:sz w:val="24"/>
          <w:szCs w:val="24"/>
          <w:highlight w:val="none"/>
        </w:rPr>
        <w:t>为防止因交通运输量的增加而导致的扬尘污染，应在施工初期合理规划道路运输路线，尽量利用现有公路网络。</w:t>
      </w:r>
    </w:p>
    <w:p w14:paraId="0B611169">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②</w:t>
      </w:r>
      <w:r>
        <w:rPr>
          <w:rFonts w:hint="default" w:ascii="Times New Roman" w:hAnsi="Times New Roman" w:eastAsia="宋体"/>
          <w:caps w:val="0"/>
          <w:smallCaps w:val="0"/>
          <w:color w:val="auto"/>
          <w:spacing w:val="0"/>
          <w:w w:val="100"/>
          <w:position w:val="0"/>
          <w:sz w:val="24"/>
          <w:szCs w:val="24"/>
          <w:highlight w:val="none"/>
        </w:rPr>
        <w:t>运输道路、施工场地干燥时洒水抑尘，定期清扫散落在施工场地的泥土，应实行湿法吸扫，严禁干扫和吹扫，以减少扬尘对周边土壤和植被的影响。</w:t>
      </w:r>
    </w:p>
    <w:p w14:paraId="25E58E29">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③</w:t>
      </w:r>
      <w:r>
        <w:rPr>
          <w:rFonts w:hint="default" w:ascii="Times New Roman" w:hAnsi="Times New Roman" w:eastAsia="宋体"/>
          <w:caps w:val="0"/>
          <w:smallCaps w:val="0"/>
          <w:color w:val="auto"/>
          <w:spacing w:val="0"/>
          <w:w w:val="100"/>
          <w:position w:val="0"/>
          <w:sz w:val="24"/>
          <w:szCs w:val="24"/>
          <w:highlight w:val="none"/>
        </w:rPr>
        <w:t>运料车辆在运输时，车辆应当采取苫布遮盖措施，严禁敞开式、半敞开式运输，不得装载过满，以防洒落在地，形成二次扬尘。</w:t>
      </w:r>
    </w:p>
    <w:p w14:paraId="728B8A64">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④</w:t>
      </w:r>
      <w:r>
        <w:rPr>
          <w:rFonts w:hint="default" w:ascii="Times New Roman" w:hAnsi="Times New Roman" w:eastAsia="宋体"/>
          <w:caps w:val="0"/>
          <w:smallCaps w:val="0"/>
          <w:color w:val="auto"/>
          <w:spacing w:val="0"/>
          <w:w w:val="100"/>
          <w:position w:val="0"/>
          <w:sz w:val="24"/>
          <w:szCs w:val="24"/>
          <w:highlight w:val="none"/>
        </w:rPr>
        <w:t>土方开挖应采取遮盖、围挡、洒水等防尘措施。临时堆放土集中堆放在背风侧，并应采取覆盖、洒水等防尘措施；缩短土方裸露时间，且不宜堆积过久、过高，堆放过程中应在顶部加盖篷布；对易产生扬尘污染的建筑材料堆应覆盖到位。</w:t>
      </w:r>
    </w:p>
    <w:p w14:paraId="6E4913D0">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⑤</w:t>
      </w:r>
      <w:r>
        <w:rPr>
          <w:rFonts w:hint="default" w:ascii="Times New Roman" w:hAnsi="Times New Roman" w:eastAsia="宋体"/>
          <w:caps w:val="0"/>
          <w:smallCaps w:val="0"/>
          <w:color w:val="auto"/>
          <w:spacing w:val="0"/>
          <w:w w:val="100"/>
          <w:position w:val="0"/>
          <w:sz w:val="24"/>
          <w:szCs w:val="24"/>
          <w:highlight w:val="none"/>
        </w:rPr>
        <w:t>管线尽可能沿道路走向设计，以避免施工活动对土地和地表植被的扰动；最大限度控制施工作业带宽度，避免因施工开挖加剧土地沙漠化和水土流失，同时在施工过程中定期洒水抑尘，防止施工扬尘量大对环境造成污染。</w:t>
      </w:r>
    </w:p>
    <w:p w14:paraId="048A0B93">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⑥</w:t>
      </w:r>
      <w:r>
        <w:rPr>
          <w:rFonts w:hint="default" w:ascii="Times New Roman" w:hAnsi="Times New Roman" w:eastAsia="宋体"/>
          <w:caps w:val="0"/>
          <w:smallCaps w:val="0"/>
          <w:color w:val="auto"/>
          <w:spacing w:val="0"/>
          <w:w w:val="100"/>
          <w:position w:val="0"/>
          <w:sz w:val="24"/>
          <w:szCs w:val="24"/>
          <w:highlight w:val="none"/>
        </w:rPr>
        <w:t>合理规划施工进度，及时开挖，及时回填，防止临时堆放土风化失水而起沙起尘；遇大风天气应停止土方工程施工作业。</w:t>
      </w:r>
    </w:p>
    <w:p w14:paraId="3EEAC75E">
      <w:pPr>
        <w:pStyle w:val="874"/>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⑦</w:t>
      </w:r>
      <w:r>
        <w:rPr>
          <w:rFonts w:hint="default" w:ascii="Times New Roman" w:hAnsi="Times New Roman" w:eastAsia="宋体"/>
          <w:caps w:val="0"/>
          <w:smallCaps w:val="0"/>
          <w:color w:val="auto"/>
          <w:spacing w:val="0"/>
          <w:w w:val="100"/>
          <w:position w:val="0"/>
          <w:sz w:val="24"/>
          <w:szCs w:val="24"/>
          <w:highlight w:val="none"/>
        </w:rPr>
        <w:t>施工结束后，应及时进行施工场地的清理，清除积土、堆物，并在绿化季节到来时应立即对临时占地进行植被恢复。</w:t>
      </w:r>
    </w:p>
    <w:p w14:paraId="4FEF2721">
      <w:pPr>
        <w:widowControl w:val="0"/>
        <w:spacing w:line="440" w:lineRule="exact"/>
        <w:ind w:firstLine="480" w:firstLineChars="200"/>
        <w:jc w:val="both"/>
        <w:rPr>
          <w:rFonts w:ascii="Times New Roman" w:hAnsi="Times New Roman" w:cs="Times New Roman"/>
          <w:caps w:val="0"/>
          <w:smallCaps w:val="0"/>
          <w:color w:val="auto"/>
          <w:spacing w:val="0"/>
          <w:w w:val="100"/>
          <w:kern w:val="2"/>
          <w:position w:val="0"/>
          <w:highlight w:val="none"/>
        </w:rPr>
      </w:pPr>
      <w:r>
        <w:rPr>
          <w:rFonts w:ascii="Times New Roman" w:hAnsi="Times New Roman" w:cs="Times New Roman"/>
          <w:caps w:val="0"/>
          <w:smallCaps w:val="0"/>
          <w:color w:val="auto"/>
          <w:spacing w:val="0"/>
          <w:w w:val="100"/>
          <w:kern w:val="2"/>
          <w:position w:val="0"/>
          <w:highlight w:val="none"/>
        </w:rPr>
        <w:t>（2）施工机械及车辆尾气</w:t>
      </w:r>
    </w:p>
    <w:p w14:paraId="24BD0FDB">
      <w:pPr>
        <w:pStyle w:val="146"/>
        <w:spacing w:line="440" w:lineRule="exact"/>
        <w:ind w:firstLine="480" w:firstLineChars="200"/>
        <w:rPr>
          <w:rFonts w:ascii="Times New Roman" w:hAnsi="Times New Roman" w:cs="Times New Roman"/>
          <w:bCs/>
          <w:caps w:val="0"/>
          <w:smallCaps w:val="0"/>
          <w:color w:val="auto"/>
          <w:spacing w:val="0"/>
          <w:w w:val="100"/>
          <w:kern w:val="2"/>
          <w:position w:val="0"/>
          <w:szCs w:val="24"/>
          <w:highlight w:val="none"/>
        </w:rPr>
      </w:pPr>
      <w:r>
        <w:rPr>
          <w:rFonts w:ascii="Times New Roman" w:hAnsi="Times New Roman" w:cs="Times New Roman"/>
          <w:bCs/>
          <w:caps w:val="0"/>
          <w:smallCaps w:val="0"/>
          <w:color w:val="auto"/>
          <w:spacing w:val="0"/>
          <w:w w:val="100"/>
          <w:kern w:val="2"/>
          <w:position w:val="0"/>
          <w:szCs w:val="24"/>
          <w:highlight w:val="none"/>
        </w:rPr>
        <w:t>项目施工机械车辆使用达到国Ⅲ标准及以上非道路移动机械，禁止使用高排放、检测不达标的非道路移动机械。加强对施工机械和运输车辆的保养及维护，减少不必要的运转时间，以控制尾气的排放。</w:t>
      </w:r>
    </w:p>
    <w:p w14:paraId="0416097F">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Theme="minorEastAsia"/>
          <w:caps w:val="0"/>
          <w:smallCaps w:val="0"/>
          <w:color w:val="auto"/>
          <w:spacing w:val="0"/>
          <w:w w:val="100"/>
          <w:position w:val="0"/>
          <w:sz w:val="24"/>
          <w:szCs w:val="24"/>
          <w:highlight w:val="none"/>
        </w:rPr>
        <w:t>（3）焊</w:t>
      </w:r>
      <w:r>
        <w:rPr>
          <w:rFonts w:hint="default" w:ascii="Times New Roman" w:hAnsi="Times New Roman" w:eastAsia="宋体"/>
          <w:caps w:val="0"/>
          <w:smallCaps w:val="0"/>
          <w:color w:val="auto"/>
          <w:spacing w:val="0"/>
          <w:w w:val="100"/>
          <w:position w:val="0"/>
          <w:sz w:val="24"/>
          <w:szCs w:val="24"/>
          <w:highlight w:val="none"/>
        </w:rPr>
        <w:t>接烟尘</w:t>
      </w:r>
    </w:p>
    <w:p w14:paraId="5C7704CF">
      <w:pPr>
        <w:pStyle w:val="874"/>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caps w:val="0"/>
          <w:smallCaps w:val="0"/>
          <w:color w:val="auto"/>
          <w:spacing w:val="0"/>
          <w:w w:val="100"/>
          <w:position w:val="0"/>
          <w:sz w:val="24"/>
          <w:szCs w:val="24"/>
          <w:highlight w:val="none"/>
        </w:rPr>
        <w:t>本项目管线在焊接过程中将会有焊接烟气产生，主要污染物为颗粒物。施工过程中焊接烟尘主要集中在作业现场附近，本项目管道焊接采用分段焊接、分段组装的方式，焊接烟气比较分散，且施工场地较为空旷，焊接烟尘排放量较小，经大气扩散后对环境及环境保护目标的影响较小。</w:t>
      </w:r>
    </w:p>
    <w:p w14:paraId="5D005177">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caps w:val="0"/>
          <w:smallCaps w:val="0"/>
          <w:color w:val="auto"/>
          <w:spacing w:val="0"/>
          <w:w w:val="100"/>
          <w:position w:val="0"/>
          <w:sz w:val="24"/>
          <w:szCs w:val="24"/>
          <w:highlight w:val="none"/>
        </w:rPr>
        <w:t>施工期采取的上述技术方案是施工过程中常见的扬尘和大气污染防治措施，采取以上大气污染防治措施后，能够确保施工场界颗粒物浓度满足《大气污染物综合排放标准》（GB16297-1996）中表2无组织排放监控浓度限值要求，不会对大气环境产生较大影响，施工期大气污染防治措施可行。</w:t>
      </w:r>
    </w:p>
    <w:p w14:paraId="70421B05">
      <w:pPr>
        <w:pStyle w:val="149"/>
        <w:widowControl w:val="0"/>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6.1.1.2运行期</w:t>
      </w:r>
    </w:p>
    <w:p w14:paraId="33137206">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caps w:val="0"/>
          <w:smallCaps w:val="0"/>
          <w:color w:val="auto"/>
          <w:spacing w:val="0"/>
          <w:w w:val="100"/>
          <w:position w:val="0"/>
          <w:sz w:val="24"/>
          <w:szCs w:val="24"/>
          <w:highlight w:val="none"/>
        </w:rPr>
        <w:t>本项目运营期管线主要采用密闭输送方式输送</w:t>
      </w:r>
      <w:r>
        <w:rPr>
          <w:rFonts w:hint="eastAsia" w:ascii="Times New Roman" w:hAnsi="Times New Roman" w:eastAsia="宋体"/>
          <w:caps w:val="0"/>
          <w:smallCaps w:val="0"/>
          <w:color w:val="auto"/>
          <w:spacing w:val="0"/>
          <w:w w:val="100"/>
          <w:position w:val="0"/>
          <w:sz w:val="24"/>
          <w:szCs w:val="24"/>
          <w:highlight w:val="none"/>
          <w:lang w:val="en-US" w:eastAsia="zh-CN"/>
        </w:rPr>
        <w:t>原油、含油污水</w:t>
      </w:r>
      <w:r>
        <w:rPr>
          <w:rFonts w:hint="default" w:ascii="Times New Roman" w:hAnsi="Times New Roman" w:eastAsia="宋体"/>
          <w:caps w:val="0"/>
          <w:smallCaps w:val="0"/>
          <w:color w:val="auto"/>
          <w:spacing w:val="0"/>
          <w:w w:val="100"/>
          <w:position w:val="0"/>
          <w:sz w:val="24"/>
          <w:szCs w:val="24"/>
          <w:highlight w:val="none"/>
        </w:rPr>
        <w:t>，正常运行状况下无废气产生及排放。</w:t>
      </w:r>
    </w:p>
    <w:p w14:paraId="0C0A168A">
      <w:pPr>
        <w:pStyle w:val="149"/>
        <w:widowControl w:val="0"/>
        <w:ind w:firstLine="0" w:firstLineChars="0"/>
        <w:jc w:val="both"/>
        <w:outlineLvl w:val="3"/>
        <w:rPr>
          <w:rFonts w:ascii="Times New Roman" w:hAnsi="Times New Roman"/>
          <w:b/>
          <w:caps w:val="0"/>
          <w:smallCaps w:val="0"/>
          <w:color w:val="auto"/>
          <w:spacing w:val="0"/>
          <w:w w:val="100"/>
          <w:position w:val="0"/>
          <w:highlight w:val="none"/>
        </w:rPr>
      </w:pPr>
      <w:bookmarkStart w:id="990" w:name="_Toc186444379"/>
      <w:r>
        <w:rPr>
          <w:rFonts w:ascii="Times New Roman" w:hAnsi="Times New Roman"/>
          <w:b/>
          <w:caps w:val="0"/>
          <w:smallCaps w:val="0"/>
          <w:color w:val="auto"/>
          <w:spacing w:val="0"/>
          <w:w w:val="100"/>
          <w:position w:val="0"/>
          <w:highlight w:val="none"/>
        </w:rPr>
        <w:t>6.1.1.2退役期</w:t>
      </w:r>
    </w:p>
    <w:p w14:paraId="7A0F751C">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caps w:val="0"/>
          <w:smallCaps w:val="0"/>
          <w:color w:val="auto"/>
          <w:spacing w:val="0"/>
          <w:w w:val="100"/>
          <w:position w:val="0"/>
          <w:sz w:val="24"/>
          <w:szCs w:val="24"/>
          <w:highlight w:val="none"/>
        </w:rPr>
        <w:t>（1）施工机械和车辆尾气</w:t>
      </w:r>
    </w:p>
    <w:p w14:paraId="3E0CB03A">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bCs/>
          <w:caps w:val="0"/>
          <w:smallCaps w:val="0"/>
          <w:color w:val="auto"/>
          <w:spacing w:val="0"/>
          <w:w w:val="100"/>
          <w:position w:val="0"/>
          <w:sz w:val="24"/>
          <w:szCs w:val="24"/>
          <w:highlight w:val="none"/>
        </w:rPr>
        <w:t>项目施工机械车辆使用达到国Ⅲ标准及以上非道路移动机械，禁止使用高排放、检测不达标的非道路移动机械。加强对施工机械和运输车辆的保养及维护，减少不必要的运转时间，以控制尾气的排放。</w:t>
      </w:r>
    </w:p>
    <w:p w14:paraId="07D1810F">
      <w:pPr>
        <w:pStyle w:val="874"/>
        <w:tabs>
          <w:tab w:val="left" w:pos="4127"/>
        </w:tabs>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caps w:val="0"/>
          <w:smallCaps w:val="0"/>
          <w:color w:val="auto"/>
          <w:spacing w:val="0"/>
          <w:w w:val="100"/>
          <w:position w:val="0"/>
          <w:sz w:val="24"/>
          <w:szCs w:val="24"/>
          <w:highlight w:val="none"/>
        </w:rPr>
        <w:t>（2）施工扬尘污染防治措施</w:t>
      </w:r>
      <w:r>
        <w:rPr>
          <w:rFonts w:hint="default" w:ascii="Times New Roman" w:hAnsi="Times New Roman" w:eastAsia="宋体"/>
          <w:caps w:val="0"/>
          <w:smallCaps w:val="0"/>
          <w:color w:val="auto"/>
          <w:spacing w:val="0"/>
          <w:w w:val="100"/>
          <w:position w:val="0"/>
          <w:sz w:val="24"/>
          <w:szCs w:val="24"/>
          <w:highlight w:val="none"/>
        </w:rPr>
        <w:tab/>
      </w:r>
    </w:p>
    <w:p w14:paraId="0B50C3B7">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①</w:t>
      </w:r>
      <w:r>
        <w:rPr>
          <w:rFonts w:hint="default" w:ascii="Times New Roman" w:hAnsi="Times New Roman" w:eastAsia="宋体"/>
          <w:caps w:val="0"/>
          <w:smallCaps w:val="0"/>
          <w:color w:val="auto"/>
          <w:spacing w:val="0"/>
          <w:w w:val="100"/>
          <w:position w:val="0"/>
          <w:sz w:val="24"/>
          <w:szCs w:val="24"/>
          <w:highlight w:val="none"/>
        </w:rPr>
        <w:t>材料运输过程中，进行材料遮盖，防止材料洒落、风刮起的粉尘；</w:t>
      </w:r>
    </w:p>
    <w:p w14:paraId="3470FDDA">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②</w:t>
      </w:r>
      <w:r>
        <w:rPr>
          <w:rFonts w:hint="default" w:ascii="Times New Roman" w:hAnsi="Times New Roman" w:eastAsia="宋体"/>
          <w:caps w:val="0"/>
          <w:smallCaps w:val="0"/>
          <w:color w:val="auto"/>
          <w:spacing w:val="0"/>
          <w:w w:val="100"/>
          <w:position w:val="0"/>
          <w:sz w:val="24"/>
          <w:szCs w:val="24"/>
          <w:highlight w:val="none"/>
        </w:rPr>
        <w:t>运输车辆进入居民区附近施工场地应低速行驶或限速行驶，减少扬尘产生；</w:t>
      </w:r>
    </w:p>
    <w:p w14:paraId="6DC75AC6">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③</w:t>
      </w:r>
      <w:r>
        <w:rPr>
          <w:rFonts w:hint="default" w:ascii="Times New Roman" w:hAnsi="Times New Roman" w:eastAsia="宋体"/>
          <w:caps w:val="0"/>
          <w:smallCaps w:val="0"/>
          <w:color w:val="auto"/>
          <w:spacing w:val="0"/>
          <w:w w:val="100"/>
          <w:position w:val="0"/>
          <w:sz w:val="24"/>
          <w:szCs w:val="24"/>
          <w:highlight w:val="none"/>
        </w:rPr>
        <w:t>在施工过程中，施工场地应定时适量洒水，并在大风天加大洒水量及洒水次数，使作业面保持一定的湿度。</w:t>
      </w:r>
    </w:p>
    <w:p w14:paraId="13F2622E">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ascii="宋体" w:hAnsi="宋体" w:eastAsia="宋体" w:cs="宋体"/>
          <w:caps w:val="0"/>
          <w:smallCaps w:val="0"/>
          <w:color w:val="auto"/>
          <w:spacing w:val="0"/>
          <w:w w:val="100"/>
          <w:position w:val="0"/>
          <w:sz w:val="24"/>
          <w:szCs w:val="24"/>
          <w:highlight w:val="none"/>
        </w:rPr>
        <w:t>④</w:t>
      </w:r>
      <w:r>
        <w:rPr>
          <w:rFonts w:hint="default" w:ascii="Times New Roman" w:hAnsi="Times New Roman" w:eastAsia="宋体"/>
          <w:caps w:val="0"/>
          <w:smallCaps w:val="0"/>
          <w:color w:val="auto"/>
          <w:spacing w:val="0"/>
          <w:w w:val="100"/>
          <w:position w:val="0"/>
          <w:sz w:val="24"/>
          <w:szCs w:val="24"/>
          <w:highlight w:val="none"/>
        </w:rPr>
        <w:t>施工结束后，应及时进行施工场地的清理，清除积土、堆物。</w:t>
      </w:r>
    </w:p>
    <w:p w14:paraId="54AD491D">
      <w:pPr>
        <w:pStyle w:val="874"/>
        <w:snapToGrid/>
        <w:spacing w:line="440" w:lineRule="exact"/>
        <w:ind w:left="0" w:firstLine="480" w:firstLineChars="200"/>
        <w:jc w:val="both"/>
        <w:rPr>
          <w:rFonts w:hint="default" w:ascii="Times New Roman" w:hAnsi="Times New Roman" w:eastAsia="宋体"/>
          <w:caps w:val="0"/>
          <w:smallCaps w:val="0"/>
          <w:color w:val="auto"/>
          <w:spacing w:val="0"/>
          <w:w w:val="100"/>
          <w:position w:val="0"/>
          <w:sz w:val="24"/>
          <w:szCs w:val="24"/>
          <w:highlight w:val="none"/>
        </w:rPr>
      </w:pPr>
      <w:r>
        <w:rPr>
          <w:rFonts w:hint="default" w:ascii="Times New Roman" w:hAnsi="Times New Roman" w:eastAsia="宋体"/>
          <w:caps w:val="0"/>
          <w:smallCaps w:val="0"/>
          <w:color w:val="auto"/>
          <w:spacing w:val="0"/>
          <w:w w:val="100"/>
          <w:position w:val="0"/>
          <w:sz w:val="24"/>
          <w:szCs w:val="24"/>
          <w:highlight w:val="none"/>
        </w:rPr>
        <w:t>采取以上大气污染防治措施后，能够确保退役期施工场界颗粒物浓度满足《大气污染物综合排放标准》（GB16297-1996）中表2无组织排放监控浓度限值要求，不会对大气环境产生较大影响，退役期大气污染防治措施可行。</w:t>
      </w:r>
    </w:p>
    <w:p w14:paraId="16DAC58A">
      <w:pPr>
        <w:pStyle w:val="6"/>
        <w:keepNext w:val="0"/>
        <w:keepLines w:val="0"/>
        <w:widowControl w:val="0"/>
        <w:spacing w:before="60" w:after="60"/>
        <w:jc w:val="both"/>
        <w:rPr>
          <w:rFonts w:eastAsia="宋体"/>
          <w:b/>
          <w:caps w:val="0"/>
          <w:smallCaps w:val="0"/>
          <w:color w:val="auto"/>
          <w:spacing w:val="0"/>
          <w:w w:val="100"/>
          <w:kern w:val="2"/>
          <w:position w:val="0"/>
          <w:sz w:val="24"/>
          <w:szCs w:val="24"/>
          <w:highlight w:val="none"/>
        </w:rPr>
      </w:pPr>
      <w:r>
        <w:rPr>
          <w:rFonts w:eastAsia="宋体"/>
          <w:b/>
          <w:caps w:val="0"/>
          <w:smallCaps w:val="0"/>
          <w:color w:val="auto"/>
          <w:spacing w:val="0"/>
          <w:w w:val="100"/>
          <w:kern w:val="2"/>
          <w:position w:val="0"/>
          <w:sz w:val="24"/>
          <w:szCs w:val="24"/>
          <w:highlight w:val="none"/>
        </w:rPr>
        <w:t>6.1.2水污染防治措施及其可行性论证</w:t>
      </w:r>
      <w:bookmarkEnd w:id="990"/>
    </w:p>
    <w:p w14:paraId="61D8F71A">
      <w:pPr>
        <w:pStyle w:val="149"/>
        <w:widowControl w:val="0"/>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6.1.2.1施工期废水处理措施</w:t>
      </w:r>
    </w:p>
    <w:p w14:paraId="5B8C949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（1）施工期废水处理措施及其可行性论证</w:t>
      </w:r>
    </w:p>
    <w:p w14:paraId="3B2D06CC">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①新建</w:t>
      </w:r>
      <w:r>
        <w:rPr>
          <w:rFonts w:ascii="Times New Roman" w:hAnsi="Times New Roman" w:cs="Times New Roman"/>
          <w:bCs/>
          <w:caps w:val="0"/>
          <w:smallCaps w:val="0"/>
          <w:color w:val="auto"/>
          <w:spacing w:val="0"/>
          <w:w w:val="100"/>
          <w:kern w:val="21"/>
          <w:position w:val="0"/>
          <w:highlight w:val="none"/>
        </w:rPr>
        <w:t>管线试压废水、</w:t>
      </w:r>
      <w:r>
        <w:rPr>
          <w:rFonts w:hint="eastAsia" w:ascii="Times New Roman" w:hAnsi="Times New Roman" w:cs="Times New Roman"/>
          <w:bCs/>
          <w:caps w:val="0"/>
          <w:smallCaps w:val="0"/>
          <w:color w:val="auto"/>
          <w:spacing w:val="0"/>
          <w:w w:val="100"/>
          <w:kern w:val="21"/>
          <w:position w:val="0"/>
          <w:highlight w:val="none"/>
        </w:rPr>
        <w:t>废弃管线清洗废水</w:t>
      </w:r>
    </w:p>
    <w:p w14:paraId="496AA4D0">
      <w:pPr>
        <w:widowControl w:val="0"/>
        <w:spacing w:line="440" w:lineRule="exact"/>
        <w:ind w:firstLine="480" w:firstLineChars="200"/>
        <w:jc w:val="both"/>
        <w:rPr>
          <w:rFonts w:ascii="Times New Roman" w:hAnsi="Times New Roman" w:cs="Times New Roman"/>
          <w:bCs/>
          <w:caps w:val="0"/>
          <w:smallCaps w:val="0"/>
          <w:color w:val="auto"/>
          <w:spacing w:val="0"/>
          <w:w w:val="100"/>
          <w:kern w:val="21"/>
          <w:position w:val="0"/>
          <w:highlight w:val="none"/>
        </w:rPr>
      </w:pPr>
      <w:r>
        <w:rPr>
          <w:rFonts w:hint="eastAsia" w:ascii="Times New Roman" w:hAnsi="Times New Roman" w:cs="Times New Roman"/>
          <w:bCs/>
          <w:caps w:val="0"/>
          <w:smallCaps w:val="0"/>
          <w:color w:val="auto"/>
          <w:spacing w:val="0"/>
          <w:w w:val="100"/>
          <w:kern w:val="21"/>
          <w:position w:val="0"/>
          <w:highlight w:val="none"/>
        </w:rPr>
        <w:t>新建</w:t>
      </w:r>
      <w:r>
        <w:rPr>
          <w:rFonts w:ascii="Times New Roman" w:hAnsi="Times New Roman" w:cs="Times New Roman"/>
          <w:bCs/>
          <w:caps w:val="0"/>
          <w:smallCaps w:val="0"/>
          <w:color w:val="auto"/>
          <w:spacing w:val="0"/>
          <w:w w:val="100"/>
          <w:kern w:val="21"/>
          <w:position w:val="0"/>
          <w:highlight w:val="none"/>
        </w:rPr>
        <w:t>管线试压废水、</w:t>
      </w:r>
      <w:r>
        <w:rPr>
          <w:rFonts w:hint="eastAsia" w:ascii="Times New Roman" w:hAnsi="Times New Roman" w:cs="Times New Roman"/>
          <w:bCs/>
          <w:caps w:val="0"/>
          <w:smallCaps w:val="0"/>
          <w:color w:val="auto"/>
          <w:spacing w:val="0"/>
          <w:w w:val="100"/>
          <w:kern w:val="21"/>
          <w:position w:val="0"/>
          <w:highlight w:val="none"/>
        </w:rPr>
        <w:t>废弃管线清洗废水</w:t>
      </w:r>
      <w:r>
        <w:rPr>
          <w:rFonts w:ascii="Times New Roman" w:hAnsi="Times New Roman" w:cs="Times New Roman"/>
          <w:bCs/>
          <w:caps w:val="0"/>
          <w:smallCaps w:val="0"/>
          <w:color w:val="auto"/>
          <w:spacing w:val="0"/>
          <w:w w:val="100"/>
          <w:kern w:val="21"/>
          <w:position w:val="0"/>
          <w:highlight w:val="none"/>
        </w:rPr>
        <w:t>由罐车拉运至</w:t>
      </w:r>
      <w:r>
        <w:rPr>
          <w:rFonts w:hint="eastAsia" w:ascii="Times New Roman" w:hAnsi="Times New Roman" w:cs="Times New Roman" w:eastAsiaTheme="minorEastAsia"/>
          <w:bCs/>
          <w:caps w:val="0"/>
          <w:smallCaps w:val="0"/>
          <w:color w:val="auto"/>
          <w:spacing w:val="0"/>
          <w:w w:val="100"/>
          <w:position w:val="0"/>
          <w:highlight w:val="none"/>
        </w:rPr>
        <w:t>卫一联含油污水深度处理站</w:t>
      </w:r>
      <w:r>
        <w:rPr>
          <w:rFonts w:ascii="Times New Roman" w:hAnsi="Times New Roman" w:cs="Times New Roman"/>
          <w:bCs/>
          <w:caps w:val="0"/>
          <w:smallCaps w:val="0"/>
          <w:color w:val="auto"/>
          <w:spacing w:val="0"/>
          <w:w w:val="100"/>
          <w:kern w:val="21"/>
          <w:position w:val="0"/>
          <w:highlight w:val="none"/>
        </w:rPr>
        <w:t>处理满足《大庆油田地面工程建设设计规定》（Q/SYDQ0639-2015）及《碎屑岩油藏注水水质指标技术要求及分析方法》（SY/T5329-2022）限值要求后回注油层，不外排。</w:t>
      </w:r>
    </w:p>
    <w:p w14:paraId="1B419E33">
      <w:pPr>
        <w:widowControl w:val="0"/>
        <w:spacing w:line="440" w:lineRule="exact"/>
        <w:ind w:firstLine="480" w:firstLineChars="200"/>
        <w:jc w:val="both"/>
        <w:rPr>
          <w:rFonts w:ascii="Times New Roman" w:hAnsi="Times New Roman" w:cs="Times New Roman"/>
          <w:bCs/>
          <w:caps w:val="0"/>
          <w:smallCaps w:val="0"/>
          <w:color w:val="auto"/>
          <w:spacing w:val="0"/>
          <w:w w:val="100"/>
          <w:kern w:val="21"/>
          <w:position w:val="0"/>
          <w:highlight w:val="none"/>
          <w:lang w:val="de-DE"/>
        </w:rPr>
      </w:pPr>
      <w:r>
        <w:rPr>
          <w:rFonts w:ascii="Times New Roman" w:hAnsi="Times New Roman" w:cs="Times New Roman"/>
          <w:bCs/>
          <w:caps w:val="0"/>
          <w:smallCaps w:val="0"/>
          <w:color w:val="auto"/>
          <w:spacing w:val="0"/>
          <w:w w:val="100"/>
          <w:kern w:val="21"/>
          <w:position w:val="0"/>
          <w:highlight w:val="none"/>
        </w:rPr>
        <w:t>卫一联含油污水深度处理站</w:t>
      </w:r>
      <w:r>
        <w:rPr>
          <w:rFonts w:ascii="Times New Roman" w:hAnsi="Times New Roman" w:cs="Times New Roman"/>
          <w:bCs/>
          <w:caps w:val="0"/>
          <w:smallCaps w:val="0"/>
          <w:color w:val="auto"/>
          <w:spacing w:val="0"/>
          <w:w w:val="100"/>
          <w:kern w:val="21"/>
          <w:position w:val="0"/>
          <w:highlight w:val="none"/>
          <w:lang w:val="de-DE"/>
        </w:rPr>
        <w:t>主要工艺为“</w:t>
      </w:r>
      <w:r>
        <w:rPr>
          <w:rFonts w:ascii="Times New Roman" w:hAnsi="Times New Roman" w:cs="Times New Roman"/>
          <w:bCs/>
          <w:caps w:val="0"/>
          <w:smallCaps w:val="0"/>
          <w:color w:val="auto"/>
          <w:spacing w:val="0"/>
          <w:w w:val="100"/>
          <w:kern w:val="21"/>
          <w:position w:val="0"/>
          <w:highlight w:val="none"/>
        </w:rPr>
        <w:t>两级沉降+两级过滤</w:t>
      </w:r>
      <w:r>
        <w:rPr>
          <w:rFonts w:ascii="Times New Roman" w:hAnsi="Times New Roman" w:cs="Times New Roman"/>
          <w:bCs/>
          <w:caps w:val="0"/>
          <w:smallCaps w:val="0"/>
          <w:color w:val="auto"/>
          <w:spacing w:val="0"/>
          <w:w w:val="100"/>
          <w:kern w:val="21"/>
          <w:position w:val="0"/>
          <w:highlight w:val="none"/>
          <w:lang w:val="de-DE"/>
        </w:rPr>
        <w:t>”，设计出水水质指标为“8、3、2”，设计污水处理量为</w:t>
      </w:r>
      <w:r>
        <w:rPr>
          <w:rFonts w:ascii="Times New Roman" w:hAnsi="Times New Roman" w:cs="Times New Roman"/>
          <w:bCs/>
          <w:caps w:val="0"/>
          <w:smallCaps w:val="0"/>
          <w:color w:val="auto"/>
          <w:spacing w:val="0"/>
          <w:w w:val="100"/>
          <w:kern w:val="21"/>
          <w:position w:val="0"/>
          <w:highlight w:val="none"/>
        </w:rPr>
        <w:t>6</w:t>
      </w:r>
      <w:r>
        <w:rPr>
          <w:rFonts w:hint="eastAsia" w:ascii="Times New Roman" w:hAnsi="Times New Roman" w:cs="Times New Roman"/>
          <w:bCs/>
          <w:caps w:val="0"/>
          <w:smallCaps w:val="0"/>
          <w:color w:val="auto"/>
          <w:spacing w:val="0"/>
          <w:w w:val="100"/>
          <w:kern w:val="21"/>
          <w:position w:val="0"/>
          <w:highlight w:val="none"/>
        </w:rPr>
        <w:t>2</w:t>
      </w:r>
      <w:r>
        <w:rPr>
          <w:rFonts w:ascii="Times New Roman" w:hAnsi="Times New Roman" w:cs="Times New Roman"/>
          <w:bCs/>
          <w:caps w:val="0"/>
          <w:smallCaps w:val="0"/>
          <w:color w:val="auto"/>
          <w:spacing w:val="0"/>
          <w:w w:val="100"/>
          <w:kern w:val="21"/>
          <w:position w:val="0"/>
          <w:highlight w:val="none"/>
        </w:rPr>
        <w:t>00m</w:t>
      </w:r>
      <w:r>
        <w:rPr>
          <w:rFonts w:ascii="Times New Roman" w:hAnsi="Times New Roman" w:cs="Times New Roman"/>
          <w:bCs/>
          <w:caps w:val="0"/>
          <w:smallCaps w:val="0"/>
          <w:color w:val="auto"/>
          <w:spacing w:val="0"/>
          <w:w w:val="100"/>
          <w:kern w:val="21"/>
          <w:position w:val="0"/>
          <w:highlight w:val="none"/>
          <w:vertAlign w:val="superscript"/>
        </w:rPr>
        <w:t>3</w:t>
      </w:r>
      <w:r>
        <w:rPr>
          <w:rFonts w:ascii="Times New Roman" w:hAnsi="Times New Roman" w:cs="Times New Roman"/>
          <w:bCs/>
          <w:caps w:val="0"/>
          <w:smallCaps w:val="0"/>
          <w:color w:val="auto"/>
          <w:spacing w:val="0"/>
          <w:w w:val="100"/>
          <w:kern w:val="21"/>
          <w:position w:val="0"/>
          <w:highlight w:val="none"/>
        </w:rPr>
        <w:t>/d。</w:t>
      </w:r>
      <w:r>
        <w:rPr>
          <w:rFonts w:ascii="Times New Roman" w:hAnsi="Times New Roman" w:cs="Times New Roman"/>
          <w:bCs/>
          <w:caps w:val="0"/>
          <w:smallCaps w:val="0"/>
          <w:color w:val="auto"/>
          <w:spacing w:val="0"/>
          <w:w w:val="100"/>
          <w:kern w:val="21"/>
          <w:position w:val="0"/>
          <w:highlight w:val="none"/>
          <w:lang w:val="de-DE"/>
        </w:rPr>
        <w:t>目前实际污水处理量为</w:t>
      </w:r>
      <w:r>
        <w:rPr>
          <w:rFonts w:hint="eastAsia" w:ascii="Times New Roman" w:hAnsi="Times New Roman" w:cs="Times New Roman"/>
          <w:bCs/>
          <w:caps w:val="0"/>
          <w:smallCaps w:val="0"/>
          <w:color w:val="auto"/>
          <w:spacing w:val="0"/>
          <w:w w:val="100"/>
          <w:kern w:val="21"/>
          <w:position w:val="0"/>
          <w:highlight w:val="none"/>
        </w:rPr>
        <w:t>5981</w:t>
      </w:r>
      <w:r>
        <w:rPr>
          <w:rFonts w:ascii="Times New Roman" w:hAnsi="Times New Roman" w:cs="Times New Roman"/>
          <w:bCs/>
          <w:caps w:val="0"/>
          <w:smallCaps w:val="0"/>
          <w:color w:val="auto"/>
          <w:spacing w:val="0"/>
          <w:w w:val="100"/>
          <w:kern w:val="21"/>
          <w:position w:val="0"/>
          <w:highlight w:val="none"/>
          <w:lang w:val="de-DE"/>
        </w:rPr>
        <w:t>m</w:t>
      </w:r>
      <w:r>
        <w:rPr>
          <w:rFonts w:ascii="Times New Roman" w:hAnsi="Times New Roman" w:cs="Times New Roman"/>
          <w:bCs/>
          <w:caps w:val="0"/>
          <w:smallCaps w:val="0"/>
          <w:color w:val="auto"/>
          <w:spacing w:val="0"/>
          <w:w w:val="100"/>
          <w:kern w:val="21"/>
          <w:position w:val="0"/>
          <w:highlight w:val="none"/>
          <w:vertAlign w:val="superscript"/>
          <w:lang w:val="de-DE"/>
        </w:rPr>
        <w:t>3</w:t>
      </w:r>
      <w:r>
        <w:rPr>
          <w:rFonts w:ascii="Times New Roman" w:hAnsi="Times New Roman" w:cs="Times New Roman"/>
          <w:bCs/>
          <w:caps w:val="0"/>
          <w:smallCaps w:val="0"/>
          <w:color w:val="auto"/>
          <w:spacing w:val="0"/>
          <w:w w:val="100"/>
          <w:kern w:val="21"/>
          <w:position w:val="0"/>
          <w:highlight w:val="none"/>
          <w:lang w:val="de-DE"/>
        </w:rPr>
        <w:t>/d，</w:t>
      </w:r>
      <w:r>
        <w:rPr>
          <w:rFonts w:ascii="Times New Roman" w:hAnsi="Times New Roman" w:cs="Times New Roman"/>
          <w:bCs/>
          <w:caps w:val="0"/>
          <w:smallCaps w:val="0"/>
          <w:color w:val="auto"/>
          <w:spacing w:val="0"/>
          <w:w w:val="100"/>
          <w:kern w:val="21"/>
          <w:position w:val="0"/>
          <w:highlight w:val="none"/>
          <w:lang w:val="de-DE"/>
        </w:rPr>
        <w:t>本项目</w:t>
      </w:r>
      <w:r>
        <w:rPr>
          <w:rFonts w:hint="eastAsia" w:ascii="Times New Roman" w:hAnsi="Times New Roman" w:cs="Times New Roman"/>
          <w:bCs/>
          <w:caps w:val="0"/>
          <w:smallCaps w:val="0"/>
          <w:color w:val="auto"/>
          <w:spacing w:val="0"/>
          <w:w w:val="100"/>
          <w:kern w:val="21"/>
          <w:position w:val="0"/>
          <w:highlight w:val="none"/>
          <w:lang w:val="de-DE"/>
        </w:rPr>
        <w:t>施工期</w:t>
      </w:r>
      <w:r>
        <w:rPr>
          <w:rFonts w:ascii="Times New Roman" w:hAnsi="Times New Roman" w:cs="Times New Roman"/>
          <w:bCs/>
          <w:caps w:val="0"/>
          <w:smallCaps w:val="0"/>
          <w:color w:val="auto"/>
          <w:spacing w:val="0"/>
          <w:w w:val="100"/>
          <w:kern w:val="21"/>
          <w:position w:val="0"/>
          <w:highlight w:val="none"/>
          <w:lang w:val="de-DE"/>
        </w:rPr>
        <w:t>试压废水及</w:t>
      </w:r>
      <w:r>
        <w:rPr>
          <w:rFonts w:hint="eastAsia" w:ascii="Times New Roman" w:hAnsi="Times New Roman" w:cs="Times New Roman"/>
          <w:bCs/>
          <w:caps w:val="0"/>
          <w:smallCaps w:val="0"/>
          <w:color w:val="auto"/>
          <w:spacing w:val="0"/>
          <w:w w:val="100"/>
          <w:kern w:val="21"/>
          <w:position w:val="0"/>
          <w:highlight w:val="none"/>
        </w:rPr>
        <w:t>清洗废水</w:t>
      </w:r>
      <w:r>
        <w:rPr>
          <w:rFonts w:ascii="Times New Roman" w:hAnsi="Times New Roman" w:cs="Times New Roman"/>
          <w:bCs/>
          <w:caps w:val="0"/>
          <w:smallCaps w:val="0"/>
          <w:color w:val="auto"/>
          <w:spacing w:val="0"/>
          <w:w w:val="100"/>
          <w:kern w:val="21"/>
          <w:position w:val="0"/>
          <w:highlight w:val="none"/>
        </w:rPr>
        <w:t>产生量</w:t>
      </w:r>
      <w:r>
        <w:rPr>
          <w:rFonts w:ascii="Times New Roman" w:hAnsi="Times New Roman" w:cs="Times New Roman"/>
          <w:bCs/>
          <w:caps w:val="0"/>
          <w:smallCaps w:val="0"/>
          <w:color w:val="auto"/>
          <w:spacing w:val="0"/>
          <w:w w:val="100"/>
          <w:kern w:val="21"/>
          <w:position w:val="0"/>
          <w:highlight w:val="none"/>
          <w:lang w:val="de-DE"/>
        </w:rPr>
        <w:t>为</w:t>
      </w:r>
      <w:r>
        <w:rPr>
          <w:rFonts w:hint="eastAsia" w:ascii="Times New Roman" w:hAnsi="Times New Roman" w:cs="Times New Roman"/>
          <w:bCs/>
          <w:caps w:val="0"/>
          <w:smallCaps w:val="0"/>
          <w:color w:val="auto"/>
          <w:spacing w:val="0"/>
          <w:w w:val="100"/>
          <w:kern w:val="21"/>
          <w:position w:val="0"/>
          <w:highlight w:val="none"/>
          <w:lang w:val="de-DE"/>
        </w:rPr>
        <w:t>240.9</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3</w:t>
      </w:r>
      <w:r>
        <w:rPr>
          <w:rFonts w:hint="eastAsia" w:ascii="Times New Roman" w:hAnsi="Times New Roman" w:cs="Times New Roman"/>
          <w:bCs/>
          <w:caps w:val="0"/>
          <w:smallCaps w:val="0"/>
          <w:color w:val="auto"/>
          <w:spacing w:val="0"/>
          <w:w w:val="100"/>
          <w:kern w:val="21"/>
          <w:position w:val="0"/>
          <w:highlight w:val="none"/>
        </w:rPr>
        <w:t>（管道清洗及试压约5d，废水量48m</w:t>
      </w:r>
      <w:r>
        <w:rPr>
          <w:rFonts w:hint="eastAsia" w:ascii="Times New Roman" w:hAnsi="Times New Roman" w:cs="Times New Roman"/>
          <w:bCs/>
          <w:caps w:val="0"/>
          <w:smallCaps w:val="0"/>
          <w:color w:val="auto"/>
          <w:spacing w:val="0"/>
          <w:w w:val="100"/>
          <w:kern w:val="21"/>
          <w:position w:val="0"/>
          <w:highlight w:val="none"/>
          <w:vertAlign w:val="superscript"/>
        </w:rPr>
        <w:t>3</w:t>
      </w:r>
      <w:r>
        <w:rPr>
          <w:rFonts w:hint="eastAsia" w:ascii="Times New Roman" w:hAnsi="Times New Roman" w:cs="Times New Roman"/>
          <w:bCs/>
          <w:caps w:val="0"/>
          <w:smallCaps w:val="0"/>
          <w:color w:val="auto"/>
          <w:spacing w:val="0"/>
          <w:w w:val="100"/>
          <w:kern w:val="21"/>
          <w:position w:val="0"/>
          <w:highlight w:val="none"/>
        </w:rPr>
        <w:t>/d）</w:t>
      </w:r>
      <w:r>
        <w:rPr>
          <w:rFonts w:ascii="Times New Roman" w:hAnsi="Times New Roman" w:cs="Times New Roman"/>
          <w:bCs/>
          <w:caps w:val="0"/>
          <w:smallCaps w:val="0"/>
          <w:color w:val="auto"/>
          <w:spacing w:val="0"/>
          <w:w w:val="100"/>
          <w:kern w:val="21"/>
          <w:position w:val="0"/>
          <w:highlight w:val="none"/>
          <w:lang w:val="de-DE"/>
        </w:rPr>
        <w:t>，新增污水后处理量为</w:t>
      </w:r>
      <w:r>
        <w:rPr>
          <w:rFonts w:hint="eastAsia" w:ascii="Times New Roman" w:hAnsi="Times New Roman" w:cs="Times New Roman"/>
          <w:bCs/>
          <w:caps w:val="0"/>
          <w:smallCaps w:val="0"/>
          <w:color w:val="auto"/>
          <w:spacing w:val="0"/>
          <w:w w:val="100"/>
          <w:kern w:val="21"/>
          <w:position w:val="0"/>
          <w:highlight w:val="none"/>
        </w:rPr>
        <w:t>6029</w:t>
      </w:r>
      <w:r>
        <w:rPr>
          <w:rFonts w:ascii="Times New Roman" w:hAnsi="Times New Roman" w:cs="Times New Roman"/>
          <w:bCs/>
          <w:caps w:val="0"/>
          <w:smallCaps w:val="0"/>
          <w:color w:val="auto"/>
          <w:spacing w:val="0"/>
          <w:w w:val="100"/>
          <w:kern w:val="21"/>
          <w:position w:val="0"/>
          <w:highlight w:val="none"/>
        </w:rPr>
        <w:t>m</w:t>
      </w:r>
      <w:r>
        <w:rPr>
          <w:rFonts w:ascii="Times New Roman" w:hAnsi="Times New Roman" w:cs="Times New Roman"/>
          <w:bCs/>
          <w:caps w:val="0"/>
          <w:smallCaps w:val="0"/>
          <w:color w:val="auto"/>
          <w:spacing w:val="0"/>
          <w:w w:val="100"/>
          <w:kern w:val="21"/>
          <w:position w:val="0"/>
          <w:highlight w:val="none"/>
          <w:vertAlign w:val="superscript"/>
        </w:rPr>
        <w:t>3</w:t>
      </w:r>
      <w:r>
        <w:rPr>
          <w:rFonts w:ascii="Times New Roman" w:hAnsi="Times New Roman" w:cs="Times New Roman"/>
          <w:bCs/>
          <w:caps w:val="0"/>
          <w:smallCaps w:val="0"/>
          <w:color w:val="auto"/>
          <w:spacing w:val="0"/>
          <w:w w:val="100"/>
          <w:kern w:val="21"/>
          <w:position w:val="0"/>
          <w:highlight w:val="none"/>
        </w:rPr>
        <w:t>/d</w:t>
      </w:r>
      <w:r>
        <w:rPr>
          <w:rFonts w:ascii="Times New Roman" w:hAnsi="Times New Roman" w:cs="Times New Roman"/>
          <w:bCs/>
          <w:caps w:val="0"/>
          <w:smallCaps w:val="0"/>
          <w:color w:val="auto"/>
          <w:spacing w:val="0"/>
          <w:w w:val="100"/>
          <w:kern w:val="21"/>
          <w:position w:val="0"/>
          <w:highlight w:val="none"/>
          <w:lang w:val="de-DE"/>
        </w:rPr>
        <w:t>，负荷率为</w:t>
      </w:r>
      <w:r>
        <w:rPr>
          <w:rFonts w:ascii="Times New Roman" w:hAnsi="Times New Roman" w:cs="Times New Roman"/>
          <w:bCs/>
          <w:caps w:val="0"/>
          <w:smallCaps w:val="0"/>
          <w:color w:val="auto"/>
          <w:spacing w:val="0"/>
          <w:w w:val="100"/>
          <w:kern w:val="21"/>
          <w:position w:val="0"/>
          <w:highlight w:val="none"/>
        </w:rPr>
        <w:t>9</w:t>
      </w:r>
      <w:r>
        <w:rPr>
          <w:rFonts w:hint="eastAsia" w:ascii="Times New Roman" w:hAnsi="Times New Roman" w:cs="Times New Roman"/>
          <w:bCs/>
          <w:caps w:val="0"/>
          <w:smallCaps w:val="0"/>
          <w:color w:val="auto"/>
          <w:spacing w:val="0"/>
          <w:w w:val="100"/>
          <w:kern w:val="21"/>
          <w:position w:val="0"/>
          <w:highlight w:val="none"/>
        </w:rPr>
        <w:t>7</w:t>
      </w:r>
      <w:r>
        <w:rPr>
          <w:rFonts w:ascii="Times New Roman" w:hAnsi="Times New Roman" w:cs="Times New Roman"/>
          <w:bCs/>
          <w:caps w:val="0"/>
          <w:smallCaps w:val="0"/>
          <w:color w:val="auto"/>
          <w:spacing w:val="0"/>
          <w:w w:val="100"/>
          <w:kern w:val="21"/>
          <w:position w:val="0"/>
          <w:highlight w:val="none"/>
        </w:rPr>
        <w:t>.2</w:t>
      </w:r>
      <w:r>
        <w:rPr>
          <w:rFonts w:ascii="Times New Roman" w:hAnsi="Times New Roman" w:cs="Times New Roman"/>
          <w:bCs/>
          <w:caps w:val="0"/>
          <w:smallCaps w:val="0"/>
          <w:color w:val="auto"/>
          <w:spacing w:val="0"/>
          <w:w w:val="100"/>
          <w:kern w:val="21"/>
          <w:position w:val="0"/>
          <w:highlight w:val="none"/>
          <w:lang w:val="de-DE"/>
        </w:rPr>
        <w:t>%，剩余处理能力满足本项目试压废水及清洗废水的处理需求。</w:t>
      </w:r>
    </w:p>
    <w:p w14:paraId="3F5ECDD0">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根据现场调查，项目所属区域注水井回注层位与油井开采层位相同，属于回注到现役油气藏层位。</w:t>
      </w:r>
      <w:r>
        <w:rPr>
          <w:rFonts w:ascii="Times New Roman" w:hAnsi="Times New Roman" w:cs="Times New Roman"/>
          <w:bCs/>
          <w:caps w:val="0"/>
          <w:smallCaps w:val="0"/>
          <w:color w:val="auto"/>
          <w:spacing w:val="0"/>
          <w:w w:val="100"/>
          <w:kern w:val="21"/>
          <w:position w:val="0"/>
          <w:highlight w:val="none"/>
        </w:rPr>
        <w:t>根据</w:t>
      </w:r>
      <w:r>
        <w:rPr>
          <w:rFonts w:hint="eastAsia" w:ascii="Times New Roman" w:hAnsi="Times New Roman" w:cs="Times New Roman"/>
          <w:bCs/>
          <w:caps w:val="0"/>
          <w:smallCaps w:val="0"/>
          <w:color w:val="auto"/>
          <w:spacing w:val="0"/>
          <w:w w:val="100"/>
          <w:kern w:val="21"/>
          <w:position w:val="0"/>
          <w:highlight w:val="none"/>
        </w:rPr>
        <w:t>本次工程检测报告</w:t>
      </w:r>
      <w:r>
        <w:rPr>
          <w:rFonts w:ascii="Times New Roman" w:hAnsi="Times New Roman" w:cs="Times New Roman"/>
          <w:bCs/>
          <w:caps w:val="0"/>
          <w:smallCaps w:val="0"/>
          <w:color w:val="auto"/>
          <w:spacing w:val="0"/>
          <w:w w:val="100"/>
          <w:kern w:val="21"/>
          <w:position w:val="0"/>
          <w:highlight w:val="none"/>
        </w:rPr>
        <w:t>（监测报告编号：</w:t>
      </w:r>
      <w:r>
        <w:rPr>
          <w:rFonts w:hint="eastAsia" w:ascii="Times New Roman" w:hAnsi="Times New Roman" w:cs="Times New Roman"/>
          <w:bCs/>
          <w:caps w:val="0"/>
          <w:smallCaps w:val="0"/>
          <w:color w:val="auto"/>
          <w:spacing w:val="0"/>
          <w:w w:val="100"/>
          <w:kern w:val="21"/>
          <w:position w:val="0"/>
          <w:highlight w:val="none"/>
        </w:rPr>
        <w:t>中检(BH)字2026第02-006号</w:t>
      </w:r>
      <w:r>
        <w:rPr>
          <w:rFonts w:ascii="Times New Roman" w:hAnsi="Times New Roman" w:cs="Times New Roman"/>
          <w:bCs/>
          <w:caps w:val="0"/>
          <w:smallCaps w:val="0"/>
          <w:color w:val="auto"/>
          <w:spacing w:val="0"/>
          <w:w w:val="100"/>
          <w:kern w:val="21"/>
          <w:position w:val="0"/>
          <w:highlight w:val="none"/>
        </w:rPr>
        <w:t>）中对卫一联含油污水深度处理站的监测数据显示，卫一联含油污水深度处理站处理后的污水含油量为</w:t>
      </w:r>
      <w:r>
        <w:rPr>
          <w:rFonts w:hint="eastAsia" w:ascii="Times New Roman" w:hAnsi="Times New Roman" w:cs="Times New Roman"/>
          <w:bCs/>
          <w:caps w:val="0"/>
          <w:smallCaps w:val="0"/>
          <w:color w:val="auto"/>
          <w:spacing w:val="0"/>
          <w:w w:val="100"/>
          <w:kern w:val="21"/>
          <w:position w:val="0"/>
          <w:highlight w:val="none"/>
        </w:rPr>
        <w:t>1.46</w:t>
      </w:r>
      <w:r>
        <w:rPr>
          <w:rFonts w:ascii="Times New Roman" w:hAnsi="Times New Roman" w:cs="Times New Roman"/>
          <w:bCs/>
          <w:caps w:val="0"/>
          <w:smallCaps w:val="0"/>
          <w:color w:val="auto"/>
          <w:spacing w:val="0"/>
          <w:w w:val="100"/>
          <w:kern w:val="21"/>
          <w:position w:val="0"/>
          <w:highlight w:val="none"/>
        </w:rPr>
        <w:t>~</w:t>
      </w:r>
      <w:r>
        <w:rPr>
          <w:rFonts w:hint="eastAsia" w:ascii="Times New Roman" w:hAnsi="Times New Roman" w:cs="Times New Roman"/>
          <w:bCs/>
          <w:caps w:val="0"/>
          <w:smallCaps w:val="0"/>
          <w:color w:val="auto"/>
          <w:spacing w:val="0"/>
          <w:w w:val="100"/>
          <w:kern w:val="21"/>
          <w:position w:val="0"/>
          <w:highlight w:val="none"/>
        </w:rPr>
        <w:t>2.15</w:t>
      </w:r>
      <w:r>
        <w:rPr>
          <w:rFonts w:ascii="Times New Roman" w:hAnsi="Times New Roman" w:cs="Times New Roman"/>
          <w:bCs/>
          <w:caps w:val="0"/>
          <w:smallCaps w:val="0"/>
          <w:color w:val="auto"/>
          <w:spacing w:val="0"/>
          <w:w w:val="100"/>
          <w:kern w:val="21"/>
          <w:position w:val="0"/>
          <w:highlight w:val="none"/>
        </w:rPr>
        <w:t>mg/L，悬浮固体含量为</w:t>
      </w:r>
      <w:r>
        <w:rPr>
          <w:rFonts w:hint="eastAsia" w:ascii="Times New Roman" w:hAnsi="Times New Roman" w:cs="Times New Roman"/>
          <w:bCs/>
          <w:caps w:val="0"/>
          <w:smallCaps w:val="0"/>
          <w:color w:val="auto"/>
          <w:spacing w:val="0"/>
          <w:w w:val="100"/>
          <w:kern w:val="21"/>
          <w:position w:val="0"/>
          <w:highlight w:val="none"/>
        </w:rPr>
        <w:t>2</w:t>
      </w:r>
      <w:r>
        <w:rPr>
          <w:rFonts w:ascii="Times New Roman" w:hAnsi="Times New Roman" w:cs="Times New Roman"/>
          <w:bCs/>
          <w:caps w:val="0"/>
          <w:smallCaps w:val="0"/>
          <w:color w:val="auto"/>
          <w:spacing w:val="0"/>
          <w:w w:val="100"/>
          <w:kern w:val="21"/>
          <w:position w:val="0"/>
          <w:highlight w:val="none"/>
        </w:rPr>
        <w:t>~3mg/L，满足《大庆油田地面工程建设设计规定》（Q/SYDQ0639-2015）及《碎屑岩油藏注水水质指标技术要求及分析方法》（SY/T5329-2022）限值要求，处理后污水回注油层，符合《关于进一步加强石油天然气行业环境影响评价管理的通知》（环办环评函〔2019〕910 号）中相关要求，本项目依托可行。</w:t>
      </w:r>
    </w:p>
    <w:p w14:paraId="330A82C0">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②</w:t>
      </w:r>
      <w:r>
        <w:rPr>
          <w:rFonts w:ascii="Times New Roman" w:hAnsi="Times New Roman" w:cs="Times New Roman"/>
          <w:caps w:val="0"/>
          <w:smallCaps w:val="0"/>
          <w:color w:val="auto"/>
          <w:spacing w:val="0"/>
          <w:w w:val="100"/>
          <w:kern w:val="21"/>
          <w:position w:val="0"/>
          <w:highlight w:val="none"/>
        </w:rPr>
        <w:t>生活污水</w:t>
      </w:r>
    </w:p>
    <w:p w14:paraId="3546BF97">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ascii="Times New Roman" w:hAnsi="Times New Roman" w:cs="Times New Roman"/>
          <w:bCs/>
          <w:caps w:val="0"/>
          <w:smallCaps w:val="0"/>
          <w:color w:val="auto"/>
          <w:spacing w:val="0"/>
          <w:w w:val="100"/>
          <w:kern w:val="21"/>
          <w:position w:val="0"/>
          <w:highlight w:val="none"/>
        </w:rPr>
        <w:t>本项目不设施工营地，且本项目均在昼间进行施工，施工期施工人员产生的生活污水排入附近计量间或场站已建防渗旱厕，定期由</w:t>
      </w:r>
      <w:r>
        <w:rPr>
          <w:rFonts w:hint="eastAsia" w:ascii="Times New Roman" w:hAnsi="Times New Roman" w:cs="Times New Roman"/>
          <w:bCs/>
          <w:caps w:val="0"/>
          <w:smallCaps w:val="0"/>
          <w:color w:val="auto"/>
          <w:spacing w:val="0"/>
          <w:w w:val="100"/>
          <w:kern w:val="21"/>
          <w:position w:val="0"/>
          <w:highlight w:val="none"/>
          <w:lang w:eastAsia="zh-CN"/>
        </w:rPr>
        <w:t>安达市同昌油田工程有限公司拉运至大庆市净源环保科技有限公司进行处理</w:t>
      </w:r>
      <w:r>
        <w:rPr>
          <w:rFonts w:ascii="Times New Roman" w:hAnsi="Times New Roman" w:cs="Times New Roman"/>
          <w:bCs/>
          <w:caps w:val="0"/>
          <w:smallCaps w:val="0"/>
          <w:color w:val="auto"/>
          <w:spacing w:val="0"/>
          <w:w w:val="100"/>
          <w:kern w:val="21"/>
          <w:position w:val="0"/>
          <w:highlight w:val="none"/>
        </w:rPr>
        <w:t>。</w:t>
      </w:r>
    </w:p>
    <w:p w14:paraId="2D91BD5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综上所述，本项目施工期产生的各类废水均可以得到有效处置，项目施工期的废水污染防治措施合理可行。</w:t>
      </w:r>
    </w:p>
    <w:p w14:paraId="4B1986A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（2）施工期地表水保护措施</w:t>
      </w:r>
    </w:p>
    <w:p w14:paraId="2D506D0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①</w:t>
      </w:r>
      <w:r>
        <w:rPr>
          <w:rFonts w:ascii="Times New Roman" w:hAnsi="Times New Roman" w:cs="Times New Roman" w:eastAsiaTheme="minorEastAsia"/>
          <w:caps w:val="0"/>
          <w:smallCaps w:val="0"/>
          <w:color w:val="auto"/>
          <w:spacing w:val="0"/>
          <w:w w:val="100"/>
          <w:kern w:val="21"/>
          <w:position w:val="0"/>
          <w:highlight w:val="none"/>
        </w:rPr>
        <w:t>合理规划：施工单位严格按照有关规定安排施工作业；合理进行施工组织和场地布置；对施工运输合理规划、布局，利用既有道路，运输车辆按指定路线运行；施工运输车辆加盖棚布，防止运输材料洒落，产生扬尘，影响区域内环境。</w:t>
      </w:r>
    </w:p>
    <w:p w14:paraId="017422CE">
      <w:pPr>
        <w:widowControl w:val="0"/>
        <w:spacing w:line="440" w:lineRule="exact"/>
        <w:ind w:firstLine="473"/>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②</w:t>
      </w:r>
      <w:r>
        <w:rPr>
          <w:rFonts w:ascii="Times New Roman" w:hAnsi="Times New Roman" w:cs="Times New Roman" w:eastAsiaTheme="minorEastAsia"/>
          <w:caps w:val="0"/>
          <w:smallCaps w:val="0"/>
          <w:color w:val="auto"/>
          <w:spacing w:val="0"/>
          <w:w w:val="100"/>
          <w:kern w:val="21"/>
          <w:position w:val="0"/>
          <w:highlight w:val="none"/>
        </w:rPr>
        <w:t>施工期间各类固体废物应及时清运，施工期间严禁将污水及固体废物直接排放至周围地表水体中。</w:t>
      </w:r>
    </w:p>
    <w:p w14:paraId="5F67EA36">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③</w:t>
      </w:r>
      <w:r>
        <w:rPr>
          <w:rFonts w:ascii="Times New Roman" w:hAnsi="Times New Roman" w:cs="Times New Roman"/>
          <w:bCs/>
          <w:caps w:val="0"/>
          <w:smallCaps w:val="0"/>
          <w:color w:val="auto"/>
          <w:spacing w:val="0"/>
          <w:w w:val="100"/>
          <w:kern w:val="21"/>
          <w:position w:val="0"/>
          <w:highlight w:val="none"/>
        </w:rPr>
        <w:t>本项目采用环境友好型的水基泥浆，施工期间设置钢制泥浆槽，并采取铺设</w:t>
      </w:r>
      <w:r>
        <w:rPr>
          <w:rFonts w:hint="eastAsia" w:ascii="Times New Roman" w:hAnsi="Times New Roman" w:cs="Times New Roman"/>
          <w:bCs/>
          <w:caps w:val="0"/>
          <w:smallCaps w:val="0"/>
          <w:color w:val="auto"/>
          <w:spacing w:val="0"/>
          <w:w w:val="100"/>
          <w:kern w:val="21"/>
          <w:position w:val="0"/>
          <w:highlight w:val="none"/>
        </w:rPr>
        <w:t>防渗布</w:t>
      </w:r>
      <w:r>
        <w:rPr>
          <w:rFonts w:ascii="Times New Roman" w:hAnsi="Times New Roman" w:cs="Times New Roman"/>
          <w:bCs/>
          <w:caps w:val="0"/>
          <w:smallCaps w:val="0"/>
          <w:color w:val="auto"/>
          <w:spacing w:val="0"/>
          <w:w w:val="100"/>
          <w:kern w:val="21"/>
          <w:position w:val="0"/>
          <w:highlight w:val="none"/>
        </w:rPr>
        <w:t>进行防渗，废弃泥浆排入施工场地的钢制泥浆槽中，定期拉运至大庆洁宇环保科技有限公司处理</w:t>
      </w:r>
      <w:r>
        <w:rPr>
          <w:rFonts w:hint="eastAsia" w:ascii="Times New Roman" w:hAnsi="Times New Roman" w:cs="Times New Roman"/>
          <w:bCs/>
          <w:caps w:val="0"/>
          <w:smallCaps w:val="0"/>
          <w:color w:val="auto"/>
          <w:spacing w:val="0"/>
          <w:w w:val="100"/>
          <w:kern w:val="21"/>
          <w:position w:val="0"/>
          <w:highlight w:val="none"/>
        </w:rPr>
        <w:t>，确保废弃泥浆不会流入外环境</w:t>
      </w:r>
      <w:r>
        <w:rPr>
          <w:rFonts w:ascii="Times New Roman" w:hAnsi="Times New Roman" w:cs="Times New Roman"/>
          <w:bCs/>
          <w:caps w:val="0"/>
          <w:smallCaps w:val="0"/>
          <w:color w:val="auto"/>
          <w:spacing w:val="0"/>
          <w:w w:val="100"/>
          <w:kern w:val="21"/>
          <w:position w:val="0"/>
          <w:highlight w:val="none"/>
        </w:rPr>
        <w:t>。</w:t>
      </w:r>
    </w:p>
    <w:p w14:paraId="30910E5C">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④</w:t>
      </w:r>
      <w:r>
        <w:rPr>
          <w:rFonts w:ascii="Times New Roman" w:hAnsi="Times New Roman" w:cs="Times New Roman"/>
          <w:caps w:val="0"/>
          <w:smallCaps w:val="0"/>
          <w:color w:val="auto"/>
          <w:spacing w:val="0"/>
          <w:w w:val="100"/>
          <w:kern w:val="21"/>
          <w:position w:val="0"/>
          <w:highlight w:val="none"/>
        </w:rPr>
        <w:t>管线施工尽量</w:t>
      </w:r>
      <w:r>
        <w:rPr>
          <w:rFonts w:hint="eastAsia" w:ascii="Times New Roman" w:hAnsi="Times New Roman" w:cs="Times New Roman"/>
          <w:caps w:val="0"/>
          <w:smallCaps w:val="0"/>
          <w:color w:val="auto"/>
          <w:spacing w:val="0"/>
          <w:w w:val="100"/>
          <w:kern w:val="21"/>
          <w:position w:val="0"/>
          <w:highlight w:val="none"/>
        </w:rPr>
        <w:t>避开</w:t>
      </w:r>
      <w:r>
        <w:rPr>
          <w:rFonts w:ascii="Times New Roman" w:hAnsi="Times New Roman" w:cs="Times New Roman"/>
          <w:caps w:val="0"/>
          <w:smallCaps w:val="0"/>
          <w:color w:val="auto"/>
          <w:spacing w:val="0"/>
          <w:w w:val="100"/>
          <w:kern w:val="21"/>
          <w:position w:val="0"/>
          <w:highlight w:val="none"/>
        </w:rPr>
        <w:t>雨季施工，避免污染物随雨水径流进入地表水体可能造成的污染影响。</w:t>
      </w:r>
    </w:p>
    <w:p w14:paraId="47E09E36">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⑤</w:t>
      </w:r>
      <w:r>
        <w:rPr>
          <w:rFonts w:ascii="Times New Roman" w:hAnsi="Times New Roman" w:cs="Times New Roman"/>
          <w:caps w:val="0"/>
          <w:smallCaps w:val="0"/>
          <w:color w:val="auto"/>
          <w:spacing w:val="0"/>
          <w:w w:val="100"/>
          <w:kern w:val="21"/>
          <w:position w:val="0"/>
          <w:highlight w:val="none"/>
        </w:rPr>
        <w:t>确保</w:t>
      </w:r>
      <w:r>
        <w:rPr>
          <w:rFonts w:hint="eastAsia" w:ascii="Times New Roman" w:hAnsi="Times New Roman" w:cs="Times New Roman"/>
          <w:caps w:val="0"/>
          <w:smallCaps w:val="0"/>
          <w:color w:val="auto"/>
          <w:spacing w:val="0"/>
          <w:w w:val="100"/>
          <w:kern w:val="21"/>
          <w:position w:val="0"/>
          <w:highlight w:val="none"/>
          <w:lang w:val="en-US" w:eastAsia="zh-CN"/>
        </w:rPr>
        <w:t>第十一采油厂</w:t>
      </w:r>
      <w:r>
        <w:rPr>
          <w:rFonts w:ascii="Times New Roman" w:hAnsi="Times New Roman" w:cs="Times New Roman"/>
          <w:caps w:val="0"/>
          <w:smallCaps w:val="0"/>
          <w:color w:val="auto"/>
          <w:spacing w:val="0"/>
          <w:w w:val="100"/>
          <w:kern w:val="21"/>
          <w:position w:val="0"/>
          <w:highlight w:val="none"/>
        </w:rPr>
        <w:t>应急物资库的围油栏、铁锹、吸油毡、消油剂等应急工具和设备齐备完好，以便在发生泄漏事故时对产生的污油污水进行及时回收和处理，避免对周围环境产生污染。</w:t>
      </w:r>
    </w:p>
    <w:p w14:paraId="0F225FB4">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⑥</w:t>
      </w:r>
      <w:r>
        <w:rPr>
          <w:rFonts w:ascii="Times New Roman" w:hAnsi="Times New Roman" w:cs="Times New Roman" w:eastAsiaTheme="minorEastAsia"/>
          <w:caps w:val="0"/>
          <w:smallCaps w:val="0"/>
          <w:color w:val="auto"/>
          <w:spacing w:val="0"/>
          <w:w w:val="100"/>
          <w:kern w:val="21"/>
          <w:position w:val="0"/>
          <w:highlight w:val="none"/>
        </w:rPr>
        <w:t>宣传教育：施工单位应加强对施工人员爱护环境防止地表水体破坏的宣传教育活动，在施工过程中，应做到井然有序的实施组织设计，做到文明施工。</w:t>
      </w:r>
    </w:p>
    <w:p w14:paraId="34BE26F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综合分析，采取以上措施，施工期地表水环境污染防治措施可行。</w:t>
      </w:r>
    </w:p>
    <w:p w14:paraId="7DE918B5">
      <w:pPr>
        <w:pStyle w:val="149"/>
        <w:widowControl w:val="0"/>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6.1.2.2</w:t>
      </w:r>
      <w:r>
        <w:rPr>
          <w:rFonts w:ascii="Times New Roman" w:hAnsi="Times New Roman" w:eastAsiaTheme="minorEastAsia"/>
          <w:b/>
          <w:caps w:val="0"/>
          <w:smallCaps w:val="0"/>
          <w:color w:val="auto"/>
          <w:spacing w:val="0"/>
          <w:w w:val="100"/>
          <w:position w:val="0"/>
          <w:highlight w:val="none"/>
        </w:rPr>
        <w:t>运营期废水处理措施及地表水保护措施</w:t>
      </w:r>
    </w:p>
    <w:p w14:paraId="7265CF3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本项目运营期管线主要采用密闭输送方式输送</w:t>
      </w:r>
      <w:r>
        <w:rPr>
          <w:rFonts w:hint="eastAsia" w:ascii="Times New Roman" w:hAnsi="Times New Roman" w:cs="Times New Roman" w:eastAsiaTheme="minorEastAsia"/>
          <w:caps w:val="0"/>
          <w:smallCaps w:val="0"/>
          <w:color w:val="auto"/>
          <w:spacing w:val="0"/>
          <w:w w:val="100"/>
          <w:kern w:val="21"/>
          <w:position w:val="0"/>
          <w:highlight w:val="none"/>
          <w:lang w:val="en-US" w:eastAsia="zh-CN"/>
        </w:rPr>
        <w:t>原油、含油污水</w:t>
      </w:r>
      <w:r>
        <w:rPr>
          <w:rFonts w:ascii="Times New Roman" w:hAnsi="Times New Roman" w:cs="Times New Roman" w:eastAsiaTheme="minorEastAsia"/>
          <w:caps w:val="0"/>
          <w:smallCaps w:val="0"/>
          <w:color w:val="auto"/>
          <w:spacing w:val="0"/>
          <w:w w:val="100"/>
          <w:kern w:val="21"/>
          <w:position w:val="0"/>
          <w:highlight w:val="none"/>
        </w:rPr>
        <w:t>，正常运行状况下无废水产生及排放。为避免事故状态下</w:t>
      </w:r>
      <w:r>
        <w:rPr>
          <w:rFonts w:hint="eastAsia" w:eastAsiaTheme="minorEastAsia"/>
          <w:bCs/>
          <w:color w:val="auto"/>
          <w:sz w:val="24"/>
          <w:highlight w:val="none"/>
          <w:lang w:val="en-US" w:eastAsia="zh-CN"/>
        </w:rPr>
        <w:t>集输</w:t>
      </w:r>
      <w:r>
        <w:rPr>
          <w:rFonts w:ascii="Times New Roman" w:hAnsi="Times New Roman" w:cs="Times New Roman" w:eastAsiaTheme="minorEastAsia"/>
          <w:caps w:val="0"/>
          <w:smallCaps w:val="0"/>
          <w:color w:val="auto"/>
          <w:spacing w:val="0"/>
          <w:w w:val="100"/>
          <w:kern w:val="21"/>
          <w:position w:val="0"/>
          <w:highlight w:val="none"/>
        </w:rPr>
        <w:t>管道中的含油污水泄露对地表水的影响，采取以下措施：</w:t>
      </w:r>
    </w:p>
    <w:p w14:paraId="7BFA7739">
      <w:pPr>
        <w:widowControl w:val="0"/>
        <w:spacing w:line="440" w:lineRule="exact"/>
        <w:ind w:firstLine="480" w:firstLineChars="200"/>
        <w:jc w:val="both"/>
        <w:rPr>
          <w:rFonts w:hint="eastAsia" w:ascii="Times New Roman" w:hAnsi="Times New Roman" w:cs="Times New Roman" w:eastAsiaTheme="minorEastAsia"/>
          <w:bCs/>
          <w:caps w:val="0"/>
          <w:smallCaps w:val="0"/>
          <w:color w:val="auto"/>
          <w:spacing w:val="0"/>
          <w:w w:val="100"/>
          <w:kern w:val="21"/>
          <w:position w:val="0"/>
          <w:highlight w:val="none"/>
          <w:lang w:val="en-US" w:eastAsia="zh-CN"/>
        </w:rPr>
      </w:pPr>
      <w:r>
        <w:rPr>
          <w:rFonts w:ascii="Times New Roman" w:hAnsi="Times New Roman" w:cs="Times New Roman" w:eastAsiaTheme="minorEastAsia"/>
          <w:bCs/>
          <w:caps w:val="0"/>
          <w:smallCaps w:val="0"/>
          <w:color w:val="auto"/>
          <w:spacing w:val="0"/>
          <w:w w:val="100"/>
          <w:kern w:val="21"/>
          <w:position w:val="0"/>
          <w:highlight w:val="none"/>
        </w:rPr>
        <w:t>（1）新建</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集输</w:t>
      </w:r>
      <w:r>
        <w:rPr>
          <w:rFonts w:ascii="Times New Roman" w:hAnsi="Times New Roman" w:cs="Times New Roman" w:eastAsiaTheme="minorEastAsia"/>
          <w:bCs/>
          <w:caps w:val="0"/>
          <w:smallCaps w:val="0"/>
          <w:color w:val="auto"/>
          <w:spacing w:val="0"/>
          <w:w w:val="100"/>
          <w:kern w:val="21"/>
          <w:position w:val="0"/>
          <w:highlight w:val="none"/>
        </w:rPr>
        <w:t>管道采用无缝钢管，管道的连接方式采用焊接，管道内</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防腐采用</w:t>
      </w:r>
      <w:r>
        <w:rPr>
          <w:rFonts w:ascii="Times New Roman" w:hAnsi="Times New Roman" w:cs="Times New Roman" w:eastAsiaTheme="minorEastAsia"/>
          <w:bCs/>
          <w:caps w:val="0"/>
          <w:smallCaps w:val="0"/>
          <w:color w:val="auto"/>
          <w:spacing w:val="0"/>
          <w:w w:val="100"/>
          <w:kern w:val="21"/>
          <w:position w:val="0"/>
          <w:highlight w:val="none"/>
          <w:lang w:val="en-US" w:eastAsia="zh-CN"/>
        </w:rPr>
        <w:t>内缠聚乙烯胶带普通级防腐聚</w:t>
      </w:r>
      <w:r>
        <w:rPr>
          <w:rFonts w:hint="default" w:ascii="Times New Roman" w:hAnsi="Times New Roman" w:cs="Times New Roman" w:eastAsiaTheme="minorEastAsia"/>
          <w:bCs/>
          <w:caps w:val="0"/>
          <w:smallCaps w:val="0"/>
          <w:color w:val="auto"/>
          <w:spacing w:val="0"/>
          <w:w w:val="100"/>
          <w:kern w:val="21"/>
          <w:position w:val="0"/>
          <w:highlight w:val="none"/>
          <w:lang w:val="en-US" w:eastAsia="zh-CN"/>
        </w:rPr>
        <w:t>氨酯保温聚乙烯保护成品管</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，套管内外壁防腐采用环氧煤沥青涂料普通级，1底4面。</w:t>
      </w:r>
    </w:p>
    <w:p w14:paraId="46CA52F5">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防腐补口采用配套聚乙烯黏胶带。保温补口采用配套硬质聚氨酯管壳补口。保护层补口采用配套2PE交联聚乙烯热收缩带补口。 沥青防腐胶带补口采用无溶剂环氧底漆+沥青防腐胶带，加强级，胶带缠2遍</w:t>
      </w:r>
      <w:r>
        <w:rPr>
          <w:rFonts w:ascii="Times New Roman" w:hAnsi="Times New Roman" w:cs="Times New Roman" w:eastAsiaTheme="minorEastAsia"/>
          <w:bCs/>
          <w:caps w:val="0"/>
          <w:smallCaps w:val="0"/>
          <w:color w:val="auto"/>
          <w:spacing w:val="0"/>
          <w:w w:val="100"/>
          <w:kern w:val="21"/>
          <w:position w:val="0"/>
          <w:highlight w:val="none"/>
        </w:rPr>
        <w:t>，能有效防止管线泄漏污染地表水。</w:t>
      </w:r>
    </w:p>
    <w:p w14:paraId="5ADD57D8">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（2）定期对新建</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集输</w:t>
      </w:r>
      <w:r>
        <w:rPr>
          <w:rFonts w:ascii="Times New Roman" w:hAnsi="Times New Roman" w:cs="Times New Roman" w:eastAsiaTheme="minorEastAsia"/>
          <w:bCs/>
          <w:caps w:val="0"/>
          <w:smallCaps w:val="0"/>
          <w:color w:val="auto"/>
          <w:spacing w:val="0"/>
          <w:w w:val="100"/>
          <w:kern w:val="21"/>
          <w:position w:val="0"/>
          <w:highlight w:val="none"/>
        </w:rPr>
        <w:t>管道腐蚀情况进行检测，定期检测管道壁厚，发现问题及时处理，可有效的防止泄漏事故发生。</w:t>
      </w:r>
    </w:p>
    <w:p w14:paraId="787FE74F">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3）项目设有专职人员对集输管线进行定期巡检，加大巡线频率，提高巡线的有效性；每天检查管道施工带，查看地表情况，并关注在此地带的人员活动情况，发现对管道安全有影响的行为，应及时制止、采取相应措施并向上级报告。</w:t>
      </w:r>
    </w:p>
    <w:p w14:paraId="079439C9">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4</w:t>
      </w:r>
      <w:r>
        <w:rPr>
          <w:rFonts w:ascii="Times New Roman" w:hAnsi="Times New Roman" w:cs="Times New Roman" w:eastAsiaTheme="minorEastAsia"/>
          <w:bCs/>
          <w:caps w:val="0"/>
          <w:smallCaps w:val="0"/>
          <w:color w:val="auto"/>
          <w:spacing w:val="0"/>
          <w:w w:val="100"/>
          <w:kern w:val="21"/>
          <w:position w:val="0"/>
          <w:highlight w:val="none"/>
        </w:rPr>
        <w:t>）项目依托注配间压力监控系统进行实时压力监控，一旦发生泄漏管道压力就会出现异常，工作人员可第一时间发现，发现后采取关闭机泵等措施进行控制。</w:t>
      </w:r>
    </w:p>
    <w:p w14:paraId="5C799A27">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5</w:t>
      </w:r>
      <w:r>
        <w:rPr>
          <w:rFonts w:ascii="Times New Roman" w:hAnsi="Times New Roman" w:cs="Times New Roman" w:eastAsiaTheme="minorEastAsia"/>
          <w:bCs/>
          <w:caps w:val="0"/>
          <w:smallCaps w:val="0"/>
          <w:color w:val="auto"/>
          <w:spacing w:val="0"/>
          <w:w w:val="100"/>
          <w:kern w:val="21"/>
          <w:position w:val="0"/>
          <w:highlight w:val="none"/>
        </w:rPr>
        <w:t>）</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第十一采油厂</w:t>
      </w:r>
      <w:r>
        <w:rPr>
          <w:rFonts w:ascii="Times New Roman" w:hAnsi="Times New Roman" w:cs="Times New Roman" w:eastAsiaTheme="minorEastAsia"/>
          <w:bCs/>
          <w:caps w:val="0"/>
          <w:smallCaps w:val="0"/>
          <w:color w:val="auto"/>
          <w:spacing w:val="0"/>
          <w:w w:val="100"/>
          <w:kern w:val="21"/>
          <w:position w:val="0"/>
          <w:highlight w:val="none"/>
        </w:rPr>
        <w:t>在管线运</w:t>
      </w:r>
      <w:r>
        <w:rPr>
          <w:rFonts w:hint="eastAsia" w:ascii="Times New Roman" w:hAnsi="Times New Roman" w:cs="Times New Roman" w:eastAsiaTheme="minorEastAsia"/>
          <w:bCs/>
          <w:caps w:val="0"/>
          <w:smallCaps w:val="0"/>
          <w:color w:val="auto"/>
          <w:spacing w:val="0"/>
          <w:w w:val="100"/>
          <w:kern w:val="21"/>
          <w:position w:val="0"/>
          <w:highlight w:val="none"/>
        </w:rPr>
        <w:t>行</w:t>
      </w:r>
      <w:r>
        <w:rPr>
          <w:rFonts w:ascii="Times New Roman" w:hAnsi="Times New Roman" w:cs="Times New Roman" w:eastAsiaTheme="minorEastAsia"/>
          <w:bCs/>
          <w:caps w:val="0"/>
          <w:smallCaps w:val="0"/>
          <w:color w:val="auto"/>
          <w:spacing w:val="0"/>
          <w:w w:val="100"/>
          <w:kern w:val="21"/>
          <w:position w:val="0"/>
          <w:highlight w:val="none"/>
        </w:rPr>
        <w:t>管理中制定严格有效的日常管理和抢险维修制度，加强穿越管段的日常巡检和各种内外检测工作，做好应急抢险演练，及时发现第三方施工、地质灾害等危及管道安全的现象，提高应对管道风险能力。</w:t>
      </w:r>
    </w:p>
    <w:p w14:paraId="401BA49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bCs/>
          <w:caps w:val="0"/>
          <w:smallCaps w:val="0"/>
          <w:color w:val="auto"/>
          <w:spacing w:val="0"/>
          <w:w w:val="100"/>
          <w:kern w:val="21"/>
          <w:position w:val="0"/>
          <w:highlight w:val="none"/>
        </w:rPr>
        <w:t>（</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6</w:t>
      </w:r>
      <w:r>
        <w:rPr>
          <w:rFonts w:ascii="Times New Roman" w:hAnsi="Times New Roman" w:cs="Times New Roman" w:eastAsiaTheme="minorEastAsia"/>
          <w:bCs/>
          <w:caps w:val="0"/>
          <w:smallCaps w:val="0"/>
          <w:color w:val="auto"/>
          <w:spacing w:val="0"/>
          <w:w w:val="100"/>
          <w:kern w:val="21"/>
          <w:position w:val="0"/>
          <w:highlight w:val="none"/>
        </w:rPr>
        <w:t>）</w:t>
      </w:r>
      <w:r>
        <w:rPr>
          <w:rFonts w:hint="eastAsia" w:ascii="Times New Roman" w:hAnsi="Times New Roman" w:cs="Times New Roman" w:eastAsiaTheme="minorEastAsia"/>
          <w:bCs/>
          <w:caps w:val="0"/>
          <w:smallCaps w:val="0"/>
          <w:color w:val="auto"/>
          <w:spacing w:val="0"/>
          <w:w w:val="100"/>
          <w:kern w:val="21"/>
          <w:position w:val="0"/>
          <w:highlight w:val="none"/>
          <w:lang w:val="en-US" w:eastAsia="zh-CN"/>
        </w:rPr>
        <w:t>第十一采油厂</w:t>
      </w:r>
      <w:r>
        <w:rPr>
          <w:rFonts w:ascii="Times New Roman" w:hAnsi="Times New Roman" w:cs="Times New Roman" w:eastAsiaTheme="minorEastAsia"/>
          <w:bCs/>
          <w:caps w:val="0"/>
          <w:smallCaps w:val="0"/>
          <w:color w:val="auto"/>
          <w:spacing w:val="0"/>
          <w:w w:val="100"/>
          <w:kern w:val="21"/>
          <w:position w:val="0"/>
          <w:highlight w:val="none"/>
        </w:rPr>
        <w:t>配备有围油栏、吸油毡、消油剂、接油桶等应急物资，若一旦原油泄漏到地表水体，可在发生泄漏事故时对产生的污水进行及时回收和处理。可将事故造成的影响降至最小，避免对周围地表水环境产生大面积污染。</w:t>
      </w:r>
    </w:p>
    <w:p w14:paraId="7F86B15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采取以上措施，运营期地表水环境污染防治措施可行。</w:t>
      </w:r>
    </w:p>
    <w:p w14:paraId="6D4F1B91">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6.1.2.3退役期废水处理措施及地表水保护措施</w:t>
      </w:r>
    </w:p>
    <w:p w14:paraId="0EE1815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（1）退役期废水处理措施</w:t>
      </w:r>
    </w:p>
    <w:p w14:paraId="7C2B9D3A">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①</w:t>
      </w:r>
      <w:r>
        <w:rPr>
          <w:rFonts w:ascii="Times New Roman" w:hAnsi="Times New Roman" w:cs="Times New Roman" w:eastAsiaTheme="minorEastAsia"/>
          <w:bCs/>
          <w:caps w:val="0"/>
          <w:smallCaps w:val="0"/>
          <w:color w:val="auto"/>
          <w:spacing w:val="0"/>
          <w:w w:val="100"/>
          <w:kern w:val="21"/>
          <w:position w:val="0"/>
          <w:highlight w:val="none"/>
        </w:rPr>
        <w:t>本项目退役期不设施工营地，退役期生活污水排入附近计量间或场站已建防渗旱厕，定期由</w:t>
      </w:r>
      <w:r>
        <w:rPr>
          <w:rFonts w:hint="eastAsia" w:ascii="Times New Roman" w:hAnsi="Times New Roman" w:cs="Times New Roman" w:eastAsiaTheme="minorEastAsia"/>
          <w:bCs/>
          <w:caps w:val="0"/>
          <w:smallCaps w:val="0"/>
          <w:color w:val="auto"/>
          <w:spacing w:val="0"/>
          <w:w w:val="100"/>
          <w:kern w:val="21"/>
          <w:position w:val="0"/>
          <w:highlight w:val="none"/>
          <w:lang w:eastAsia="zh-CN"/>
        </w:rPr>
        <w:t>安达市同昌油田工程有限公司拉运至大庆市净源环保科技有限公司进行处理</w:t>
      </w:r>
      <w:r>
        <w:rPr>
          <w:rFonts w:ascii="Times New Roman" w:hAnsi="Times New Roman" w:cs="Times New Roman" w:eastAsiaTheme="minorEastAsia"/>
          <w:caps w:val="0"/>
          <w:smallCaps w:val="0"/>
          <w:color w:val="auto"/>
          <w:spacing w:val="0"/>
          <w:w w:val="100"/>
          <w:kern w:val="21"/>
          <w:position w:val="0"/>
          <w:highlight w:val="none"/>
        </w:rPr>
        <w:t>；</w:t>
      </w:r>
    </w:p>
    <w:p w14:paraId="303BA3DF">
      <w:pPr>
        <w:widowControl w:val="0"/>
        <w:spacing w:line="440" w:lineRule="exact"/>
        <w:ind w:firstLine="480" w:firstLineChars="200"/>
        <w:jc w:val="both"/>
        <w:rPr>
          <w:rFonts w:ascii="Times New Roman" w:hAnsi="Times New Roman" w:cs="Times New Roman" w:eastAsiaTheme="minorEastAsia"/>
          <w:bCs/>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②</w:t>
      </w:r>
      <w:r>
        <w:rPr>
          <w:rFonts w:hint="eastAsia" w:ascii="Times New Roman" w:hAnsi="Times New Roman" w:cs="Times New Roman" w:eastAsiaTheme="minorEastAsia"/>
          <w:bCs/>
          <w:caps w:val="0"/>
          <w:smallCaps w:val="0"/>
          <w:color w:val="auto"/>
          <w:spacing w:val="0"/>
          <w:w w:val="100"/>
          <w:kern w:val="21"/>
          <w:position w:val="0"/>
          <w:highlight w:val="none"/>
        </w:rPr>
        <w:t>退役管线</w:t>
      </w:r>
      <w:r>
        <w:rPr>
          <w:rFonts w:ascii="Times New Roman" w:hAnsi="Times New Roman" w:cs="Times New Roman" w:eastAsiaTheme="minorEastAsia"/>
          <w:bCs/>
          <w:caps w:val="0"/>
          <w:smallCaps w:val="0"/>
          <w:color w:val="auto"/>
          <w:spacing w:val="0"/>
          <w:w w:val="100"/>
          <w:kern w:val="21"/>
          <w:position w:val="0"/>
          <w:highlight w:val="none"/>
        </w:rPr>
        <w:t>清洗废水由罐车拉运至</w:t>
      </w:r>
      <w:r>
        <w:rPr>
          <w:rFonts w:hint="eastAsia" w:ascii="Times New Roman" w:hAnsi="Times New Roman" w:cs="Times New Roman" w:eastAsiaTheme="minorEastAsia"/>
          <w:bCs/>
          <w:caps w:val="0"/>
          <w:smallCaps w:val="0"/>
          <w:color w:val="auto"/>
          <w:spacing w:val="0"/>
          <w:w w:val="100"/>
          <w:position w:val="0"/>
          <w:highlight w:val="none"/>
        </w:rPr>
        <w:t>卫一联含油污水深度处理站</w:t>
      </w:r>
      <w:r>
        <w:rPr>
          <w:rFonts w:ascii="Times New Roman" w:hAnsi="Times New Roman" w:cs="Times New Roman" w:eastAsiaTheme="minorEastAsia"/>
          <w:bCs/>
          <w:caps w:val="0"/>
          <w:smallCaps w:val="0"/>
          <w:color w:val="auto"/>
          <w:spacing w:val="0"/>
          <w:w w:val="100"/>
          <w:kern w:val="21"/>
          <w:position w:val="0"/>
          <w:highlight w:val="none"/>
        </w:rPr>
        <w:t>处理满足《大庆油田地面工程建设设计规定》（Q/SYDQ0639-2015）及《碎屑岩油藏注水水质指标技术要求及分析方法》（SY/T5329-2022）限值要求后回注油层，不外排。</w:t>
      </w:r>
    </w:p>
    <w:p w14:paraId="7B0A67C4">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（2）退役期地表水保护措施</w:t>
      </w:r>
    </w:p>
    <w:p w14:paraId="593BCE86">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①</w:t>
      </w:r>
      <w:r>
        <w:rPr>
          <w:rFonts w:ascii="Times New Roman" w:hAnsi="Times New Roman" w:cs="Times New Roman" w:eastAsiaTheme="minorEastAsia"/>
          <w:caps w:val="0"/>
          <w:smallCaps w:val="0"/>
          <w:color w:val="auto"/>
          <w:spacing w:val="0"/>
          <w:w w:val="100"/>
          <w:kern w:val="21"/>
          <w:position w:val="0"/>
          <w:highlight w:val="none"/>
        </w:rPr>
        <w:t>合理规划：施工单位严格按照有关规定安排施工作业；合理进行施工组织和场地布置；对施工运输合理规划、布局，利用既有道路，运输车辆按指定路线运行；运输车辆加盖棚布，防止运输材料洒落，产生扬尘，影响区域内环境。</w:t>
      </w:r>
    </w:p>
    <w:p w14:paraId="666EE27D">
      <w:pPr>
        <w:widowControl w:val="0"/>
        <w:spacing w:line="440" w:lineRule="exact"/>
        <w:ind w:firstLine="473"/>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②</w:t>
      </w:r>
      <w:r>
        <w:rPr>
          <w:rFonts w:ascii="Times New Roman" w:hAnsi="Times New Roman" w:cs="Times New Roman" w:eastAsiaTheme="minorEastAsia"/>
          <w:caps w:val="0"/>
          <w:smallCaps w:val="0"/>
          <w:color w:val="auto"/>
          <w:spacing w:val="0"/>
          <w:w w:val="100"/>
          <w:kern w:val="21"/>
          <w:position w:val="0"/>
          <w:highlight w:val="none"/>
        </w:rPr>
        <w:t>退役施工期间严禁将生活污水直接排放。</w:t>
      </w:r>
    </w:p>
    <w:p w14:paraId="46F3C042">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③</w:t>
      </w:r>
      <w:r>
        <w:rPr>
          <w:rFonts w:ascii="Times New Roman" w:hAnsi="Times New Roman" w:cs="Times New Roman" w:eastAsiaTheme="minorEastAsia"/>
          <w:caps w:val="0"/>
          <w:smallCaps w:val="0"/>
          <w:color w:val="auto"/>
          <w:spacing w:val="0"/>
          <w:w w:val="100"/>
          <w:kern w:val="21"/>
          <w:position w:val="0"/>
          <w:highlight w:val="none"/>
        </w:rPr>
        <w:t>宣传教育：施工单位应加强对施工人员爱护环境防止地表水体破坏的宣传教育活动，在施工过程中，应做到井然有序的实施组织设计，做到文明施工。</w:t>
      </w:r>
    </w:p>
    <w:p w14:paraId="10237E91">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通过采取以上措施，退役期能够有效防止各类污染物进入附近地表水体造成污染事故，减少对周边水环境的影响。</w:t>
      </w:r>
    </w:p>
    <w:p w14:paraId="7844C5E0">
      <w:pPr>
        <w:pStyle w:val="149"/>
        <w:widowControl w:val="0"/>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6.1.2.4地下水污染防治措施</w:t>
      </w:r>
    </w:p>
    <w:p w14:paraId="01681AB7">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（1）源头控制措施</w:t>
      </w:r>
    </w:p>
    <w:p w14:paraId="11D5872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①</w:t>
      </w:r>
      <w:r>
        <w:rPr>
          <w:rFonts w:ascii="Times New Roman" w:hAnsi="Times New Roman" w:cs="Times New Roman" w:eastAsiaTheme="minorEastAsia"/>
          <w:caps w:val="0"/>
          <w:smallCaps w:val="0"/>
          <w:color w:val="auto"/>
          <w:spacing w:val="0"/>
          <w:w w:val="100"/>
          <w:kern w:val="21"/>
          <w:position w:val="0"/>
          <w:highlight w:val="none"/>
        </w:rPr>
        <w:t>施工期加强对定向钻泥浆的回收处理工作，消除对地下水的污染隐患；</w:t>
      </w:r>
    </w:p>
    <w:p w14:paraId="47AF484D">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②</w:t>
      </w:r>
      <w:r>
        <w:rPr>
          <w:rFonts w:ascii="Times New Roman" w:hAnsi="Times New Roman" w:cs="Times New Roman"/>
          <w:caps w:val="0"/>
          <w:smallCaps w:val="0"/>
          <w:color w:val="auto"/>
          <w:spacing w:val="0"/>
          <w:w w:val="100"/>
          <w:kern w:val="21"/>
          <w:position w:val="0"/>
          <w:highlight w:val="none"/>
        </w:rPr>
        <w:t>本项目</w:t>
      </w:r>
      <w:r>
        <w:rPr>
          <w:rFonts w:hint="eastAsia" w:ascii="Times New Roman" w:hAnsi="Times New Roman" w:cs="Times New Roman"/>
          <w:caps w:val="0"/>
          <w:smallCaps w:val="0"/>
          <w:color w:val="auto"/>
          <w:spacing w:val="0"/>
          <w:w w:val="100"/>
          <w:kern w:val="21"/>
          <w:position w:val="0"/>
          <w:highlight w:val="none"/>
        </w:rPr>
        <w:t>集输</w:t>
      </w:r>
      <w:r>
        <w:rPr>
          <w:rFonts w:ascii="Times New Roman" w:hAnsi="Times New Roman" w:cs="Times New Roman"/>
          <w:caps w:val="0"/>
          <w:smallCaps w:val="0"/>
          <w:color w:val="auto"/>
          <w:spacing w:val="0"/>
          <w:w w:val="100"/>
          <w:kern w:val="21"/>
          <w:position w:val="0"/>
          <w:highlight w:val="none"/>
        </w:rPr>
        <w:t>管道址选线避开了集中式饮用水源保护区、集中式饮用水源的补给区、径流区。</w:t>
      </w:r>
    </w:p>
    <w:p w14:paraId="2A75827C">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③</w:t>
      </w:r>
      <w:r>
        <w:rPr>
          <w:rFonts w:ascii="Times New Roman" w:hAnsi="Times New Roman" w:cs="Times New Roman"/>
          <w:caps w:val="0"/>
          <w:smallCaps w:val="0"/>
          <w:color w:val="auto"/>
          <w:spacing w:val="0"/>
          <w:w w:val="100"/>
          <w:kern w:val="21"/>
          <w:position w:val="0"/>
          <w:highlight w:val="none"/>
        </w:rPr>
        <w:t>管线的连接方式采用焊接，在施焊前进行检查；</w:t>
      </w:r>
    </w:p>
    <w:p w14:paraId="791B9C5F">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④</w:t>
      </w:r>
      <w:r>
        <w:rPr>
          <w:rFonts w:ascii="Times New Roman" w:hAnsi="Times New Roman" w:cs="Times New Roman"/>
          <w:caps w:val="0"/>
          <w:smallCaps w:val="0"/>
          <w:color w:val="auto"/>
          <w:spacing w:val="0"/>
          <w:w w:val="100"/>
          <w:kern w:val="21"/>
          <w:position w:val="0"/>
          <w:highlight w:val="none"/>
        </w:rPr>
        <w:t>泄漏事故具有隐蔽性和灾难性，要加强监控，定期对集输管线防腐及腐蚀情况定期检测，及时维修或更新，防止泄漏事故的发生。</w:t>
      </w:r>
    </w:p>
    <w:p w14:paraId="334AD3BC">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⑤</w:t>
      </w:r>
      <w:r>
        <w:rPr>
          <w:rFonts w:ascii="Times New Roman" w:hAnsi="Times New Roman" w:cs="Times New Roman"/>
          <w:caps w:val="0"/>
          <w:smallCaps w:val="0"/>
          <w:color w:val="auto"/>
          <w:spacing w:val="0"/>
          <w:w w:val="100"/>
          <w:kern w:val="21"/>
          <w:position w:val="0"/>
          <w:highlight w:val="none"/>
          <w:lang w:bidi="zh-CN"/>
        </w:rPr>
        <w:t>管道补口采用配套的补口带，补口层与原防腐层搭接宽度应不小于100mm。</w:t>
      </w:r>
    </w:p>
    <w:p w14:paraId="58A9AA70">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lang w:bidi="zh-CN"/>
        </w:rPr>
      </w:pPr>
      <w:r>
        <w:rPr>
          <w:rFonts w:hint="eastAsia"/>
          <w:caps w:val="0"/>
          <w:smallCaps w:val="0"/>
          <w:color w:val="auto"/>
          <w:spacing w:val="0"/>
          <w:w w:val="100"/>
          <w:kern w:val="21"/>
          <w:position w:val="0"/>
          <w:highlight w:val="none"/>
        </w:rPr>
        <w:t>⑥</w:t>
      </w:r>
      <w:r>
        <w:rPr>
          <w:rFonts w:ascii="Times New Roman" w:hAnsi="Times New Roman" w:cs="Times New Roman"/>
          <w:caps w:val="0"/>
          <w:smallCaps w:val="0"/>
          <w:color w:val="auto"/>
          <w:spacing w:val="0"/>
          <w:w w:val="100"/>
          <w:kern w:val="21"/>
          <w:position w:val="0"/>
          <w:highlight w:val="none"/>
        </w:rPr>
        <w:t>运行期定期检查、维修项目所有管道，确保各部分的使用性能。尤其在雨季更要认真检查，清除隐患；</w:t>
      </w:r>
    </w:p>
    <w:p w14:paraId="7FFC6E0A">
      <w:pPr>
        <w:widowControl w:val="0"/>
        <w:spacing w:line="440" w:lineRule="exact"/>
        <w:ind w:firstLine="480" w:firstLineChars="200"/>
        <w:jc w:val="both"/>
        <w:rPr>
          <w:rFonts w:ascii="Times New Roman" w:hAnsi="Times New Roman" w:cs="Times New Roman"/>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⑦</w:t>
      </w:r>
      <w:r>
        <w:rPr>
          <w:rFonts w:ascii="Times New Roman" w:hAnsi="Times New Roman" w:cs="Times New Roman"/>
          <w:caps w:val="0"/>
          <w:smallCaps w:val="0"/>
          <w:color w:val="auto"/>
          <w:spacing w:val="0"/>
          <w:w w:val="100"/>
          <w:kern w:val="21"/>
          <w:position w:val="0"/>
          <w:highlight w:val="none"/>
        </w:rPr>
        <w:t>巡检过程一旦发现管道泄漏，应立即采取应急截断措施，关闭机泵，清理泄漏的含油污水；</w:t>
      </w:r>
    </w:p>
    <w:p w14:paraId="1216704B">
      <w:pPr>
        <w:widowControl w:val="0"/>
        <w:spacing w:line="440" w:lineRule="exact"/>
        <w:ind w:firstLine="473"/>
        <w:jc w:val="both"/>
        <w:rPr>
          <w:rFonts w:ascii="Times New Roman" w:hAnsi="Times New Roman" w:cs="Times New Roman" w:eastAsiaTheme="minorEastAsia"/>
          <w:caps w:val="0"/>
          <w:smallCaps w:val="0"/>
          <w:color w:val="auto"/>
          <w:spacing w:val="0"/>
          <w:w w:val="100"/>
          <w:kern w:val="21"/>
          <w:position w:val="0"/>
          <w:highlight w:val="none"/>
        </w:rPr>
      </w:pPr>
      <w:r>
        <w:rPr>
          <w:rFonts w:hint="eastAsia"/>
          <w:caps w:val="0"/>
          <w:smallCaps w:val="0"/>
          <w:color w:val="auto"/>
          <w:spacing w:val="0"/>
          <w:w w:val="100"/>
          <w:kern w:val="21"/>
          <w:position w:val="0"/>
          <w:highlight w:val="none"/>
        </w:rPr>
        <w:t>⑧</w:t>
      </w:r>
      <w:r>
        <w:rPr>
          <w:rFonts w:ascii="Times New Roman" w:hAnsi="Times New Roman" w:cs="Times New Roman"/>
          <w:caps w:val="0"/>
          <w:smallCaps w:val="0"/>
          <w:color w:val="auto"/>
          <w:spacing w:val="0"/>
          <w:w w:val="100"/>
          <w:kern w:val="21"/>
          <w:position w:val="0"/>
          <w:highlight w:val="none"/>
        </w:rPr>
        <w:t>废弃物等拉运车辆须在转运过程做好转运台账，严格执行废弃物转运签认和交接清单制度；运输前规划运输路线，转运过程中应严格按照规定的路线运输到相应的目的地；运输过程中应尽量避开环境敏感区；对拉运过程进行严格监督管理，运输车辆、装卸工具必须符合安全环保要求，装卸和运输废弃物过程中不得溢出和渗漏，严禁半途倾倒、排放或向第三方转移废弃物。</w:t>
      </w:r>
    </w:p>
    <w:p w14:paraId="01DEAE1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（2）分区防渗措施</w:t>
      </w:r>
    </w:p>
    <w:p w14:paraId="56C853DC">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根据《环境影响评价技术导则 地下水环境》（HJ610-2016）11.2.2.1 条的要求，将本项目涉及区域划分为重点防渗区、简单防渗区。项目分区防渗具体见表6.1-1，施工期定向钻施工场地分区防渗图见附图1</w:t>
      </w:r>
      <w:r>
        <w:rPr>
          <w:rFonts w:hint="eastAsia" w:ascii="Times New Roman" w:hAnsi="Times New Roman" w:cs="Times New Roman" w:eastAsiaTheme="minorEastAsia"/>
          <w:caps w:val="0"/>
          <w:smallCaps w:val="0"/>
          <w:color w:val="auto"/>
          <w:spacing w:val="0"/>
          <w:w w:val="100"/>
          <w:kern w:val="21"/>
          <w:position w:val="0"/>
          <w:highlight w:val="none"/>
        </w:rPr>
        <w:t>3</w:t>
      </w:r>
      <w:r>
        <w:rPr>
          <w:rFonts w:ascii="Times New Roman" w:hAnsi="Times New Roman" w:cs="Times New Roman" w:eastAsiaTheme="minorEastAsia"/>
          <w:caps w:val="0"/>
          <w:smallCaps w:val="0"/>
          <w:color w:val="auto"/>
          <w:spacing w:val="0"/>
          <w:w w:val="100"/>
          <w:kern w:val="21"/>
          <w:position w:val="0"/>
          <w:highlight w:val="none"/>
        </w:rPr>
        <w:t>。</w:t>
      </w:r>
    </w:p>
    <w:p w14:paraId="5E45F3AB">
      <w:pPr>
        <w:widowControl w:val="0"/>
        <w:spacing w:line="440" w:lineRule="exact"/>
        <w:ind w:firstLine="482" w:firstLineChars="200"/>
        <w:rPr>
          <w:rFonts w:ascii="Times New Roman" w:hAnsi="Times New Roman" w:cs="Times New Roman" w:eastAsiaTheme="minorEastAsia"/>
          <w:b/>
          <w:caps w:val="0"/>
          <w:smallCaps w:val="0"/>
          <w:color w:val="auto"/>
          <w:spacing w:val="0"/>
          <w:w w:val="100"/>
          <w:position w:val="0"/>
          <w:highlight w:val="none"/>
        </w:rPr>
      </w:pPr>
      <w:r>
        <w:rPr>
          <w:rFonts w:ascii="Times New Roman" w:hAnsi="Times New Roman" w:cs="Times New Roman" w:eastAsiaTheme="minorEastAsia"/>
          <w:b/>
          <w:caps w:val="0"/>
          <w:smallCaps w:val="0"/>
          <w:color w:val="auto"/>
          <w:spacing w:val="0"/>
          <w:w w:val="100"/>
          <w:kern w:val="21"/>
          <w:position w:val="0"/>
          <w:highlight w:val="none"/>
        </w:rPr>
        <w:t>表6.1-1</w:t>
      </w:r>
      <w:r>
        <w:rPr>
          <w:rFonts w:ascii="Times New Roman" w:hAnsi="Times New Roman" w:cs="Times New Roman" w:eastAsiaTheme="minorEastAsia"/>
          <w:b/>
          <w:caps w:val="0"/>
          <w:smallCaps w:val="0"/>
          <w:color w:val="auto"/>
          <w:spacing w:val="0"/>
          <w:w w:val="100"/>
          <w:position w:val="0"/>
          <w:highlight w:val="none"/>
        </w:rPr>
        <w:t xml:space="preserve">    项目污染防渗区划分</w:t>
      </w:r>
    </w:p>
    <w:tbl>
      <w:tblPr>
        <w:tblStyle w:val="2815"/>
        <w:tblW w:w="506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47"/>
        <w:gridCol w:w="606"/>
        <w:gridCol w:w="877"/>
        <w:gridCol w:w="521"/>
        <w:gridCol w:w="3965"/>
        <w:gridCol w:w="2990"/>
      </w:tblGrid>
      <w:tr w14:paraId="6D0A5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 w:type="pct"/>
            <w:tcBorders>
              <w:top w:val="single" w:color="000000" w:sz="6" w:space="0"/>
              <w:left w:val="single" w:color="000000" w:sz="6" w:space="0"/>
            </w:tcBorders>
            <w:vAlign w:val="center"/>
          </w:tcPr>
          <w:p w14:paraId="2637DDE1">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hint="eastAsia" w:ascii="Times New Roman" w:hAnsi="Times New Roman" w:cs="Times New Roman"/>
                <w:bCs/>
                <w:caps w:val="0"/>
                <w:smallCaps w:val="0"/>
                <w:color w:val="auto"/>
                <w:spacing w:val="0"/>
                <w:w w:val="100"/>
                <w:kern w:val="2"/>
                <w:position w:val="0"/>
                <w:sz w:val="21"/>
                <w:szCs w:val="21"/>
                <w:highlight w:val="none"/>
              </w:rPr>
              <w:t>时期</w:t>
            </w:r>
          </w:p>
        </w:tc>
        <w:tc>
          <w:tcPr>
            <w:tcW w:w="805" w:type="pct"/>
            <w:gridSpan w:val="2"/>
            <w:tcBorders>
              <w:top w:val="single" w:color="000000" w:sz="6" w:space="0"/>
            </w:tcBorders>
            <w:vAlign w:val="center"/>
          </w:tcPr>
          <w:p w14:paraId="4847D196">
            <w:pPr>
              <w:widowControl w:val="0"/>
              <w:kinsoku w:val="0"/>
              <w:autoSpaceDE w:val="0"/>
              <w:autoSpaceDN w:val="0"/>
              <w:adjustRightInd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lang w:bidi="zh-CN"/>
              </w:rPr>
            </w:pPr>
            <w:r>
              <w:rPr>
                <w:rFonts w:ascii="Times New Roman" w:hAnsi="Times New Roman" w:cs="Times New Roman"/>
                <w:bCs/>
                <w:caps w:val="0"/>
                <w:smallCaps w:val="0"/>
                <w:color w:val="auto"/>
                <w:spacing w:val="0"/>
                <w:w w:val="100"/>
                <w:kern w:val="2"/>
                <w:position w:val="0"/>
                <w:sz w:val="21"/>
                <w:szCs w:val="21"/>
                <w:highlight w:val="none"/>
                <w:lang w:bidi="zh-CN"/>
              </w:rPr>
              <w:t>项目涉及区域</w:t>
            </w:r>
          </w:p>
        </w:tc>
        <w:tc>
          <w:tcPr>
            <w:tcW w:w="283" w:type="pct"/>
            <w:tcBorders>
              <w:top w:val="single" w:color="000000" w:sz="6" w:space="0"/>
            </w:tcBorders>
            <w:vAlign w:val="center"/>
          </w:tcPr>
          <w:p w14:paraId="064040F6">
            <w:pPr>
              <w:widowControl w:val="0"/>
              <w:kinsoku w:val="0"/>
              <w:autoSpaceDE w:val="0"/>
              <w:autoSpaceDN w:val="0"/>
              <w:adjustRightInd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lang w:bidi="zh-CN"/>
              </w:rPr>
              <w:t>防渗类别</w:t>
            </w:r>
          </w:p>
        </w:tc>
        <w:tc>
          <w:tcPr>
            <w:tcW w:w="2152" w:type="pct"/>
            <w:tcBorders>
              <w:top w:val="single" w:color="000000" w:sz="6" w:space="0"/>
              <w:right w:val="single" w:color="000000" w:sz="6" w:space="0"/>
            </w:tcBorders>
            <w:vAlign w:val="center"/>
          </w:tcPr>
          <w:p w14:paraId="6A08CC32">
            <w:pPr>
              <w:widowControl w:val="0"/>
              <w:kinsoku w:val="0"/>
              <w:autoSpaceDE w:val="0"/>
              <w:autoSpaceDN w:val="0"/>
              <w:adjustRightInd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防渗措施</w:t>
            </w:r>
          </w:p>
        </w:tc>
        <w:tc>
          <w:tcPr>
            <w:tcW w:w="1623" w:type="pct"/>
            <w:tcBorders>
              <w:top w:val="single" w:color="000000" w:sz="6" w:space="0"/>
              <w:right w:val="single" w:color="000000" w:sz="6" w:space="0"/>
            </w:tcBorders>
            <w:vAlign w:val="center"/>
          </w:tcPr>
          <w:p w14:paraId="6E8E8828">
            <w:pPr>
              <w:widowControl w:val="0"/>
              <w:kinsoku w:val="0"/>
              <w:autoSpaceDE w:val="0"/>
              <w:autoSpaceDN w:val="0"/>
              <w:adjustRightInd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防渗要求</w:t>
            </w:r>
          </w:p>
        </w:tc>
      </w:tr>
      <w:tr w14:paraId="77F40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 w:type="pct"/>
            <w:vMerge w:val="restart"/>
            <w:tcBorders>
              <w:left w:val="single" w:color="000000" w:sz="6" w:space="0"/>
            </w:tcBorders>
            <w:vAlign w:val="center"/>
          </w:tcPr>
          <w:p w14:paraId="410EA353">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施工期</w:t>
            </w:r>
          </w:p>
        </w:tc>
        <w:tc>
          <w:tcPr>
            <w:tcW w:w="329" w:type="pct"/>
            <w:vMerge w:val="restart"/>
            <w:tcBorders>
              <w:right w:val="single" w:color="auto" w:sz="4" w:space="0"/>
            </w:tcBorders>
            <w:vAlign w:val="center"/>
          </w:tcPr>
          <w:p w14:paraId="699C6E1B">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定向钻施工场地</w:t>
            </w:r>
          </w:p>
        </w:tc>
        <w:tc>
          <w:tcPr>
            <w:tcW w:w="476" w:type="pct"/>
            <w:tcBorders>
              <w:right w:val="single" w:color="auto" w:sz="4" w:space="0"/>
            </w:tcBorders>
            <w:vAlign w:val="center"/>
          </w:tcPr>
          <w:p w14:paraId="31390289">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泥浆罐、钢制泥浆槽</w:t>
            </w:r>
          </w:p>
        </w:tc>
        <w:tc>
          <w:tcPr>
            <w:tcW w:w="283" w:type="pct"/>
            <w:tcBorders>
              <w:left w:val="single" w:color="auto" w:sz="4" w:space="0"/>
            </w:tcBorders>
            <w:vAlign w:val="center"/>
          </w:tcPr>
          <w:p w14:paraId="73231DDB">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hint="eastAsia" w:ascii="Times New Roman" w:hAnsi="Times New Roman" w:cs="Times New Roman"/>
                <w:bCs/>
                <w:caps w:val="0"/>
                <w:smallCaps w:val="0"/>
                <w:color w:val="auto"/>
                <w:spacing w:val="0"/>
                <w:w w:val="100"/>
                <w:kern w:val="2"/>
                <w:position w:val="0"/>
                <w:sz w:val="21"/>
                <w:szCs w:val="21"/>
                <w:highlight w:val="none"/>
              </w:rPr>
              <w:t>一般</w:t>
            </w:r>
            <w:r>
              <w:rPr>
                <w:rFonts w:ascii="Times New Roman" w:hAnsi="Times New Roman" w:cs="Times New Roman"/>
                <w:bCs/>
                <w:caps w:val="0"/>
                <w:smallCaps w:val="0"/>
                <w:color w:val="auto"/>
                <w:spacing w:val="0"/>
                <w:w w:val="100"/>
                <w:kern w:val="2"/>
                <w:position w:val="0"/>
                <w:sz w:val="21"/>
                <w:szCs w:val="21"/>
                <w:highlight w:val="none"/>
              </w:rPr>
              <w:t>防渗区</w:t>
            </w:r>
          </w:p>
        </w:tc>
        <w:tc>
          <w:tcPr>
            <w:tcW w:w="2152" w:type="pct"/>
            <w:tcBorders>
              <w:right w:val="single" w:color="000000" w:sz="6" w:space="0"/>
            </w:tcBorders>
            <w:vAlign w:val="center"/>
          </w:tcPr>
          <w:p w14:paraId="253D3D77">
            <w:pPr>
              <w:widowControl w:val="0"/>
              <w:autoSpaceDE w:val="0"/>
              <w:autoSpaceDN w:val="0"/>
              <w:snapToGrid w:val="0"/>
              <w:spacing w:line="360" w:lineRule="exact"/>
              <w:jc w:val="both"/>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lang w:bidi="zh-CN"/>
              </w:rPr>
              <w:t>采取铺设1.5mm厚高密度聚乙烯膜进行防渗，渗透系数为1.0×10</w:t>
            </w:r>
            <w:r>
              <w:rPr>
                <w:rFonts w:ascii="Times New Roman" w:hAnsi="Times New Roman" w:cs="Times New Roman"/>
                <w:bCs/>
                <w:caps w:val="0"/>
                <w:smallCaps w:val="0"/>
                <w:color w:val="auto"/>
                <w:spacing w:val="0"/>
                <w:w w:val="100"/>
                <w:kern w:val="2"/>
                <w:position w:val="0"/>
                <w:sz w:val="21"/>
                <w:szCs w:val="21"/>
                <w:highlight w:val="none"/>
                <w:vertAlign w:val="superscript"/>
                <w:lang w:bidi="zh-CN"/>
              </w:rPr>
              <w:t>-10</w:t>
            </w:r>
            <w:r>
              <w:rPr>
                <w:rFonts w:ascii="Times New Roman" w:hAnsi="Times New Roman" w:cs="Times New Roman"/>
                <w:bCs/>
                <w:caps w:val="0"/>
                <w:smallCaps w:val="0"/>
                <w:color w:val="auto"/>
                <w:spacing w:val="0"/>
                <w:w w:val="100"/>
                <w:kern w:val="2"/>
                <w:position w:val="0"/>
                <w:sz w:val="21"/>
                <w:szCs w:val="21"/>
                <w:highlight w:val="none"/>
                <w:lang w:bidi="zh-CN"/>
              </w:rPr>
              <w:t>cm/s。</w:t>
            </w:r>
          </w:p>
        </w:tc>
        <w:tc>
          <w:tcPr>
            <w:tcW w:w="1623" w:type="pct"/>
            <w:tcBorders>
              <w:right w:val="single" w:color="000000" w:sz="6" w:space="0"/>
            </w:tcBorders>
            <w:vAlign w:val="center"/>
          </w:tcPr>
          <w:p w14:paraId="396BCF14">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lang w:val="zh-CN" w:bidi="zh-CN"/>
              </w:rPr>
            </w:pPr>
            <w:r>
              <w:rPr>
                <w:rFonts w:ascii="Times New Roman" w:hAnsi="Times New Roman" w:cs="Times New Roman"/>
                <w:bCs/>
                <w:caps w:val="0"/>
                <w:smallCaps w:val="0"/>
                <w:color w:val="auto"/>
                <w:spacing w:val="0"/>
                <w:w w:val="100"/>
                <w:kern w:val="2"/>
                <w:position w:val="0"/>
                <w:sz w:val="21"/>
                <w:szCs w:val="21"/>
                <w:highlight w:val="none"/>
                <w:lang w:val="zh-CN" w:bidi="zh-CN"/>
              </w:rPr>
              <w:t>满足《环境影响评价技术导则 地下水环境》（HJ610-2016）中关于</w:t>
            </w:r>
            <w:r>
              <w:rPr>
                <w:rFonts w:hint="eastAsia" w:ascii="Times New Roman" w:hAnsi="Times New Roman" w:cs="Times New Roman"/>
                <w:bCs/>
                <w:caps w:val="0"/>
                <w:smallCaps w:val="0"/>
                <w:color w:val="auto"/>
                <w:spacing w:val="0"/>
                <w:w w:val="100"/>
                <w:kern w:val="2"/>
                <w:position w:val="0"/>
                <w:sz w:val="21"/>
                <w:szCs w:val="21"/>
                <w:highlight w:val="none"/>
                <w:lang w:val="zh-CN" w:bidi="zh-CN"/>
              </w:rPr>
              <w:t>一般</w:t>
            </w:r>
            <w:r>
              <w:rPr>
                <w:rFonts w:ascii="Times New Roman" w:hAnsi="Times New Roman" w:cs="Times New Roman"/>
                <w:bCs/>
                <w:caps w:val="0"/>
                <w:smallCaps w:val="0"/>
                <w:color w:val="auto"/>
                <w:spacing w:val="0"/>
                <w:w w:val="100"/>
                <w:kern w:val="2"/>
                <w:position w:val="0"/>
                <w:sz w:val="21"/>
                <w:szCs w:val="21"/>
                <w:highlight w:val="none"/>
                <w:lang w:val="zh-CN" w:bidi="zh-CN"/>
              </w:rPr>
              <w:t>防渗区等效黏土防渗层Mb≥1.5m，K≤1×10</w:t>
            </w:r>
            <w:r>
              <w:rPr>
                <w:rFonts w:ascii="Times New Roman" w:hAnsi="Times New Roman" w:cs="Times New Roman"/>
                <w:bCs/>
                <w:caps w:val="0"/>
                <w:smallCaps w:val="0"/>
                <w:color w:val="auto"/>
                <w:spacing w:val="0"/>
                <w:w w:val="100"/>
                <w:kern w:val="2"/>
                <w:position w:val="0"/>
                <w:sz w:val="21"/>
                <w:szCs w:val="21"/>
                <w:highlight w:val="none"/>
                <w:vertAlign w:val="superscript"/>
                <w:lang w:val="zh-CN" w:bidi="zh-CN"/>
              </w:rPr>
              <w:t>-7</w:t>
            </w:r>
            <w:r>
              <w:rPr>
                <w:rFonts w:ascii="Times New Roman" w:hAnsi="Times New Roman" w:cs="Times New Roman"/>
                <w:bCs/>
                <w:caps w:val="0"/>
                <w:smallCaps w:val="0"/>
                <w:color w:val="auto"/>
                <w:spacing w:val="0"/>
                <w:w w:val="100"/>
                <w:kern w:val="2"/>
                <w:position w:val="0"/>
                <w:sz w:val="21"/>
                <w:szCs w:val="21"/>
                <w:highlight w:val="none"/>
                <w:lang w:val="zh-CN" w:bidi="zh-CN"/>
              </w:rPr>
              <w:t>cm/s防渗技术要求</w:t>
            </w:r>
          </w:p>
        </w:tc>
      </w:tr>
      <w:tr w14:paraId="32496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 w:type="pct"/>
            <w:vMerge w:val="continue"/>
            <w:tcBorders>
              <w:left w:val="single" w:color="000000" w:sz="6" w:space="0"/>
            </w:tcBorders>
            <w:vAlign w:val="center"/>
          </w:tcPr>
          <w:p w14:paraId="6872DA20">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p>
        </w:tc>
        <w:tc>
          <w:tcPr>
            <w:tcW w:w="329" w:type="pct"/>
            <w:vMerge w:val="continue"/>
            <w:tcBorders>
              <w:right w:val="single" w:color="auto" w:sz="4" w:space="0"/>
            </w:tcBorders>
            <w:vAlign w:val="center"/>
          </w:tcPr>
          <w:p w14:paraId="1926EBB3">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p>
        </w:tc>
        <w:tc>
          <w:tcPr>
            <w:tcW w:w="476" w:type="pct"/>
            <w:tcBorders>
              <w:right w:val="single" w:color="auto" w:sz="4" w:space="0"/>
            </w:tcBorders>
            <w:vAlign w:val="center"/>
          </w:tcPr>
          <w:p w14:paraId="052CDEFD">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定向钻施工场地其它区域</w:t>
            </w:r>
          </w:p>
        </w:tc>
        <w:tc>
          <w:tcPr>
            <w:tcW w:w="283" w:type="pct"/>
            <w:tcBorders>
              <w:left w:val="single" w:color="auto" w:sz="4" w:space="0"/>
            </w:tcBorders>
            <w:vAlign w:val="center"/>
          </w:tcPr>
          <w:p w14:paraId="257342CA">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简单防渗区</w:t>
            </w:r>
          </w:p>
        </w:tc>
        <w:tc>
          <w:tcPr>
            <w:tcW w:w="2152" w:type="pct"/>
            <w:tcBorders>
              <w:right w:val="single" w:color="000000" w:sz="6" w:space="0"/>
            </w:tcBorders>
            <w:vAlign w:val="center"/>
          </w:tcPr>
          <w:p w14:paraId="51D5FFAC">
            <w:pPr>
              <w:widowControl w:val="0"/>
              <w:autoSpaceDE w:val="0"/>
              <w:autoSpaceDN w:val="0"/>
              <w:snapToGrid w:val="0"/>
              <w:spacing w:line="360" w:lineRule="exact"/>
              <w:jc w:val="both"/>
              <w:rPr>
                <w:rFonts w:ascii="Times New Roman" w:hAnsi="Times New Roman" w:cs="Times New Roman"/>
                <w:bCs/>
                <w:caps w:val="0"/>
                <w:smallCaps w:val="0"/>
                <w:color w:val="auto"/>
                <w:spacing w:val="0"/>
                <w:w w:val="100"/>
                <w:kern w:val="2"/>
                <w:position w:val="0"/>
                <w:sz w:val="21"/>
                <w:szCs w:val="21"/>
                <w:highlight w:val="none"/>
                <w:lang w:bidi="zh-CN"/>
              </w:rPr>
            </w:pPr>
            <w:r>
              <w:rPr>
                <w:rFonts w:ascii="Times New Roman" w:hAnsi="Times New Roman" w:cs="Times New Roman"/>
                <w:bCs/>
                <w:caps w:val="0"/>
                <w:smallCaps w:val="0"/>
                <w:color w:val="auto"/>
                <w:spacing w:val="0"/>
                <w:w w:val="100"/>
                <w:kern w:val="2"/>
                <w:position w:val="0"/>
                <w:sz w:val="21"/>
                <w:szCs w:val="21"/>
                <w:highlight w:val="none"/>
                <w:lang w:bidi="zh-CN"/>
              </w:rPr>
              <w:t>采取地面碾压平整</w:t>
            </w:r>
          </w:p>
        </w:tc>
        <w:tc>
          <w:tcPr>
            <w:tcW w:w="1623" w:type="pct"/>
            <w:tcBorders>
              <w:right w:val="single" w:color="000000" w:sz="6" w:space="0"/>
            </w:tcBorders>
            <w:vAlign w:val="center"/>
          </w:tcPr>
          <w:p w14:paraId="19BE3D7B">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lang w:val="zh-CN" w:bidi="zh-CN"/>
              </w:rPr>
            </w:pPr>
            <w:r>
              <w:rPr>
                <w:rFonts w:ascii="Times New Roman" w:hAnsi="Times New Roman" w:cs="Times New Roman"/>
                <w:bCs/>
                <w:caps w:val="0"/>
                <w:smallCaps w:val="0"/>
                <w:color w:val="auto"/>
                <w:spacing w:val="0"/>
                <w:w w:val="100"/>
                <w:kern w:val="2"/>
                <w:position w:val="0"/>
                <w:sz w:val="21"/>
                <w:szCs w:val="21"/>
                <w:highlight w:val="none"/>
                <w:lang w:val="zh-CN" w:bidi="zh-CN"/>
              </w:rPr>
              <w:t>满足《环境影响评价技术导则 地下水环境》（HJ610-2016）中关于简单防渗区一般地面硬化防渗技术要求</w:t>
            </w:r>
          </w:p>
        </w:tc>
      </w:tr>
      <w:tr w14:paraId="300E1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 w:type="pct"/>
            <w:tcBorders>
              <w:left w:val="single" w:color="000000" w:sz="6" w:space="0"/>
            </w:tcBorders>
            <w:vAlign w:val="center"/>
          </w:tcPr>
          <w:p w14:paraId="44646C92">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运营期</w:t>
            </w:r>
          </w:p>
        </w:tc>
        <w:tc>
          <w:tcPr>
            <w:tcW w:w="329" w:type="pct"/>
            <w:tcBorders>
              <w:right w:val="single" w:color="auto" w:sz="4" w:space="0"/>
            </w:tcBorders>
            <w:vAlign w:val="center"/>
          </w:tcPr>
          <w:p w14:paraId="5BA5F467">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hint="eastAsia" w:ascii="Times New Roman" w:hAnsi="Times New Roman" w:cs="Times New Roman"/>
                <w:bCs/>
                <w:caps w:val="0"/>
                <w:smallCaps w:val="0"/>
                <w:color w:val="auto"/>
                <w:spacing w:val="0"/>
                <w:w w:val="100"/>
                <w:kern w:val="2"/>
                <w:position w:val="0"/>
                <w:sz w:val="21"/>
                <w:szCs w:val="21"/>
                <w:highlight w:val="none"/>
                <w:lang w:val="en-US" w:eastAsia="zh-CN"/>
              </w:rPr>
              <w:t>集输</w:t>
            </w:r>
            <w:r>
              <w:rPr>
                <w:rFonts w:hint="eastAsia" w:ascii="Times New Roman" w:hAnsi="Times New Roman" w:cs="Times New Roman"/>
                <w:bCs/>
                <w:caps w:val="0"/>
                <w:smallCaps w:val="0"/>
                <w:color w:val="auto"/>
                <w:spacing w:val="0"/>
                <w:w w:val="100"/>
                <w:kern w:val="2"/>
                <w:position w:val="0"/>
                <w:sz w:val="21"/>
                <w:szCs w:val="21"/>
                <w:highlight w:val="none"/>
              </w:rPr>
              <w:t>管道</w:t>
            </w:r>
          </w:p>
        </w:tc>
        <w:tc>
          <w:tcPr>
            <w:tcW w:w="476" w:type="pct"/>
            <w:tcBorders>
              <w:right w:val="single" w:color="auto" w:sz="4" w:space="0"/>
            </w:tcBorders>
            <w:vAlign w:val="center"/>
          </w:tcPr>
          <w:p w14:paraId="089E0BAE">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全部区域</w:t>
            </w:r>
          </w:p>
        </w:tc>
        <w:tc>
          <w:tcPr>
            <w:tcW w:w="283" w:type="pct"/>
            <w:tcBorders>
              <w:left w:val="single" w:color="auto" w:sz="4" w:space="0"/>
            </w:tcBorders>
            <w:vAlign w:val="center"/>
          </w:tcPr>
          <w:p w14:paraId="3232DA25">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rPr>
              <w:t>重点防渗区</w:t>
            </w:r>
          </w:p>
        </w:tc>
        <w:tc>
          <w:tcPr>
            <w:tcW w:w="2152" w:type="pct"/>
            <w:tcBorders>
              <w:bottom w:val="single" w:color="auto" w:sz="4" w:space="0"/>
              <w:right w:val="single" w:color="000000" w:sz="6" w:space="0"/>
            </w:tcBorders>
            <w:vAlign w:val="center"/>
          </w:tcPr>
          <w:p w14:paraId="1882F6CE">
            <w:pPr>
              <w:widowControl w:val="0"/>
              <w:autoSpaceDE w:val="0"/>
              <w:autoSpaceDN w:val="0"/>
              <w:snapToGrid w:val="0"/>
              <w:spacing w:line="360" w:lineRule="exact"/>
              <w:jc w:val="both"/>
              <w:rPr>
                <w:rFonts w:hint="eastAsia" w:ascii="Times New Roman" w:hAnsi="Times New Roman" w:cs="Times New Roman"/>
                <w:bCs/>
                <w:caps w:val="0"/>
                <w:smallCaps w:val="0"/>
                <w:color w:val="auto"/>
                <w:spacing w:val="0"/>
                <w:w w:val="100"/>
                <w:kern w:val="2"/>
                <w:position w:val="0"/>
                <w:sz w:val="21"/>
                <w:szCs w:val="21"/>
                <w:highlight w:val="none"/>
                <w:lang w:val="en-US" w:eastAsia="zh-CN"/>
              </w:rPr>
            </w:pPr>
            <w:r>
              <w:rPr>
                <w:rFonts w:ascii="Times New Roman" w:hAnsi="Times New Roman" w:cs="Times New Roman"/>
                <w:bCs/>
                <w:caps w:val="0"/>
                <w:smallCaps w:val="0"/>
                <w:color w:val="auto"/>
                <w:spacing w:val="0"/>
                <w:w w:val="100"/>
                <w:kern w:val="2"/>
                <w:position w:val="0"/>
                <w:sz w:val="21"/>
                <w:szCs w:val="21"/>
                <w:highlight w:val="none"/>
              </w:rPr>
              <w:t>管道采用无缝钢管，管道的连接方式采用焊接，管道内</w:t>
            </w:r>
            <w:r>
              <w:rPr>
                <w:rFonts w:hint="eastAsia" w:ascii="Times New Roman" w:hAnsi="Times New Roman" w:cs="Times New Roman"/>
                <w:bCs/>
                <w:caps w:val="0"/>
                <w:smallCaps w:val="0"/>
                <w:color w:val="auto"/>
                <w:spacing w:val="0"/>
                <w:w w:val="100"/>
                <w:kern w:val="2"/>
                <w:position w:val="0"/>
                <w:sz w:val="21"/>
                <w:szCs w:val="21"/>
                <w:highlight w:val="none"/>
                <w:lang w:val="en-US" w:eastAsia="zh-CN"/>
              </w:rPr>
              <w:t>防腐采用</w:t>
            </w:r>
            <w:r>
              <w:rPr>
                <w:rFonts w:ascii="Times New Roman" w:hAnsi="Times New Roman" w:cs="Times New Roman"/>
                <w:bCs/>
                <w:caps w:val="0"/>
                <w:smallCaps w:val="0"/>
                <w:color w:val="auto"/>
                <w:spacing w:val="0"/>
                <w:w w:val="100"/>
                <w:kern w:val="2"/>
                <w:position w:val="0"/>
                <w:sz w:val="21"/>
                <w:szCs w:val="21"/>
                <w:highlight w:val="none"/>
                <w:lang w:val="en-US" w:eastAsia="zh-CN"/>
              </w:rPr>
              <w:t>内缠聚乙烯胶带普通级防腐聚</w:t>
            </w:r>
            <w:r>
              <w:rPr>
                <w:rFonts w:hint="default" w:ascii="Times New Roman" w:hAnsi="Times New Roman" w:cs="Times New Roman"/>
                <w:bCs/>
                <w:caps w:val="0"/>
                <w:smallCaps w:val="0"/>
                <w:color w:val="auto"/>
                <w:spacing w:val="0"/>
                <w:w w:val="100"/>
                <w:kern w:val="2"/>
                <w:position w:val="0"/>
                <w:sz w:val="21"/>
                <w:szCs w:val="21"/>
                <w:highlight w:val="none"/>
                <w:lang w:val="en-US" w:eastAsia="zh-CN"/>
              </w:rPr>
              <w:t>氨酯保温聚乙烯保护成品管</w:t>
            </w:r>
            <w:r>
              <w:rPr>
                <w:rFonts w:hint="eastAsia" w:ascii="Times New Roman" w:hAnsi="Times New Roman" w:cs="Times New Roman"/>
                <w:bCs/>
                <w:caps w:val="0"/>
                <w:smallCaps w:val="0"/>
                <w:color w:val="auto"/>
                <w:spacing w:val="0"/>
                <w:w w:val="100"/>
                <w:kern w:val="2"/>
                <w:position w:val="0"/>
                <w:sz w:val="21"/>
                <w:szCs w:val="21"/>
                <w:highlight w:val="none"/>
                <w:lang w:val="en-US" w:eastAsia="zh-CN"/>
              </w:rPr>
              <w:t>，套管内外壁防腐采用环氧煤沥青涂料普通级，1底4面。</w:t>
            </w:r>
          </w:p>
          <w:p w14:paraId="63EA6822">
            <w:pPr>
              <w:widowControl w:val="0"/>
              <w:autoSpaceDE w:val="0"/>
              <w:autoSpaceDN w:val="0"/>
              <w:snapToGrid w:val="0"/>
              <w:spacing w:line="360" w:lineRule="exact"/>
              <w:jc w:val="both"/>
              <w:rPr>
                <w:rFonts w:ascii="Times New Roman" w:hAnsi="Times New Roman" w:cs="Times New Roman"/>
                <w:bCs/>
                <w:caps w:val="0"/>
                <w:smallCaps w:val="0"/>
                <w:color w:val="auto"/>
                <w:spacing w:val="0"/>
                <w:w w:val="100"/>
                <w:kern w:val="2"/>
                <w:position w:val="0"/>
                <w:sz w:val="21"/>
                <w:szCs w:val="21"/>
                <w:highlight w:val="none"/>
              </w:rPr>
            </w:pPr>
            <w:r>
              <w:rPr>
                <w:rFonts w:hint="eastAsia" w:ascii="Times New Roman" w:hAnsi="Times New Roman" w:cs="Times New Roman"/>
                <w:bCs/>
                <w:caps w:val="0"/>
                <w:smallCaps w:val="0"/>
                <w:color w:val="auto"/>
                <w:spacing w:val="0"/>
                <w:w w:val="100"/>
                <w:kern w:val="2"/>
                <w:position w:val="0"/>
                <w:sz w:val="21"/>
                <w:szCs w:val="21"/>
                <w:highlight w:val="none"/>
                <w:lang w:val="en-US" w:eastAsia="zh-CN"/>
              </w:rPr>
              <w:t>防腐补口采用配套聚乙烯黏胶带。保温补口采用配套硬质聚氨酯管壳补口。保护层补口采用配套2PE交联聚乙烯热收缩带补口。 沥青防腐胶带补口采用无溶剂环氧底漆+沥青防腐胶带，加强级，胶带缠2遍</w:t>
            </w:r>
          </w:p>
        </w:tc>
        <w:tc>
          <w:tcPr>
            <w:tcW w:w="1623" w:type="pct"/>
            <w:tcBorders>
              <w:bottom w:val="single" w:color="auto" w:sz="4" w:space="0"/>
              <w:right w:val="single" w:color="000000" w:sz="6" w:space="0"/>
            </w:tcBorders>
            <w:vAlign w:val="center"/>
          </w:tcPr>
          <w:p w14:paraId="430BA036">
            <w:pPr>
              <w:widowControl w:val="0"/>
              <w:autoSpaceDE w:val="0"/>
              <w:autoSpaceDN w:val="0"/>
              <w:snapToGrid w:val="0"/>
              <w:spacing w:line="360" w:lineRule="exact"/>
              <w:jc w:val="center"/>
              <w:rPr>
                <w:rFonts w:ascii="Times New Roman" w:hAnsi="Times New Roman" w:cs="Times New Roman"/>
                <w:bCs/>
                <w:caps w:val="0"/>
                <w:smallCaps w:val="0"/>
                <w:color w:val="auto"/>
                <w:spacing w:val="0"/>
                <w:w w:val="100"/>
                <w:kern w:val="2"/>
                <w:position w:val="0"/>
                <w:sz w:val="21"/>
                <w:szCs w:val="21"/>
                <w:highlight w:val="none"/>
              </w:rPr>
            </w:pPr>
            <w:r>
              <w:rPr>
                <w:rFonts w:ascii="Times New Roman" w:hAnsi="Times New Roman" w:cs="Times New Roman"/>
                <w:bCs/>
                <w:caps w:val="0"/>
                <w:smallCaps w:val="0"/>
                <w:color w:val="auto"/>
                <w:spacing w:val="0"/>
                <w:w w:val="100"/>
                <w:kern w:val="2"/>
                <w:position w:val="0"/>
                <w:sz w:val="21"/>
                <w:szCs w:val="21"/>
                <w:highlight w:val="none"/>
                <w:lang w:val="zh-CN" w:bidi="zh-CN"/>
              </w:rPr>
              <w:t>满足《环境影响评价技术导则 地下水环境》（HJ610-2016）中关于重点防渗区等效黏土防渗层Mb≥6.0m，K≤1×10</w:t>
            </w:r>
            <w:r>
              <w:rPr>
                <w:rFonts w:ascii="Times New Roman" w:hAnsi="Times New Roman" w:cs="Times New Roman"/>
                <w:bCs/>
                <w:caps w:val="0"/>
                <w:smallCaps w:val="0"/>
                <w:color w:val="auto"/>
                <w:spacing w:val="0"/>
                <w:w w:val="100"/>
                <w:kern w:val="2"/>
                <w:position w:val="0"/>
                <w:sz w:val="21"/>
                <w:szCs w:val="21"/>
                <w:highlight w:val="none"/>
                <w:vertAlign w:val="superscript"/>
                <w:lang w:val="zh-CN" w:bidi="zh-CN"/>
              </w:rPr>
              <w:t>-7</w:t>
            </w:r>
            <w:r>
              <w:rPr>
                <w:rFonts w:ascii="Times New Roman" w:hAnsi="Times New Roman" w:cs="Times New Roman"/>
                <w:bCs/>
                <w:caps w:val="0"/>
                <w:smallCaps w:val="0"/>
                <w:color w:val="auto"/>
                <w:spacing w:val="0"/>
                <w:w w:val="100"/>
                <w:kern w:val="2"/>
                <w:position w:val="0"/>
                <w:sz w:val="21"/>
                <w:szCs w:val="21"/>
                <w:highlight w:val="none"/>
                <w:lang w:val="zh-CN" w:bidi="zh-CN"/>
              </w:rPr>
              <w:t>cm/s防渗技术要求</w:t>
            </w:r>
          </w:p>
        </w:tc>
      </w:tr>
    </w:tbl>
    <w:p w14:paraId="4DFAFDE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（3）地下水环境跟踪监测</w:t>
      </w:r>
    </w:p>
    <w:p w14:paraId="30EB7D4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定期对地下水环境进行监测，监测委托具有资质的单位进行，结合《排污单位自行监测技术指南 陆上石油天然气开采工业》（HJ1248-2022）、《工业企业土壤和地下水自行监测技术指南（试行）》（HJ 1209-2021）制定本项目运行期监测计划，同时在当地对监测结果进行信息公开，每年公开一次，随时监测地下水的变化，及时发现和解决问题；如发生重大污染事故且已对地下水造成污染，应进行信息公开，并与政府相关部门进行联动，聘请专家进行讨论，制定减轻地下水污染程度及控制地下水污染范围的措施，防止地下水污染加剧。</w:t>
      </w:r>
    </w:p>
    <w:p w14:paraId="5532F2E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项目区域潜水流向为从东向西，根据项目管线分布、</w:t>
      </w:r>
      <w:r>
        <w:rPr>
          <w:rFonts w:hint="eastAsia"/>
          <w:bCs/>
          <w:caps w:val="0"/>
          <w:smallCaps w:val="0"/>
          <w:color w:val="auto"/>
          <w:spacing w:val="0"/>
          <w:w w:val="100"/>
          <w:position w:val="0"/>
          <w:sz w:val="24"/>
          <w:highlight w:val="none"/>
          <w:lang w:val="en-US" w:eastAsia="zh-CN"/>
        </w:rPr>
        <w:t>第十一采油厂</w:t>
      </w:r>
      <w:r>
        <w:rPr>
          <w:rFonts w:hint="eastAsia" w:ascii="Times New Roman" w:hAnsi="Times New Roman" w:cs="Times New Roman" w:eastAsiaTheme="minorEastAsia"/>
          <w:caps w:val="0"/>
          <w:smallCaps w:val="0"/>
          <w:color w:val="auto"/>
          <w:spacing w:val="0"/>
          <w:w w:val="100"/>
          <w:kern w:val="21"/>
          <w:position w:val="0"/>
          <w:highlight w:val="none"/>
        </w:rPr>
        <w:t>现有跟踪监测井和周边</w:t>
      </w:r>
      <w:r>
        <w:rPr>
          <w:rFonts w:ascii="Times New Roman" w:hAnsi="Times New Roman" w:cs="Times New Roman" w:eastAsiaTheme="minorEastAsia"/>
          <w:caps w:val="0"/>
          <w:smallCaps w:val="0"/>
          <w:color w:val="auto"/>
          <w:spacing w:val="0"/>
          <w:w w:val="100"/>
          <w:kern w:val="21"/>
          <w:position w:val="0"/>
          <w:highlight w:val="none"/>
        </w:rPr>
        <w:t>地下水井分布情况，在项目区域</w:t>
      </w:r>
      <w:r>
        <w:rPr>
          <w:rFonts w:hint="eastAsia" w:ascii="Times New Roman" w:hAnsi="Times New Roman" w:cs="Times New Roman" w:eastAsiaTheme="minorEastAsia"/>
          <w:caps w:val="0"/>
          <w:smallCaps w:val="0"/>
          <w:color w:val="auto"/>
          <w:spacing w:val="0"/>
          <w:w w:val="100"/>
          <w:kern w:val="21"/>
          <w:position w:val="0"/>
          <w:highlight w:val="none"/>
        </w:rPr>
        <w:t>依托利用现有3口跟踪监测井作为本工程</w:t>
      </w:r>
      <w:r>
        <w:rPr>
          <w:rFonts w:ascii="Times New Roman" w:hAnsi="Times New Roman" w:cs="Times New Roman" w:eastAsiaTheme="minorEastAsia"/>
          <w:caps w:val="0"/>
          <w:smallCaps w:val="0"/>
          <w:color w:val="auto"/>
          <w:spacing w:val="0"/>
          <w:w w:val="100"/>
          <w:kern w:val="21"/>
          <w:position w:val="0"/>
          <w:highlight w:val="none"/>
        </w:rPr>
        <w:t>监测</w:t>
      </w:r>
      <w:r>
        <w:rPr>
          <w:rFonts w:hint="eastAsia" w:ascii="Times New Roman" w:hAnsi="Times New Roman" w:cs="Times New Roman" w:eastAsiaTheme="minorEastAsia"/>
          <w:caps w:val="0"/>
          <w:smallCaps w:val="0"/>
          <w:color w:val="auto"/>
          <w:spacing w:val="0"/>
          <w:w w:val="100"/>
          <w:kern w:val="21"/>
          <w:position w:val="0"/>
          <w:highlight w:val="none"/>
        </w:rPr>
        <w:t>井</w:t>
      </w:r>
      <w:r>
        <w:rPr>
          <w:rFonts w:ascii="Times New Roman" w:hAnsi="Times New Roman" w:cs="Times New Roman" w:eastAsiaTheme="minorEastAsia"/>
          <w:caps w:val="0"/>
          <w:smallCaps w:val="0"/>
          <w:color w:val="auto"/>
          <w:spacing w:val="0"/>
          <w:w w:val="100"/>
          <w:kern w:val="21"/>
          <w:position w:val="0"/>
          <w:highlight w:val="none"/>
        </w:rPr>
        <w:t>，</w:t>
      </w:r>
      <w:r>
        <w:rPr>
          <w:rFonts w:hint="eastAsia" w:ascii="Times New Roman" w:hAnsi="Times New Roman" w:cs="Times New Roman" w:eastAsiaTheme="minorEastAsia"/>
          <w:caps w:val="0"/>
          <w:smallCaps w:val="0"/>
          <w:color w:val="auto"/>
          <w:spacing w:val="0"/>
          <w:w w:val="100"/>
          <w:kern w:val="21"/>
          <w:position w:val="0"/>
          <w:highlight w:val="none"/>
        </w:rPr>
        <w:t>依托村屯水井作为1</w:t>
      </w:r>
      <w:r>
        <w:rPr>
          <w:rFonts w:ascii="Times New Roman" w:hAnsi="Times New Roman" w:cs="Times New Roman" w:eastAsiaTheme="minorEastAsia"/>
          <w:caps w:val="0"/>
          <w:smallCaps w:val="0"/>
          <w:color w:val="auto"/>
          <w:spacing w:val="0"/>
          <w:w w:val="100"/>
          <w:kern w:val="21"/>
          <w:position w:val="0"/>
          <w:highlight w:val="none"/>
        </w:rPr>
        <w:t>个</w:t>
      </w:r>
      <w:r>
        <w:rPr>
          <w:rFonts w:hint="eastAsia" w:ascii="Times New Roman" w:hAnsi="Times New Roman" w:cs="Times New Roman" w:eastAsiaTheme="minorEastAsia"/>
          <w:caps w:val="0"/>
          <w:smallCaps w:val="0"/>
          <w:color w:val="auto"/>
          <w:spacing w:val="0"/>
          <w:w w:val="100"/>
          <w:kern w:val="21"/>
          <w:position w:val="0"/>
          <w:highlight w:val="none"/>
        </w:rPr>
        <w:t>地下</w:t>
      </w:r>
      <w:r>
        <w:rPr>
          <w:rFonts w:ascii="Times New Roman" w:hAnsi="Times New Roman" w:cs="Times New Roman" w:eastAsiaTheme="minorEastAsia"/>
          <w:caps w:val="0"/>
          <w:smallCaps w:val="0"/>
          <w:color w:val="auto"/>
          <w:spacing w:val="0"/>
          <w:w w:val="100"/>
          <w:kern w:val="21"/>
          <w:position w:val="0"/>
          <w:highlight w:val="none"/>
        </w:rPr>
        <w:t>水跟踪监测点，定期对地下水进行跟踪监测，具体设置情况见表6.1-2。地下水跟踪监测布点图附图</w:t>
      </w:r>
      <w:r>
        <w:rPr>
          <w:rFonts w:hint="eastAsia" w:ascii="Times New Roman" w:hAnsi="Times New Roman" w:cs="Times New Roman" w:eastAsiaTheme="minorEastAsia"/>
          <w:caps w:val="0"/>
          <w:smallCaps w:val="0"/>
          <w:color w:val="auto"/>
          <w:spacing w:val="0"/>
          <w:w w:val="100"/>
          <w:kern w:val="21"/>
          <w:position w:val="0"/>
          <w:highlight w:val="none"/>
        </w:rPr>
        <w:t>4</w:t>
      </w:r>
      <w:r>
        <w:rPr>
          <w:rFonts w:ascii="Times New Roman" w:hAnsi="Times New Roman" w:cs="Times New Roman" w:eastAsiaTheme="minorEastAsia"/>
          <w:caps w:val="0"/>
          <w:smallCaps w:val="0"/>
          <w:color w:val="auto"/>
          <w:spacing w:val="0"/>
          <w:w w:val="100"/>
          <w:kern w:val="21"/>
          <w:position w:val="0"/>
          <w:highlight w:val="none"/>
        </w:rPr>
        <w:t>。</w:t>
      </w:r>
    </w:p>
    <w:p w14:paraId="1E9C578A">
      <w:pPr>
        <w:widowControl w:val="0"/>
        <w:spacing w:line="440" w:lineRule="exact"/>
        <w:ind w:firstLine="482" w:firstLineChars="200"/>
        <w:jc w:val="both"/>
        <w:rPr>
          <w:rFonts w:ascii="Times New Roman" w:hAnsi="Times New Roman" w:cs="Times New Roman" w:eastAsiaTheme="minorEastAsia"/>
          <w:b/>
          <w:bCs/>
          <w:caps w:val="0"/>
          <w:smallCaps w:val="0"/>
          <w:color w:val="auto"/>
          <w:spacing w:val="0"/>
          <w:w w:val="100"/>
          <w:kern w:val="21"/>
          <w:position w:val="0"/>
          <w:szCs w:val="20"/>
          <w:highlight w:val="none"/>
        </w:rPr>
      </w:pPr>
      <w:r>
        <w:rPr>
          <w:rFonts w:ascii="Times New Roman" w:hAnsi="Times New Roman" w:cs="Times New Roman" w:eastAsiaTheme="minorEastAsia"/>
          <w:b/>
          <w:caps w:val="0"/>
          <w:smallCaps w:val="0"/>
          <w:color w:val="auto"/>
          <w:spacing w:val="0"/>
          <w:w w:val="100"/>
          <w:kern w:val="21"/>
          <w:position w:val="0"/>
          <w:highlight w:val="none"/>
        </w:rPr>
        <w:t>表6.1-2</w:t>
      </w:r>
      <w:r>
        <w:rPr>
          <w:rFonts w:ascii="Times New Roman" w:hAnsi="Times New Roman" w:cs="Times New Roman" w:eastAsiaTheme="minorEastAsia"/>
          <w:b/>
          <w:bCs/>
          <w:caps w:val="0"/>
          <w:smallCaps w:val="0"/>
          <w:color w:val="auto"/>
          <w:spacing w:val="0"/>
          <w:w w:val="100"/>
          <w:kern w:val="21"/>
          <w:position w:val="0"/>
          <w:szCs w:val="20"/>
          <w:highlight w:val="none"/>
        </w:rPr>
        <w:t xml:space="preserve">    地下水环境监测计划表</w:t>
      </w:r>
    </w:p>
    <w:tbl>
      <w:tblPr>
        <w:tblStyle w:val="80"/>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42"/>
        <w:gridCol w:w="874"/>
        <w:gridCol w:w="639"/>
        <w:gridCol w:w="726"/>
        <w:gridCol w:w="1161"/>
        <w:gridCol w:w="1163"/>
        <w:gridCol w:w="1597"/>
        <w:gridCol w:w="1165"/>
        <w:gridCol w:w="719"/>
      </w:tblGrid>
      <w:tr w14:paraId="49FCE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9" w:type="pct"/>
            <w:vAlign w:val="center"/>
          </w:tcPr>
          <w:p w14:paraId="2D9B67F4">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点位</w:t>
            </w:r>
            <w:r>
              <w:rPr>
                <w:rFonts w:hint="eastAsia" w:ascii="Times New Roman" w:hAnsi="Times New Roman" w:cs="Times New Roman"/>
                <w:caps w:val="0"/>
                <w:smallCaps w:val="0"/>
                <w:color w:val="auto"/>
                <w:spacing w:val="0"/>
                <w:w w:val="100"/>
                <w:position w:val="0"/>
                <w:sz w:val="21"/>
                <w:szCs w:val="21"/>
                <w:highlight w:val="none"/>
              </w:rPr>
              <w:t>/监测井名称</w:t>
            </w:r>
          </w:p>
        </w:tc>
        <w:tc>
          <w:tcPr>
            <w:tcW w:w="471" w:type="pct"/>
            <w:vAlign w:val="center"/>
          </w:tcPr>
          <w:p w14:paraId="3DEFB5EF">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功能</w:t>
            </w:r>
          </w:p>
        </w:tc>
        <w:tc>
          <w:tcPr>
            <w:tcW w:w="344" w:type="pct"/>
            <w:vAlign w:val="center"/>
          </w:tcPr>
          <w:p w14:paraId="302377CE">
            <w:pPr>
              <w:widowControl w:val="0"/>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井深</w:t>
            </w:r>
          </w:p>
        </w:tc>
        <w:tc>
          <w:tcPr>
            <w:tcW w:w="391" w:type="pct"/>
            <w:vAlign w:val="center"/>
          </w:tcPr>
          <w:p w14:paraId="5BB7D57A">
            <w:pPr>
              <w:widowControl w:val="0"/>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井结构</w:t>
            </w:r>
          </w:p>
        </w:tc>
        <w:tc>
          <w:tcPr>
            <w:tcW w:w="625" w:type="pct"/>
            <w:vAlign w:val="center"/>
          </w:tcPr>
          <w:p w14:paraId="368599A4">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监测因子</w:t>
            </w:r>
          </w:p>
        </w:tc>
        <w:tc>
          <w:tcPr>
            <w:tcW w:w="626" w:type="pct"/>
            <w:vAlign w:val="center"/>
          </w:tcPr>
          <w:p w14:paraId="3E63E6C5">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坐标</w:t>
            </w:r>
          </w:p>
        </w:tc>
        <w:tc>
          <w:tcPr>
            <w:tcW w:w="860" w:type="pct"/>
            <w:vAlign w:val="center"/>
          </w:tcPr>
          <w:p w14:paraId="1998E444">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与工程在地下水流向</w:t>
            </w:r>
            <w:r>
              <w:rPr>
                <w:rFonts w:ascii="Times New Roman" w:hAnsi="Times New Roman" w:cs="Times New Roman"/>
                <w:caps w:val="0"/>
                <w:smallCaps w:val="0"/>
                <w:color w:val="auto"/>
                <w:spacing w:val="0"/>
                <w:w w:val="100"/>
                <w:position w:val="0"/>
                <w:sz w:val="21"/>
                <w:szCs w:val="21"/>
                <w:highlight w:val="none"/>
              </w:rPr>
              <w:t>位置</w:t>
            </w:r>
            <w:r>
              <w:rPr>
                <w:rFonts w:hint="eastAsia" w:ascii="Times New Roman" w:hAnsi="Times New Roman" w:cs="Times New Roman"/>
                <w:caps w:val="0"/>
                <w:smallCaps w:val="0"/>
                <w:color w:val="auto"/>
                <w:spacing w:val="0"/>
                <w:w w:val="100"/>
                <w:position w:val="0"/>
                <w:sz w:val="21"/>
                <w:szCs w:val="21"/>
                <w:highlight w:val="none"/>
              </w:rPr>
              <w:t>关系</w:t>
            </w:r>
          </w:p>
        </w:tc>
        <w:tc>
          <w:tcPr>
            <w:tcW w:w="627" w:type="pct"/>
            <w:vAlign w:val="center"/>
          </w:tcPr>
          <w:p w14:paraId="1979D03C">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监测层位</w:t>
            </w:r>
          </w:p>
        </w:tc>
        <w:tc>
          <w:tcPr>
            <w:tcW w:w="387" w:type="pct"/>
            <w:vAlign w:val="center"/>
          </w:tcPr>
          <w:p w14:paraId="713644DE">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监测频次</w:t>
            </w:r>
          </w:p>
        </w:tc>
      </w:tr>
      <w:tr w14:paraId="12F76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9" w:type="pct"/>
            <w:vAlign w:val="center"/>
          </w:tcPr>
          <w:p w14:paraId="060C55BE">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qx-14监测井</w:t>
            </w:r>
          </w:p>
        </w:tc>
        <w:tc>
          <w:tcPr>
            <w:tcW w:w="471" w:type="pct"/>
            <w:vAlign w:val="center"/>
          </w:tcPr>
          <w:p w14:paraId="2241FB72">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背景监测点</w:t>
            </w:r>
          </w:p>
        </w:tc>
        <w:tc>
          <w:tcPr>
            <w:tcW w:w="344" w:type="pct"/>
            <w:vAlign w:val="center"/>
          </w:tcPr>
          <w:p w14:paraId="5857F857">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8</w:t>
            </w:r>
            <w:r>
              <w:rPr>
                <w:rFonts w:ascii="Times New Roman" w:hAnsi="Times New Roman" w:cs="Times New Roman"/>
                <w:caps w:val="0"/>
                <w:smallCaps w:val="0"/>
                <w:color w:val="auto"/>
                <w:spacing w:val="0"/>
                <w:w w:val="100"/>
                <w:position w:val="0"/>
                <w:sz w:val="21"/>
                <w:szCs w:val="21"/>
                <w:highlight w:val="none"/>
              </w:rPr>
              <w:t>m</w:t>
            </w:r>
          </w:p>
        </w:tc>
        <w:tc>
          <w:tcPr>
            <w:tcW w:w="391" w:type="pct"/>
            <w:vAlign w:val="center"/>
          </w:tcPr>
          <w:p w14:paraId="41DEF6B9">
            <w:pPr>
              <w:widowControl w:val="0"/>
              <w:jc w:val="center"/>
              <w:rPr>
                <w:rFonts w:ascii="Times New Roman" w:hAnsi="Times New Roman" w:cs="Times New Roman"/>
                <w:caps w:val="0"/>
                <w:smallCaps w:val="0"/>
                <w:color w:val="auto"/>
                <w:spacing w:val="0"/>
                <w:w w:val="100"/>
                <w:kern w:val="2"/>
                <w:position w:val="0"/>
                <w:sz w:val="21"/>
                <w:highlight w:val="none"/>
              </w:rPr>
            </w:pPr>
            <w:r>
              <w:rPr>
                <w:rFonts w:hint="eastAsia" w:ascii="Times New Roman" w:hAnsi="Times New Roman" w:cs="Times New Roman"/>
                <w:caps w:val="0"/>
                <w:smallCaps w:val="0"/>
                <w:color w:val="auto"/>
                <w:spacing w:val="0"/>
                <w:w w:val="100"/>
                <w:kern w:val="21"/>
                <w:position w:val="0"/>
                <w:sz w:val="21"/>
                <w:highlight w:val="none"/>
              </w:rPr>
              <w:t>金属管</w:t>
            </w:r>
          </w:p>
        </w:tc>
        <w:tc>
          <w:tcPr>
            <w:tcW w:w="625" w:type="pct"/>
            <w:vMerge w:val="restart"/>
            <w:vAlign w:val="center"/>
          </w:tcPr>
          <w:p w14:paraId="21ABFE3C">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kern w:val="2"/>
                <w:position w:val="0"/>
                <w:sz w:val="21"/>
                <w:szCs w:val="21"/>
                <w:highlight w:val="none"/>
              </w:rPr>
              <w:t>pH、石油类、石油烃（C</w:t>
            </w:r>
            <w:r>
              <w:rPr>
                <w:rFonts w:ascii="Times New Roman" w:hAnsi="Times New Roman" w:cs="Times New Roman"/>
                <w:caps w:val="0"/>
                <w:smallCaps w:val="0"/>
                <w:color w:val="auto"/>
                <w:spacing w:val="0"/>
                <w:w w:val="100"/>
                <w:kern w:val="2"/>
                <w:position w:val="0"/>
                <w:sz w:val="21"/>
                <w:szCs w:val="21"/>
                <w:highlight w:val="none"/>
                <w:vertAlign w:val="subscript"/>
              </w:rPr>
              <w:t>6</w:t>
            </w:r>
            <w:r>
              <w:rPr>
                <w:rFonts w:ascii="Times New Roman" w:hAnsi="Times New Roman" w:cs="Times New Roman"/>
                <w:caps w:val="0"/>
                <w:smallCaps w:val="0"/>
                <w:color w:val="auto"/>
                <w:spacing w:val="0"/>
                <w:w w:val="100"/>
                <w:kern w:val="2"/>
                <w:position w:val="0"/>
                <w:sz w:val="21"/>
                <w:szCs w:val="21"/>
                <w:highlight w:val="none"/>
              </w:rPr>
              <w:t>~C</w:t>
            </w:r>
            <w:r>
              <w:rPr>
                <w:rFonts w:ascii="Times New Roman" w:hAnsi="Times New Roman" w:cs="Times New Roman"/>
                <w:caps w:val="0"/>
                <w:smallCaps w:val="0"/>
                <w:color w:val="auto"/>
                <w:spacing w:val="0"/>
                <w:w w:val="100"/>
                <w:kern w:val="2"/>
                <w:position w:val="0"/>
                <w:sz w:val="21"/>
                <w:szCs w:val="21"/>
                <w:highlight w:val="none"/>
                <w:vertAlign w:val="subscript"/>
              </w:rPr>
              <w:t>9</w:t>
            </w:r>
            <w:r>
              <w:rPr>
                <w:rFonts w:ascii="Times New Roman" w:hAnsi="Times New Roman" w:cs="Times New Roman"/>
                <w:caps w:val="0"/>
                <w:smallCaps w:val="0"/>
                <w:color w:val="auto"/>
                <w:spacing w:val="0"/>
                <w:w w:val="100"/>
                <w:kern w:val="2"/>
                <w:position w:val="0"/>
                <w:sz w:val="21"/>
                <w:szCs w:val="21"/>
                <w:highlight w:val="none"/>
              </w:rPr>
              <w:t>）、石油烃（C</w:t>
            </w:r>
            <w:r>
              <w:rPr>
                <w:rFonts w:ascii="Times New Roman" w:hAnsi="Times New Roman" w:cs="Times New Roman"/>
                <w:caps w:val="0"/>
                <w:smallCaps w:val="0"/>
                <w:color w:val="auto"/>
                <w:spacing w:val="0"/>
                <w:w w:val="100"/>
                <w:kern w:val="2"/>
                <w:position w:val="0"/>
                <w:sz w:val="21"/>
                <w:szCs w:val="21"/>
                <w:highlight w:val="none"/>
                <w:vertAlign w:val="subscript"/>
              </w:rPr>
              <w:t>10</w:t>
            </w:r>
            <w:r>
              <w:rPr>
                <w:rFonts w:ascii="Times New Roman" w:hAnsi="Times New Roman" w:cs="Times New Roman"/>
                <w:caps w:val="0"/>
                <w:smallCaps w:val="0"/>
                <w:color w:val="auto"/>
                <w:spacing w:val="0"/>
                <w:w w:val="100"/>
                <w:kern w:val="2"/>
                <w:position w:val="0"/>
                <w:sz w:val="21"/>
                <w:szCs w:val="21"/>
                <w:highlight w:val="none"/>
              </w:rPr>
              <w:t>~C</w:t>
            </w:r>
            <w:r>
              <w:rPr>
                <w:rFonts w:ascii="Times New Roman" w:hAnsi="Times New Roman" w:cs="Times New Roman"/>
                <w:caps w:val="0"/>
                <w:smallCaps w:val="0"/>
                <w:color w:val="auto"/>
                <w:spacing w:val="0"/>
                <w:w w:val="100"/>
                <w:kern w:val="2"/>
                <w:position w:val="0"/>
                <w:sz w:val="21"/>
                <w:szCs w:val="21"/>
                <w:highlight w:val="none"/>
                <w:vertAlign w:val="subscript"/>
              </w:rPr>
              <w:t>40</w:t>
            </w:r>
            <w:r>
              <w:rPr>
                <w:rFonts w:ascii="Times New Roman" w:hAnsi="Times New Roman" w:cs="Times New Roman"/>
                <w:caps w:val="0"/>
                <w:smallCaps w:val="0"/>
                <w:color w:val="auto"/>
                <w:spacing w:val="0"/>
                <w:w w:val="100"/>
                <w:kern w:val="2"/>
                <w:position w:val="0"/>
                <w:sz w:val="21"/>
                <w:szCs w:val="21"/>
                <w:highlight w:val="none"/>
              </w:rPr>
              <w:t>）、砷、六价铬、</w:t>
            </w:r>
            <w:r>
              <w:rPr>
                <w:rFonts w:ascii="Times New Roman" w:hAnsi="Times New Roman" w:cs="Times New Roman"/>
                <w:caps w:val="0"/>
                <w:smallCaps w:val="0"/>
                <w:color w:val="auto"/>
                <w:spacing w:val="0"/>
                <w:w w:val="100"/>
                <w:position w:val="0"/>
                <w:sz w:val="21"/>
                <w:szCs w:val="21"/>
                <w:highlight w:val="none"/>
              </w:rPr>
              <w:t>挥发酚、氨氮、耗氧量</w:t>
            </w:r>
          </w:p>
        </w:tc>
        <w:tc>
          <w:tcPr>
            <w:tcW w:w="626" w:type="pct"/>
            <w:vAlign w:val="center"/>
          </w:tcPr>
          <w:p w14:paraId="44123981">
            <w:pPr>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124.56339</w:t>
            </w:r>
          </w:p>
          <w:p w14:paraId="1B27780E">
            <w:pPr>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46.10128</w:t>
            </w:r>
          </w:p>
        </w:tc>
        <w:tc>
          <w:tcPr>
            <w:tcW w:w="860" w:type="pct"/>
            <w:vAlign w:val="center"/>
          </w:tcPr>
          <w:p w14:paraId="54357485">
            <w:pPr>
              <w:widowControl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新建污水干线东北180m</w:t>
            </w:r>
          </w:p>
        </w:tc>
        <w:tc>
          <w:tcPr>
            <w:tcW w:w="627" w:type="pct"/>
            <w:vAlign w:val="center"/>
          </w:tcPr>
          <w:p w14:paraId="21C3FE71">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潜水层</w:t>
            </w:r>
          </w:p>
        </w:tc>
        <w:tc>
          <w:tcPr>
            <w:tcW w:w="387" w:type="pct"/>
            <w:vMerge w:val="restart"/>
            <w:vAlign w:val="center"/>
          </w:tcPr>
          <w:p w14:paraId="7704ECA5">
            <w:pPr>
              <w:widowControl w:val="0"/>
              <w:adjustRightInd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1次/半年</w:t>
            </w:r>
          </w:p>
        </w:tc>
      </w:tr>
      <w:tr w14:paraId="57304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9" w:type="pct"/>
            <w:vAlign w:val="center"/>
          </w:tcPr>
          <w:p w14:paraId="393489EF">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kern w:val="24"/>
                <w:position w:val="0"/>
                <w:sz w:val="21"/>
                <w:szCs w:val="21"/>
                <w:highlight w:val="none"/>
              </w:rPr>
              <w:t>卫一联监测井2#</w:t>
            </w:r>
          </w:p>
        </w:tc>
        <w:tc>
          <w:tcPr>
            <w:tcW w:w="471" w:type="pct"/>
            <w:vAlign w:val="center"/>
          </w:tcPr>
          <w:p w14:paraId="2F9C5943">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跟踪监测点</w:t>
            </w:r>
          </w:p>
        </w:tc>
        <w:tc>
          <w:tcPr>
            <w:tcW w:w="344" w:type="pct"/>
            <w:vAlign w:val="center"/>
          </w:tcPr>
          <w:p w14:paraId="1C19251A">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8</w:t>
            </w:r>
            <w:r>
              <w:rPr>
                <w:rFonts w:ascii="Times New Roman" w:hAnsi="Times New Roman" w:cs="Times New Roman"/>
                <w:caps w:val="0"/>
                <w:smallCaps w:val="0"/>
                <w:color w:val="auto"/>
                <w:spacing w:val="0"/>
                <w:w w:val="100"/>
                <w:position w:val="0"/>
                <w:sz w:val="21"/>
                <w:szCs w:val="21"/>
                <w:highlight w:val="none"/>
              </w:rPr>
              <w:t>m</w:t>
            </w:r>
          </w:p>
        </w:tc>
        <w:tc>
          <w:tcPr>
            <w:tcW w:w="391" w:type="pct"/>
            <w:vAlign w:val="center"/>
          </w:tcPr>
          <w:p w14:paraId="0BB10E0C">
            <w:pPr>
              <w:widowControl w:val="0"/>
              <w:jc w:val="center"/>
              <w:rPr>
                <w:rFonts w:ascii="Times New Roman" w:hAnsi="Times New Roman" w:cs="Times New Roman"/>
                <w:caps w:val="0"/>
                <w:smallCaps w:val="0"/>
                <w:color w:val="auto"/>
                <w:spacing w:val="0"/>
                <w:w w:val="100"/>
                <w:kern w:val="2"/>
                <w:position w:val="0"/>
                <w:sz w:val="21"/>
                <w:highlight w:val="none"/>
              </w:rPr>
            </w:pPr>
            <w:r>
              <w:rPr>
                <w:rFonts w:hint="eastAsia" w:ascii="Times New Roman" w:hAnsi="Times New Roman" w:cs="Times New Roman"/>
                <w:caps w:val="0"/>
                <w:smallCaps w:val="0"/>
                <w:color w:val="auto"/>
                <w:spacing w:val="0"/>
                <w:w w:val="100"/>
                <w:kern w:val="21"/>
                <w:position w:val="0"/>
                <w:sz w:val="21"/>
                <w:highlight w:val="none"/>
              </w:rPr>
              <w:t>金属管</w:t>
            </w:r>
          </w:p>
        </w:tc>
        <w:tc>
          <w:tcPr>
            <w:tcW w:w="625" w:type="pct"/>
            <w:vMerge w:val="continue"/>
            <w:vAlign w:val="center"/>
          </w:tcPr>
          <w:p w14:paraId="22748D4C">
            <w:pPr>
              <w:widowControl w:val="0"/>
              <w:snapToGrid w:val="0"/>
              <w:jc w:val="center"/>
              <w:rPr>
                <w:rFonts w:ascii="Times New Roman" w:hAnsi="Times New Roman" w:cs="Times New Roman"/>
                <w:caps w:val="0"/>
                <w:smallCaps w:val="0"/>
                <w:color w:val="auto"/>
                <w:spacing w:val="0"/>
                <w:w w:val="100"/>
                <w:kern w:val="2"/>
                <w:position w:val="0"/>
                <w:sz w:val="21"/>
                <w:szCs w:val="21"/>
                <w:highlight w:val="none"/>
              </w:rPr>
            </w:pPr>
          </w:p>
        </w:tc>
        <w:tc>
          <w:tcPr>
            <w:tcW w:w="626" w:type="pct"/>
            <w:vAlign w:val="center"/>
          </w:tcPr>
          <w:p w14:paraId="152F61FA">
            <w:pPr>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124.56231</w:t>
            </w:r>
          </w:p>
          <w:p w14:paraId="534C085C">
            <w:pPr>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46.09589</w:t>
            </w:r>
          </w:p>
        </w:tc>
        <w:tc>
          <w:tcPr>
            <w:tcW w:w="860" w:type="pct"/>
            <w:vAlign w:val="center"/>
          </w:tcPr>
          <w:p w14:paraId="26E9A1BE">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eastAsiaTheme="minorEastAsia"/>
                <w:caps w:val="0"/>
                <w:smallCaps w:val="0"/>
                <w:color w:val="auto"/>
                <w:spacing w:val="0"/>
                <w:w w:val="100"/>
                <w:kern w:val="2"/>
                <w:position w:val="0"/>
                <w:sz w:val="21"/>
                <w:szCs w:val="21"/>
                <w:highlight w:val="none"/>
              </w:rPr>
              <w:t>新建污水干线南20m</w:t>
            </w:r>
          </w:p>
        </w:tc>
        <w:tc>
          <w:tcPr>
            <w:tcW w:w="627" w:type="pct"/>
            <w:vAlign w:val="center"/>
          </w:tcPr>
          <w:p w14:paraId="6BEEB436">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潜水层</w:t>
            </w:r>
          </w:p>
        </w:tc>
        <w:tc>
          <w:tcPr>
            <w:tcW w:w="387" w:type="pct"/>
            <w:vMerge w:val="continue"/>
            <w:vAlign w:val="center"/>
          </w:tcPr>
          <w:p w14:paraId="3F8472AE">
            <w:pPr>
              <w:widowControl w:val="0"/>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53D7D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9" w:type="pct"/>
            <w:vAlign w:val="center"/>
          </w:tcPr>
          <w:p w14:paraId="726637F7">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qx-7监测井</w:t>
            </w:r>
          </w:p>
        </w:tc>
        <w:tc>
          <w:tcPr>
            <w:tcW w:w="471" w:type="pct"/>
            <w:vAlign w:val="center"/>
          </w:tcPr>
          <w:p w14:paraId="567DE7DB">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背景监测点</w:t>
            </w:r>
          </w:p>
        </w:tc>
        <w:tc>
          <w:tcPr>
            <w:tcW w:w="344" w:type="pct"/>
            <w:vAlign w:val="center"/>
          </w:tcPr>
          <w:p w14:paraId="37349067">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20</w:t>
            </w:r>
            <w:r>
              <w:rPr>
                <w:rFonts w:ascii="Times New Roman" w:hAnsi="Times New Roman" w:cs="Times New Roman"/>
                <w:caps w:val="0"/>
                <w:smallCaps w:val="0"/>
                <w:color w:val="auto"/>
                <w:spacing w:val="0"/>
                <w:w w:val="100"/>
                <w:position w:val="0"/>
                <w:sz w:val="21"/>
                <w:szCs w:val="21"/>
                <w:highlight w:val="none"/>
              </w:rPr>
              <w:t>m</w:t>
            </w:r>
          </w:p>
        </w:tc>
        <w:tc>
          <w:tcPr>
            <w:tcW w:w="391" w:type="pct"/>
            <w:vAlign w:val="center"/>
          </w:tcPr>
          <w:p w14:paraId="7694A312">
            <w:pPr>
              <w:widowControl w:val="0"/>
              <w:jc w:val="center"/>
              <w:rPr>
                <w:rFonts w:ascii="Times New Roman" w:hAnsi="Times New Roman" w:cs="Times New Roman"/>
                <w:caps w:val="0"/>
                <w:smallCaps w:val="0"/>
                <w:color w:val="auto"/>
                <w:spacing w:val="0"/>
                <w:w w:val="100"/>
                <w:kern w:val="2"/>
                <w:position w:val="0"/>
                <w:sz w:val="21"/>
                <w:highlight w:val="none"/>
              </w:rPr>
            </w:pPr>
            <w:r>
              <w:rPr>
                <w:rFonts w:hint="eastAsia" w:ascii="Times New Roman" w:hAnsi="Times New Roman" w:cs="Times New Roman"/>
                <w:caps w:val="0"/>
                <w:smallCaps w:val="0"/>
                <w:color w:val="auto"/>
                <w:spacing w:val="0"/>
                <w:w w:val="100"/>
                <w:kern w:val="21"/>
                <w:position w:val="0"/>
                <w:sz w:val="21"/>
                <w:highlight w:val="none"/>
              </w:rPr>
              <w:t>金属管</w:t>
            </w:r>
          </w:p>
        </w:tc>
        <w:tc>
          <w:tcPr>
            <w:tcW w:w="625" w:type="pct"/>
            <w:vMerge w:val="continue"/>
            <w:vAlign w:val="center"/>
          </w:tcPr>
          <w:p w14:paraId="3F40D9B5">
            <w:pPr>
              <w:widowControl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626" w:type="pct"/>
            <w:vAlign w:val="center"/>
          </w:tcPr>
          <w:p w14:paraId="5EF2EBA1">
            <w:pPr>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125.01252</w:t>
            </w:r>
          </w:p>
          <w:p w14:paraId="5845B452">
            <w:pPr>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46.11074</w:t>
            </w:r>
          </w:p>
        </w:tc>
        <w:tc>
          <w:tcPr>
            <w:tcW w:w="860" w:type="pct"/>
            <w:vAlign w:val="center"/>
          </w:tcPr>
          <w:p w14:paraId="05239AD0">
            <w:pPr>
              <w:widowControl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eastAsiaTheme="minorEastAsia"/>
                <w:caps w:val="0"/>
                <w:smallCaps w:val="0"/>
                <w:color w:val="auto"/>
                <w:spacing w:val="0"/>
                <w:w w:val="100"/>
                <w:position w:val="0"/>
                <w:sz w:val="21"/>
                <w:szCs w:val="21"/>
                <w:highlight w:val="none"/>
              </w:rPr>
              <w:t>卫一转阀组间至3-1#注配间末段供水管道东700m</w:t>
            </w:r>
          </w:p>
        </w:tc>
        <w:tc>
          <w:tcPr>
            <w:tcW w:w="627" w:type="pct"/>
            <w:vAlign w:val="center"/>
          </w:tcPr>
          <w:p w14:paraId="41F6DC0E">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潜水层</w:t>
            </w:r>
          </w:p>
        </w:tc>
        <w:tc>
          <w:tcPr>
            <w:tcW w:w="387" w:type="pct"/>
            <w:vMerge w:val="continue"/>
            <w:vAlign w:val="center"/>
          </w:tcPr>
          <w:p w14:paraId="3664CB4B">
            <w:pPr>
              <w:widowControl w:val="0"/>
              <w:adjustRightInd w:val="0"/>
              <w:snapToGrid w:val="0"/>
              <w:jc w:val="center"/>
              <w:rPr>
                <w:rFonts w:ascii="Times New Roman" w:hAnsi="Times New Roman" w:cs="Times New Roman"/>
                <w:caps w:val="0"/>
                <w:smallCaps w:val="0"/>
                <w:color w:val="auto"/>
                <w:spacing w:val="0"/>
                <w:w w:val="100"/>
                <w:position w:val="0"/>
                <w:sz w:val="21"/>
                <w:szCs w:val="21"/>
                <w:highlight w:val="none"/>
              </w:rPr>
            </w:pPr>
          </w:p>
        </w:tc>
      </w:tr>
      <w:tr w14:paraId="67E83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9" w:type="pct"/>
            <w:vAlign w:val="center"/>
          </w:tcPr>
          <w:p w14:paraId="1B5F2E9B">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kern w:val="24"/>
                <w:position w:val="0"/>
                <w:sz w:val="21"/>
                <w:szCs w:val="21"/>
                <w:highlight w:val="none"/>
              </w:rPr>
              <w:t>石宝珍屯</w:t>
            </w:r>
            <w:r>
              <w:rPr>
                <w:rFonts w:ascii="Times New Roman" w:hAnsi="Times New Roman" w:cs="Times New Roman"/>
                <w:caps w:val="0"/>
                <w:smallCaps w:val="0"/>
                <w:color w:val="auto"/>
                <w:spacing w:val="0"/>
                <w:w w:val="100"/>
                <w:kern w:val="24"/>
                <w:position w:val="0"/>
                <w:sz w:val="21"/>
                <w:szCs w:val="21"/>
                <w:highlight w:val="none"/>
              </w:rPr>
              <w:t>水井</w:t>
            </w:r>
          </w:p>
        </w:tc>
        <w:tc>
          <w:tcPr>
            <w:tcW w:w="471" w:type="pct"/>
            <w:vAlign w:val="center"/>
          </w:tcPr>
          <w:p w14:paraId="2D8BA91B">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跟踪监测点</w:t>
            </w:r>
          </w:p>
        </w:tc>
        <w:tc>
          <w:tcPr>
            <w:tcW w:w="344" w:type="pct"/>
            <w:vAlign w:val="center"/>
          </w:tcPr>
          <w:p w14:paraId="61E33E82">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hint="eastAsia" w:ascii="Times New Roman" w:hAnsi="Times New Roman" w:cs="Times New Roman"/>
                <w:caps w:val="0"/>
                <w:smallCaps w:val="0"/>
                <w:color w:val="auto"/>
                <w:spacing w:val="0"/>
                <w:w w:val="100"/>
                <w:position w:val="0"/>
                <w:sz w:val="21"/>
                <w:szCs w:val="21"/>
                <w:highlight w:val="none"/>
              </w:rPr>
              <w:t>10</w:t>
            </w:r>
            <w:r>
              <w:rPr>
                <w:rFonts w:ascii="Times New Roman" w:hAnsi="Times New Roman" w:cs="Times New Roman"/>
                <w:caps w:val="0"/>
                <w:smallCaps w:val="0"/>
                <w:color w:val="auto"/>
                <w:spacing w:val="0"/>
                <w:w w:val="100"/>
                <w:position w:val="0"/>
                <w:sz w:val="21"/>
                <w:szCs w:val="21"/>
                <w:highlight w:val="none"/>
              </w:rPr>
              <w:t>m</w:t>
            </w:r>
          </w:p>
        </w:tc>
        <w:tc>
          <w:tcPr>
            <w:tcW w:w="391" w:type="pct"/>
            <w:vAlign w:val="center"/>
          </w:tcPr>
          <w:p w14:paraId="65E1E8ED">
            <w:pPr>
              <w:widowControl w:val="0"/>
              <w:jc w:val="center"/>
              <w:rPr>
                <w:rFonts w:ascii="Times New Roman" w:hAnsi="Times New Roman" w:cs="Times New Roman"/>
                <w:caps w:val="0"/>
                <w:smallCaps w:val="0"/>
                <w:color w:val="auto"/>
                <w:spacing w:val="0"/>
                <w:w w:val="100"/>
                <w:kern w:val="2"/>
                <w:position w:val="0"/>
                <w:sz w:val="21"/>
                <w:highlight w:val="none"/>
              </w:rPr>
            </w:pPr>
            <w:r>
              <w:rPr>
                <w:rFonts w:hint="eastAsia" w:ascii="Times New Roman" w:hAnsi="Times New Roman" w:cs="Times New Roman"/>
                <w:caps w:val="0"/>
                <w:smallCaps w:val="0"/>
                <w:color w:val="auto"/>
                <w:spacing w:val="0"/>
                <w:w w:val="100"/>
                <w:kern w:val="21"/>
                <w:position w:val="0"/>
                <w:sz w:val="21"/>
                <w:highlight w:val="none"/>
              </w:rPr>
              <w:t>水泥管</w:t>
            </w:r>
          </w:p>
        </w:tc>
        <w:tc>
          <w:tcPr>
            <w:tcW w:w="625" w:type="pct"/>
            <w:vMerge w:val="continue"/>
            <w:vAlign w:val="center"/>
          </w:tcPr>
          <w:p w14:paraId="26B1B4ED">
            <w:pPr>
              <w:widowControl w:val="0"/>
              <w:snapToGrid w:val="0"/>
              <w:jc w:val="center"/>
              <w:rPr>
                <w:rFonts w:ascii="Times New Roman" w:hAnsi="Times New Roman" w:cs="Times New Roman"/>
                <w:caps w:val="0"/>
                <w:smallCaps w:val="0"/>
                <w:color w:val="auto"/>
                <w:spacing w:val="0"/>
                <w:w w:val="100"/>
                <w:position w:val="0"/>
                <w:sz w:val="21"/>
                <w:szCs w:val="21"/>
                <w:highlight w:val="none"/>
              </w:rPr>
            </w:pPr>
          </w:p>
        </w:tc>
        <w:tc>
          <w:tcPr>
            <w:tcW w:w="626" w:type="pct"/>
            <w:vAlign w:val="center"/>
          </w:tcPr>
          <w:p w14:paraId="360AF3C2">
            <w:pPr>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125.00266</w:t>
            </w:r>
          </w:p>
          <w:p w14:paraId="03E4C073">
            <w:pPr>
              <w:adjustRightInd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cs="Times New Roman"/>
                <w:caps w:val="0"/>
                <w:smallCaps w:val="0"/>
                <w:color w:val="auto"/>
                <w:spacing w:val="0"/>
                <w:w w:val="100"/>
                <w:kern w:val="2"/>
                <w:position w:val="0"/>
                <w:sz w:val="21"/>
                <w:szCs w:val="21"/>
                <w:highlight w:val="none"/>
              </w:rPr>
              <w:t>46.09489</w:t>
            </w:r>
          </w:p>
        </w:tc>
        <w:tc>
          <w:tcPr>
            <w:tcW w:w="860" w:type="pct"/>
            <w:vAlign w:val="center"/>
          </w:tcPr>
          <w:p w14:paraId="79B7A1D6">
            <w:pPr>
              <w:widowControl w:val="0"/>
              <w:snapToGrid w:val="0"/>
              <w:jc w:val="center"/>
              <w:rPr>
                <w:rFonts w:ascii="Times New Roman" w:hAnsi="Times New Roman" w:cs="Times New Roman"/>
                <w:caps w:val="0"/>
                <w:smallCaps w:val="0"/>
                <w:color w:val="auto"/>
                <w:spacing w:val="0"/>
                <w:w w:val="100"/>
                <w:kern w:val="2"/>
                <w:position w:val="0"/>
                <w:sz w:val="21"/>
                <w:szCs w:val="21"/>
                <w:highlight w:val="none"/>
              </w:rPr>
            </w:pPr>
            <w:r>
              <w:rPr>
                <w:rFonts w:hint="eastAsia" w:ascii="Times New Roman" w:hAnsi="Times New Roman" w:eastAsiaTheme="minorEastAsia"/>
                <w:caps w:val="0"/>
                <w:smallCaps w:val="0"/>
                <w:color w:val="auto"/>
                <w:spacing w:val="0"/>
                <w:w w:val="100"/>
                <w:position w:val="0"/>
                <w:sz w:val="21"/>
                <w:szCs w:val="21"/>
                <w:highlight w:val="none"/>
              </w:rPr>
              <w:t>卫一转阀组间至1-2#注配间供水管道西侧350m</w:t>
            </w:r>
          </w:p>
        </w:tc>
        <w:tc>
          <w:tcPr>
            <w:tcW w:w="627" w:type="pct"/>
            <w:vAlign w:val="center"/>
          </w:tcPr>
          <w:p w14:paraId="14C89970">
            <w:pPr>
              <w:widowControl w:val="0"/>
              <w:snapToGrid w:val="0"/>
              <w:jc w:val="center"/>
              <w:rPr>
                <w:rFonts w:ascii="Times New Roman" w:hAnsi="Times New Roman" w:cs="Times New Roman"/>
                <w:caps w:val="0"/>
                <w:smallCaps w:val="0"/>
                <w:color w:val="auto"/>
                <w:spacing w:val="0"/>
                <w:w w:val="100"/>
                <w:position w:val="0"/>
                <w:sz w:val="21"/>
                <w:szCs w:val="21"/>
                <w:highlight w:val="none"/>
              </w:rPr>
            </w:pPr>
            <w:r>
              <w:rPr>
                <w:rFonts w:ascii="Times New Roman" w:hAnsi="Times New Roman" w:cs="Times New Roman"/>
                <w:caps w:val="0"/>
                <w:smallCaps w:val="0"/>
                <w:color w:val="auto"/>
                <w:spacing w:val="0"/>
                <w:w w:val="100"/>
                <w:position w:val="0"/>
                <w:sz w:val="21"/>
                <w:szCs w:val="21"/>
                <w:highlight w:val="none"/>
              </w:rPr>
              <w:t>潜水层</w:t>
            </w:r>
          </w:p>
        </w:tc>
        <w:tc>
          <w:tcPr>
            <w:tcW w:w="387" w:type="pct"/>
            <w:vMerge w:val="continue"/>
            <w:vAlign w:val="center"/>
          </w:tcPr>
          <w:p w14:paraId="6EB3198D">
            <w:pPr>
              <w:widowControl w:val="0"/>
              <w:snapToGrid w:val="0"/>
              <w:jc w:val="center"/>
              <w:rPr>
                <w:rFonts w:ascii="Times New Roman" w:hAnsi="Times New Roman" w:cs="Times New Roman"/>
                <w:caps w:val="0"/>
                <w:smallCaps w:val="0"/>
                <w:color w:val="auto"/>
                <w:spacing w:val="0"/>
                <w:w w:val="100"/>
                <w:position w:val="0"/>
                <w:sz w:val="21"/>
                <w:szCs w:val="21"/>
                <w:highlight w:val="none"/>
              </w:rPr>
            </w:pPr>
          </w:p>
        </w:tc>
      </w:tr>
    </w:tbl>
    <w:p w14:paraId="1F6277CB">
      <w:pPr>
        <w:widowControl w:val="0"/>
        <w:spacing w:before="60" w:after="60"/>
        <w:jc w:val="both"/>
        <w:outlineLvl w:val="2"/>
        <w:rPr>
          <w:rFonts w:ascii="Times New Roman" w:hAnsi="Times New Roman" w:cs="Times New Roman"/>
          <w:b/>
          <w:caps w:val="0"/>
          <w:smallCaps w:val="0"/>
          <w:color w:val="auto"/>
          <w:spacing w:val="0"/>
          <w:w w:val="100"/>
          <w:kern w:val="2"/>
          <w:position w:val="0"/>
          <w:highlight w:val="none"/>
        </w:rPr>
      </w:pPr>
      <w:bookmarkStart w:id="991" w:name="_Toc186444380"/>
      <w:r>
        <w:rPr>
          <w:rFonts w:ascii="Times New Roman" w:hAnsi="Times New Roman" w:cs="Times New Roman"/>
          <w:b/>
          <w:caps w:val="0"/>
          <w:smallCaps w:val="0"/>
          <w:color w:val="auto"/>
          <w:spacing w:val="0"/>
          <w:w w:val="100"/>
          <w:kern w:val="2"/>
          <w:position w:val="0"/>
          <w:highlight w:val="none"/>
        </w:rPr>
        <w:t>6.1.3噪声污染控制措施</w:t>
      </w:r>
      <w:bookmarkEnd w:id="991"/>
    </w:p>
    <w:p w14:paraId="1F9A63BD">
      <w:pPr>
        <w:pStyle w:val="149"/>
        <w:widowControl w:val="0"/>
        <w:ind w:firstLine="0" w:firstLineChars="0"/>
        <w:jc w:val="both"/>
        <w:outlineLvl w:val="3"/>
        <w:rPr>
          <w:rFonts w:ascii="Times New Roman" w:hAnsi="Times New Roman"/>
          <w:b/>
          <w:caps w:val="0"/>
          <w:smallCaps w:val="0"/>
          <w:color w:val="auto"/>
          <w:spacing w:val="0"/>
          <w:w w:val="100"/>
          <w:position w:val="0"/>
          <w:highlight w:val="none"/>
        </w:rPr>
      </w:pPr>
      <w:r>
        <w:rPr>
          <w:rFonts w:ascii="Times New Roman" w:hAnsi="Times New Roman"/>
          <w:b/>
          <w:caps w:val="0"/>
          <w:smallCaps w:val="0"/>
          <w:color w:val="auto"/>
          <w:spacing w:val="0"/>
          <w:w w:val="100"/>
          <w:position w:val="0"/>
          <w:highlight w:val="none"/>
        </w:rPr>
        <w:t>6.1.3.1施工期</w:t>
      </w:r>
    </w:p>
    <w:p w14:paraId="00F11DF5">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通过采取相应的管理措施，可进一步降低工程施工噪声对周围环境敏感点的影响。具体措施如下：</w:t>
      </w:r>
    </w:p>
    <w:p w14:paraId="3D1700B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（1）</w:t>
      </w:r>
      <w:r>
        <w:rPr>
          <w:rFonts w:ascii="Times New Roman" w:hAnsi="Times New Roman" w:cs="Times New Roman" w:eastAsiaTheme="minorEastAsia"/>
          <w:bCs/>
          <w:caps w:val="0"/>
          <w:smallCaps w:val="0"/>
          <w:color w:val="auto"/>
          <w:spacing w:val="0"/>
          <w:w w:val="100"/>
          <w:kern w:val="21"/>
          <w:position w:val="0"/>
          <w:highlight w:val="none"/>
        </w:rPr>
        <w:t>合理安排施工进度，减少施工时间，不在夜间施工，调整同时作业的施工机械数量，降低对周围环境的影响</w:t>
      </w:r>
      <w:r>
        <w:rPr>
          <w:rFonts w:ascii="Times New Roman" w:hAnsi="Times New Roman" w:cs="Times New Roman" w:eastAsiaTheme="minorEastAsia"/>
          <w:caps w:val="0"/>
          <w:smallCaps w:val="0"/>
          <w:color w:val="auto"/>
          <w:spacing w:val="0"/>
          <w:w w:val="100"/>
          <w:kern w:val="21"/>
          <w:position w:val="0"/>
          <w:highlight w:val="none"/>
        </w:rPr>
        <w:t>。</w:t>
      </w:r>
    </w:p>
    <w:p w14:paraId="3684507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（2）合理布置施工现场，尽量将高噪声机械布置远离环境敏感点一侧，同时，避免在同一地点安排较多的动力机械。</w:t>
      </w:r>
    </w:p>
    <w:p w14:paraId="0D0FC990">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（3）降低设备噪声。选用低噪声设备，平时注意设备维护和保养，合理操作，保证施工机械保持在最佳状态，降低噪声源强度，避免设备不正常运行产生的高噪声。</w:t>
      </w:r>
    </w:p>
    <w:p w14:paraId="31B4551B">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（4）施工期运输车辆的运行路线应远离周围的居民区，合理选择路线进行绕行、避让措施，临近居民区应减少汽车鸣笛的次数，减速慢行，减少车辆噪声对居民区的不利影响。</w:t>
      </w:r>
    </w:p>
    <w:p w14:paraId="6E31C4B2">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lang w:bidi="zh-CN"/>
        </w:rPr>
      </w:pPr>
      <w:r>
        <w:rPr>
          <w:rFonts w:ascii="Times New Roman" w:hAnsi="Times New Roman" w:cs="Times New Roman" w:eastAsiaTheme="minorEastAsia"/>
          <w:caps w:val="0"/>
          <w:smallCaps w:val="0"/>
          <w:color w:val="auto"/>
          <w:spacing w:val="0"/>
          <w:w w:val="100"/>
          <w:kern w:val="21"/>
          <w:position w:val="0"/>
          <w:highlight w:val="none"/>
          <w:lang w:bidi="zh-CN"/>
        </w:rPr>
        <w:t>（</w:t>
      </w:r>
      <w:r>
        <w:rPr>
          <w:rFonts w:ascii="Times New Roman" w:hAnsi="Times New Roman" w:cs="Times New Roman" w:eastAsiaTheme="minorEastAsia"/>
          <w:caps w:val="0"/>
          <w:smallCaps w:val="0"/>
          <w:color w:val="auto"/>
          <w:spacing w:val="0"/>
          <w:w w:val="100"/>
          <w:kern w:val="21"/>
          <w:position w:val="0"/>
          <w:highlight w:val="none"/>
        </w:rPr>
        <w:t>5</w:t>
      </w:r>
      <w:r>
        <w:rPr>
          <w:rFonts w:ascii="Times New Roman" w:hAnsi="Times New Roman" w:cs="Times New Roman" w:eastAsiaTheme="minorEastAsia"/>
          <w:caps w:val="0"/>
          <w:smallCaps w:val="0"/>
          <w:color w:val="auto"/>
          <w:spacing w:val="0"/>
          <w:w w:val="100"/>
          <w:kern w:val="21"/>
          <w:position w:val="0"/>
          <w:highlight w:val="none"/>
          <w:lang w:bidi="zh-CN"/>
        </w:rPr>
        <w:t>）加强对施工人员的培训及责任教育，做好施工机械和运输车辆的调度和交通疏导工作；</w:t>
      </w:r>
    </w:p>
    <w:p w14:paraId="0653E358">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（6）固定设备增加减震基础，降低噪声源强度，降低噪声对附近居民的影响；</w:t>
      </w:r>
    </w:p>
    <w:p w14:paraId="5B45520D">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（7）距离</w:t>
      </w:r>
      <w:r>
        <w:rPr>
          <w:rFonts w:hint="eastAsia" w:ascii="Times New Roman" w:hAnsi="Times New Roman" w:cs="Times New Roman" w:eastAsiaTheme="minorEastAsia"/>
          <w:caps w:val="0"/>
          <w:smallCaps w:val="0"/>
          <w:color w:val="auto"/>
          <w:spacing w:val="0"/>
          <w:w w:val="100"/>
          <w:kern w:val="21"/>
          <w:position w:val="0"/>
          <w:highlight w:val="none"/>
        </w:rPr>
        <w:t>村屯</w:t>
      </w:r>
      <w:r>
        <w:rPr>
          <w:rFonts w:ascii="Times New Roman" w:hAnsi="Times New Roman" w:cs="Times New Roman" w:eastAsiaTheme="minorEastAsia"/>
          <w:caps w:val="0"/>
          <w:smallCaps w:val="0"/>
          <w:color w:val="auto"/>
          <w:spacing w:val="0"/>
          <w:w w:val="100"/>
          <w:kern w:val="21"/>
          <w:position w:val="0"/>
          <w:highlight w:val="none"/>
        </w:rPr>
        <w:t>较近的管线施工地带采取人工开挖，并在离村屯较近的施工带周围设置声屏障措施。</w:t>
      </w:r>
    </w:p>
    <w:p w14:paraId="0D69A793">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ascii="Times New Roman" w:hAnsi="Times New Roman" w:cs="Times New Roman" w:eastAsiaTheme="minorEastAsia"/>
          <w:caps w:val="0"/>
          <w:smallCaps w:val="0"/>
          <w:color w:val="auto"/>
          <w:spacing w:val="0"/>
          <w:w w:val="100"/>
          <w:kern w:val="21"/>
          <w:position w:val="0"/>
          <w:highlight w:val="none"/>
        </w:rPr>
        <w:t>通过采取上述措施，能够确保各施工场界噪声满足《建筑施工噪声排放标准》（GB 12523-20</w:t>
      </w:r>
      <w:r>
        <w:rPr>
          <w:rFonts w:hint="eastAsia" w:ascii="Times New Roman" w:hAnsi="Times New Roman" w:cs="Times New Roman" w:eastAsiaTheme="minorEastAsia"/>
          <w:caps w:val="0"/>
          <w:smallCaps w:val="0"/>
          <w:color w:val="auto"/>
          <w:spacing w:val="0"/>
          <w:w w:val="100"/>
          <w:kern w:val="21"/>
          <w:position w:val="0"/>
          <w:highlight w:val="none"/>
        </w:rPr>
        <w:t>25</w:t>
      </w:r>
      <w:r>
        <w:rPr>
          <w:rFonts w:ascii="Times New Roman" w:hAnsi="Times New Roman" w:cs="Times New Roman" w:eastAsiaTheme="minorEastAsia"/>
          <w:caps w:val="0"/>
          <w:smallCaps w:val="0"/>
          <w:color w:val="auto"/>
          <w:spacing w:val="0"/>
          <w:w w:val="100"/>
          <w:kern w:val="21"/>
          <w:position w:val="0"/>
          <w:highlight w:val="none"/>
        </w:rPr>
        <w:t>）要求，不会对施工场地周边敏感点产生较大影响，施工期噪声治理措施可行。</w:t>
      </w:r>
    </w:p>
    <w:p w14:paraId="294E66A1">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6.1.3.2运行期</w:t>
      </w:r>
    </w:p>
    <w:p w14:paraId="3FC3F91E">
      <w:pPr>
        <w:widowControl w:val="0"/>
        <w:spacing w:line="440" w:lineRule="exact"/>
        <w:ind w:firstLine="480" w:firstLineChars="200"/>
        <w:jc w:val="both"/>
        <w:rPr>
          <w:rFonts w:ascii="Times New Roman" w:hAnsi="Times New Roman" w:cs="Times New Roman" w:eastAsiaTheme="minorEastAsia"/>
          <w:caps w:val="0"/>
          <w:smallCaps w:val="0"/>
          <w:color w:val="auto"/>
          <w:spacing w:val="0"/>
          <w:w w:val="100"/>
          <w:kern w:val="21"/>
          <w:position w:val="0"/>
          <w:highlight w:val="none"/>
        </w:rPr>
      </w:pPr>
      <w:r>
        <w:rPr>
          <w:rFonts w:hint="eastAsia" w:ascii="Times New Roman" w:hAnsi="Times New Roman" w:cs="Times New Roman"/>
          <w:caps w:val="0"/>
          <w:smallCaps w:val="0"/>
          <w:color w:val="auto"/>
          <w:spacing w:val="0"/>
          <w:w w:val="100"/>
          <w:position w:val="0"/>
          <w:highlight w:val="none"/>
          <w:lang w:bidi="zh-CN"/>
        </w:rPr>
        <w:t>本项目运营期管线主要采用密闭输送方式输送原油、</w:t>
      </w:r>
      <w:r>
        <w:rPr>
          <w:rFonts w:hint="eastAsia" w:ascii="Times New Roman" w:hAnsi="Times New Roman" w:cs="Times New Roman"/>
          <w:caps w:val="0"/>
          <w:smallCaps w:val="0"/>
          <w:color w:val="auto"/>
          <w:spacing w:val="0"/>
          <w:w w:val="100"/>
          <w:position w:val="0"/>
          <w:highlight w:val="none"/>
          <w:lang w:val="en-US" w:bidi="zh-CN"/>
        </w:rPr>
        <w:t>含油污水</w:t>
      </w:r>
      <w:r>
        <w:rPr>
          <w:rFonts w:hint="eastAsia" w:ascii="Times New Roman" w:hAnsi="Times New Roman" w:cs="Times New Roman"/>
          <w:caps w:val="0"/>
          <w:smallCaps w:val="0"/>
          <w:color w:val="auto"/>
          <w:spacing w:val="0"/>
          <w:w w:val="100"/>
          <w:position w:val="0"/>
          <w:highlight w:val="none"/>
          <w:lang w:bidi="zh-CN"/>
        </w:rPr>
        <w:t>，正常运行状况下无噪声产生及排放。</w:t>
      </w:r>
    </w:p>
    <w:p w14:paraId="5C38CA70">
      <w:pPr>
        <w:pStyle w:val="149"/>
        <w:widowControl w:val="0"/>
        <w:spacing w:line="440" w:lineRule="exact"/>
        <w:ind w:firstLine="0" w:firstLineChars="0"/>
        <w:jc w:val="both"/>
        <w:outlineLvl w:val="3"/>
        <w:rPr>
          <w:rFonts w:ascii="Times New Roman" w:hAnsi="Times New Roman" w:eastAsiaTheme="minorEastAsia"/>
          <w:b/>
          <w:caps w:val="0"/>
          <w:smallCaps w:val="0"/>
          <w:color w:val="auto"/>
          <w:spacing w:val="0"/>
          <w:w w:val="100"/>
          <w:position w:val="0"/>
          <w:highlight w:val="none"/>
        </w:rPr>
      </w:pPr>
      <w:r>
        <w:rPr>
          <w:rFonts w:ascii="Times New Roman" w:hAnsi="Times New Roman" w:eastAsiaTheme="minorEastAsia"/>
          <w:b/>
          <w:caps w:val="0"/>
          <w:smallCaps w:val="0"/>
          <w:color w:val="auto"/>
          <w:spacing w:val="0"/>
          <w:w w:val="100"/>
          <w:position w:val="0"/>
          <w:highlight w:val="none"/>
        </w:rPr>
        <w:t>6.1.3.3退役期</w:t>
      </w:r>
    </w:p>
    <w:bookmarkEnd w:id="1264"/>
    <w:p w14:paraId="09BB230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退役期施工时应加强施工管理工作，合理安排施工进度，避免大量高噪声设备同时施工；选用低噪声设备；运输车辆选择避开居民区的路线。</w:t>
      </w:r>
    </w:p>
    <w:p w14:paraId="6B3B6C1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通过采取上述措施，能够确保退役期施工场界噪声满足《建筑施工噪声排放标准》（GB12523-2025）要求，且不会对施工场地周边敏感点产生较大影响，退役期噪声治理措施可行。</w:t>
      </w:r>
    </w:p>
    <w:p w14:paraId="6FF64CC3">
      <w:pPr>
        <w:pStyle w:val="6"/>
        <w:keepNext w:val="0"/>
        <w:keepLines w:val="0"/>
        <w:widowControl w:val="0"/>
        <w:spacing w:before="60" w:after="60"/>
        <w:jc w:val="both"/>
        <w:rPr>
          <w:rFonts w:eastAsia="宋体"/>
          <w:b/>
          <w:caps w:val="0"/>
          <w:smallCaps w:val="0"/>
          <w:color w:val="000000" w:themeColor="text1"/>
          <w:spacing w:val="0"/>
          <w:w w:val="100"/>
          <w:kern w:val="2"/>
          <w:position w:val="0"/>
          <w:sz w:val="24"/>
          <w:szCs w:val="24"/>
          <w14:textFill>
            <w14:solidFill>
              <w14:schemeClr w14:val="tx1"/>
            </w14:solidFill>
          </w14:textFill>
        </w:rPr>
      </w:pPr>
      <w:bookmarkStart w:id="992" w:name="_Toc186444381"/>
      <w:r>
        <w:rPr>
          <w:rFonts w:eastAsia="宋体"/>
          <w:b/>
          <w:caps w:val="0"/>
          <w:smallCaps w:val="0"/>
          <w:color w:val="000000" w:themeColor="text1"/>
          <w:spacing w:val="0"/>
          <w:w w:val="100"/>
          <w:kern w:val="2"/>
          <w:position w:val="0"/>
          <w:sz w:val="24"/>
          <w:szCs w:val="24"/>
          <w14:textFill>
            <w14:solidFill>
              <w14:schemeClr w14:val="tx1"/>
            </w14:solidFill>
          </w14:textFill>
        </w:rPr>
        <w:t>6.1.4固体废弃物控制措施</w:t>
      </w:r>
      <w:bookmarkEnd w:id="992"/>
    </w:p>
    <w:p w14:paraId="56EBB918">
      <w:pPr>
        <w:pStyle w:val="149"/>
        <w:widowControl w:val="0"/>
        <w:ind w:firstLine="0" w:firstLineChars="0"/>
        <w:jc w:val="both"/>
        <w:outlineLvl w:val="3"/>
        <w:rPr>
          <w:rFonts w:ascii="Times New Roman" w:hAnsi="Times New Roman"/>
          <w:b/>
          <w:caps w:val="0"/>
          <w:smallCaps w:val="0"/>
          <w:color w:val="000000" w:themeColor="text1"/>
          <w:spacing w:val="0"/>
          <w:w w:val="100"/>
          <w:position w:val="0"/>
          <w14:textFill>
            <w14:solidFill>
              <w14:schemeClr w14:val="tx1"/>
            </w14:solidFill>
          </w14:textFill>
        </w:rPr>
      </w:pPr>
      <w:r>
        <w:rPr>
          <w:rFonts w:ascii="Times New Roman" w:hAnsi="Times New Roman"/>
          <w:b/>
          <w:caps w:val="0"/>
          <w:smallCaps w:val="0"/>
          <w:color w:val="000000" w:themeColor="text1"/>
          <w:spacing w:val="0"/>
          <w:w w:val="100"/>
          <w:position w:val="0"/>
          <w14:textFill>
            <w14:solidFill>
              <w14:schemeClr w14:val="tx1"/>
            </w14:solidFill>
          </w14:textFill>
        </w:rPr>
        <w:t>6.1.4.1施工期</w:t>
      </w:r>
    </w:p>
    <w:p w14:paraId="2C28A90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t>（1）本项目施工期产生的施工废料属于一般工业固体废物，采用收集桶回收，拉运至第八采油厂工业固废填埋场处理。</w:t>
      </w:r>
    </w:p>
    <w:p w14:paraId="2EEA680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t>（2）本项目施工期管道定向钻施工会产生废弃泥浆，属于一般工业固体废物，</w:t>
      </w:r>
      <w:r>
        <w:rPr>
          <w:rFonts w:ascii="Times New Roman" w:hAnsi="Times New Roman" w:cs="Times New Roman" w:eastAsiaTheme="minorEastAsia"/>
          <w:bCs/>
          <w:caps w:val="0"/>
          <w:smallCaps w:val="0"/>
          <w:color w:val="000000" w:themeColor="text1"/>
          <w:spacing w:val="0"/>
          <w:w w:val="100"/>
          <w:position w:val="0"/>
          <w14:textFill>
            <w14:solidFill>
              <w14:schemeClr w14:val="tx1"/>
            </w14:solidFill>
          </w14:textFill>
        </w:rPr>
        <w:t>废弃泥浆</w:t>
      </w:r>
      <w:r>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t>排入施工场地的钢制泥浆槽中，定期拉运至大庆洁宇环保科技有限公司处理。</w:t>
      </w:r>
    </w:p>
    <w:p w14:paraId="71A5F4F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t>（3）施工人员生活垃圾统一收集后拉运至安达市生活垃圾填埋场处理。</w:t>
      </w:r>
      <w:r>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施工产生的生活垃圾等固体废物在固定地点集中存放，防止因暴雨、大风等冲入外环境，并及时清运，做到工完、料净、场地清。</w:t>
      </w:r>
    </w:p>
    <w:p w14:paraId="2EAE1DA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（4）</w:t>
      </w:r>
      <w:r>
        <w:rPr>
          <w:rFonts w:hint="eastAsia"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定向钻施工场地产生的废防渗布集中收集</w:t>
      </w:r>
      <w:r>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t>拉运至第八采油厂工业固废填埋场处理。</w:t>
      </w:r>
    </w:p>
    <w:p w14:paraId="06B37D7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lang w:val="en-US" w:eastAsia="zh-CN"/>
          <w14:textFill>
            <w14:solidFill>
              <w14:schemeClr w14:val="tx1"/>
            </w14:solidFill>
          </w14:textFill>
        </w:rPr>
        <w:t>5</w:t>
      </w:r>
      <w:r>
        <w:rPr>
          <w:rFonts w:hint="eastAsia"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原有</w:t>
      </w:r>
      <w:r>
        <w:rPr>
          <w:rFonts w:hint="eastAsia"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废弃</w:t>
      </w:r>
      <w:r>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管线的两端切断，并采用混凝土对占压管线两端进行封堵后直埋于地下，不再挖出。</w:t>
      </w:r>
    </w:p>
    <w:p w14:paraId="2EE076D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通过采取上述措施，本项目施工期产生的固体废物均能按照“资源化、减量化、无害化”原则，合理安全处置。</w:t>
      </w:r>
    </w:p>
    <w:p w14:paraId="743B5284">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6.1.4.2运行期</w:t>
      </w:r>
    </w:p>
    <w:p w14:paraId="22D9984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本项目运营期管线主要采用密闭输送方式输送</w:t>
      </w:r>
      <w:r>
        <w:rPr>
          <w:rFonts w:hint="eastAsia" w:ascii="Times New Roman" w:hAnsi="Times New Roman" w:cs="Times New Roman"/>
          <w:caps w:val="0"/>
          <w:smallCaps w:val="0"/>
          <w:spacing w:val="0"/>
          <w:w w:val="100"/>
          <w:position w:val="0"/>
          <w:lang w:bidi="zh-CN"/>
        </w:rPr>
        <w:t>原油、</w:t>
      </w:r>
      <w:r>
        <w:rPr>
          <w:rFonts w:hint="eastAsia" w:ascii="Times New Roman" w:hAnsi="Times New Roman" w:cs="Times New Roman"/>
          <w:caps w:val="0"/>
          <w:smallCaps w:val="0"/>
          <w:spacing w:val="0"/>
          <w:w w:val="100"/>
          <w:position w:val="0"/>
          <w:lang w:val="en-US" w:bidi="zh-CN"/>
        </w:rPr>
        <w:t>含油污水</w:t>
      </w:r>
      <w:r>
        <w:rPr>
          <w:rFonts w:hint="eastAsia" w:ascii="Times New Roman" w:hAnsi="Times New Roman" w:cs="Times New Roman"/>
          <w:caps w:val="0"/>
          <w:smallCaps w:val="0"/>
          <w:spacing w:val="0"/>
          <w:w w:val="100"/>
          <w:position w:val="0"/>
          <w:lang w:bidi="zh-CN"/>
        </w:rPr>
        <w:t>，</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正常运行状况下无固体废物产生及排放。</w:t>
      </w:r>
    </w:p>
    <w:p w14:paraId="10B48FAD">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6.1.4.3退役期</w:t>
      </w:r>
    </w:p>
    <w:p w14:paraId="79F8A12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退役期产生的固废废物主要为生活垃圾，生活垃圾统一收集后拉运至安达市生活垃圾填埋场处理，</w:t>
      </w:r>
      <w:r>
        <w:rPr>
          <w:rFonts w:ascii="Times New Roman" w:hAnsi="Times New Roman" w:cs="Times New Roman" w:eastAsiaTheme="minorEastAsia"/>
          <w:bCs/>
          <w:caps w:val="0"/>
          <w:smallCaps w:val="0"/>
          <w:color w:val="000000" w:themeColor="text1"/>
          <w:spacing w:val="0"/>
          <w:w w:val="100"/>
          <w:kern w:val="2"/>
          <w:position w:val="0"/>
          <w14:textFill>
            <w14:solidFill>
              <w14:schemeClr w14:val="tx1"/>
            </w14:solidFill>
          </w14:textFill>
        </w:rPr>
        <w:t>执行《城市生活垃圾管理办法》（中华人民共和国建设部令第157号令）</w:t>
      </w:r>
      <w:r>
        <w:rPr>
          <w:rFonts w:ascii="Times New Roman" w:hAnsi="Times New Roman" w:cs="Times New Roman" w:eastAsiaTheme="minorEastAsia"/>
          <w:caps w:val="0"/>
          <w:smallCaps w:val="0"/>
          <w:color w:val="000000" w:themeColor="text1"/>
          <w:spacing w:val="0"/>
          <w:w w:val="100"/>
          <w:kern w:val="2"/>
          <w:position w:val="0"/>
          <w14:textFill>
            <w14:solidFill>
              <w14:schemeClr w14:val="tx1"/>
            </w14:solidFill>
          </w14:textFill>
        </w:rPr>
        <w:t>；</w:t>
      </w:r>
    </w:p>
    <w:p w14:paraId="524C70E6">
      <w:pPr>
        <w:pStyle w:val="6"/>
        <w:keepNext w:val="0"/>
        <w:keepLines w:val="0"/>
        <w:widowControl w:val="0"/>
        <w:spacing w:before="60" w:after="60"/>
        <w:jc w:val="both"/>
        <w:rPr>
          <w:rFonts w:eastAsia="宋体"/>
          <w:b/>
          <w:caps w:val="0"/>
          <w:smallCaps w:val="0"/>
          <w:color w:val="000000" w:themeColor="text1"/>
          <w:spacing w:val="0"/>
          <w:w w:val="100"/>
          <w:kern w:val="2"/>
          <w:position w:val="0"/>
          <w:sz w:val="24"/>
          <w:szCs w:val="24"/>
          <w14:textFill>
            <w14:solidFill>
              <w14:schemeClr w14:val="tx1"/>
            </w14:solidFill>
          </w14:textFill>
        </w:rPr>
      </w:pPr>
      <w:bookmarkStart w:id="993" w:name="_Toc186444382"/>
      <w:r>
        <w:rPr>
          <w:rFonts w:eastAsia="宋体"/>
          <w:b/>
          <w:caps w:val="0"/>
          <w:smallCaps w:val="0"/>
          <w:color w:val="000000" w:themeColor="text1"/>
          <w:spacing w:val="0"/>
          <w:w w:val="100"/>
          <w:kern w:val="2"/>
          <w:position w:val="0"/>
          <w:sz w:val="24"/>
          <w:szCs w:val="24"/>
          <w14:textFill>
            <w14:solidFill>
              <w14:schemeClr w14:val="tx1"/>
            </w14:solidFill>
          </w14:textFill>
        </w:rPr>
        <w:t>6.1.5生态保护措施</w:t>
      </w:r>
      <w:bookmarkEnd w:id="993"/>
    </w:p>
    <w:p w14:paraId="599405E3">
      <w:pPr>
        <w:pStyle w:val="149"/>
        <w:widowControl w:val="0"/>
        <w:ind w:firstLine="0" w:firstLineChars="0"/>
        <w:jc w:val="both"/>
        <w:outlineLvl w:val="3"/>
        <w:rPr>
          <w:rFonts w:ascii="Times New Roman" w:hAnsi="Times New Roman"/>
          <w:b/>
          <w:caps w:val="0"/>
          <w:smallCaps w:val="0"/>
          <w:color w:val="000000" w:themeColor="text1"/>
          <w:spacing w:val="0"/>
          <w:w w:val="100"/>
          <w:position w:val="0"/>
          <w14:textFill>
            <w14:solidFill>
              <w14:schemeClr w14:val="tx1"/>
            </w14:solidFill>
          </w14:textFill>
        </w:rPr>
      </w:pPr>
      <w:r>
        <w:rPr>
          <w:rFonts w:ascii="Times New Roman" w:hAnsi="Times New Roman"/>
          <w:b/>
          <w:caps w:val="0"/>
          <w:smallCaps w:val="0"/>
          <w:color w:val="000000" w:themeColor="text1"/>
          <w:spacing w:val="0"/>
          <w:w w:val="100"/>
          <w:position w:val="0"/>
          <w14:textFill>
            <w14:solidFill>
              <w14:schemeClr w14:val="tx1"/>
            </w14:solidFill>
          </w14:textFill>
        </w:rPr>
        <w:t>6.1.5.1施工期</w:t>
      </w:r>
    </w:p>
    <w:p w14:paraId="1EB2C99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本项目施工期占地主要为管线施工发生的临时占地，占地类型主要为耕地（基本农田）、草地（非基本草原）。施工过程中，车辆碾压，机械推挖、人员践踏等对地表进行的平整将会对地表造成很大破坏，这种影响是短期可逆的，施工结束后及时对施工迹地地表植被进行恢复。为降低项目对生态环境的影响，施工期采取如下措施：</w:t>
      </w:r>
    </w:p>
    <w:p w14:paraId="4BED079D">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（1）一般性生态保护措施</w:t>
      </w:r>
    </w:p>
    <w:p w14:paraId="5F49F6BD">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①</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为避免施工期对植被的影响，对易产生扬尘的场所必要时加以遮挡，以减轻对植物的影响；</w:t>
      </w:r>
    </w:p>
    <w:p w14:paraId="338B8F4C">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②</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项目施工作业避免在大风、大雨天施工；</w:t>
      </w:r>
    </w:p>
    <w:p w14:paraId="0C0519E6">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③</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加强施工人员对生态环境的保护意识，规范施工人员行为，严禁随意践踏、碾压施工区范围之外的植被；严禁猎杀野生动物。</w:t>
      </w:r>
    </w:p>
    <w:p w14:paraId="3ABF4460">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④</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恢复土地生产能力，提高土壤肥力。施工过程中尽量保护土地资源，不打乱土层，先挖表土层单独堆放；然后挖心、底土层另外堆放。复原时先填心、底土，后平覆表土，以便尽快恢复土地原貌；</w:t>
      </w:r>
    </w:p>
    <w:p w14:paraId="56AEFD13">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⑤</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施工期间对土方临时堆场加盖防尘网或苫布等临时遮盖措施，保护开挖形成的临时堆土及底部部分裸露地，防止遇降雨造成水土流失；</w:t>
      </w:r>
    </w:p>
    <w:p w14:paraId="122FB8D1">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⑥</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埋设管线时，根据管径的大小做到尽量窄控，采取平埋方式（不起土坝）进行，以便尽快恢复植被；管道穿越道路时，道路两端的接收坑严格控制面积大小，施工结束后，对接收坑进行平整和恢复植被。</w:t>
      </w:r>
    </w:p>
    <w:p w14:paraId="4BD1E784">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⑦</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管道施工尽量缩小占地面积，应划定施工活动范围，严格控制和管理车辆及重型机械的运行范围，所有车辆采用“一”字型作业法，走同一车辙，避免加行开辟新路；</w:t>
      </w:r>
    </w:p>
    <w:p w14:paraId="4EAB98A1">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⑧</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管沟挖、填方作业应尽量作到互补平衡，以免造成弃土方堆积和过多借土；</w:t>
      </w:r>
    </w:p>
    <w:p w14:paraId="280B44F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⑨</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管沟回填应按层回填，以利施工带土壤和植被的尽早恢复。回填后应予以平整、压实，以免发生水土流失。对高出地面部分做出水土保持要求，要求高出地面部分回填土按梯形堆放于管线上部，堆放后人工进行修整、拍实；</w:t>
      </w:r>
    </w:p>
    <w:p w14:paraId="536251F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⑩</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管道建设工程结束后，回填开挖的管沟，进行表土回覆、场地清理平整并恢复植被；</w:t>
      </w:r>
    </w:p>
    <w:p w14:paraId="7DF01399">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Cambria Math" w:hAnsi="Cambria Math" w:eastAsia="宋体" w:cs="Cambria Math"/>
          <w:caps w:val="0"/>
          <w:smallCaps w:val="0"/>
          <w:color w:val="000000" w:themeColor="text1"/>
          <w:spacing w:val="0"/>
          <w:w w:val="100"/>
          <w:position w:val="0"/>
          <w:sz w:val="24"/>
          <w:szCs w:val="24"/>
          <w14:textFill>
            <w14:solidFill>
              <w14:schemeClr w14:val="tx1"/>
            </w14:solidFill>
          </w14:textFill>
        </w:rPr>
        <w:t>⑪</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对废水、固体废物进行严格管理，统一处理或回收，不得随意抛撒，防止污染土壤，施工结束后做到工完、料净、场地清；</w:t>
      </w:r>
    </w:p>
    <w:p w14:paraId="7E2CD9BA">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Cambria Math" w:hAnsi="Cambria Math" w:cs="Cambria Math" w:eastAsiaTheme="minorEastAsia"/>
          <w:caps w:val="0"/>
          <w:smallCaps w:val="0"/>
          <w:color w:val="000000" w:themeColor="text1"/>
          <w:spacing w:val="0"/>
          <w:w w:val="100"/>
          <w:position w:val="0"/>
          <w:sz w:val="24"/>
          <w:szCs w:val="24"/>
          <w14:textFill>
            <w14:solidFill>
              <w14:schemeClr w14:val="tx1"/>
            </w14:solidFill>
          </w14:textFill>
        </w:rPr>
        <w:t>⑫</w:t>
      </w:r>
      <w:r>
        <w:rPr>
          <w:rFonts w:hint="default" w:ascii="Times New Roman" w:hAnsi="Times New Roman" w:eastAsiaTheme="minorEastAsia"/>
          <w:caps w:val="0"/>
          <w:smallCaps w:val="0"/>
          <w:color w:val="000000" w:themeColor="text1"/>
          <w:spacing w:val="0"/>
          <w:w w:val="100"/>
          <w:position w:val="0"/>
          <w:sz w:val="24"/>
          <w:szCs w:val="24"/>
          <w14:textFill>
            <w14:solidFill>
              <w14:schemeClr w14:val="tx1"/>
            </w14:solidFill>
          </w14:textFill>
        </w:rPr>
        <w:t>施工结束后，及时恢复被破坏的地表形态，平整作业现场，改善土壤及植被恢复条件。对临时占用耕地进行表土留存，分层回填，整平翻松，确保恢复等质等量面积的耕地，对临时占用的草地进行地面平整，恢复植被。</w:t>
      </w:r>
    </w:p>
    <w:p w14:paraId="19A9AC3C">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Theme="minorEastAsia"/>
          <w:caps w:val="0"/>
          <w:smallCaps w:val="0"/>
          <w:color w:val="000000" w:themeColor="text1"/>
          <w:spacing w:val="0"/>
          <w:w w:val="100"/>
          <w:position w:val="0"/>
          <w:sz w:val="24"/>
          <w:szCs w:val="24"/>
          <w14:textFill>
            <w14:solidFill>
              <w14:schemeClr w14:val="tx1"/>
            </w14:solidFill>
          </w14:textFill>
        </w:rPr>
        <w:t> </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（2）针对性保护措施</w:t>
      </w:r>
    </w:p>
    <w:p w14:paraId="1D41306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本项目新增总占地面积为</w:t>
      </w:r>
      <w:r>
        <w:rPr>
          <w:rFonts w:hint="eastAsia" w:ascii="Times New Roman" w:hAnsi="Times New Roman" w:eastAsia="宋体"/>
          <w:caps w:val="0"/>
          <w:smallCaps w:val="0"/>
          <w:color w:val="000000" w:themeColor="text1"/>
          <w:spacing w:val="0"/>
          <w:w w:val="100"/>
          <w:position w:val="0"/>
          <w:sz w:val="24"/>
          <w:szCs w:val="24"/>
          <w:lang w:val="en-US" w:eastAsia="zh-CN"/>
          <w14:textFill>
            <w14:solidFill>
              <w14:schemeClr w14:val="tx1"/>
            </w14:solidFill>
          </w14:textFill>
        </w:rPr>
        <w:t>21.88</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hm</w:t>
      </w:r>
      <w:r>
        <w:rPr>
          <w:rFonts w:hint="default" w:ascii="Times New Roman" w:hAnsi="Times New Roman" w:eastAsia="宋体"/>
          <w:caps w:val="0"/>
          <w:smallCaps w:val="0"/>
          <w:color w:val="000000" w:themeColor="text1"/>
          <w:spacing w:val="0"/>
          <w:w w:val="100"/>
          <w:position w:val="0"/>
          <w:sz w:val="24"/>
          <w:szCs w:val="24"/>
          <w:vertAlign w:val="superscript"/>
          <w14:textFill>
            <w14:solidFill>
              <w14:schemeClr w14:val="tx1"/>
            </w14:solidFill>
          </w14:textFill>
        </w:rPr>
        <w:t>2</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sz w:val="24"/>
          <w:szCs w:val="24"/>
          <w:lang w:val="en-US" w:bidi="zh-CN"/>
          <w14:textFill>
            <w14:solidFill>
              <w14:schemeClr w14:val="tx1"/>
            </w14:solidFill>
          </w14:textFill>
        </w:rPr>
        <w:t>均为</w:t>
      </w:r>
      <w:r>
        <w:rPr>
          <w:rFonts w:ascii="Times New Roman" w:hAnsi="Times New Roman" w:eastAsiaTheme="minorEastAsia"/>
          <w:caps w:val="0"/>
          <w:smallCaps w:val="0"/>
          <w:snapToGrid w:val="0"/>
          <w:color w:val="000000" w:themeColor="text1"/>
          <w:spacing w:val="0"/>
          <w:w w:val="100"/>
          <w:position w:val="0"/>
          <w:sz w:val="24"/>
          <w:szCs w:val="24"/>
          <w:lang w:bidi="zh-CN"/>
          <w14:textFill>
            <w14:solidFill>
              <w14:schemeClr w14:val="tx1"/>
            </w14:solidFill>
          </w14:textFill>
        </w:rPr>
        <w:t>临时占地</w:t>
      </w:r>
      <w:r>
        <w:rPr>
          <w:rFonts w:ascii="Times New Roman" w:hAnsi="Times New Roman" w:eastAsiaTheme="minorEastAsia"/>
          <w:caps w:val="0"/>
          <w:smallCaps w:val="0"/>
          <w:snapToGrid w:val="0"/>
          <w:color w:val="000000" w:themeColor="text1"/>
          <w:spacing w:val="0"/>
          <w:w w:val="100"/>
          <w:position w:val="0"/>
          <w:sz w:val="24"/>
          <w:szCs w:val="24"/>
          <w14:textFill>
            <w14:solidFill>
              <w14:schemeClr w14:val="tx1"/>
            </w14:solidFill>
          </w14:textFill>
        </w:rPr>
        <w:t>，包括耕地（基本农田）和草地（非基本草原）</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w:t>
      </w:r>
    </w:p>
    <w:p w14:paraId="68EB62A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①</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本工程实施前编制建设项目占用耕地耕作层土壤剥离利用方案，统筹安排剥离、储存和再利用。表土剥离和利用严格执行《建设占用耕地耕作层土壤剥离利用技术规范》（DB23/T2913-2021），</w:t>
      </w: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剥离范围为</w:t>
      </w:r>
      <w:r>
        <w:rPr>
          <w:rFonts w:hint="eastAsia" w:ascii="Times New Roman" w:hAnsi="Times New Roman" w:eastAsia="宋体"/>
          <w:caps w:val="0"/>
          <w:smallCaps w:val="0"/>
          <w:color w:val="000000" w:themeColor="text1"/>
          <w:spacing w:val="0"/>
          <w:w w:val="100"/>
          <w:position w:val="0"/>
          <w:sz w:val="24"/>
          <w:szCs w:val="24"/>
          <w:lang w:val="en-US" w:eastAsia="zh-CN"/>
          <w14:textFill>
            <w14:solidFill>
              <w14:schemeClr w14:val="tx1"/>
            </w14:solidFill>
          </w14:textFill>
        </w:rPr>
        <w:t>21.88</w:t>
      </w: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hm</w:t>
      </w:r>
      <w:r>
        <w:rPr>
          <w:rFonts w:ascii="Times New Roman" w:hAnsi="Times New Roman" w:eastAsia="宋体"/>
          <w:caps w:val="0"/>
          <w:smallCaps w:val="0"/>
          <w:color w:val="000000" w:themeColor="text1"/>
          <w:spacing w:val="0"/>
          <w:w w:val="100"/>
          <w:position w:val="0"/>
          <w:sz w:val="24"/>
          <w:szCs w:val="24"/>
          <w:vertAlign w:val="superscript"/>
          <w14:textFill>
            <w14:solidFill>
              <w14:schemeClr w14:val="tx1"/>
            </w14:solidFill>
          </w14:textFill>
        </w:rPr>
        <w:t>2</w:t>
      </w: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的临时占地</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w:t>
      </w:r>
    </w:p>
    <w:p w14:paraId="2935263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严格落实表土剥离利用方案。管道施工采取机械、人工分层开挖方式，管道施工作业带除去管道一侧设置的置土带外，管沟及设备区在施工前剥离表土，剥离的表土放在置土带外侧，管沟挖方土放置在置土带内侧，置土带采取先设置编织袋压护，在采用单行十字形压护，底土层另外堆放，施工结束后及时清理施工现场，采用分层回填压实，按生、熟土顺序填放，保护耕作层，复原时先填心、底土，后平覆表土，回填后管沟上方留有自然沉降余量，管沟回填多余的土均匀分散在管道中心两侧，并使管沟与周围地表形成平滑过度，不得形成汇水环境，</w:t>
      </w: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临时占用的草地及时恢复地表植被，临时占用的耕地及时进行复耕，临时占地恢复面积</w:t>
      </w:r>
      <w:r>
        <w:rPr>
          <w:rFonts w:hint="eastAsia" w:ascii="Times New Roman" w:hAnsi="Times New Roman" w:eastAsia="宋体"/>
          <w:caps w:val="0"/>
          <w:smallCaps w:val="0"/>
          <w:color w:val="000000" w:themeColor="text1"/>
          <w:spacing w:val="0"/>
          <w:w w:val="100"/>
          <w:position w:val="0"/>
          <w:sz w:val="24"/>
          <w:szCs w:val="24"/>
          <w:lang w:val="en-US" w:eastAsia="zh-CN"/>
          <w14:textFill>
            <w14:solidFill>
              <w14:schemeClr w14:val="tx1"/>
            </w14:solidFill>
          </w14:textFill>
        </w:rPr>
        <w:t>21.88</w:t>
      </w: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hm</w:t>
      </w:r>
      <w:r>
        <w:rPr>
          <w:rFonts w:ascii="Times New Roman" w:hAnsi="Times New Roman" w:eastAsia="宋体"/>
          <w:caps w:val="0"/>
          <w:smallCaps w:val="0"/>
          <w:color w:val="000000" w:themeColor="text1"/>
          <w:spacing w:val="0"/>
          <w:w w:val="100"/>
          <w:position w:val="0"/>
          <w:sz w:val="24"/>
          <w:szCs w:val="24"/>
          <w:vertAlign w:val="superscript"/>
          <w14:textFill>
            <w14:solidFill>
              <w14:schemeClr w14:val="tx1"/>
            </w14:solidFill>
          </w14:textFill>
        </w:rPr>
        <w:t>2</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 xml:space="preserve">。 </w:t>
      </w:r>
    </w:p>
    <w:p w14:paraId="7708F67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②</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恢复过程应由环境监理全程监督，以确保生态恢复效果。</w:t>
      </w:r>
    </w:p>
    <w:p w14:paraId="2DE4C458">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本工程应在施工完毕后进行生态影响减缓及恢复措施，具体见表6.1-3。典型生态保护措施平面布置示意图见附图1</w:t>
      </w: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4</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w:t>
      </w:r>
    </w:p>
    <w:p w14:paraId="3C4D40F5">
      <w:pPr>
        <w:pStyle w:val="874"/>
        <w:snapToGrid/>
        <w:spacing w:line="440" w:lineRule="exact"/>
        <w:ind w:left="0" w:firstLine="482"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Theme="minorEastAsia"/>
          <w:b/>
          <w:bCs/>
          <w:caps w:val="0"/>
          <w:smallCaps w:val="0"/>
          <w:color w:val="000000" w:themeColor="text1"/>
          <w:spacing w:val="0"/>
          <w:w w:val="100"/>
          <w:position w:val="0"/>
          <w:sz w:val="24"/>
          <w:szCs w:val="24"/>
          <w14:textFill>
            <w14:solidFill>
              <w14:schemeClr w14:val="tx1"/>
            </w14:solidFill>
          </w14:textFill>
        </w:rPr>
        <w:t>表6.1-3    生态影响减缓及恢复措施</w:t>
      </w:r>
    </w:p>
    <w:tbl>
      <w:tblPr>
        <w:tblStyle w:val="80"/>
        <w:tblW w:w="46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580"/>
        <w:gridCol w:w="580"/>
        <w:gridCol w:w="3283"/>
        <w:gridCol w:w="2456"/>
        <w:gridCol w:w="963"/>
        <w:gridCol w:w="715"/>
      </w:tblGrid>
      <w:tr w14:paraId="0B58A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38" w:type="pct"/>
            <w:vAlign w:val="center"/>
          </w:tcPr>
          <w:p w14:paraId="7AC1BA70">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项目</w:t>
            </w:r>
          </w:p>
        </w:tc>
        <w:tc>
          <w:tcPr>
            <w:tcW w:w="338" w:type="pct"/>
            <w:vAlign w:val="center"/>
          </w:tcPr>
          <w:p w14:paraId="751A46CE">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占地类型</w:t>
            </w:r>
          </w:p>
        </w:tc>
        <w:tc>
          <w:tcPr>
            <w:tcW w:w="1913" w:type="pct"/>
            <w:vAlign w:val="center"/>
          </w:tcPr>
          <w:p w14:paraId="0C1B513D">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恢复措施</w:t>
            </w:r>
          </w:p>
        </w:tc>
        <w:tc>
          <w:tcPr>
            <w:tcW w:w="1431" w:type="pct"/>
            <w:vAlign w:val="center"/>
          </w:tcPr>
          <w:p w14:paraId="0F084324">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生态恢复投资</w:t>
            </w:r>
          </w:p>
        </w:tc>
        <w:tc>
          <w:tcPr>
            <w:tcW w:w="561" w:type="pct"/>
            <w:vAlign w:val="center"/>
          </w:tcPr>
          <w:p w14:paraId="4B047579">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实施时间</w:t>
            </w:r>
          </w:p>
        </w:tc>
        <w:tc>
          <w:tcPr>
            <w:tcW w:w="416" w:type="pct"/>
            <w:vAlign w:val="center"/>
          </w:tcPr>
          <w:p w14:paraId="051B820C">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实施单位</w:t>
            </w:r>
          </w:p>
        </w:tc>
      </w:tr>
      <w:tr w14:paraId="0ACC3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38" w:type="pct"/>
            <w:vMerge w:val="restart"/>
            <w:shd w:val="clear" w:color="auto" w:fill="auto"/>
            <w:vAlign w:val="center"/>
          </w:tcPr>
          <w:p w14:paraId="082BA164">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临时占地</w:t>
            </w:r>
          </w:p>
        </w:tc>
        <w:tc>
          <w:tcPr>
            <w:tcW w:w="338" w:type="pct"/>
            <w:shd w:val="clear" w:color="auto" w:fill="auto"/>
            <w:vAlign w:val="center"/>
          </w:tcPr>
          <w:p w14:paraId="0CDB2B3C">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耕地</w:t>
            </w:r>
          </w:p>
        </w:tc>
        <w:tc>
          <w:tcPr>
            <w:tcW w:w="1913" w:type="pct"/>
            <w:shd w:val="clear" w:color="auto" w:fill="auto"/>
            <w:vAlign w:val="center"/>
          </w:tcPr>
          <w:p w14:paraId="4F164F39">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分层开挖，分层回填，并通过生态植被恢复措施可逐年恢复原有农田质量和产量，耕地复耕</w:t>
            </w:r>
            <w:r>
              <w:rPr>
                <w:rFonts w:hint="eastAsia" w:ascii="Times New Roman" w:hAnsi="Times New Roman" w:cs="Times New Roman" w:eastAsiaTheme="minorEastAsia"/>
                <w:caps w:val="0"/>
                <w:smallCaps w:val="0"/>
                <w:snapToGrid w:val="0"/>
                <w:color w:val="000000" w:themeColor="text1"/>
                <w:spacing w:val="0"/>
                <w:w w:val="100"/>
                <w:position w:val="0"/>
                <w:sz w:val="21"/>
                <w:szCs w:val="21"/>
                <w:lang w:val="en-US" w:eastAsia="zh-CN"/>
                <w14:textFill>
                  <w14:solidFill>
                    <w14:schemeClr w14:val="tx1"/>
                  </w14:solidFill>
                </w14:textFill>
              </w:rPr>
              <w:t>16.96</w:t>
            </w: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hm</w:t>
            </w:r>
            <w:r>
              <w:rPr>
                <w:rFonts w:ascii="Times New Roman" w:hAnsi="Times New Roman" w:cs="Times New Roman" w:eastAsiaTheme="minorEastAsia"/>
                <w:caps w:val="0"/>
                <w:smallCaps w:val="0"/>
                <w:snapToGrid w:val="0"/>
                <w:color w:val="000000" w:themeColor="text1"/>
                <w:spacing w:val="0"/>
                <w:w w:val="100"/>
                <w:position w:val="0"/>
                <w:sz w:val="21"/>
                <w:szCs w:val="21"/>
                <w:vertAlign w:val="superscript"/>
                <w14:textFill>
                  <w14:solidFill>
                    <w14:schemeClr w14:val="tx1"/>
                  </w14:solidFill>
                </w14:textFill>
              </w:rPr>
              <w:t>2</w:t>
            </w:r>
          </w:p>
        </w:tc>
        <w:tc>
          <w:tcPr>
            <w:tcW w:w="1431" w:type="pct"/>
            <w:shd w:val="clear" w:color="auto" w:fill="auto"/>
            <w:vAlign w:val="top"/>
          </w:tcPr>
          <w:p w14:paraId="25EA20EA">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lang w:val="en-US" w:eastAsia="zh-CN"/>
                <w14:textFill>
                  <w14:solidFill>
                    <w14:schemeClr w14:val="tx1"/>
                  </w14:solidFill>
                </w14:textFill>
              </w:rPr>
              <w:t>141.1</w:t>
            </w: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万元（</w:t>
            </w:r>
            <w:r>
              <w:rPr>
                <w:rFonts w:ascii="Times New Roman" w:hAnsi="Times New Roman" w:cs="Times New Roman" w:eastAsiaTheme="minorEastAsia"/>
                <w:caps w:val="0"/>
                <w:smallCaps w:val="0"/>
                <w:snapToGrid w:val="0"/>
                <w:color w:val="000000" w:themeColor="text1"/>
                <w:spacing w:val="0"/>
                <w:w w:val="100"/>
                <w:position w:val="0"/>
                <w:sz w:val="21"/>
                <w:szCs w:val="21"/>
                <w:lang w:bidi="zh-CN"/>
                <w14:textFill>
                  <w14:solidFill>
                    <w14:schemeClr w14:val="tx1"/>
                  </w14:solidFill>
                </w14:textFill>
              </w:rPr>
              <w:t>临时征地费用按5.2元/m</w:t>
            </w:r>
            <w:r>
              <w:rPr>
                <w:rFonts w:ascii="Times New Roman" w:hAnsi="Times New Roman" w:cs="Times New Roman" w:eastAsiaTheme="minorEastAsia"/>
                <w:caps w:val="0"/>
                <w:smallCaps w:val="0"/>
                <w:snapToGrid w:val="0"/>
                <w:color w:val="000000" w:themeColor="text1"/>
                <w:spacing w:val="0"/>
                <w:w w:val="100"/>
                <w:position w:val="0"/>
                <w:sz w:val="21"/>
                <w:szCs w:val="21"/>
                <w:vertAlign w:val="superscript"/>
                <w:lang w:bidi="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sz w:val="21"/>
                <w:szCs w:val="21"/>
                <w:lang w:bidi="zh-CN"/>
                <w14:textFill>
                  <w14:solidFill>
                    <w14:schemeClr w14:val="tx1"/>
                  </w14:solidFill>
                </w14:textFill>
              </w:rPr>
              <w:t>，青苗补偿标准为3.12元/m</w:t>
            </w:r>
            <w:r>
              <w:rPr>
                <w:rFonts w:ascii="Times New Roman" w:hAnsi="Times New Roman" w:cs="Times New Roman" w:eastAsiaTheme="minorEastAsia"/>
                <w:caps w:val="0"/>
                <w:smallCaps w:val="0"/>
                <w:snapToGrid w:val="0"/>
                <w:color w:val="000000" w:themeColor="text1"/>
                <w:spacing w:val="0"/>
                <w:w w:val="100"/>
                <w:position w:val="0"/>
                <w:sz w:val="21"/>
                <w:szCs w:val="21"/>
                <w:vertAlign w:val="superscript"/>
                <w:lang w:bidi="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w:t>
            </w:r>
          </w:p>
        </w:tc>
        <w:tc>
          <w:tcPr>
            <w:tcW w:w="561" w:type="pct"/>
            <w:vMerge w:val="restart"/>
            <w:vAlign w:val="center"/>
          </w:tcPr>
          <w:p w14:paraId="36DBCA4C">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开工前完成征地，</w:t>
            </w: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施工完毕后</w:t>
            </w:r>
          </w:p>
          <w:p w14:paraId="21FD775E">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1年内</w:t>
            </w:r>
            <w:r>
              <w:rPr>
                <w:rFonts w:hint="eastAsia"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植被恢复</w:t>
            </w:r>
          </w:p>
        </w:tc>
        <w:tc>
          <w:tcPr>
            <w:tcW w:w="416" w:type="pct"/>
            <w:vMerge w:val="restart"/>
            <w:vAlign w:val="center"/>
          </w:tcPr>
          <w:p w14:paraId="13D91A22">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lang w:val="en-US" w:eastAsia="zh-CN"/>
                <w14:textFill>
                  <w14:solidFill>
                    <w14:schemeClr w14:val="tx1"/>
                  </w14:solidFill>
                </w14:textFill>
              </w:rPr>
              <w:t>大庆油田有限责任公司第十一采油厂</w:t>
            </w:r>
          </w:p>
        </w:tc>
      </w:tr>
      <w:tr w14:paraId="2E814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38" w:type="pct"/>
            <w:vMerge w:val="continue"/>
            <w:vAlign w:val="center"/>
          </w:tcPr>
          <w:p w14:paraId="63011964">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338" w:type="pct"/>
            <w:shd w:val="clear" w:color="auto" w:fill="auto"/>
            <w:vAlign w:val="center"/>
          </w:tcPr>
          <w:p w14:paraId="3C37F9C7">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草地</w:t>
            </w:r>
          </w:p>
        </w:tc>
        <w:tc>
          <w:tcPr>
            <w:tcW w:w="1913" w:type="pct"/>
            <w:shd w:val="clear" w:color="auto" w:fill="auto"/>
            <w:vAlign w:val="center"/>
          </w:tcPr>
          <w:p w14:paraId="4A762913">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分层开挖，分层回填，占地平整，恢复草地</w:t>
            </w:r>
            <w:r>
              <w:rPr>
                <w:rFonts w:hint="eastAsia" w:ascii="Times New Roman" w:hAnsi="Times New Roman" w:cs="Times New Roman" w:eastAsiaTheme="minorEastAsia"/>
                <w:caps w:val="0"/>
                <w:smallCaps w:val="0"/>
                <w:snapToGrid w:val="0"/>
                <w:color w:val="000000" w:themeColor="text1"/>
                <w:spacing w:val="0"/>
                <w:w w:val="100"/>
                <w:position w:val="0"/>
                <w:sz w:val="21"/>
                <w:szCs w:val="21"/>
                <w:lang w:val="en-US" w:eastAsia="zh-CN"/>
                <w14:textFill>
                  <w14:solidFill>
                    <w14:schemeClr w14:val="tx1"/>
                  </w14:solidFill>
                </w14:textFill>
              </w:rPr>
              <w:t>4.92</w:t>
            </w: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hm</w:t>
            </w:r>
            <w:r>
              <w:rPr>
                <w:rFonts w:ascii="Times New Roman" w:hAnsi="Times New Roman" w:cs="Times New Roman" w:eastAsiaTheme="minorEastAsia"/>
                <w:caps w:val="0"/>
                <w:smallCaps w:val="0"/>
                <w:snapToGrid w:val="0"/>
                <w:color w:val="000000" w:themeColor="text1"/>
                <w:spacing w:val="0"/>
                <w:w w:val="100"/>
                <w:position w:val="0"/>
                <w:sz w:val="21"/>
                <w:szCs w:val="21"/>
                <w:vertAlign w:val="superscript"/>
                <w14:textFill>
                  <w14:solidFill>
                    <w14:schemeClr w14:val="tx1"/>
                  </w14:solidFill>
                </w14:textFill>
              </w:rPr>
              <w:t>2</w:t>
            </w:r>
          </w:p>
        </w:tc>
        <w:tc>
          <w:tcPr>
            <w:tcW w:w="1431" w:type="pct"/>
            <w:shd w:val="clear" w:color="auto" w:fill="auto"/>
            <w:vAlign w:val="top"/>
          </w:tcPr>
          <w:p w14:paraId="32129951">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lang w:val="en-US" w:eastAsia="zh-CN"/>
                <w14:textFill>
                  <w14:solidFill>
                    <w14:schemeClr w14:val="tx1"/>
                  </w14:solidFill>
                </w14:textFill>
              </w:rPr>
              <w:t>27.4</w:t>
            </w: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万元（</w:t>
            </w:r>
            <w:r>
              <w:rPr>
                <w:rFonts w:ascii="Times New Roman" w:hAnsi="Times New Roman" w:cs="Times New Roman" w:eastAsiaTheme="minorEastAsia"/>
                <w:caps w:val="0"/>
                <w:smallCaps w:val="0"/>
                <w:snapToGrid w:val="0"/>
                <w:color w:val="000000" w:themeColor="text1"/>
                <w:spacing w:val="0"/>
                <w:w w:val="100"/>
                <w:position w:val="0"/>
                <w:sz w:val="21"/>
                <w:szCs w:val="21"/>
                <w:lang w:bidi="zh-CN"/>
                <w14:textFill>
                  <w14:solidFill>
                    <w14:schemeClr w14:val="tx1"/>
                  </w14:solidFill>
                </w14:textFill>
              </w:rPr>
              <w:t>临时征地费用按5.2元/m</w:t>
            </w:r>
            <w:r>
              <w:rPr>
                <w:rFonts w:ascii="Times New Roman" w:hAnsi="Times New Roman" w:cs="Times New Roman" w:eastAsiaTheme="minorEastAsia"/>
                <w:caps w:val="0"/>
                <w:smallCaps w:val="0"/>
                <w:snapToGrid w:val="0"/>
                <w:color w:val="000000" w:themeColor="text1"/>
                <w:spacing w:val="0"/>
                <w:w w:val="100"/>
                <w:position w:val="0"/>
                <w:sz w:val="21"/>
                <w:szCs w:val="21"/>
                <w:vertAlign w:val="superscript"/>
                <w:lang w:bidi="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sz w:val="21"/>
                <w:szCs w:val="21"/>
                <w:lang w:bidi="zh-CN"/>
                <w14:textFill>
                  <w14:solidFill>
                    <w14:schemeClr w14:val="tx1"/>
                  </w14:solidFill>
                </w14:textFill>
              </w:rPr>
              <w:t>，天然草的补偿标准为0.37元/m</w:t>
            </w:r>
            <w:r>
              <w:rPr>
                <w:rFonts w:ascii="Times New Roman" w:hAnsi="Times New Roman" w:cs="Times New Roman" w:eastAsiaTheme="minorEastAsia"/>
                <w:caps w:val="0"/>
                <w:smallCaps w:val="0"/>
                <w:snapToGrid w:val="0"/>
                <w:color w:val="000000" w:themeColor="text1"/>
                <w:spacing w:val="0"/>
                <w:w w:val="100"/>
                <w:position w:val="0"/>
                <w:sz w:val="21"/>
                <w:szCs w:val="21"/>
                <w:vertAlign w:val="superscript"/>
                <w:lang w:bidi="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w:t>
            </w:r>
          </w:p>
        </w:tc>
        <w:tc>
          <w:tcPr>
            <w:tcW w:w="561" w:type="pct"/>
            <w:vMerge w:val="continue"/>
            <w:vAlign w:val="center"/>
          </w:tcPr>
          <w:p w14:paraId="58FDA6C2">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416" w:type="pct"/>
            <w:vMerge w:val="continue"/>
            <w:vAlign w:val="center"/>
          </w:tcPr>
          <w:p w14:paraId="15F33692">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r>
    </w:tbl>
    <w:p w14:paraId="08344288">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采取上述施工期生态保护措施后，项目施工期对生态环境的影响将降至最低，因此施工期生态保护措施是可行的。</w:t>
      </w:r>
    </w:p>
    <w:p w14:paraId="57E901FE">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6.1.5.2运行期</w:t>
      </w:r>
    </w:p>
    <w:p w14:paraId="20FE5C05">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为了在生产运行期控制该项目对周围生态环境的影响，保证当地生态环境能够得到较好的恢复，建议应采取如下措施：</w:t>
      </w:r>
    </w:p>
    <w:p w14:paraId="591CF120">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（1）提高职工的环境保护意识，在生产管理中杜绝人为破坏植被的现象；</w:t>
      </w:r>
    </w:p>
    <w:p w14:paraId="465B3323">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（2）对管线加强日常监督管理，定期巡检，防止含油污水以的跑冒滴漏，如发生跑冒滴漏，及时处理。巡检过程中在管道沿线区域要注意已恢复的植被的保护工作。</w:t>
      </w:r>
    </w:p>
    <w:p w14:paraId="33C5AFBD">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（3）加强对项目区内的生态保护，严格按照相关的规章制度执行。</w:t>
      </w:r>
    </w:p>
    <w:p w14:paraId="41F3C053">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本项目通过采取上述生态保护措施，能够确保本项目对区域生态环境的破坏得到有效控制，不会对区域生态环境产生较大影响，生态保护措施可行。</w:t>
      </w:r>
    </w:p>
    <w:p w14:paraId="301DF52C">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6.1.5.3</w:t>
      </w:r>
      <w:bookmarkStart w:id="994" w:name="OLE_LINK175"/>
      <w:bookmarkStart w:id="995" w:name="OLE_LINK170"/>
      <w:r>
        <w:rPr>
          <w:rFonts w:ascii="Times New Roman" w:hAnsi="Times New Roman" w:eastAsiaTheme="minorEastAsia"/>
          <w:b/>
          <w:caps w:val="0"/>
          <w:smallCaps w:val="0"/>
          <w:color w:val="000000" w:themeColor="text1"/>
          <w:spacing w:val="0"/>
          <w:w w:val="100"/>
          <w:position w:val="0"/>
          <w14:textFill>
            <w14:solidFill>
              <w14:schemeClr w14:val="tx1"/>
            </w14:solidFill>
          </w14:textFill>
        </w:rPr>
        <w:t>退役期</w:t>
      </w:r>
      <w:bookmarkEnd w:id="994"/>
      <w:bookmarkEnd w:id="995"/>
      <w:r>
        <w:rPr>
          <w:rFonts w:ascii="Times New Roman" w:hAnsi="Times New Roman" w:eastAsiaTheme="minorEastAsia"/>
          <w:b/>
          <w:caps w:val="0"/>
          <w:smallCaps w:val="0"/>
          <w:color w:val="000000" w:themeColor="text1"/>
          <w:spacing w:val="0"/>
          <w:w w:val="100"/>
          <w:position w:val="0"/>
          <w14:textFill>
            <w14:solidFill>
              <w14:schemeClr w14:val="tx1"/>
            </w14:solidFill>
          </w14:textFill>
        </w:rPr>
        <w:t>生态恢复与重建措施</w:t>
      </w:r>
    </w:p>
    <w:p w14:paraId="08536B56">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bCs/>
          <w:caps w:val="0"/>
          <w:smallCaps w:val="0"/>
          <w:color w:val="000000" w:themeColor="text1"/>
          <w:spacing w:val="0"/>
          <w:w w:val="100"/>
          <w:position w:val="0"/>
          <w:sz w:val="24"/>
          <w:szCs w:val="24"/>
          <w14:textFill>
            <w14:solidFill>
              <w14:schemeClr w14:val="tx1"/>
            </w14:solidFill>
          </w14:textFill>
        </w:rPr>
        <w:t>本项目为避免退役管线开挖对生态环境的影响，管线退役阶段不进行开挖，采取管线两端灌注水泥封堵直埋处理。在管线退役期施工过程中会造成地表扰动，水土流失，产生一定的生态影响。因此本项目在拆除作业的过程中应合理安排作业计划和作业时间，尽量避开雨天作业，尽量减少场地的裸露时间，尽可能减少施工作业造成的生态影响。</w:t>
      </w:r>
    </w:p>
    <w:p w14:paraId="03496743">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综上所述，项目退役期在采取生态恢复与重建措施后，可有效地将生态环境的影响降到最低程度。</w:t>
      </w:r>
    </w:p>
    <w:p w14:paraId="320B1E7A">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bookmarkStart w:id="996" w:name="_Toc88044548"/>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6.1.5.4基本农田保护措施</w:t>
      </w:r>
      <w:bookmarkEnd w:id="996"/>
    </w:p>
    <w:p w14:paraId="6F9CFD7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根据《基本农田保护条例》中规定：国家能源、交通、水利、军事设施等重点建设项目选址确实无法避开基本农田保护区，需要占用基本农田，涉及农用地转用或者征用土地必须经国务院批准。经国务院批准占用基本农田的，当地人民政府应当按照国务院的批准文件修改土地利用总体规划，并补充划入数量和质量相当的基本农田。占用单位应当按照占多少、垦多少的原则，负责开垦与所占用的基本农田数量与质量相当的耕地；没有条件开垦或者开垦的耕地不符合的要求的，应当按照省、自治区、直辖市的规定缴纳耕地开垦费，专款用于开垦新的耕地。占用基本农田的单位应按照县级以上地方人民政府的要求，将所占用的基本农田耕作层的土壤用于新开垦耕地、劣质地或者其他耕地的土壤改良。</w:t>
      </w:r>
    </w:p>
    <w:p w14:paraId="74B3E80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本工程属国家能源设施建设项目，根据设计要求，工程无法避让基本农田，因此工程临时占地应按照《中华人民共和国土地管理法》（2019年8月26日修正）、《基本农田保护条例》（2011年1月8日修订）要求逐级上报土地管理部门批准，由</w:t>
      </w:r>
      <w:r>
        <w:rPr>
          <w:rFonts w:hint="eastAsia"/>
          <w:bCs/>
          <w:caps w:val="0"/>
          <w:smallCaps w:val="0"/>
          <w:color w:val="000000" w:themeColor="text1"/>
          <w:spacing w:val="0"/>
          <w:w w:val="100"/>
          <w:position w:val="0"/>
          <w:sz w:val="24"/>
          <w:lang w:val="en-US" w:eastAsia="zh-CN"/>
          <w14:textFill>
            <w14:solidFill>
              <w14:schemeClr w14:val="tx1"/>
            </w14:solidFill>
          </w14:textFill>
        </w:rPr>
        <w:t>第十一采油厂</w:t>
      </w: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负责开垦与所占用耕地的数量和质量相当的耕地；如果没有条件开垦，应当按照省的规定缴纳耕地开垦费，专款用于开垦新的耕地，进行耕地保护。同时采取以下保护措施：</w:t>
      </w:r>
    </w:p>
    <w:p w14:paraId="34DA8C2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（1）严格控制在耕地内的施工活动，限制施工范围和施工时限，将施工期对农业损失降至最小，优化工程施工周期，尽量避开农作物的生长期进行施工；</w:t>
      </w:r>
    </w:p>
    <w:p w14:paraId="3F3F5BA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（2）加强管理，做好对施工及油田生产人员的管理、教育工作，杜绝废水、固体废物进入耕地，施工结束后及时对临时占用的耕地（基本农田）进行复耕。</w:t>
      </w:r>
    </w:p>
    <w:p w14:paraId="7CAC0B4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（3）施工完毕后1年内，临时占地全部恢复原有植被类型，即占用农田全部恢复为耕地。临时占地恢复也可在征地过程中给予农民一定的费用补偿，由农民自行进行土地恢复。</w:t>
      </w:r>
    </w:p>
    <w:p w14:paraId="6F3A8FEA">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6.1.5.5黑土地保护措施</w:t>
      </w:r>
    </w:p>
    <w:p w14:paraId="34B0097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根据《黑龙江省“十四五”黑土地保护规划》中要求，本项目采取以下措施。</w:t>
      </w:r>
    </w:p>
    <w:p w14:paraId="6067944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（1）本项目实施前</w:t>
      </w:r>
      <w:r>
        <w:rPr>
          <w:rFonts w:hint="eastAsia" w:ascii="Times New Roman" w:hAnsi="Times New Roman" w:cs="Times New Roman" w:eastAsiaTheme="minorEastAsia"/>
          <w:caps w:val="0"/>
          <w:smallCaps w:val="0"/>
          <w:color w:val="000000" w:themeColor="text1"/>
          <w:spacing w:val="0"/>
          <w:w w:val="100"/>
          <w:position w:val="0"/>
          <w:szCs w:val="28"/>
          <w:lang w:val="en-US" w:eastAsia="zh-CN"/>
          <w14:textFill>
            <w14:solidFill>
              <w14:schemeClr w14:val="tx1"/>
            </w14:solidFill>
          </w14:textFill>
        </w:rPr>
        <w:t>大庆油田</w:t>
      </w: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有限责任公司</w:t>
      </w:r>
      <w:r>
        <w:rPr>
          <w:rFonts w:hint="eastAsia"/>
          <w:bCs/>
          <w:caps w:val="0"/>
          <w:smallCaps w:val="0"/>
          <w:color w:val="000000" w:themeColor="text1"/>
          <w:spacing w:val="0"/>
          <w:w w:val="100"/>
          <w:position w:val="0"/>
          <w:sz w:val="24"/>
          <w:lang w:val="en-US" w:eastAsia="zh-CN"/>
          <w14:textFill>
            <w14:solidFill>
              <w14:schemeClr w14:val="tx1"/>
            </w14:solidFill>
          </w14:textFill>
        </w:rPr>
        <w:t>第十一采油厂</w:t>
      </w: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应当制定剥离黑土的再利用方案，统筹安排剥离、储存和再利用工作，并报自然资源主管部门备案。项目占地范围内表土剥离和利用严格执行《建设占用耕地耕作层土壤剥离利用技术规范》（DB23/T2913-2021）中相关规定。</w:t>
      </w:r>
    </w:p>
    <w:p w14:paraId="00B18D7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2）项目施工过程中尽量保护黑土地，不打乱土层，工程占地范围内分层开挖，先剥离表土层（约30cm），堆放于管线施工作业带内置土带外侧；然后挖心、底土层堆放于管线施工作业带内置土带内侧，堆土表面设防尘网或苫布覆盖。管线施工区域沿线平行设置表土堆存区。项目临时占地复原时先填心、底土，后平覆表土，以便尽快恢复土地原貌。</w:t>
      </w:r>
    </w:p>
    <w:p w14:paraId="368DD8B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3）本项目需遵守《大庆油（气）田建设工程用地规范》规定，严格控制施工作业面积，加强施工管理，尽量减少占地面积，并规范行车路线及施工人员行为，严禁随意践踏、碾压施工区范围外的植被，不准乱挖、乱采野生植物，确保尽量少占优质黑土地。</w:t>
      </w:r>
    </w:p>
    <w:p w14:paraId="7AC0ACD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14:textFill>
            <w14:solidFill>
              <w14:schemeClr w14:val="tx1"/>
            </w14:solidFill>
          </w14:textFill>
        </w:rPr>
        <w:t>（4）本工程对临时占用的耕地采用深松深耕进行复垦。</w:t>
      </w:r>
    </w:p>
    <w:p w14:paraId="4CB2B148">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6.1.5.6水土流失保护措施</w:t>
      </w:r>
    </w:p>
    <w:p w14:paraId="7E47EB9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本项目由于管线施工时车辆对土壤的碾压，人员对土壤的践踏，将改变原地表地貌状况，扰动原地貌，改变原地貌的状况和性质。工程施工破坏植被，新地貌失去植物根系的固土作用，雨水直接冲刷疏松、裸露的地表土，易造成水土流失；施工过程中，开挖回填后产生的弃渣松散堆积，结构疏松，胶结力差，抗侵蚀能力极低，遇暴雨产生径流，加大水土流失。为了更好的保持水土，建议采取以下水土流失防治措施：</w:t>
      </w:r>
    </w:p>
    <w:p w14:paraId="2826419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（1）管道施工尽量缩小占地面积，应划定施工活动范围，严格控制和管理车辆及重型机械的运行范围，所有车辆采用“一”字型作业法，走同一车辙，避免加行开辟新路；</w:t>
      </w:r>
    </w:p>
    <w:p w14:paraId="5EB0401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（2）项目管沟挖、填方作业应尽量做到互补平衡，以免造成弃土方堆积和过多借土；</w:t>
      </w:r>
    </w:p>
    <w:p w14:paraId="2A9859B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3）管沟回填应按层回填，以利施工带土壤和植被的尽早恢复。回填后应予以平整、压实，以免发生水土流失。对高出地面部分做出水土保持要求，要求高出地面部分回填土按梯形堆放于管线上部，堆放后人工进行修整、拍实；</w:t>
      </w:r>
    </w:p>
    <w:p w14:paraId="31B6E91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（4）穿越工程施工作业坑应严格控制施工面积，采取“三分一回填”措施，及时对开挖作业坑进行平整、压实，以免发生水土流失。</w:t>
      </w:r>
    </w:p>
    <w:p w14:paraId="51192438">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（5）施工建设期，施工车辆应固定行驶路线，施工结束后，对施工期由于施工车辆碾压所破坏的地表植被进行恢复。</w:t>
      </w:r>
    </w:p>
    <w:p w14:paraId="4C8F64C4">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6）本项目水土保持生物措施主要根据油田地面植被情况，做好原有植被恢复和人工绿化工作，最大程度的降低因本项目施工建设和生产运行而新增的水土流失量，降低人为因素导致当地土壤盐碱化的趋势，尽量改善当地的生态环境；</w:t>
      </w:r>
    </w:p>
    <w:p w14:paraId="341986AD">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（7）因地制宜选择施工季节，尽量避开植被生长季节、农作物耕种季节，减少损失，同时避开大风及强降水季节；</w:t>
      </w:r>
    </w:p>
    <w:p w14:paraId="52505BA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（8）严禁在大风、大雨天气下施工。在便道出入口，竖立保护植被的警示牌，提醒施工作业人员，减少人员随意践踏造成的水土流失。</w:t>
      </w:r>
    </w:p>
    <w:p w14:paraId="6FD940CD">
      <w:pPr>
        <w:pStyle w:val="149"/>
        <w:widowControl w:val="0"/>
        <w:spacing w:line="440" w:lineRule="exact"/>
        <w:ind w:firstLine="0" w:firstLineChars="0"/>
        <w:jc w:val="both"/>
        <w:outlineLvl w:val="3"/>
        <w:rPr>
          <w:rFonts w:ascii="Times New Roman" w:hAnsi="Times New Roman"/>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6.1.5.7防沙治沙保护措施</w:t>
      </w:r>
    </w:p>
    <w:p w14:paraId="6C685F63">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（1）做好施工期开挖土方临时堆存的水土保持措施，确保土方水土流失得到有效控制。对管沟开挖造成植被破坏或地表裸露的，必须采取有效的修复措施，所有生态措施应在投运半年内完成。</w:t>
      </w:r>
    </w:p>
    <w:p w14:paraId="7B204515">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（2）管道采用沟埋敷设，施工结束后及时有效地对占地区域土地进行平整，并压实，利于植被自然恢复。</w:t>
      </w:r>
    </w:p>
    <w:p w14:paraId="20073B08">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（3）在施工活动结束后，要立即对施工现场进行回填平整，并尽可能覆土压实，做到“挖填平衡”。</w:t>
      </w:r>
    </w:p>
    <w:p w14:paraId="507053E2">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（4）施工时要特别注意保护原始地表与天然植被，划定施工活动范围，严格控制和管理车辆及重型机械的运行范围，所有车辆采用“一”字型作业法，避免并行开辟新路，以减少风蚀沙化活动的范围。</w:t>
      </w:r>
    </w:p>
    <w:p w14:paraId="004EE4DD">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（5）施工作业避免在大风天施工。</w:t>
      </w:r>
    </w:p>
    <w:p w14:paraId="6DAEAB01">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通过采取上述措施，施工期严格控制管线施工作业占地范围，不会对项目所在区域生态环境产生较大影响，施工期生态保护措施可行。</w:t>
      </w:r>
    </w:p>
    <w:p w14:paraId="60E33275">
      <w:pPr>
        <w:pStyle w:val="149"/>
        <w:widowControl w:val="0"/>
        <w:spacing w:line="440" w:lineRule="exact"/>
        <w:ind w:firstLine="0" w:firstLineChars="0"/>
        <w:jc w:val="both"/>
        <w:outlineLvl w:val="3"/>
        <w:rPr>
          <w:rFonts w:ascii="Times New Roman" w:hAnsi="Times New Roman"/>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6.1.5.8表土剥离方案</w:t>
      </w:r>
    </w:p>
    <w:p w14:paraId="0713ACB7">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本项目实施前</w:t>
      </w:r>
      <w:r>
        <w:rPr>
          <w:rFonts w:hint="eastAsia" w:ascii="Times New Roman" w:hAnsi="Times New Roman" w:eastAsia="宋体"/>
          <w:caps w:val="0"/>
          <w:smallCaps w:val="0"/>
          <w:color w:val="000000" w:themeColor="text1"/>
          <w:spacing w:val="0"/>
          <w:w w:val="100"/>
          <w:position w:val="0"/>
          <w:sz w:val="24"/>
          <w:szCs w:val="24"/>
          <w:lang w:val="en-US" w:eastAsia="zh-CN"/>
          <w14:textFill>
            <w14:solidFill>
              <w14:schemeClr w14:val="tx1"/>
            </w14:solidFill>
          </w14:textFill>
        </w:rPr>
        <w:t>第十一采油厂</w:t>
      </w: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应当制定剥离黑土的再利用方案，统筹安排剥离、储存和再利用工作，并报自然资源主管部门备案。</w:t>
      </w:r>
    </w:p>
    <w:p w14:paraId="18D5A5C6">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1、土壤剥离</w:t>
      </w:r>
    </w:p>
    <w:p w14:paraId="574566B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（1）剥离范围及厚度</w:t>
      </w:r>
    </w:p>
    <w:p w14:paraId="1C8310E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Times New Roman" w:hAnsi="Times New Roman" w:eastAsia="宋体"/>
          <w:caps w:val="0"/>
          <w:smallCaps w:val="0"/>
          <w:color w:val="000000" w:themeColor="text1"/>
          <w:spacing w:val="0"/>
          <w:w w:val="100"/>
          <w:position w:val="0"/>
          <w:sz w:val="24"/>
          <w:szCs w:val="24"/>
          <w14:textFill>
            <w14:solidFill>
              <w14:schemeClr w14:val="tx1"/>
            </w14:solidFill>
          </w14:textFill>
        </w:rPr>
        <w:t>确定项目临时占用耕地剥离厚度为30cm，均为表土层</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w:t>
      </w:r>
    </w:p>
    <w:p w14:paraId="6B2CB9F2">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（2）工艺选择</w:t>
      </w:r>
    </w:p>
    <w:p w14:paraId="2DE66A0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剥离工艺依据剥离区的地质地貌、交通运输情况以及未来不同表土利用方向进行选择。根据地形、土壤厚度、土壤均一性和作业方便等条件，将剥离区域划分出不同的施工区。</w:t>
      </w:r>
    </w:p>
    <w:p w14:paraId="7B7F7FB6">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（3）机械选择</w:t>
      </w:r>
    </w:p>
    <w:p w14:paraId="65536725">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根据耕作层土壤剥离利用工艺、耕作层土壤剥离利用区的地质地貌、交通运输情况、不同耕作层土壤剥离利用利用方向以及每台机组剥离面积及形状确定，选择合适的施工机械，减少对耕作层土壤结构的破坏，提高剥离效率。</w:t>
      </w:r>
    </w:p>
    <w:p w14:paraId="4BA8E45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（4）施工技术要求</w:t>
      </w:r>
    </w:p>
    <w:p w14:paraId="294D892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①</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选择土壤剥离时间。选择天气好且土壤含水量合适时进行剥离。</w:t>
      </w:r>
    </w:p>
    <w:p w14:paraId="1E94181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②</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清除异物。实施剥离前，清理、移除土层中或地表比较大的树根、石块、垃圾等异物。收集的表土不应含有垃圾杂物、硬黏土块或直径大于5cm的砾石。</w:t>
      </w:r>
    </w:p>
    <w:p w14:paraId="326D835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③</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剥离。分单元进行土壤剥离，并详细记载不同剥离单元的土壤类型和剥离量。当天工作结束后，推土机尽量运行于已剥离完土壤的空地，自卸汽车不得在耕作层土壤尚未剥离的区域运行。</w:t>
      </w:r>
    </w:p>
    <w:p w14:paraId="2E54C85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14:textFill>
            <w14:solidFill>
              <w14:schemeClr w14:val="tx1"/>
            </w14:solidFill>
          </w14:textFill>
        </w:rPr>
        <w:t>④</w:t>
      </w: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注意事项。当剥离过程中发生较大强度降雨时，应立即停止剥离工作。在降雨停止后，待土壤含水量达到剥离要求时，再实施土壤剥离工作。因受降雨冲刷造成土壤结构严重破坏的表土面应清除。在每次开展土壤剥离之前，应采取措施，确保施工工作面无积水，土壤中含水量达到要求。剥离后的土壤应利用纸簿进行登记，详细载明运输车辆、剥离单元、储存区或回覆区、土壤类型、质地、土壤质量状况、数量等，并建立备查档案。</w:t>
      </w:r>
    </w:p>
    <w:p w14:paraId="0597B297">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2、土壤储存</w:t>
      </w:r>
    </w:p>
    <w:p w14:paraId="27AB08A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1）堆存区的要求。耕作层土壤以及腐殖质层土壤按土块分别单存单放。防止放牧、机器和车辆的进入，防止粉尘、盐碱的覆盖；地势较高，没有径流流入或流过堆土场地；防止主导风。在堆放场地的选择上，应当尽量避免水蚀、风蚀和各种人为损毁。</w:t>
      </w:r>
    </w:p>
    <w:p w14:paraId="677882B4">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（2）在储存区堆放土方时，应当分层放土，待上一层土摊平后再堆放下一层土。单层土堆放高度不大于1.0m。在土方堆筑过程中，严格禁止施工机械对已堆放土方的碾压。</w:t>
      </w:r>
    </w:p>
    <w:p w14:paraId="153B1387">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（3）土壤含水过量时极易被压紧。为了保持土壤结构、避免土壤板结，应避免雨季剥离、搬运和堆存表土。另外，土壤湿度较大，不利于运输中的装车与排卸。</w:t>
      </w:r>
    </w:p>
    <w:p w14:paraId="1668D73F">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（4）顶层覆盖。土堆的顶部用苫布等进行遮盖，防止雨水淋溶。</w:t>
      </w:r>
    </w:p>
    <w:p w14:paraId="4F163E03">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3、土壤利用</w:t>
      </w:r>
    </w:p>
    <w:p w14:paraId="2355E6C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根据《关于建设占用耕地耕作层土壤剥离利用工作的指导意见（试行）》（黑政办规〔2021〕18号）文件要求，剥离的土壤优先用于土地整治、高标准农田建设、工矿废弃地复垦、生态修复等项目，以及新开垦耕地、劣质地或者其他耕地的土壤改良等农业生产生活，富余土壤可以用于绿化。本工程剥离表层土全部回填管线施工作业带。</w:t>
      </w:r>
    </w:p>
    <w:p w14:paraId="318383DD">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4、生态环境监测和环境管理</w:t>
      </w:r>
    </w:p>
    <w:p w14:paraId="1D667CC5">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根据《环境影响评价技术导则 生态影响》（HJ19-2022），本项目无需进行长期跟踪生态监测，要求施工期时重点监测施工活动干扰下的植物群落变化、生境质量变化等，在项目施工结束后重点监测植被恢复情况。</w:t>
      </w:r>
    </w:p>
    <w:p w14:paraId="7FCD4FFA">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14:textFill>
            <w14:solidFill>
              <w14:schemeClr w14:val="tx1"/>
            </w14:solidFill>
          </w14:textFill>
        </w:rPr>
        <w:t>综上所述，通过上述生态污染防治措施，本项目对生态环境造成的影响在环境可接受范围之内，措施技术可行。</w:t>
      </w:r>
    </w:p>
    <w:p w14:paraId="028235CA">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997" w:name="_Toc143099671"/>
      <w:bookmarkStart w:id="998" w:name="_Toc186444384"/>
      <w:bookmarkStart w:id="999" w:name="_Toc127192432"/>
      <w:bookmarkStart w:id="1000" w:name="_Toc131167384"/>
      <w:bookmarkStart w:id="1001" w:name="_Toc126863483"/>
      <w:bookmarkStart w:id="1002" w:name="_Toc186444383"/>
      <w:r>
        <w:rPr>
          <w:rFonts w:eastAsiaTheme="minorEastAsia"/>
          <w:b/>
          <w:caps w:val="0"/>
          <w:smallCaps w:val="0"/>
          <w:color w:val="000000" w:themeColor="text1"/>
          <w:spacing w:val="0"/>
          <w:w w:val="100"/>
          <w:kern w:val="2"/>
          <w:position w:val="0"/>
          <w:sz w:val="24"/>
          <w:szCs w:val="24"/>
          <w14:textFill>
            <w14:solidFill>
              <w14:schemeClr w14:val="tx1"/>
            </w14:solidFill>
          </w14:textFill>
        </w:rPr>
        <w:t>6.1.6土壤保护措施</w:t>
      </w:r>
      <w:bookmarkEnd w:id="997"/>
      <w:bookmarkEnd w:id="998"/>
      <w:bookmarkEnd w:id="999"/>
      <w:bookmarkEnd w:id="1000"/>
      <w:bookmarkEnd w:id="1001"/>
    </w:p>
    <w:p w14:paraId="5856458C">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szCs w:val="2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14:textFill>
            <w14:solidFill>
              <w14:schemeClr w14:val="tx1"/>
            </w14:solidFill>
          </w14:textFill>
        </w:rPr>
        <w:t>6.1.6.1施工期土壤污染防治措施</w:t>
      </w:r>
    </w:p>
    <w:p w14:paraId="00B6EA6D">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（1）加强施工中的环境管理，控制和消除土壤污染源。严禁随意倾倒污水、随意堆放固体废物，防止因“三废”处理不合理或处置措施不当对土壤造成污染；</w:t>
      </w:r>
    </w:p>
    <w:p w14:paraId="044C048F">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（2）充分利用现有道路，沿已有车辙行驶，杜绝车辆乱碾乱轧情况发生，不得随意开设便道；</w:t>
      </w:r>
    </w:p>
    <w:p w14:paraId="735794D3">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（3）在对土壤进行开挖施工时要采取措施降低土壤风蚀，减少水土流失：对土壤要分层开挖、分别堆放，按原土层回填（先填心土，后覆盖表土）平埋方式（不起土坝）进行，以便其尽快恢复植被生长；</w:t>
      </w:r>
    </w:p>
    <w:p w14:paraId="01F554CE">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（4）加强管理，杜绝定向钻泥浆跑冒滴漏，施工场地采取分区防渗措施，杜绝污染物泄漏对土壤造成影响；</w:t>
      </w:r>
    </w:p>
    <w:p w14:paraId="3BC31783">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（5）加强管理，提高职工的环境保护意识，规范施工人员行为，严禁随意践踏、碾压施工区范围之外的植被。</w:t>
      </w:r>
    </w:p>
    <w:p w14:paraId="4669CAAB">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szCs w:val="2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14:textFill>
            <w14:solidFill>
              <w14:schemeClr w14:val="tx1"/>
            </w14:solidFill>
          </w14:textFill>
        </w:rPr>
        <w:t>6.1.6.2运营期土壤污染防治措施</w:t>
      </w:r>
    </w:p>
    <w:p w14:paraId="6390D6F0">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针对工程可能发生的土壤污染，按照“源头控制、末端防治、污染监控、应急响应”相结合的原则，从污染物的产生、入渗、扩散、应急响应全阶段进行控制</w:t>
      </w:r>
      <w:r>
        <w:rPr>
          <w:rFonts w:ascii="Times New Roman" w:hAnsi="Times New Roman" w:cs="Times New Roman"/>
          <w:caps w:val="0"/>
          <w:smallCaps w:val="0"/>
          <w:color w:val="000000" w:themeColor="text1"/>
          <w:spacing w:val="0"/>
          <w:w w:val="100"/>
          <w:position w:val="0"/>
          <w:lang w:bidi="zh-CN"/>
          <w14:textFill>
            <w14:solidFill>
              <w14:schemeClr w14:val="tx1"/>
            </w14:solidFill>
          </w14:textFill>
        </w:rPr>
        <w:t>。</w:t>
      </w:r>
    </w:p>
    <w:p w14:paraId="4692A6B4">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t>（1）源头控制措施</w:t>
      </w:r>
    </w:p>
    <w:p w14:paraId="0312285A">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pPr>
      <w:r>
        <w:rPr>
          <w:rFonts w:hint="eastAsia" w:ascii="宋体" w:hAnsi="宋体" w:cs="宋体"/>
          <w:caps w:val="0"/>
          <w:smallCaps w:val="0"/>
          <w:color w:val="000000" w:themeColor="text1"/>
          <w:spacing w:val="0"/>
          <w:w w:val="100"/>
          <w:kern w:val="0"/>
          <w:position w:val="0"/>
          <w:szCs w:val="24"/>
          <w:lang w:bidi="zh-CN"/>
          <w14:textFill>
            <w14:solidFill>
              <w14:schemeClr w14:val="tx1"/>
            </w14:solidFill>
          </w14:textFill>
        </w:rPr>
        <w:t>①</w:t>
      </w:r>
      <w:r>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t>在管线的路由选择中，应尽量沿道路进行铺设，同时还采用管线保温措施；管道应按要求设置截断阀与报警系统和监控系统。</w:t>
      </w:r>
    </w:p>
    <w:p w14:paraId="6AA2B9D1">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pPr>
      <w:r>
        <w:rPr>
          <w:rFonts w:hint="eastAsia" w:ascii="宋体" w:hAnsi="宋体" w:cs="宋体"/>
          <w:caps w:val="0"/>
          <w:smallCaps w:val="0"/>
          <w:color w:val="000000" w:themeColor="text1"/>
          <w:spacing w:val="0"/>
          <w:w w:val="100"/>
          <w:kern w:val="0"/>
          <w:position w:val="0"/>
          <w:szCs w:val="24"/>
          <w:lang w:bidi="zh-CN"/>
          <w14:textFill>
            <w14:solidFill>
              <w14:schemeClr w14:val="tx1"/>
            </w14:solidFill>
          </w14:textFill>
        </w:rPr>
        <w:t>②</w:t>
      </w:r>
      <w:r>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t>新建</w:t>
      </w:r>
      <w:r>
        <w:rPr>
          <w:rFonts w:hint="eastAsia" w:eastAsiaTheme="minorEastAsia"/>
          <w:bCs/>
          <w:color w:val="000000" w:themeColor="text1"/>
          <w:sz w:val="24"/>
          <w:highlight w:val="none"/>
          <w:lang w:val="en-US" w:eastAsia="zh-CN"/>
          <w14:textFill>
            <w14:solidFill>
              <w14:schemeClr w14:val="tx1"/>
            </w14:solidFill>
          </w14:textFill>
        </w:rPr>
        <w:t>集输</w:t>
      </w:r>
      <w:r>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t>管道采用重点防渗处理，</w:t>
      </w:r>
      <w:r>
        <w:rPr>
          <w:rFonts w:ascii="Times New Roman" w:hAnsi="Times New Roman"/>
          <w:bCs/>
          <w:caps w:val="0"/>
          <w:smallCaps w:val="0"/>
          <w:color w:val="000000" w:themeColor="text1"/>
          <w:spacing w:val="0"/>
          <w:w w:val="100"/>
          <w:kern w:val="0"/>
          <w:position w:val="0"/>
          <w:szCs w:val="24"/>
          <w:lang w:bidi="zh-CN"/>
          <w14:textFill>
            <w14:solidFill>
              <w14:schemeClr w14:val="tx1"/>
            </w14:solidFill>
          </w14:textFill>
        </w:rPr>
        <w:t>管道采用无缝钢管，管道的连接方式采用焊接，管道内防腐采用熔结环氧粉末内涂层，外防腐采用加强级常温型挤压聚乙烯防腐层二层结构（2PE）；2PE防腐层之间补口采用配套无溶剂环氧底漆+高密度型辐射交联聚乙烯热收缩带；2PE防腐层与底漆+沥青防腐胶带之间补口采用无溶剂环氧底漆+沥青防腐胶带，特加强级，胶带缠2遍。</w:t>
      </w:r>
    </w:p>
    <w:p w14:paraId="7070D404">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t>（2）过程控制措施</w:t>
      </w:r>
    </w:p>
    <w:p w14:paraId="3382915E">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lang w:bidi="zh-CN"/>
          <w14:textFill>
            <w14:solidFill>
              <w14:schemeClr w14:val="tx1"/>
            </w14:solidFill>
          </w14:textFill>
        </w:rPr>
        <w:t>对</w:t>
      </w:r>
      <w:r>
        <w:rPr>
          <w:rFonts w:hint="eastAsia" w:eastAsiaTheme="minorEastAsia"/>
          <w:bCs/>
          <w:color w:val="000000" w:themeColor="text1"/>
          <w:sz w:val="24"/>
          <w:highlight w:val="none"/>
          <w:lang w:val="en-US" w:eastAsia="zh-CN"/>
          <w14:textFill>
            <w14:solidFill>
              <w14:schemeClr w14:val="tx1"/>
            </w14:solidFill>
          </w14:textFill>
        </w:rPr>
        <w:t>集输</w:t>
      </w:r>
      <w:r>
        <w:rPr>
          <w:rFonts w:ascii="Times New Roman" w:hAnsi="Times New Roman" w:cs="Times New Roman"/>
          <w:caps w:val="0"/>
          <w:smallCaps w:val="0"/>
          <w:color w:val="000000" w:themeColor="text1"/>
          <w:spacing w:val="0"/>
          <w:w w:val="100"/>
          <w:position w:val="0"/>
          <w:lang w:bidi="zh-CN"/>
          <w14:textFill>
            <w14:solidFill>
              <w14:schemeClr w14:val="tx1"/>
            </w14:solidFill>
          </w14:textFill>
        </w:rPr>
        <w:t>管道定期进行检测，防止腐蚀穿孔引起含油污水泄漏污染环境；同时企业在管理方面严加管理，并采取相应的防渗措施可有效防止管线发生含油污水泄漏事故造成对区域土壤环境的污染。</w:t>
      </w:r>
    </w:p>
    <w:p w14:paraId="330F9CFD">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（3）末端控制措施</w:t>
      </w:r>
    </w:p>
    <w:p w14:paraId="79066794">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主要包括管线污染区地面的防渗措施和泄漏、渗漏污染物收集措施，即在污染区地面进行防渗处理，防止洒落地面的污染物渗入地下，并把滞留在地面的污染物收集起来集中处理；末端控制采取分区防渗原则。</w:t>
      </w:r>
    </w:p>
    <w:p w14:paraId="05C09886">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t>（4）应急响应措施</w:t>
      </w:r>
    </w:p>
    <w:p w14:paraId="48A7F49E">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lang w:bidi="zh-CN"/>
          <w14:textFill>
            <w14:solidFill>
              <w14:schemeClr w14:val="tx1"/>
            </w14:solidFill>
          </w14:textFill>
        </w:rPr>
        <w:t>包括一旦发现土壤污染事故，立即采取应急措施控制土壤、地下水污染，并使污染得到治理。</w:t>
      </w:r>
    </w:p>
    <w:p w14:paraId="6E60241E">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（5）污染监控体系</w:t>
      </w:r>
    </w:p>
    <w:p w14:paraId="7956811D">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为了及时了解项目管线区域及周边土壤环境质量状况和土壤中污染物的动态变化，根据《环境影响评价技术导则 土壤环境（试行）》（HJ964-2018）、《排污单位自行监测技术指南 陆上石油天然气开采工业》（HJ1248-2022）、《工业企业土壤和地下水自行监测技术指南（试行）》（HJ 1209-2021）相关要求，本项目拟制定土壤环境跟踪监测措施，包括制定跟踪监测计划，科学、合理地设置土壤监测点位，建立完善的跟踪监测制度，配备必要的取样设备，以便及时发现并有效控制。</w:t>
      </w:r>
    </w:p>
    <w:p w14:paraId="06A43D3C">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根据土壤环境影响分析结果，定期对重点影响区及土壤环境敏感点附近土壤环境进行监测，监测委托具有资质的单位进行，监测报告应存档，同时对监测结果进行信息公开。根据项目分布情况、现状监测布点情况和土壤类型分布情况，布置土壤监测点位2个。跟踪监测计划见表6.1-4。</w:t>
      </w:r>
    </w:p>
    <w:p w14:paraId="65CDD879">
      <w:pPr>
        <w:widowControl w:val="0"/>
        <w:tabs>
          <w:tab w:val="left" w:pos="1300"/>
        </w:tabs>
        <w:spacing w:line="440" w:lineRule="exact"/>
        <w:ind w:firstLine="482" w:firstLineChars="200"/>
        <w:jc w:val="both"/>
        <w:rPr>
          <w:rFonts w:ascii="Times New Roman" w:hAnsi="Times New Roman" w:cs="Times New Roman"/>
          <w:caps w:val="0"/>
          <w:smallCaps w:val="0"/>
          <w:color w:val="000000" w:themeColor="text1"/>
          <w:spacing w:val="0"/>
          <w:w w:val="100"/>
          <w:position w:val="0"/>
          <w:highlight w:val="yellow"/>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yellow"/>
          <w14:textFill>
            <w14:solidFill>
              <w14:schemeClr w14:val="tx1"/>
            </w14:solidFill>
          </w14:textFill>
        </w:rPr>
        <w:t xml:space="preserve">表6.1-4    </w:t>
      </w:r>
      <w:r>
        <w:rPr>
          <w:rFonts w:ascii="Times New Roman" w:hAnsi="Times New Roman" w:cs="Times New Roman"/>
          <w:b/>
          <w:caps w:val="0"/>
          <w:smallCaps w:val="0"/>
          <w:color w:val="000000" w:themeColor="text1"/>
          <w:spacing w:val="0"/>
          <w:w w:val="100"/>
          <w:kern w:val="2"/>
          <w:position w:val="0"/>
          <w:highlight w:val="yellow"/>
          <w14:textFill>
            <w14:solidFill>
              <w14:schemeClr w14:val="tx1"/>
            </w14:solidFill>
          </w14:textFill>
        </w:rPr>
        <w:t>土壤环境</w:t>
      </w:r>
      <w:r>
        <w:rPr>
          <w:rFonts w:ascii="Times New Roman" w:hAnsi="Times New Roman" w:cs="Times New Roman" w:eastAsiaTheme="minorEastAsia"/>
          <w:b/>
          <w:caps w:val="0"/>
          <w:smallCaps w:val="0"/>
          <w:color w:val="000000" w:themeColor="text1"/>
          <w:spacing w:val="0"/>
          <w:w w:val="100"/>
          <w:kern w:val="21"/>
          <w:position w:val="0"/>
          <w:highlight w:val="yellow"/>
          <w14:textFill>
            <w14:solidFill>
              <w14:schemeClr w14:val="tx1"/>
            </w14:solidFill>
          </w14:textFill>
        </w:rPr>
        <w:t>跟踪监测计划表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8"/>
        <w:gridCol w:w="2109"/>
        <w:gridCol w:w="1450"/>
        <w:gridCol w:w="2180"/>
        <w:gridCol w:w="1162"/>
        <w:gridCol w:w="1736"/>
      </w:tblGrid>
      <w:tr w14:paraId="09BC3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8" w:type="pct"/>
            <w:vAlign w:val="center"/>
          </w:tcPr>
          <w:p w14:paraId="24F68435">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点位</w:t>
            </w:r>
          </w:p>
        </w:tc>
        <w:tc>
          <w:tcPr>
            <w:tcW w:w="1136" w:type="pct"/>
            <w:vAlign w:val="center"/>
          </w:tcPr>
          <w:p w14:paraId="203AAE76">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位置</w:t>
            </w:r>
          </w:p>
        </w:tc>
        <w:tc>
          <w:tcPr>
            <w:tcW w:w="781" w:type="pct"/>
            <w:vAlign w:val="center"/>
          </w:tcPr>
          <w:p w14:paraId="0643AA1B">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坐标</w:t>
            </w:r>
          </w:p>
        </w:tc>
        <w:tc>
          <w:tcPr>
            <w:tcW w:w="1174" w:type="pct"/>
            <w:vAlign w:val="center"/>
          </w:tcPr>
          <w:p w14:paraId="6CE17AFD">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监测因子</w:t>
            </w:r>
          </w:p>
        </w:tc>
        <w:tc>
          <w:tcPr>
            <w:tcW w:w="626" w:type="pct"/>
            <w:vAlign w:val="center"/>
          </w:tcPr>
          <w:p w14:paraId="21382A0F">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监测频次</w:t>
            </w:r>
          </w:p>
        </w:tc>
        <w:tc>
          <w:tcPr>
            <w:tcW w:w="935" w:type="pct"/>
            <w:vAlign w:val="center"/>
          </w:tcPr>
          <w:p w14:paraId="02B23587">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执行标准</w:t>
            </w:r>
          </w:p>
        </w:tc>
      </w:tr>
      <w:tr w14:paraId="286E3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5" w:hRule="atLeast"/>
          <w:jc w:val="center"/>
        </w:trPr>
        <w:tc>
          <w:tcPr>
            <w:tcW w:w="348" w:type="pct"/>
            <w:vAlign w:val="center"/>
          </w:tcPr>
          <w:p w14:paraId="14D96316">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1</w:t>
            </w:r>
          </w:p>
        </w:tc>
        <w:tc>
          <w:tcPr>
            <w:tcW w:w="1136" w:type="pct"/>
            <w:vAlign w:val="center"/>
          </w:tcPr>
          <w:p w14:paraId="72BB04D8">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卫一联站内污水泵房至供水阀组间污水干线</w:t>
            </w:r>
            <w:r>
              <w:rPr>
                <w:rFonts w:ascii="Times New Roman" w:hAnsi="Times New Roman" w:cs="Times New Roman" w:eastAsiaTheme="minorEastAsia"/>
                <w:bCs/>
                <w:caps w:val="0"/>
                <w:smallCaps w:val="0"/>
                <w:color w:val="000000" w:themeColor="text1"/>
                <w:spacing w:val="0"/>
                <w:w w:val="100"/>
                <w:position w:val="0"/>
                <w:sz w:val="21"/>
                <w:szCs w:val="21"/>
                <w:highlight w:val="yellow"/>
                <w14:textFill>
                  <w14:solidFill>
                    <w14:schemeClr w14:val="tx1"/>
                  </w14:solidFill>
                </w14:textFill>
              </w:rPr>
              <w:t>管道临时占地范围内</w:t>
            </w:r>
          </w:p>
        </w:tc>
        <w:tc>
          <w:tcPr>
            <w:tcW w:w="781" w:type="pct"/>
            <w:vAlign w:val="center"/>
          </w:tcPr>
          <w:p w14:paraId="24591C47">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124.56287</w:t>
            </w:r>
          </w:p>
          <w:p w14:paraId="0BB5B677">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46.10008</w:t>
            </w:r>
          </w:p>
        </w:tc>
        <w:tc>
          <w:tcPr>
            <w:tcW w:w="1174" w:type="pct"/>
            <w:vMerge w:val="restart"/>
            <w:vAlign w:val="center"/>
          </w:tcPr>
          <w:p w14:paraId="5525A2F5">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pH、石油类、石油烃（C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）、汞、砷、六价铬</w:t>
            </w:r>
          </w:p>
        </w:tc>
        <w:tc>
          <w:tcPr>
            <w:tcW w:w="626" w:type="pct"/>
            <w:vMerge w:val="restart"/>
            <w:vAlign w:val="center"/>
          </w:tcPr>
          <w:p w14:paraId="1FE985E5">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1次/年</w:t>
            </w:r>
          </w:p>
        </w:tc>
        <w:tc>
          <w:tcPr>
            <w:tcW w:w="935" w:type="pct"/>
            <w:vMerge w:val="restart"/>
            <w:vAlign w:val="center"/>
          </w:tcPr>
          <w:p w14:paraId="5CC26374">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16"/>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16"/>
                <w:highlight w:val="yellow"/>
                <w14:textFill>
                  <w14:solidFill>
                    <w14:schemeClr w14:val="tx1"/>
                  </w14:solidFill>
                </w14:textFill>
              </w:rPr>
              <w:t>《土壤环境质量 农用地土壤污染风险管控标准（试行）》（GB15618-2018）表1基本项目筛选值标准</w:t>
            </w:r>
          </w:p>
        </w:tc>
      </w:tr>
      <w:tr w14:paraId="400F6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8" w:type="pct"/>
            <w:vAlign w:val="center"/>
          </w:tcPr>
          <w:p w14:paraId="27DA2B05">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2</w:t>
            </w:r>
          </w:p>
        </w:tc>
        <w:tc>
          <w:tcPr>
            <w:tcW w:w="1136" w:type="pct"/>
            <w:vAlign w:val="center"/>
          </w:tcPr>
          <w:p w14:paraId="77B1253F">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sz w:val="21"/>
                <w:szCs w:val="21"/>
                <w:highlight w:val="yellow"/>
                <w14:textFill>
                  <w14:solidFill>
                    <w14:schemeClr w14:val="tx1"/>
                  </w14:solidFill>
                </w14:textFill>
              </w:rPr>
              <w:t>卫一转阀组间至1-2#注配间供水管道</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西侧</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临时占</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耕</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地内</w:t>
            </w:r>
          </w:p>
        </w:tc>
        <w:tc>
          <w:tcPr>
            <w:tcW w:w="781" w:type="pct"/>
            <w:vAlign w:val="center"/>
          </w:tcPr>
          <w:p w14:paraId="1C997F60">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125.00428</w:t>
            </w:r>
          </w:p>
          <w:p w14:paraId="61EED832">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46.09326</w:t>
            </w:r>
          </w:p>
        </w:tc>
        <w:tc>
          <w:tcPr>
            <w:tcW w:w="1174" w:type="pct"/>
            <w:vMerge w:val="continue"/>
            <w:vAlign w:val="center"/>
          </w:tcPr>
          <w:p w14:paraId="22E8EF2D">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p>
        </w:tc>
        <w:tc>
          <w:tcPr>
            <w:tcW w:w="626" w:type="pct"/>
            <w:vMerge w:val="continue"/>
            <w:vAlign w:val="center"/>
          </w:tcPr>
          <w:p w14:paraId="5D2C523C">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p>
        </w:tc>
        <w:tc>
          <w:tcPr>
            <w:tcW w:w="935" w:type="pct"/>
            <w:vMerge w:val="continue"/>
            <w:vAlign w:val="center"/>
          </w:tcPr>
          <w:p w14:paraId="085BAD2E">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p>
        </w:tc>
      </w:tr>
    </w:tbl>
    <w:p w14:paraId="2A148005">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上述监测结果应按照相关规定及时建立数据档案，并定期向社会公开监测信息。如发现异常或发生事故，需加密监测频次，确定影响源位置，分析影响结果，并及时采取应急措施。</w:t>
      </w:r>
    </w:p>
    <w:p w14:paraId="6F7FFB02">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szCs w:val="2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14:textFill>
            <w14:solidFill>
              <w14:schemeClr w14:val="tx1"/>
            </w14:solidFill>
          </w14:textFill>
        </w:rPr>
        <w:t>6.1.6.3退役期土壤环境保护措施</w:t>
      </w:r>
    </w:p>
    <w:p w14:paraId="1BCD689A">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14:textFill>
            <w14:solidFill>
              <w14:schemeClr w14:val="tx1"/>
            </w14:solidFill>
          </w14:textFill>
        </w:rPr>
      </w:pPr>
      <w:r>
        <w:rPr>
          <w:rFonts w:ascii="Times New Roman" w:hAnsi="Times New Roman" w:cs="Times New Roman"/>
          <w:caps w:val="0"/>
          <w:smallCaps w:val="0"/>
          <w:color w:val="000000" w:themeColor="text1"/>
          <w:spacing w:val="0"/>
          <w:w w:val="100"/>
          <w:position w:val="0"/>
          <w14:textFill>
            <w14:solidFill>
              <w14:schemeClr w14:val="tx1"/>
            </w14:solidFill>
          </w14:textFill>
        </w:rPr>
        <w:t>退役期应按照《污染地块土壤环境管理办法（试行)》的有关规定，开展土壤环境调查及风险评估，并按照相关管理规定对污染地块采取治理与修复措施。通过采取以上污染控制措施，可保证退役后项目用地土壤满足相关标准要求，处置措施可行。</w:t>
      </w:r>
    </w:p>
    <w:p w14:paraId="32328C93">
      <w:pPr>
        <w:pStyle w:val="6"/>
        <w:keepNext w:val="0"/>
        <w:keepLines w:val="0"/>
        <w:widowControl w:val="0"/>
        <w:spacing w:before="60" w:after="60"/>
        <w:jc w:val="both"/>
        <w:rPr>
          <w:rFonts w:eastAsia="宋体"/>
          <w:b/>
          <w:caps w:val="0"/>
          <w:smallCaps w:val="0"/>
          <w:color w:val="000000" w:themeColor="text1"/>
          <w:spacing w:val="0"/>
          <w:w w:val="100"/>
          <w:kern w:val="2"/>
          <w:position w:val="0"/>
          <w:sz w:val="24"/>
          <w:szCs w:val="24"/>
          <w14:textFill>
            <w14:solidFill>
              <w14:schemeClr w14:val="tx1"/>
            </w14:solidFill>
          </w14:textFill>
        </w:rPr>
      </w:pPr>
      <w:r>
        <w:rPr>
          <w:rFonts w:eastAsia="宋体"/>
          <w:b/>
          <w:caps w:val="0"/>
          <w:smallCaps w:val="0"/>
          <w:color w:val="000000" w:themeColor="text1"/>
          <w:spacing w:val="0"/>
          <w:w w:val="100"/>
          <w:kern w:val="2"/>
          <w:position w:val="0"/>
          <w:sz w:val="24"/>
          <w:szCs w:val="24"/>
          <w14:textFill>
            <w14:solidFill>
              <w14:schemeClr w14:val="tx1"/>
            </w14:solidFill>
          </w14:textFill>
        </w:rPr>
        <w:t>6.1.7环境风险防范措施</w:t>
      </w:r>
      <w:bookmarkEnd w:id="1002"/>
    </w:p>
    <w:p w14:paraId="5847B8D2">
      <w:pPr>
        <w:pStyle w:val="149"/>
        <w:widowControl w:val="0"/>
        <w:ind w:firstLine="0" w:firstLineChars="0"/>
        <w:jc w:val="both"/>
        <w:outlineLvl w:val="3"/>
        <w:rPr>
          <w:rFonts w:ascii="Times New Roman" w:hAnsi="Times New Roman"/>
          <w:b/>
          <w:caps w:val="0"/>
          <w:smallCaps w:val="0"/>
          <w:color w:val="000000" w:themeColor="text1"/>
          <w:spacing w:val="0"/>
          <w:w w:val="100"/>
          <w:position w:val="0"/>
          <w14:textFill>
            <w14:solidFill>
              <w14:schemeClr w14:val="tx1"/>
            </w14:solidFill>
          </w14:textFill>
        </w:rPr>
      </w:pPr>
      <w:r>
        <w:rPr>
          <w:rFonts w:ascii="Times New Roman" w:hAnsi="Times New Roman"/>
          <w:b/>
          <w:caps w:val="0"/>
          <w:smallCaps w:val="0"/>
          <w:color w:val="000000" w:themeColor="text1"/>
          <w:spacing w:val="0"/>
          <w:w w:val="100"/>
          <w:position w:val="0"/>
          <w14:textFill>
            <w14:solidFill>
              <w14:schemeClr w14:val="tx1"/>
            </w14:solidFill>
          </w14:textFill>
        </w:rPr>
        <w:t>6.1.7.1施工期</w:t>
      </w:r>
    </w:p>
    <w:p w14:paraId="528A2CD3">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（1）管道接头采用一次成型涂料新技术，使用寿命可达30年以上，并采用技术上成熟可靠的强制电流阴极保护法。</w:t>
      </w:r>
    </w:p>
    <w:p w14:paraId="19E6810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（2）</w:t>
      </w:r>
      <w:r>
        <w:rPr>
          <w:rFonts w:hint="eastAsia" w:eastAsiaTheme="minorEastAsia"/>
          <w:bCs/>
          <w:color w:val="000000" w:themeColor="text1"/>
          <w:sz w:val="24"/>
          <w:highlight w:val="none"/>
          <w:lang w:val="en-US" w:eastAsia="zh-CN"/>
          <w14:textFill>
            <w14:solidFill>
              <w14:schemeClr w14:val="tx1"/>
            </w14:solidFill>
          </w14:textFill>
        </w:rPr>
        <w:t>集输</w:t>
      </w:r>
      <w:r>
        <w:rPr>
          <w:rFonts w:eastAsiaTheme="minorEastAsia"/>
          <w:bCs/>
          <w:caps w:val="0"/>
          <w:smallCaps w:val="0"/>
          <w:color w:val="000000" w:themeColor="text1"/>
          <w:spacing w:val="0"/>
          <w:w w:val="100"/>
          <w:position w:val="0"/>
          <w:sz w:val="24"/>
          <w14:textFill>
            <w14:solidFill>
              <w14:schemeClr w14:val="tx1"/>
            </w14:solidFill>
          </w14:textFill>
        </w:rPr>
        <w:t>管道采用</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内缠聚乙烯胶带普通级防腐聚氨酯保温聚乙烯保护成品管</w:t>
      </w:r>
      <w:r>
        <w:rPr>
          <w:rFonts w:eastAsiaTheme="minorEastAsia"/>
          <w:bCs/>
          <w:caps w:val="0"/>
          <w:smallCaps w:val="0"/>
          <w:color w:val="000000" w:themeColor="text1"/>
          <w:spacing w:val="0"/>
          <w:w w:val="100"/>
          <w:position w:val="0"/>
          <w:sz w:val="24"/>
          <w14:textFill>
            <w14:solidFill>
              <w14:schemeClr w14:val="tx1"/>
            </w14:solidFill>
          </w14:textFill>
        </w:rPr>
        <w:t>。</w:t>
      </w:r>
    </w:p>
    <w:p w14:paraId="3AEFE1D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（3）定期检测</w:t>
      </w:r>
      <w:r>
        <w:rPr>
          <w:rFonts w:hint="eastAsia" w:eastAsiaTheme="minorEastAsia"/>
          <w:bCs/>
          <w:color w:val="000000" w:themeColor="text1"/>
          <w:sz w:val="24"/>
          <w:highlight w:val="none"/>
          <w:lang w:val="en-US" w:eastAsia="zh-CN"/>
          <w14:textFill>
            <w14:solidFill>
              <w14:schemeClr w14:val="tx1"/>
            </w14:solidFill>
          </w14:textFill>
        </w:rPr>
        <w:t>集输</w:t>
      </w:r>
      <w:r>
        <w:rPr>
          <w:rFonts w:eastAsiaTheme="minorEastAsia"/>
          <w:bCs/>
          <w:caps w:val="0"/>
          <w:smallCaps w:val="0"/>
          <w:color w:val="000000" w:themeColor="text1"/>
          <w:spacing w:val="0"/>
          <w:w w:val="100"/>
          <w:position w:val="0"/>
          <w:sz w:val="24"/>
          <w14:textFill>
            <w14:solidFill>
              <w14:schemeClr w14:val="tx1"/>
            </w14:solidFill>
          </w14:textFill>
        </w:rPr>
        <w:t>管道防腐及腐蚀情况，及时维修或更新。</w:t>
      </w:r>
    </w:p>
    <w:p w14:paraId="1FB81D8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（4）在施工过程中，加强监理，确保焊接和涂层等施工质量。</w:t>
      </w:r>
    </w:p>
    <w:p w14:paraId="755243E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（5）建立施工质量保证体系，提高施工检验人员的水平，强化检验手段；制定严格的规章制度，发现缺陷，及时正确修补并做好记录。</w:t>
      </w:r>
    </w:p>
    <w:p w14:paraId="70049A2F">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（6）进行</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压力</w:t>
      </w:r>
      <w:r>
        <w:rPr>
          <w:rFonts w:eastAsiaTheme="minorEastAsia"/>
          <w:bCs/>
          <w:caps w:val="0"/>
          <w:smallCaps w:val="0"/>
          <w:color w:val="000000" w:themeColor="text1"/>
          <w:spacing w:val="0"/>
          <w:w w:val="100"/>
          <w:position w:val="0"/>
          <w:sz w:val="24"/>
          <w14:textFill>
            <w14:solidFill>
              <w14:schemeClr w14:val="tx1"/>
            </w14:solidFill>
          </w14:textFill>
        </w:rPr>
        <w:t>试验，排除焊缝和母材的缺陷，增加管道的安全性。</w:t>
      </w:r>
    </w:p>
    <w:p w14:paraId="7B9BFB2D">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6.1.7.2运营期</w:t>
      </w:r>
    </w:p>
    <w:p w14:paraId="29FFE22A">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（1）工程投产运行前，应制定正常、异常或紧急状态下的操作手册和维修手册，并对操作、维修人员进行培训，持证上岗，避免因操作失误导致事故发生；</w:t>
      </w:r>
    </w:p>
    <w:p w14:paraId="58941FA0">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（2）制定应急操作规程，在规程中应说明发生管道泄漏时应采取的操作步骤，规定抢修进度，减少事故的影响。另外还应说明与管道操作人员有关的安全问题；</w:t>
      </w:r>
    </w:p>
    <w:p w14:paraId="458E2A1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（3）项目依托</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阀组间</w:t>
      </w:r>
      <w:r>
        <w:rPr>
          <w:rFonts w:eastAsiaTheme="minorEastAsia"/>
          <w:bCs/>
          <w:caps w:val="0"/>
          <w:smallCaps w:val="0"/>
          <w:color w:val="000000" w:themeColor="text1"/>
          <w:spacing w:val="0"/>
          <w:w w:val="100"/>
          <w:position w:val="0"/>
          <w:sz w:val="24"/>
          <w14:textFill>
            <w14:solidFill>
              <w14:schemeClr w14:val="tx1"/>
            </w14:solidFill>
          </w14:textFill>
        </w:rPr>
        <w:t>压力监控系统进行实时压力监控，可及时发现管线泄漏情况，如发现压力表数值异常，应紧急关闭阀门，进行事故排查，确定泄漏点，并尽早处理；</w:t>
      </w:r>
    </w:p>
    <w:p w14:paraId="79F0D26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（4）对管线进行定期巡查，定期检测管线的腐蚀及防腐层破损情况，及时发现管线、阀门、设备渗漏、穿孔问题，及时更换或维修。</w:t>
      </w:r>
    </w:p>
    <w:p w14:paraId="7E7D8A20">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（5）严格岗位责任制，定期对操作人员进行安全和环境保护意识教育。加强对工程管线附近居民的宣传教育，减少、避免第三方破坏事故。</w:t>
      </w:r>
    </w:p>
    <w:p w14:paraId="3128F67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w:t>
      </w:r>
      <w:r>
        <w:rPr>
          <w:rFonts w:hint="eastAsia" w:eastAsiaTheme="minorEastAsia"/>
          <w:bCs/>
          <w:caps w:val="0"/>
          <w:smallCaps w:val="0"/>
          <w:color w:val="000000" w:themeColor="text1"/>
          <w:spacing w:val="0"/>
          <w:w w:val="100"/>
          <w:position w:val="0"/>
          <w:sz w:val="24"/>
          <w14:textFill>
            <w14:solidFill>
              <w14:schemeClr w14:val="tx1"/>
            </w14:solidFill>
          </w14:textFill>
        </w:rPr>
        <w:t>6</w:t>
      </w:r>
      <w:r>
        <w:rPr>
          <w:rFonts w:eastAsiaTheme="minorEastAsia"/>
          <w:bCs/>
          <w:caps w:val="0"/>
          <w:smallCaps w:val="0"/>
          <w:color w:val="000000" w:themeColor="text1"/>
          <w:spacing w:val="0"/>
          <w:w w:val="100"/>
          <w:position w:val="0"/>
          <w:sz w:val="24"/>
          <w14:textFill>
            <w14:solidFill>
              <w14:schemeClr w14:val="tx1"/>
            </w14:solidFill>
          </w14:textFill>
        </w:rPr>
        <w:t>）发生含油污水泄漏时，应及时修筑围堤，控制油水的扩散范围，保护周围生态环境，同时明确泄漏可能导致的后果，泄漏危急周围环境的可能性，隔离泄漏区，周围设警告标志，根据泄漏情况有组织性的疏散周围相关人员。</w:t>
      </w:r>
    </w:p>
    <w:p w14:paraId="0B8340F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w:t>
      </w:r>
      <w:r>
        <w:rPr>
          <w:rFonts w:hint="eastAsia" w:eastAsiaTheme="minorEastAsia"/>
          <w:bCs/>
          <w:caps w:val="0"/>
          <w:smallCaps w:val="0"/>
          <w:color w:val="000000" w:themeColor="text1"/>
          <w:spacing w:val="0"/>
          <w:w w:val="100"/>
          <w:position w:val="0"/>
          <w:sz w:val="24"/>
          <w14:textFill>
            <w14:solidFill>
              <w14:schemeClr w14:val="tx1"/>
            </w14:solidFill>
          </w14:textFill>
        </w:rPr>
        <w:t>7</w:t>
      </w:r>
      <w:r>
        <w:rPr>
          <w:rFonts w:eastAsiaTheme="minorEastAsia"/>
          <w:bCs/>
          <w:caps w:val="0"/>
          <w:smallCaps w:val="0"/>
          <w:color w:val="000000" w:themeColor="text1"/>
          <w:spacing w:val="0"/>
          <w:w w:val="100"/>
          <w:position w:val="0"/>
          <w:sz w:val="24"/>
          <w14:textFill>
            <w14:solidFill>
              <w14:schemeClr w14:val="tx1"/>
            </w14:solidFill>
          </w14:textFill>
        </w:rPr>
        <w:t>）配备防渗布、铁锹、镐等应急工具和设备，巡检发现含油污水泄漏时，找出泄漏点，在周围铺上防渗布，四周用土围好，防止污油、污水扩散。组织人员抢修，抢修结束后，清理现场，避免造成环境污染。</w:t>
      </w:r>
    </w:p>
    <w:p w14:paraId="45601D7F">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w:t>
      </w:r>
      <w:r>
        <w:rPr>
          <w:rFonts w:hint="eastAsia" w:eastAsiaTheme="minorEastAsia"/>
          <w:bCs/>
          <w:caps w:val="0"/>
          <w:smallCaps w:val="0"/>
          <w:color w:val="000000" w:themeColor="text1"/>
          <w:spacing w:val="0"/>
          <w:w w:val="100"/>
          <w:position w:val="0"/>
          <w:sz w:val="24"/>
          <w14:textFill>
            <w14:solidFill>
              <w14:schemeClr w14:val="tx1"/>
            </w14:solidFill>
          </w14:textFill>
        </w:rPr>
        <w:t>8</w:t>
      </w:r>
      <w:r>
        <w:rPr>
          <w:rFonts w:eastAsiaTheme="minorEastAsia"/>
          <w:bCs/>
          <w:caps w:val="0"/>
          <w:smallCaps w:val="0"/>
          <w:color w:val="000000" w:themeColor="text1"/>
          <w:spacing w:val="0"/>
          <w:w w:val="100"/>
          <w:position w:val="0"/>
          <w:sz w:val="24"/>
          <w14:textFill>
            <w14:solidFill>
              <w14:schemeClr w14:val="tx1"/>
            </w14:solidFill>
          </w14:textFill>
        </w:rPr>
        <w:t>）发生含油污水泄漏时，在泄漏点周围修筑沙袋围堰封堵，控制含油污水扩散范围，防止泄漏污油水进入周围水体。</w:t>
      </w:r>
    </w:p>
    <w:p w14:paraId="13585BD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w:t>
      </w:r>
      <w:r>
        <w:rPr>
          <w:rFonts w:hint="eastAsia" w:eastAsiaTheme="minorEastAsia"/>
          <w:bCs/>
          <w:caps w:val="0"/>
          <w:smallCaps w:val="0"/>
          <w:color w:val="000000" w:themeColor="text1"/>
          <w:spacing w:val="0"/>
          <w:w w:val="100"/>
          <w:position w:val="0"/>
          <w:sz w:val="24"/>
          <w14:textFill>
            <w14:solidFill>
              <w14:schemeClr w14:val="tx1"/>
            </w14:solidFill>
          </w14:textFill>
        </w:rPr>
        <w:t>9</w:t>
      </w:r>
      <w:r>
        <w:rPr>
          <w:rFonts w:eastAsiaTheme="minorEastAsia"/>
          <w:bCs/>
          <w:caps w:val="0"/>
          <w:smallCaps w:val="0"/>
          <w:color w:val="000000" w:themeColor="text1"/>
          <w:spacing w:val="0"/>
          <w:w w:val="100"/>
          <w:position w:val="0"/>
          <w:sz w:val="24"/>
          <w14:textFill>
            <w14:solidFill>
              <w14:schemeClr w14:val="tx1"/>
            </w14:solidFill>
          </w14:textFill>
        </w:rPr>
        <w:t>）发生管线泄漏时划出警戒线，告知围观群众危险性，同时根据泄漏情况有组织性的疏散周围相关人员。</w:t>
      </w:r>
    </w:p>
    <w:p w14:paraId="3FC8249E">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（1</w:t>
      </w:r>
      <w:r>
        <w:rPr>
          <w:rFonts w:hint="eastAsia" w:eastAsiaTheme="minorEastAsia"/>
          <w:bCs/>
          <w:caps w:val="0"/>
          <w:smallCaps w:val="0"/>
          <w:color w:val="000000" w:themeColor="text1"/>
          <w:spacing w:val="0"/>
          <w:w w:val="100"/>
          <w:position w:val="0"/>
          <w:sz w:val="24"/>
          <w14:textFill>
            <w14:solidFill>
              <w14:schemeClr w14:val="tx1"/>
            </w14:solidFill>
          </w14:textFill>
        </w:rPr>
        <w:t>0</w:t>
      </w:r>
      <w:r>
        <w:rPr>
          <w:rFonts w:eastAsiaTheme="minorEastAsia"/>
          <w:bCs/>
          <w:caps w:val="0"/>
          <w:smallCaps w:val="0"/>
          <w:color w:val="000000" w:themeColor="text1"/>
          <w:spacing w:val="0"/>
          <w:w w:val="100"/>
          <w:position w:val="0"/>
          <w:sz w:val="24"/>
          <w14:textFill>
            <w14:solidFill>
              <w14:schemeClr w14:val="tx1"/>
            </w14:solidFill>
          </w14:textFill>
        </w:rPr>
        <w:t>）穿越</w:t>
      </w:r>
      <w:r>
        <w:rPr>
          <w:rFonts w:hint="eastAsia" w:eastAsiaTheme="minorEastAsia"/>
          <w:bCs/>
          <w:caps w:val="0"/>
          <w:smallCaps w:val="0"/>
          <w:color w:val="000000" w:themeColor="text1"/>
          <w:spacing w:val="0"/>
          <w:w w:val="100"/>
          <w:position w:val="0"/>
          <w:sz w:val="24"/>
          <w14:textFill>
            <w14:solidFill>
              <w14:schemeClr w14:val="tx1"/>
            </w14:solidFill>
          </w14:textFill>
        </w:rPr>
        <w:t>道路</w:t>
      </w:r>
      <w:r>
        <w:rPr>
          <w:rFonts w:eastAsiaTheme="minorEastAsia"/>
          <w:bCs/>
          <w:caps w:val="0"/>
          <w:smallCaps w:val="0"/>
          <w:color w:val="000000" w:themeColor="text1"/>
          <w:spacing w:val="0"/>
          <w:w w:val="100"/>
          <w:position w:val="0"/>
          <w:sz w:val="24"/>
          <w14:textFill>
            <w14:solidFill>
              <w14:schemeClr w14:val="tx1"/>
            </w14:solidFill>
          </w14:textFill>
        </w:rPr>
        <w:t>的管线应进一步加强运行期的巡查与维护加大巡线频率，提高巡线的有效性；每天检查管道施工带，查看地表情况，并关注在此地带的人员活动情况，发现对管道安全有影响的行为，应及时制止、采取相应措施并向上级报告。确保应急工具和设备齐备完好，准备围油栏、吸油毡、消油剂、接油桶等应急物资，以便在发生泄漏事故时对产生的污油污水进行及时回收和处理。</w:t>
      </w:r>
    </w:p>
    <w:p w14:paraId="7C318F3F">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（12）定期对管道进行探伤检测，定期进行管道壁厚的测量，对严重减薄的管段，及时维修更换，避免事故的发生。</w:t>
      </w:r>
    </w:p>
    <w:p w14:paraId="14515987">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14:textFill>
            <w14:solidFill>
              <w14:schemeClr w14:val="tx1"/>
            </w14:solidFill>
          </w14:textFill>
        </w:rPr>
        <w:t>6.1.7.3事故应急救援预案</w:t>
      </w:r>
    </w:p>
    <w:p w14:paraId="0EE30191">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建设单位目前拥有的应急预案内容较为完善，已有应急预案能够满足建设项目的要求。本工程为改建工程，目前</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大庆油田有限责任公司第十一采油厂</w:t>
      </w:r>
      <w:r>
        <w:rPr>
          <w:rFonts w:eastAsiaTheme="minorEastAsia"/>
          <w:bCs/>
          <w:caps w:val="0"/>
          <w:smallCaps w:val="0"/>
          <w:color w:val="000000" w:themeColor="text1"/>
          <w:spacing w:val="0"/>
          <w:w w:val="100"/>
          <w:position w:val="0"/>
          <w:sz w:val="24"/>
          <w:lang w:val="en-US" w:eastAsia="zh-CN"/>
          <w14:textFill>
            <w14:solidFill>
              <w14:schemeClr w14:val="tx1"/>
            </w14:solidFill>
          </w14:textFill>
        </w:rPr>
        <w:t>已建立较</w:t>
      </w:r>
      <w:r>
        <w:rPr>
          <w:rFonts w:hint="default" w:eastAsiaTheme="minorEastAsia"/>
          <w:bCs/>
          <w:caps w:val="0"/>
          <w:smallCaps w:val="0"/>
          <w:color w:val="000000" w:themeColor="text1"/>
          <w:spacing w:val="0"/>
          <w:w w:val="100"/>
          <w:position w:val="0"/>
          <w:sz w:val="24"/>
          <w:lang w:val="en-US" w:eastAsia="zh-CN"/>
          <w14:textFill>
            <w14:solidFill>
              <w14:schemeClr w14:val="tx1"/>
            </w14:solidFill>
          </w14:textFill>
        </w:rPr>
        <w:t>完善的应急预案体系，综合性预案为</w:t>
      </w:r>
      <w:r>
        <w:rPr>
          <w:rFonts w:eastAsiaTheme="minorEastAsia"/>
          <w:bCs/>
          <w:caps w:val="0"/>
          <w:smallCaps w:val="0"/>
          <w:color w:val="000000" w:themeColor="text1"/>
          <w:spacing w:val="0"/>
          <w:w w:val="100"/>
          <w:position w:val="0"/>
          <w:sz w:val="24"/>
          <w14:textFill>
            <w14:solidFill>
              <w14:schemeClr w14:val="tx1"/>
            </w14:solidFill>
          </w14:textFill>
        </w:rPr>
        <w:t>《</w:t>
      </w:r>
      <w:r>
        <w:rPr>
          <w:rFonts w:hint="eastAsia" w:eastAsiaTheme="minorEastAsia"/>
          <w:bCs/>
          <w:caps w:val="0"/>
          <w:smallCaps w:val="0"/>
          <w:color w:val="000000" w:themeColor="text1"/>
          <w:spacing w:val="0"/>
          <w:w w:val="100"/>
          <w:position w:val="0"/>
          <w:sz w:val="24"/>
          <w:lang w:eastAsia="zh-CN"/>
          <w14:textFill>
            <w14:solidFill>
              <w14:schemeClr w14:val="tx1"/>
            </w14:solidFill>
          </w14:textFill>
        </w:rPr>
        <w:t>大庆油田有限责任公司第十一采油厂突发环境事件应急预案</w:t>
      </w:r>
      <w:r>
        <w:rPr>
          <w:rFonts w:eastAsiaTheme="minorEastAsia"/>
          <w:bCs/>
          <w:caps w:val="0"/>
          <w:smallCaps w:val="0"/>
          <w:color w:val="000000" w:themeColor="text1"/>
          <w:spacing w:val="0"/>
          <w:w w:val="100"/>
          <w:position w:val="0"/>
          <w:sz w:val="24"/>
          <w14:textFill>
            <w14:solidFill>
              <w14:schemeClr w14:val="tx1"/>
            </w14:solidFill>
          </w14:textFill>
        </w:rPr>
        <w:t>》</w:t>
      </w:r>
      <w:r>
        <w:rPr>
          <w:rFonts w:hint="default" w:eastAsiaTheme="minorEastAsia"/>
          <w:bCs/>
          <w:caps w:val="0"/>
          <w:smallCaps w:val="0"/>
          <w:color w:val="000000" w:themeColor="text1"/>
          <w:spacing w:val="0"/>
          <w:w w:val="100"/>
          <w:position w:val="0"/>
          <w:sz w:val="24"/>
          <w:lang w:val="en-US" w:eastAsia="zh-CN"/>
          <w14:textFill>
            <w14:solidFill>
              <w14:schemeClr w14:val="tx1"/>
            </w14:solidFill>
          </w14:textFill>
        </w:rPr>
        <w:t>，同时该体系根据不同事故类型分别编制了《井喷突发事件专项应急预案》、《油气泄漏事件专项应急预案》、《输油系统突发事件专项预案》等专项应急预案。现有预案包含了本项目发生的</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外输油</w:t>
      </w:r>
      <w:r>
        <w:rPr>
          <w:rFonts w:hint="default" w:eastAsiaTheme="minorEastAsia"/>
          <w:bCs/>
          <w:caps w:val="0"/>
          <w:smallCaps w:val="0"/>
          <w:color w:val="000000" w:themeColor="text1"/>
          <w:spacing w:val="0"/>
          <w:w w:val="100"/>
          <w:position w:val="0"/>
          <w:sz w:val="24"/>
          <w:lang w:val="en-US" w:eastAsia="zh-CN"/>
          <w14:textFill>
            <w14:solidFill>
              <w14:schemeClr w14:val="tx1"/>
            </w14:solidFill>
          </w14:textFill>
        </w:rPr>
        <w:t>泄漏引起的火灾、爆炸等风险事故时所采取的应急处置措施，</w:t>
      </w:r>
      <w:r>
        <w:rPr>
          <w:rFonts w:eastAsiaTheme="minorEastAsia"/>
          <w:bCs/>
          <w:caps w:val="0"/>
          <w:smallCaps w:val="0"/>
          <w:color w:val="000000" w:themeColor="text1"/>
          <w:spacing w:val="0"/>
          <w:w w:val="100"/>
          <w:position w:val="0"/>
          <w:sz w:val="24"/>
          <w:lang w:val="en-US" w:eastAsia="zh-CN"/>
          <w14:textFill>
            <w14:solidFill>
              <w14:schemeClr w14:val="tx1"/>
            </w14:solidFill>
          </w14:textFill>
        </w:rPr>
        <w:t>可以满足本项目的应急处置要求，不需对本工程提出新的应急预案，发生</w:t>
      </w:r>
      <w:r>
        <w:rPr>
          <w:rFonts w:hint="default" w:eastAsiaTheme="minorEastAsia"/>
          <w:bCs/>
          <w:caps w:val="0"/>
          <w:smallCaps w:val="0"/>
          <w:color w:val="000000" w:themeColor="text1"/>
          <w:spacing w:val="0"/>
          <w:w w:val="100"/>
          <w:position w:val="0"/>
          <w:sz w:val="24"/>
          <w:lang w:val="en-US" w:eastAsia="zh-CN"/>
          <w14:textFill>
            <w14:solidFill>
              <w14:schemeClr w14:val="tx1"/>
            </w14:solidFill>
          </w14:textFill>
        </w:rPr>
        <w:t>风险事故时按已建立的事故风险应急预案执行。</w:t>
      </w:r>
      <w:r>
        <w:rPr>
          <w:rFonts w:eastAsiaTheme="minorEastAsia"/>
          <w:bCs/>
          <w:caps w:val="0"/>
          <w:smallCaps w:val="0"/>
          <w:color w:val="000000" w:themeColor="text1"/>
          <w:spacing w:val="0"/>
          <w:w w:val="100"/>
          <w:position w:val="0"/>
          <w:sz w:val="24"/>
          <w14:textFill>
            <w14:solidFill>
              <w14:schemeClr w14:val="tx1"/>
            </w14:solidFill>
          </w14:textFill>
        </w:rPr>
        <w:t>《</w:t>
      </w:r>
      <w:r>
        <w:rPr>
          <w:rFonts w:hint="eastAsia" w:eastAsiaTheme="minorEastAsia"/>
          <w:bCs/>
          <w:caps w:val="0"/>
          <w:smallCaps w:val="0"/>
          <w:color w:val="000000" w:themeColor="text1"/>
          <w:spacing w:val="0"/>
          <w:w w:val="100"/>
          <w:position w:val="0"/>
          <w:sz w:val="24"/>
          <w:lang w:eastAsia="zh-CN"/>
          <w14:textFill>
            <w14:solidFill>
              <w14:schemeClr w14:val="tx1"/>
            </w14:solidFill>
          </w14:textFill>
        </w:rPr>
        <w:t>大庆油田有限责任公司第十一采油厂突发环境事件应急预案</w:t>
      </w:r>
      <w:r>
        <w:rPr>
          <w:rFonts w:eastAsiaTheme="minorEastAsia"/>
          <w:bCs/>
          <w:caps w:val="0"/>
          <w:smallCaps w:val="0"/>
          <w:color w:val="000000" w:themeColor="text1"/>
          <w:spacing w:val="0"/>
          <w:w w:val="100"/>
          <w:position w:val="0"/>
          <w:sz w:val="24"/>
          <w14:textFill>
            <w14:solidFill>
              <w14:schemeClr w14:val="tx1"/>
            </w14:solidFill>
          </w14:textFill>
        </w:rPr>
        <w:t>》于</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2025</w:t>
      </w:r>
      <w:r>
        <w:rPr>
          <w:rFonts w:eastAsiaTheme="minorEastAsia"/>
          <w:bCs/>
          <w:caps w:val="0"/>
          <w:smallCaps w:val="0"/>
          <w:color w:val="000000" w:themeColor="text1"/>
          <w:spacing w:val="0"/>
          <w:w w:val="100"/>
          <w:position w:val="0"/>
          <w:sz w:val="24"/>
          <w14:textFill>
            <w14:solidFill>
              <w14:schemeClr w14:val="tx1"/>
            </w14:solidFill>
          </w14:textFill>
        </w:rPr>
        <w:t>年</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3</w:t>
      </w:r>
      <w:r>
        <w:rPr>
          <w:rFonts w:eastAsiaTheme="minorEastAsia"/>
          <w:bCs/>
          <w:caps w:val="0"/>
          <w:smallCaps w:val="0"/>
          <w:color w:val="000000" w:themeColor="text1"/>
          <w:spacing w:val="0"/>
          <w:w w:val="100"/>
          <w:position w:val="0"/>
          <w:sz w:val="24"/>
          <w14:textFill>
            <w14:solidFill>
              <w14:schemeClr w14:val="tx1"/>
            </w14:solidFill>
          </w14:textFill>
        </w:rPr>
        <w:t>月</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25</w:t>
      </w:r>
      <w:r>
        <w:rPr>
          <w:rFonts w:eastAsiaTheme="minorEastAsia"/>
          <w:bCs/>
          <w:caps w:val="0"/>
          <w:smallCaps w:val="0"/>
          <w:color w:val="000000" w:themeColor="text1"/>
          <w:spacing w:val="0"/>
          <w:w w:val="100"/>
          <w:position w:val="0"/>
          <w:sz w:val="24"/>
          <w14:textFill>
            <w14:solidFill>
              <w14:schemeClr w14:val="tx1"/>
            </w14:solidFill>
          </w14:textFill>
        </w:rPr>
        <w:t>日在</w:t>
      </w:r>
      <w:r>
        <w:rPr>
          <w:rFonts w:hint="eastAsia" w:eastAsiaTheme="minorEastAsia"/>
          <w:bCs/>
          <w:caps w:val="0"/>
          <w:smallCaps w:val="0"/>
          <w:color w:val="000000" w:themeColor="text1"/>
          <w:spacing w:val="0"/>
          <w:w w:val="100"/>
          <w:position w:val="0"/>
          <w:sz w:val="24"/>
          <w:lang w:val="en-US" w:eastAsia="zh-CN"/>
          <w14:textFill>
            <w14:solidFill>
              <w14:schemeClr w14:val="tx1"/>
            </w14:solidFill>
          </w14:textFill>
        </w:rPr>
        <w:t>绥化市安达市</w:t>
      </w:r>
      <w:r>
        <w:rPr>
          <w:rFonts w:eastAsiaTheme="minorEastAsia"/>
          <w:bCs/>
          <w:caps w:val="0"/>
          <w:smallCaps w:val="0"/>
          <w:color w:val="000000" w:themeColor="text1"/>
          <w:spacing w:val="0"/>
          <w:w w:val="100"/>
          <w:position w:val="0"/>
          <w:sz w:val="24"/>
          <w14:textFill>
            <w14:solidFill>
              <w14:schemeClr w14:val="tx1"/>
            </w14:solidFill>
          </w14:textFill>
        </w:rPr>
        <w:t xml:space="preserve">生态环境局进行了备案，备案编号为 </w:t>
      </w:r>
      <w:r>
        <w:rPr>
          <w:rFonts w:hint="eastAsia" w:eastAsiaTheme="minorEastAsia"/>
          <w:bCs/>
          <w:caps w:val="0"/>
          <w:smallCaps w:val="0"/>
          <w:color w:val="000000" w:themeColor="text1"/>
          <w:spacing w:val="0"/>
          <w:w w:val="100"/>
          <w:position w:val="0"/>
          <w:sz w:val="24"/>
          <w14:textFill>
            <w14:solidFill>
              <w14:schemeClr w14:val="tx1"/>
            </w14:solidFill>
          </w14:textFill>
        </w:rPr>
        <w:t>231281-2025-014-L</w:t>
      </w:r>
      <w:r>
        <w:rPr>
          <w:rFonts w:eastAsiaTheme="minorEastAsia"/>
          <w:bCs/>
          <w:caps w:val="0"/>
          <w:smallCaps w:val="0"/>
          <w:color w:val="000000" w:themeColor="text1"/>
          <w:spacing w:val="0"/>
          <w:w w:val="100"/>
          <w:position w:val="0"/>
          <w:sz w:val="24"/>
          <w14:textFill>
            <w14:solidFill>
              <w14:schemeClr w14:val="tx1"/>
            </w14:solidFill>
          </w14:textFill>
        </w:rPr>
        <w:t>。其中总体预案适用于本公司范围内发生的、造成或可能造成人员伤亡、环境污染、停产和较大社会影响等突发事件的应对工作，主要包括应急组织机构及职责明确、监测与预警、应急处置与应急响应、恢复与重建、应急保障与培训、督查与奖惩等内容，重点明确各分项预案所述事件类型及事件各级应急组织机构框架内容，起到总体掌控、督查的作用；《</w:t>
      </w:r>
      <w:r>
        <w:rPr>
          <w:rFonts w:hint="eastAsia" w:eastAsiaTheme="minorEastAsia"/>
          <w:bCs/>
          <w:caps w:val="0"/>
          <w:smallCaps w:val="0"/>
          <w:color w:val="000000" w:themeColor="text1"/>
          <w:spacing w:val="0"/>
          <w:w w:val="100"/>
          <w:position w:val="0"/>
          <w:sz w:val="24"/>
          <w:lang w:eastAsia="zh-CN"/>
          <w14:textFill>
            <w14:solidFill>
              <w14:schemeClr w14:val="tx1"/>
            </w14:solidFill>
          </w14:textFill>
        </w:rPr>
        <w:t>大庆油田有限责任公司第十一采油厂突发环境事件应急预案</w:t>
      </w:r>
      <w:r>
        <w:rPr>
          <w:rFonts w:eastAsiaTheme="minorEastAsia"/>
          <w:bCs/>
          <w:caps w:val="0"/>
          <w:smallCaps w:val="0"/>
          <w:color w:val="000000" w:themeColor="text1"/>
          <w:spacing w:val="0"/>
          <w:w w:val="100"/>
          <w:position w:val="0"/>
          <w:sz w:val="24"/>
          <w14:textFill>
            <w14:solidFill>
              <w14:schemeClr w14:val="tx1"/>
            </w14:solidFill>
          </w14:textFill>
        </w:rPr>
        <w:t>》中不仅包含了原油泄漏污染事故的分类、应急响应等内容，而且明确了环境突发事件应急储备物资清单、应急联络单等重要内容。该《</w:t>
      </w:r>
      <w:r>
        <w:rPr>
          <w:rFonts w:hint="eastAsia" w:eastAsiaTheme="minorEastAsia"/>
          <w:bCs/>
          <w:caps w:val="0"/>
          <w:smallCaps w:val="0"/>
          <w:color w:val="000000" w:themeColor="text1"/>
          <w:spacing w:val="0"/>
          <w:w w:val="100"/>
          <w:position w:val="0"/>
          <w:sz w:val="24"/>
          <w:lang w:eastAsia="zh-CN"/>
          <w14:textFill>
            <w14:solidFill>
              <w14:schemeClr w14:val="tx1"/>
            </w14:solidFill>
          </w14:textFill>
        </w:rPr>
        <w:t>大庆油田有限责任公司第十一采油厂突发环境事件应急预案</w:t>
      </w:r>
      <w:r>
        <w:rPr>
          <w:rFonts w:eastAsiaTheme="minorEastAsia"/>
          <w:bCs/>
          <w:caps w:val="0"/>
          <w:smallCaps w:val="0"/>
          <w:color w:val="000000" w:themeColor="text1"/>
          <w:spacing w:val="0"/>
          <w:w w:val="100"/>
          <w:position w:val="0"/>
          <w:sz w:val="24"/>
          <w14:textFill>
            <w14:solidFill>
              <w14:schemeClr w14:val="tx1"/>
            </w14:solidFill>
          </w14:textFill>
        </w:rPr>
        <w:t>》进行了组织机构及职责明确、预防与预警设置、应急响应与应急处置、应急保障内容确定以及</w:t>
      </w:r>
      <w:r>
        <w:rPr>
          <w:rFonts w:hint="eastAsia" w:eastAsiaTheme="minorEastAsia"/>
          <w:bCs/>
          <w:caps w:val="0"/>
          <w:smallCaps w:val="0"/>
          <w:color w:val="000000" w:themeColor="text1"/>
          <w:spacing w:val="0"/>
          <w:w w:val="100"/>
          <w:position w:val="0"/>
          <w:sz w:val="24"/>
          <w:lang w:eastAsia="zh-CN"/>
          <w14:textFill>
            <w14:solidFill>
              <w14:schemeClr w14:val="tx1"/>
            </w14:solidFill>
          </w14:textFill>
        </w:rPr>
        <w:t>大庆油田有限责任公司第十一采油厂</w:t>
      </w:r>
      <w:r>
        <w:rPr>
          <w:rFonts w:eastAsiaTheme="minorEastAsia"/>
          <w:bCs/>
          <w:caps w:val="0"/>
          <w:smallCaps w:val="0"/>
          <w:color w:val="000000" w:themeColor="text1"/>
          <w:spacing w:val="0"/>
          <w:w w:val="100"/>
          <w:position w:val="0"/>
          <w:sz w:val="24"/>
          <w14:textFill>
            <w14:solidFill>
              <w14:schemeClr w14:val="tx1"/>
            </w14:solidFill>
          </w14:textFill>
        </w:rPr>
        <w:t>突发事故的联络信息公布，预案内容针对性较强，组织结构框架合理。</w:t>
      </w:r>
    </w:p>
    <w:p w14:paraId="5170DB2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总体上看，</w:t>
      </w:r>
      <w:r>
        <w:rPr>
          <w:rFonts w:hint="eastAsia" w:eastAsiaTheme="minorEastAsia"/>
          <w:bCs/>
          <w:caps w:val="0"/>
          <w:smallCaps w:val="0"/>
          <w:color w:val="000000" w:themeColor="text1"/>
          <w:spacing w:val="0"/>
          <w:w w:val="100"/>
          <w:position w:val="0"/>
          <w:sz w:val="24"/>
          <w:lang w:eastAsia="zh-CN"/>
          <w14:textFill>
            <w14:solidFill>
              <w14:schemeClr w14:val="tx1"/>
            </w14:solidFill>
          </w14:textFill>
        </w:rPr>
        <w:t>大庆油田有限责任公司第十一采油厂</w:t>
      </w:r>
      <w:r>
        <w:rPr>
          <w:rFonts w:eastAsiaTheme="minorEastAsia"/>
          <w:bCs/>
          <w:caps w:val="0"/>
          <w:smallCaps w:val="0"/>
          <w:color w:val="000000" w:themeColor="text1"/>
          <w:spacing w:val="0"/>
          <w:w w:val="100"/>
          <w:position w:val="0"/>
          <w:sz w:val="24"/>
          <w14:textFill>
            <w14:solidFill>
              <w14:schemeClr w14:val="tx1"/>
            </w14:solidFill>
          </w14:textFill>
        </w:rPr>
        <w:t>应急预案涵盖了环境突发事件、井喷、油气泄漏、输油系统突发事件等事故情况，依托合理，现有应急预案依托可行。根据《企业事业单位突发环境事件应急预案备案管理办法（试行）》〔2015〕4号），环境应急预案每3年至少修订一次，因此建设单位应及时对环境应急预案进行修订，且建议建设单位加强对应急预案的定期风险应急演练及员工培训。</w:t>
      </w:r>
    </w:p>
    <w:p w14:paraId="0C6E47D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通过分析，工程在发生事故状态下可依托已经制定了相关应急预案及相关应急资源。不需对本工程提出新的应急预案，发生风险事故时按已建立的事故风险应急预案执行，在执行应急预案的同时，要加强区域应急联动体系，定期进行地企联动应急演练，提高突发事件的应急处理能力。</w:t>
      </w:r>
    </w:p>
    <w:p w14:paraId="7DC7573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通过分析，工程在发生事故状态下可依托已经制定了相关应急预案及相关应急资源。不需对本工程提出新的应急预案，发生风险事故时按已建立的事故风险应急预案执行，在执行应急预案的同时，要加强区域应急联动体系，定期进行地企联动应急演练，提高突发事件的应急处理能力。</w:t>
      </w:r>
    </w:p>
    <w:p w14:paraId="636A2E86">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1、确定危害和风险</w:t>
      </w:r>
    </w:p>
    <w:p w14:paraId="7B87BE97">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本项目潜在的环境风险事故是泄漏。</w:t>
      </w:r>
    </w:p>
    <w:p w14:paraId="21A7A6F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通过正确地判别和评价本项目潜在的环境风险事故，制定相应的应急措施，可将风险和影响降到合理实际并尽可能低的水平，最大程度地保护人、环境和财产不受或少受影响。</w:t>
      </w:r>
    </w:p>
    <w:p w14:paraId="37BDDC67">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2、应急预案基本内容</w:t>
      </w:r>
    </w:p>
    <w:p w14:paraId="09BD2081">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针对本项目可能发生的风险事故，制定相应的应急预案，以处理突发事故，降低风险，并与当地政府应急预案衔接，报当地政府备案。本工程位于已建区块内，可以纳入</w:t>
      </w:r>
      <w:r>
        <w:rPr>
          <w:rFonts w:hint="eastAsia"/>
          <w:bCs/>
          <w:caps w:val="0"/>
          <w:smallCaps w:val="0"/>
          <w:color w:val="000000" w:themeColor="text1"/>
          <w:spacing w:val="0"/>
          <w:w w:val="100"/>
          <w:position w:val="0"/>
          <w:sz w:val="24"/>
          <w:lang w:val="en-US" w:eastAsia="zh-CN"/>
          <w14:textFill>
            <w14:solidFill>
              <w14:schemeClr w14:val="tx1"/>
            </w14:solidFill>
          </w14:textFill>
        </w:rPr>
        <w:t>第十一采油厂</w:t>
      </w:r>
      <w:r>
        <w:rPr>
          <w:rFonts w:eastAsiaTheme="minorEastAsia"/>
          <w:bCs/>
          <w:caps w:val="0"/>
          <w:smallCaps w:val="0"/>
          <w:color w:val="000000" w:themeColor="text1"/>
          <w:spacing w:val="0"/>
          <w:w w:val="100"/>
          <w:position w:val="0"/>
          <w:sz w:val="24"/>
          <w14:textFill>
            <w14:solidFill>
              <w14:schemeClr w14:val="tx1"/>
            </w14:solidFill>
          </w14:textFill>
        </w:rPr>
        <w:t>原有应急体系内，不需对本工程提出新的应急预案，发生风险事故时按已建立的事故风险应急预案执行，在执行应急预案的同时，要加强区域应急联动体系，发生事故必要时可直接向向邻近企业、单位和政府部门、消防队、环保局、安全生产监督管理局和市政府报告，申请求援并要求周围企业单位启动应急计划。该应急预案需补充内容如下：</w:t>
      </w:r>
    </w:p>
    <w:p w14:paraId="3794BA7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（1）依托大庆油田公司监测机构建立事故应急监测机制，及时进行事故环境影响监测。</w:t>
      </w:r>
    </w:p>
    <w:p w14:paraId="5FC283F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（2）环境监测内容</w:t>
      </w:r>
    </w:p>
    <w:p w14:paraId="444E0DB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本项目发生污染事故时，对环境的影响主要是对生态（包括土壤、植被）和大气环境的影响，应急监测主要是这几方面的内容。</w:t>
      </w:r>
    </w:p>
    <w:p w14:paraId="01714E5F">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hint="eastAsia" w:ascii="宋体" w:hAnsi="宋体" w:cs="宋体"/>
          <w:bCs/>
          <w:caps w:val="0"/>
          <w:smallCaps w:val="0"/>
          <w:color w:val="000000" w:themeColor="text1"/>
          <w:spacing w:val="0"/>
          <w:w w:val="100"/>
          <w:position w:val="0"/>
          <w:sz w:val="24"/>
          <w14:textFill>
            <w14:solidFill>
              <w14:schemeClr w14:val="tx1"/>
            </w14:solidFill>
          </w14:textFill>
        </w:rPr>
        <w:t>①</w:t>
      </w:r>
      <w:r>
        <w:rPr>
          <w:rFonts w:eastAsiaTheme="minorEastAsia"/>
          <w:bCs/>
          <w:caps w:val="0"/>
          <w:smallCaps w:val="0"/>
          <w:color w:val="000000" w:themeColor="text1"/>
          <w:spacing w:val="0"/>
          <w:w w:val="100"/>
          <w:position w:val="0"/>
          <w:sz w:val="24"/>
          <w14:textFill>
            <w14:solidFill>
              <w14:schemeClr w14:val="tx1"/>
            </w14:solidFill>
          </w14:textFill>
        </w:rPr>
        <w:t>生态方面：对事故现场及周围区域的植物、土壤进行危害监测，并在事故后不定期的对生态环境的恢复状况进行监测；</w:t>
      </w:r>
    </w:p>
    <w:p w14:paraId="72D8560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hint="eastAsia" w:ascii="宋体" w:hAnsi="宋体" w:cs="宋体"/>
          <w:bCs/>
          <w:caps w:val="0"/>
          <w:smallCaps w:val="0"/>
          <w:color w:val="000000" w:themeColor="text1"/>
          <w:spacing w:val="0"/>
          <w:w w:val="100"/>
          <w:position w:val="0"/>
          <w:sz w:val="24"/>
          <w14:textFill>
            <w14:solidFill>
              <w14:schemeClr w14:val="tx1"/>
            </w14:solidFill>
          </w14:textFill>
        </w:rPr>
        <w:t>②</w:t>
      </w:r>
      <w:r>
        <w:rPr>
          <w:rFonts w:eastAsiaTheme="minorEastAsia"/>
          <w:bCs/>
          <w:caps w:val="0"/>
          <w:smallCaps w:val="0"/>
          <w:color w:val="000000" w:themeColor="text1"/>
          <w:spacing w:val="0"/>
          <w:w w:val="100"/>
          <w:position w:val="0"/>
          <w:sz w:val="24"/>
          <w14:textFill>
            <w14:solidFill>
              <w14:schemeClr w14:val="tx1"/>
            </w14:solidFill>
          </w14:textFill>
        </w:rPr>
        <w:t>大气环境：应对事故全过程（发生时，控制时和事故后）进行监测，特别应对事故发生地附近的敏感区域进行大气监测；</w:t>
      </w:r>
    </w:p>
    <w:p w14:paraId="7068F0E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hint="eastAsia" w:ascii="宋体" w:hAnsi="宋体" w:cs="宋体"/>
          <w:bCs/>
          <w:caps w:val="0"/>
          <w:smallCaps w:val="0"/>
          <w:color w:val="000000" w:themeColor="text1"/>
          <w:spacing w:val="0"/>
          <w:w w:val="100"/>
          <w:position w:val="0"/>
          <w:sz w:val="24"/>
          <w14:textFill>
            <w14:solidFill>
              <w14:schemeClr w14:val="tx1"/>
            </w14:solidFill>
          </w14:textFill>
        </w:rPr>
        <w:t>③</w:t>
      </w:r>
      <w:r>
        <w:rPr>
          <w:rFonts w:eastAsiaTheme="minorEastAsia"/>
          <w:bCs/>
          <w:caps w:val="0"/>
          <w:smallCaps w:val="0"/>
          <w:color w:val="000000" w:themeColor="text1"/>
          <w:spacing w:val="0"/>
          <w:w w:val="100"/>
          <w:position w:val="0"/>
          <w:sz w:val="24"/>
          <w14:textFill>
            <w14:solidFill>
              <w14:schemeClr w14:val="tx1"/>
            </w14:solidFill>
          </w14:textFill>
        </w:rPr>
        <w:t>水环境：应对事故全过程（发生时，控制时和事故后）所影响的地表水环境和地下水环境进行监测；</w:t>
      </w:r>
    </w:p>
    <w:p w14:paraId="04EED9AA">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hint="eastAsia" w:ascii="宋体" w:hAnsi="宋体" w:cs="宋体"/>
          <w:bCs/>
          <w:caps w:val="0"/>
          <w:smallCaps w:val="0"/>
          <w:color w:val="000000" w:themeColor="text1"/>
          <w:spacing w:val="0"/>
          <w:w w:val="100"/>
          <w:position w:val="0"/>
          <w:sz w:val="24"/>
          <w14:textFill>
            <w14:solidFill>
              <w14:schemeClr w14:val="tx1"/>
            </w14:solidFill>
          </w14:textFill>
        </w:rPr>
        <w:t>④</w:t>
      </w:r>
      <w:r>
        <w:rPr>
          <w:rFonts w:eastAsiaTheme="minorEastAsia"/>
          <w:bCs/>
          <w:caps w:val="0"/>
          <w:smallCaps w:val="0"/>
          <w:color w:val="000000" w:themeColor="text1"/>
          <w:spacing w:val="0"/>
          <w:w w:val="100"/>
          <w:position w:val="0"/>
          <w:sz w:val="24"/>
          <w14:textFill>
            <w14:solidFill>
              <w14:schemeClr w14:val="tx1"/>
            </w14:solidFill>
          </w14:textFill>
        </w:rPr>
        <w:t>土壤环境：应对事故全过程（发生时，控制时和事故后）进行监测，特别应对事故发生地附近的敏感区域进行土壤监测；</w:t>
      </w:r>
    </w:p>
    <w:p w14:paraId="5A20F917">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hint="eastAsia" w:ascii="宋体" w:hAnsi="宋体" w:cs="宋体"/>
          <w:bCs/>
          <w:caps w:val="0"/>
          <w:smallCaps w:val="0"/>
          <w:color w:val="000000" w:themeColor="text1"/>
          <w:spacing w:val="0"/>
          <w:w w:val="100"/>
          <w:position w:val="0"/>
          <w:sz w:val="24"/>
          <w14:textFill>
            <w14:solidFill>
              <w14:schemeClr w14:val="tx1"/>
            </w14:solidFill>
          </w14:textFill>
        </w:rPr>
        <w:t>⑤</w:t>
      </w:r>
      <w:r>
        <w:rPr>
          <w:rFonts w:eastAsiaTheme="minorEastAsia"/>
          <w:bCs/>
          <w:caps w:val="0"/>
          <w:smallCaps w:val="0"/>
          <w:color w:val="000000" w:themeColor="text1"/>
          <w:spacing w:val="0"/>
          <w:w w:val="100"/>
          <w:position w:val="0"/>
          <w:sz w:val="24"/>
          <w14:textFill>
            <w14:solidFill>
              <w14:schemeClr w14:val="tx1"/>
            </w14:solidFill>
          </w14:textFill>
        </w:rPr>
        <w:t>负责单位要根据监测结果编制事故污染报告，确定事故影响范围，为制定治理措施提供依据。</w:t>
      </w:r>
    </w:p>
    <w:p w14:paraId="3E00D93F">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14:textFill>
            <w14:solidFill>
              <w14:schemeClr w14:val="tx1"/>
            </w14:solidFill>
          </w14:textFill>
        </w:rPr>
        <w:t>3、应急预案有效性分析</w:t>
      </w:r>
    </w:p>
    <w:p w14:paraId="38352F33">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bCs/>
          <w:color w:val="auto"/>
          <w:w w:val="99"/>
          <w:kern w:val="2"/>
          <w:highlight w:val="none"/>
          <w:lang w:eastAsia="zh-CN"/>
        </w:rPr>
        <w:t>大庆油田有限责任公司第十一采油厂</w:t>
      </w:r>
      <w:r>
        <w:rPr>
          <w:rFonts w:ascii="Times New Roman" w:hAnsi="Times New Roman" w:cs="Times New Roman"/>
          <w:color w:val="auto"/>
          <w:w w:val="99"/>
          <w:kern w:val="2"/>
          <w:highlight w:val="none"/>
        </w:rPr>
        <w:t>编制了</w:t>
      </w:r>
      <w:r>
        <w:rPr>
          <w:rFonts w:ascii="Times New Roman" w:hAnsi="Times New Roman" w:cs="Times New Roman" w:eastAsiaTheme="minorEastAsia"/>
          <w:snapToGrid w:val="0"/>
          <w:color w:val="auto"/>
          <w:w w:val="99"/>
          <w:highlight w:val="none"/>
        </w:rPr>
        <w:t>《</w:t>
      </w:r>
      <w:r>
        <w:rPr>
          <w:rFonts w:hint="eastAsia" w:ascii="Times New Roman" w:hAnsi="Times New Roman" w:cs="Times New Roman" w:eastAsiaTheme="minorEastAsia"/>
          <w:snapToGrid w:val="0"/>
          <w:color w:val="auto"/>
          <w:w w:val="99"/>
          <w:highlight w:val="none"/>
          <w:lang w:eastAsia="zh-CN"/>
        </w:rPr>
        <w:t>大庆油田有限责任公司第十一采油厂突发环境事件应急预案</w:t>
      </w:r>
      <w:r>
        <w:rPr>
          <w:rFonts w:ascii="Times New Roman" w:hAnsi="Times New Roman" w:cs="Times New Roman" w:eastAsiaTheme="minorEastAsia"/>
          <w:snapToGrid w:val="0"/>
          <w:color w:val="auto"/>
          <w:w w:val="99"/>
          <w:highlight w:val="none"/>
        </w:rPr>
        <w:t>》</w:t>
      </w:r>
      <w:r>
        <w:rPr>
          <w:rFonts w:ascii="Times New Roman" w:hAnsi="Times New Roman" w:cs="Times New Roman"/>
          <w:color w:val="auto"/>
          <w:w w:val="99"/>
          <w:kern w:val="2"/>
          <w:highlight w:val="none"/>
        </w:rPr>
        <w:t>，该应急预案主要针对项目运营过程中可能突发的各种环境风险事故等制定了详细的安全应急救援预案。预案中包含了应急救援任务和目标、原则、组织机构、应急救援职责、突发事件信息报送及处置、应急响应和处置、应急措施以及应急救援值班电话和联络电话，充分保证了项目运营期发生的风险事故得到及时救援和处理。降低了环境风险的危害。</w:t>
      </w:r>
    </w:p>
    <w:p w14:paraId="77A6EE08">
      <w:pPr>
        <w:widowControl w:val="0"/>
        <w:spacing w:line="440" w:lineRule="exact"/>
        <w:ind w:firstLine="474"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olor w:val="auto"/>
          <w:w w:val="99"/>
          <w:kern w:val="2"/>
          <w:highlight w:val="none"/>
        </w:rPr>
        <w:t>应急预案制定完毕后，</w:t>
      </w:r>
      <w:r>
        <w:rPr>
          <w:rFonts w:hint="eastAsia" w:ascii="Times New Roman" w:hAnsi="Times New Roman" w:cs="Times New Roman"/>
          <w:bCs/>
          <w:color w:val="auto"/>
          <w:w w:val="99"/>
          <w:kern w:val="2"/>
          <w:highlight w:val="none"/>
          <w:lang w:eastAsia="zh-CN"/>
        </w:rPr>
        <w:t>大庆油田有限责任公司第十一采油厂</w:t>
      </w:r>
      <w:r>
        <w:rPr>
          <w:rFonts w:ascii="Times New Roman" w:hAnsi="Times New Roman" w:cs="Times New Roman"/>
          <w:color w:val="auto"/>
          <w:w w:val="99"/>
          <w:kern w:val="2"/>
          <w:highlight w:val="none"/>
        </w:rPr>
        <w:t>各作业区平均每月开展一次应急预案的宣传教育及应急演练，保证每一个工作人员都熟悉预案的内容，熟练应急措施，检查预案的有效性和符合性，对存在的不足及时修正</w:t>
      </w:r>
      <w:r>
        <w:rPr>
          <w:rFonts w:ascii="Times New Roman" w:hAnsi="Times New Roman" w:cs="Times New Roman"/>
          <w:caps w:val="0"/>
          <w:smallCaps w:val="0"/>
          <w:color w:val="000000" w:themeColor="text1"/>
          <w:spacing w:val="0"/>
          <w:w w:val="100"/>
          <w:kern w:val="2"/>
          <w:position w:val="0"/>
          <w14:textFill>
            <w14:solidFill>
              <w14:schemeClr w14:val="tx1"/>
            </w14:solidFill>
          </w14:textFill>
        </w:rPr>
        <w:t>。</w:t>
      </w:r>
    </w:p>
    <w:p w14:paraId="5A06A2AA">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14:textFill>
            <w14:solidFill>
              <w14:schemeClr w14:val="tx1"/>
            </w14:solidFill>
          </w14:textFill>
        </w:rPr>
        <w:t>4、应急状态地企联动</w:t>
      </w:r>
    </w:p>
    <w:p w14:paraId="4B9B340A">
      <w:pPr>
        <w:widowControl w:val="0"/>
        <w:spacing w:line="440" w:lineRule="exact"/>
        <w:ind w:firstLine="474" w:firstLineChars="200"/>
        <w:jc w:val="both"/>
        <w:rPr>
          <w:rFonts w:ascii="Times New Roman" w:hAnsi="Times New Roman" w:cs="Times New Roman"/>
          <w:bCs/>
          <w:caps w:val="0"/>
          <w:smallCaps w:val="0"/>
          <w:color w:val="000000" w:themeColor="text1"/>
          <w:spacing w:val="0"/>
          <w:w w:val="100"/>
          <w:kern w:val="2"/>
          <w:position w:val="0"/>
          <w14:textFill>
            <w14:solidFill>
              <w14:schemeClr w14:val="tx1"/>
            </w14:solidFill>
          </w14:textFill>
        </w:rPr>
      </w:pPr>
      <w:r>
        <w:rPr>
          <w:rFonts w:hint="eastAsia" w:ascii="Times New Roman" w:hAnsi="Times New Roman" w:cs="Times New Roman"/>
          <w:bCs/>
          <w:color w:val="auto"/>
          <w:w w:val="99"/>
          <w:kern w:val="2"/>
          <w:highlight w:val="none"/>
          <w:lang w:eastAsia="zh-CN"/>
        </w:rPr>
        <w:t>大庆油田有限责任公司第十一采油厂</w:t>
      </w:r>
      <w:r>
        <w:rPr>
          <w:rFonts w:ascii="Times New Roman" w:hAnsi="Times New Roman" w:cs="Times New Roman"/>
          <w:color w:val="auto"/>
          <w:w w:val="99"/>
          <w:kern w:val="2"/>
          <w:highlight w:val="none"/>
        </w:rPr>
        <w:t>已在大庆油田有限责任公司备案登记，由大庆油田有限责任公司向市政府有</w:t>
      </w:r>
      <w:r>
        <w:rPr>
          <w:rFonts w:ascii="Times New Roman" w:hAnsi="Times New Roman" w:cs="Times New Roman"/>
          <w:bCs/>
          <w:color w:val="auto"/>
          <w:w w:val="99"/>
          <w:kern w:val="2"/>
          <w:highlight w:val="none"/>
        </w:rPr>
        <w:t>关部门及集团公司申请备案。</w:t>
      </w:r>
      <w:r>
        <w:rPr>
          <w:rFonts w:hint="eastAsia" w:ascii="Times New Roman" w:hAnsi="Times New Roman" w:cs="Times New Roman"/>
          <w:bCs/>
          <w:color w:val="auto"/>
          <w:w w:val="99"/>
          <w:kern w:val="2"/>
          <w:highlight w:val="none"/>
          <w:lang w:eastAsia="zh-CN"/>
        </w:rPr>
        <w:t>大庆油田有限责任公司第十一采油厂</w:t>
      </w:r>
      <w:r>
        <w:rPr>
          <w:rFonts w:ascii="Times New Roman" w:hAnsi="Times New Roman" w:cs="Times New Roman"/>
          <w:bCs/>
          <w:color w:val="auto"/>
          <w:w w:val="99"/>
          <w:kern w:val="2"/>
          <w:highlight w:val="none"/>
        </w:rPr>
        <w:t>已备案登记</w:t>
      </w:r>
      <w:r>
        <w:rPr>
          <w:rFonts w:ascii="Times New Roman" w:hAnsi="Times New Roman" w:cs="Times New Roman" w:eastAsiaTheme="minorEastAsia"/>
          <w:snapToGrid w:val="0"/>
          <w:color w:val="auto"/>
          <w:w w:val="99"/>
          <w:highlight w:val="none"/>
        </w:rPr>
        <w:t>《</w:t>
      </w:r>
      <w:r>
        <w:rPr>
          <w:rFonts w:hint="eastAsia" w:ascii="Times New Roman" w:hAnsi="Times New Roman" w:cs="Times New Roman" w:eastAsiaTheme="minorEastAsia"/>
          <w:snapToGrid w:val="0"/>
          <w:color w:val="auto"/>
          <w:w w:val="99"/>
          <w:highlight w:val="none"/>
          <w:lang w:eastAsia="zh-CN"/>
        </w:rPr>
        <w:t>大庆油田有限责任公司第十一采油厂突发环境事件应急预案</w:t>
      </w:r>
      <w:r>
        <w:rPr>
          <w:rFonts w:ascii="Times New Roman" w:hAnsi="Times New Roman" w:cs="Times New Roman" w:eastAsiaTheme="minorEastAsia"/>
          <w:snapToGrid w:val="0"/>
          <w:color w:val="auto"/>
          <w:w w:val="99"/>
          <w:highlight w:val="none"/>
        </w:rPr>
        <w:t>》</w:t>
      </w:r>
      <w:r>
        <w:rPr>
          <w:rFonts w:ascii="Times New Roman" w:hAnsi="Times New Roman" w:cs="Times New Roman"/>
          <w:bCs/>
          <w:color w:val="auto"/>
          <w:w w:val="99"/>
          <w:kern w:val="2"/>
          <w:highlight w:val="none"/>
        </w:rPr>
        <w:t>、</w:t>
      </w:r>
      <w:r>
        <w:rPr>
          <w:rFonts w:hint="default" w:ascii="Times New Roman" w:hAnsi="Times New Roman" w:cs="Times New Roman" w:eastAsiaTheme="minorEastAsia"/>
          <w:bCs/>
          <w:color w:val="auto"/>
          <w:w w:val="99"/>
          <w:sz w:val="24"/>
          <w:highlight w:val="none"/>
          <w:lang w:val="en-US" w:eastAsia="zh-CN"/>
        </w:rPr>
        <w:t>《井喷突发事件专项应急预案》、《油气泄漏事件专项应急预案》、《输油系统突发事件专项预案》</w:t>
      </w:r>
      <w:r>
        <w:rPr>
          <w:rFonts w:ascii="Times New Roman" w:hAnsi="Times New Roman" w:cs="Times New Roman"/>
          <w:bCs/>
          <w:color w:val="auto"/>
          <w:w w:val="99"/>
          <w:kern w:val="2"/>
          <w:highlight w:val="none"/>
        </w:rPr>
        <w:t>等专项应急预案，发生事故时，多个应急预案联动响应。同时，企业环保部门与地方社会力量保持应急状态联动，事故发生后，消防部门、医疗部门、生态环境部门及公安部门启动相应紧急预案，保障事故控制及事故救援得到有效迅捷地处理，详见下表</w:t>
      </w:r>
      <w:r>
        <w:rPr>
          <w:rFonts w:ascii="Times New Roman" w:hAnsi="Times New Roman" w:cs="Times New Roman"/>
          <w:bCs/>
          <w:caps w:val="0"/>
          <w:smallCaps w:val="0"/>
          <w:color w:val="000000" w:themeColor="text1"/>
          <w:spacing w:val="0"/>
          <w:w w:val="100"/>
          <w:kern w:val="2"/>
          <w:position w:val="0"/>
          <w14:textFill>
            <w14:solidFill>
              <w14:schemeClr w14:val="tx1"/>
            </w14:solidFill>
          </w14:textFill>
        </w:rPr>
        <w:t>。</w:t>
      </w:r>
    </w:p>
    <w:p w14:paraId="1C284D22">
      <w:pPr>
        <w:widowControl w:val="0"/>
        <w:spacing w:line="440" w:lineRule="exact"/>
        <w:ind w:firstLine="482" w:firstLineChars="200"/>
        <w:jc w:val="both"/>
        <w:rPr>
          <w:rFonts w:ascii="Times New Roman" w:hAnsi="Times New Roman" w:cs="Times New Roman"/>
          <w:b/>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14:textFill>
            <w14:solidFill>
              <w14:schemeClr w14:val="tx1"/>
            </w14:solidFill>
          </w14:textFill>
        </w:rPr>
        <w:t>表6.1-5    地企联动各部门联系方式</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4663"/>
        <w:gridCol w:w="3481"/>
      </w:tblGrid>
      <w:tr w14:paraId="7ADA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5123E199">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序号</w:t>
            </w:r>
          </w:p>
        </w:tc>
        <w:tc>
          <w:tcPr>
            <w:tcW w:w="2511" w:type="pct"/>
            <w:tcBorders>
              <w:top w:val="single" w:color="auto" w:sz="4" w:space="0"/>
              <w:bottom w:val="single" w:color="auto" w:sz="4" w:space="0"/>
            </w:tcBorders>
            <w:vAlign w:val="center"/>
          </w:tcPr>
          <w:p w14:paraId="68929906">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单位</w:t>
            </w:r>
          </w:p>
        </w:tc>
        <w:tc>
          <w:tcPr>
            <w:tcW w:w="1874" w:type="pct"/>
            <w:tcBorders>
              <w:top w:val="single" w:color="auto" w:sz="4" w:space="0"/>
              <w:bottom w:val="single" w:color="auto" w:sz="4" w:space="0"/>
              <w:right w:val="single" w:color="auto" w:sz="4" w:space="0"/>
            </w:tcBorders>
            <w:vAlign w:val="center"/>
          </w:tcPr>
          <w:p w14:paraId="5B057157">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电话</w:t>
            </w:r>
          </w:p>
        </w:tc>
      </w:tr>
      <w:tr w14:paraId="6F66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187C5979">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1</w:t>
            </w:r>
          </w:p>
        </w:tc>
        <w:tc>
          <w:tcPr>
            <w:tcW w:w="2511" w:type="pct"/>
            <w:tcBorders>
              <w:top w:val="single" w:color="auto" w:sz="4" w:space="0"/>
              <w:bottom w:val="single" w:color="auto" w:sz="4" w:space="0"/>
            </w:tcBorders>
            <w:vAlign w:val="center"/>
          </w:tcPr>
          <w:p w14:paraId="7581396A">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caps w:val="0"/>
                <w:smallCaps w:val="0"/>
                <w:spacing w:val="0"/>
                <w:w w:val="100"/>
                <w:kern w:val="2"/>
                <w:position w:val="0"/>
                <w:sz w:val="21"/>
                <w:szCs w:val="20"/>
              </w:rPr>
              <w:t>火警</w:t>
            </w:r>
          </w:p>
        </w:tc>
        <w:tc>
          <w:tcPr>
            <w:tcW w:w="1874" w:type="pct"/>
            <w:tcBorders>
              <w:top w:val="single" w:color="auto" w:sz="4" w:space="0"/>
              <w:bottom w:val="single" w:color="auto" w:sz="4" w:space="0"/>
              <w:right w:val="single" w:color="auto" w:sz="4" w:space="0"/>
            </w:tcBorders>
            <w:vAlign w:val="center"/>
          </w:tcPr>
          <w:p w14:paraId="79849C21">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caps w:val="0"/>
                <w:smallCaps w:val="0"/>
                <w:spacing w:val="0"/>
                <w:w w:val="100"/>
                <w:kern w:val="2"/>
                <w:position w:val="0"/>
                <w:sz w:val="21"/>
                <w:szCs w:val="20"/>
              </w:rPr>
              <w:t>119</w:t>
            </w:r>
          </w:p>
        </w:tc>
      </w:tr>
      <w:tr w14:paraId="3E9F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4BFB3023">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2</w:t>
            </w:r>
          </w:p>
        </w:tc>
        <w:tc>
          <w:tcPr>
            <w:tcW w:w="2511" w:type="pct"/>
            <w:tcBorders>
              <w:top w:val="single" w:color="auto" w:sz="4" w:space="0"/>
              <w:bottom w:val="single" w:color="auto" w:sz="4" w:space="0"/>
            </w:tcBorders>
            <w:vAlign w:val="center"/>
          </w:tcPr>
          <w:p w14:paraId="7E7291D7">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caps w:val="0"/>
                <w:smallCaps w:val="0"/>
                <w:spacing w:val="0"/>
                <w:w w:val="100"/>
                <w:kern w:val="2"/>
                <w:position w:val="0"/>
                <w:sz w:val="21"/>
                <w:szCs w:val="20"/>
              </w:rPr>
              <w:t>医疗急救</w:t>
            </w:r>
          </w:p>
        </w:tc>
        <w:tc>
          <w:tcPr>
            <w:tcW w:w="1874" w:type="pct"/>
            <w:tcBorders>
              <w:top w:val="single" w:color="auto" w:sz="4" w:space="0"/>
              <w:bottom w:val="single" w:color="auto" w:sz="4" w:space="0"/>
              <w:right w:val="single" w:color="auto" w:sz="4" w:space="0"/>
            </w:tcBorders>
            <w:vAlign w:val="center"/>
          </w:tcPr>
          <w:p w14:paraId="0C51F13A">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caps w:val="0"/>
                <w:smallCaps w:val="0"/>
                <w:spacing w:val="0"/>
                <w:w w:val="100"/>
                <w:kern w:val="2"/>
                <w:position w:val="0"/>
                <w:sz w:val="21"/>
                <w:szCs w:val="20"/>
              </w:rPr>
              <w:t>120</w:t>
            </w:r>
          </w:p>
        </w:tc>
      </w:tr>
      <w:tr w14:paraId="590A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171F6F43">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3</w:t>
            </w:r>
          </w:p>
        </w:tc>
        <w:tc>
          <w:tcPr>
            <w:tcW w:w="2511" w:type="pct"/>
            <w:tcBorders>
              <w:top w:val="single" w:color="auto" w:sz="4" w:space="0"/>
              <w:bottom w:val="single" w:color="auto" w:sz="4" w:space="0"/>
            </w:tcBorders>
            <w:vAlign w:val="center"/>
          </w:tcPr>
          <w:p w14:paraId="2BFC122A">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hint="eastAsia" w:ascii="Times New Roman" w:hAnsi="Times New Roman" w:cs="Times New Roman"/>
                <w:caps w:val="0"/>
                <w:smallCaps w:val="0"/>
                <w:spacing w:val="0"/>
                <w:w w:val="100"/>
                <w:kern w:val="2"/>
                <w:position w:val="0"/>
                <w:sz w:val="21"/>
                <w:szCs w:val="20"/>
              </w:rPr>
              <w:t>安达</w:t>
            </w:r>
            <w:r>
              <w:rPr>
                <w:rFonts w:ascii="Times New Roman" w:hAnsi="Times New Roman" w:cs="Times New Roman"/>
                <w:caps w:val="0"/>
                <w:smallCaps w:val="0"/>
                <w:spacing w:val="0"/>
                <w:w w:val="100"/>
                <w:kern w:val="2"/>
                <w:position w:val="0"/>
                <w:sz w:val="21"/>
                <w:szCs w:val="20"/>
              </w:rPr>
              <w:t>市生态环境局</w:t>
            </w:r>
          </w:p>
        </w:tc>
        <w:tc>
          <w:tcPr>
            <w:tcW w:w="1874" w:type="pct"/>
            <w:tcBorders>
              <w:top w:val="single" w:color="auto" w:sz="4" w:space="0"/>
              <w:bottom w:val="single" w:color="auto" w:sz="4" w:space="0"/>
              <w:right w:val="single" w:color="auto" w:sz="4" w:space="0"/>
            </w:tcBorders>
            <w:vAlign w:val="center"/>
          </w:tcPr>
          <w:p w14:paraId="0051B146">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hint="eastAsia" w:ascii="Times New Roman" w:hAnsi="Times New Roman" w:cs="Times New Roman"/>
                <w:caps w:val="0"/>
                <w:smallCaps w:val="0"/>
                <w:spacing w:val="0"/>
                <w:w w:val="100"/>
                <w:kern w:val="2"/>
                <w:position w:val="0"/>
                <w:sz w:val="21"/>
                <w:szCs w:val="20"/>
              </w:rPr>
              <w:t>0455-7349716</w:t>
            </w:r>
          </w:p>
        </w:tc>
      </w:tr>
      <w:tr w14:paraId="69F4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02DD7B56">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4</w:t>
            </w:r>
          </w:p>
        </w:tc>
        <w:tc>
          <w:tcPr>
            <w:tcW w:w="2511" w:type="pct"/>
            <w:tcBorders>
              <w:top w:val="single" w:color="auto" w:sz="4" w:space="0"/>
              <w:bottom w:val="single" w:color="auto" w:sz="4" w:space="0"/>
            </w:tcBorders>
            <w:vAlign w:val="center"/>
          </w:tcPr>
          <w:p w14:paraId="05D1535C">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hint="eastAsia" w:ascii="Times New Roman" w:hAnsi="Times New Roman" w:cs="Times New Roman"/>
                <w:caps w:val="0"/>
                <w:smallCaps w:val="0"/>
                <w:spacing w:val="0"/>
                <w:w w:val="100"/>
                <w:kern w:val="2"/>
                <w:position w:val="0"/>
                <w:sz w:val="21"/>
                <w:szCs w:val="20"/>
              </w:rPr>
              <w:t>安达</w:t>
            </w:r>
            <w:r>
              <w:rPr>
                <w:rFonts w:ascii="Times New Roman" w:hAnsi="Times New Roman" w:cs="Times New Roman"/>
                <w:caps w:val="0"/>
                <w:smallCaps w:val="0"/>
                <w:spacing w:val="0"/>
                <w:w w:val="100"/>
                <w:kern w:val="2"/>
                <w:position w:val="0"/>
                <w:sz w:val="21"/>
                <w:szCs w:val="20"/>
              </w:rPr>
              <w:t>市公安局</w:t>
            </w:r>
          </w:p>
        </w:tc>
        <w:tc>
          <w:tcPr>
            <w:tcW w:w="1874" w:type="pct"/>
            <w:tcBorders>
              <w:top w:val="single" w:color="auto" w:sz="4" w:space="0"/>
              <w:bottom w:val="single" w:color="auto" w:sz="4" w:space="0"/>
              <w:right w:val="single" w:color="auto" w:sz="4" w:space="0"/>
            </w:tcBorders>
            <w:vAlign w:val="center"/>
          </w:tcPr>
          <w:p w14:paraId="4A779DFB">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caps w:val="0"/>
                <w:smallCaps w:val="0"/>
                <w:spacing w:val="0"/>
                <w:w w:val="100"/>
                <w:kern w:val="2"/>
                <w:position w:val="0"/>
                <w:sz w:val="21"/>
                <w:szCs w:val="20"/>
              </w:rPr>
              <w:t>110</w:t>
            </w:r>
          </w:p>
        </w:tc>
      </w:tr>
      <w:tr w14:paraId="4012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64167961">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5</w:t>
            </w:r>
          </w:p>
        </w:tc>
        <w:tc>
          <w:tcPr>
            <w:tcW w:w="2511" w:type="pct"/>
            <w:tcBorders>
              <w:top w:val="single" w:color="auto" w:sz="4" w:space="0"/>
              <w:bottom w:val="single" w:color="auto" w:sz="4" w:space="0"/>
            </w:tcBorders>
            <w:vAlign w:val="center"/>
          </w:tcPr>
          <w:p w14:paraId="4D3B7A52">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hint="eastAsia" w:ascii="Times New Roman" w:hAnsi="Times New Roman" w:cs="Times New Roman"/>
                <w:caps w:val="0"/>
                <w:smallCaps w:val="0"/>
                <w:spacing w:val="0"/>
                <w:w w:val="100"/>
                <w:kern w:val="2"/>
                <w:position w:val="0"/>
                <w:sz w:val="21"/>
                <w:szCs w:val="20"/>
              </w:rPr>
              <w:t>安达市</w:t>
            </w:r>
            <w:r>
              <w:rPr>
                <w:rFonts w:ascii="Times New Roman" w:hAnsi="Times New Roman" w:cs="Times New Roman"/>
                <w:caps w:val="0"/>
                <w:smallCaps w:val="0"/>
                <w:spacing w:val="0"/>
                <w:w w:val="100"/>
                <w:kern w:val="2"/>
                <w:position w:val="0"/>
                <w:sz w:val="21"/>
                <w:szCs w:val="20"/>
              </w:rPr>
              <w:t>医院</w:t>
            </w:r>
          </w:p>
        </w:tc>
        <w:tc>
          <w:tcPr>
            <w:tcW w:w="1874" w:type="pct"/>
            <w:tcBorders>
              <w:top w:val="single" w:color="auto" w:sz="4" w:space="0"/>
              <w:bottom w:val="single" w:color="auto" w:sz="4" w:space="0"/>
              <w:right w:val="single" w:color="auto" w:sz="4" w:space="0"/>
            </w:tcBorders>
            <w:vAlign w:val="center"/>
          </w:tcPr>
          <w:p w14:paraId="7DD06DD5">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caps w:val="0"/>
                <w:smallCaps w:val="0"/>
                <w:spacing w:val="0"/>
                <w:w w:val="100"/>
                <w:kern w:val="2"/>
                <w:position w:val="0"/>
                <w:sz w:val="21"/>
                <w:szCs w:val="20"/>
              </w:rPr>
              <w:t>0455-7331407</w:t>
            </w:r>
          </w:p>
        </w:tc>
      </w:tr>
      <w:tr w14:paraId="5F36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20DCC0CF">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t>6</w:t>
            </w:r>
          </w:p>
        </w:tc>
        <w:tc>
          <w:tcPr>
            <w:tcW w:w="2511" w:type="pct"/>
            <w:tcBorders>
              <w:top w:val="single" w:color="auto" w:sz="4" w:space="0"/>
              <w:bottom w:val="single" w:color="auto" w:sz="4" w:space="0"/>
            </w:tcBorders>
            <w:vAlign w:val="center"/>
          </w:tcPr>
          <w:p w14:paraId="4FDD7A66">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hint="eastAsia" w:ascii="Times New Roman" w:hAnsi="Times New Roman" w:cs="Times New Roman"/>
                <w:bCs/>
                <w:caps w:val="0"/>
                <w:smallCaps w:val="0"/>
                <w:spacing w:val="0"/>
                <w:w w:val="100"/>
                <w:kern w:val="2"/>
                <w:position w:val="0"/>
                <w:sz w:val="21"/>
                <w:szCs w:val="20"/>
                <w:lang w:val="en-US" w:eastAsia="zh-CN"/>
              </w:rPr>
              <w:t>大庆油田</w:t>
            </w:r>
            <w:r>
              <w:rPr>
                <w:rFonts w:ascii="Times New Roman" w:hAnsi="Times New Roman" w:cs="Times New Roman"/>
                <w:bCs/>
                <w:caps w:val="0"/>
                <w:smallCaps w:val="0"/>
                <w:spacing w:val="0"/>
                <w:w w:val="100"/>
                <w:kern w:val="2"/>
                <w:position w:val="0"/>
                <w:sz w:val="21"/>
                <w:szCs w:val="20"/>
              </w:rPr>
              <w:t>有限责任公司</w:t>
            </w:r>
            <w:r>
              <w:rPr>
                <w:rFonts w:hint="eastAsia" w:ascii="Times New Roman" w:hAnsi="Times New Roman" w:cs="Times New Roman"/>
                <w:bCs/>
                <w:caps w:val="0"/>
                <w:smallCaps w:val="0"/>
                <w:spacing w:val="0"/>
                <w:w w:val="100"/>
                <w:kern w:val="2"/>
                <w:position w:val="0"/>
                <w:sz w:val="21"/>
                <w:szCs w:val="20"/>
                <w:lang w:val="en-US" w:eastAsia="zh-CN"/>
              </w:rPr>
              <w:t>第十一采油厂</w:t>
            </w:r>
            <w:r>
              <w:rPr>
                <w:rFonts w:ascii="Times New Roman" w:hAnsi="Times New Roman" w:cs="Times New Roman"/>
                <w:caps w:val="0"/>
                <w:smallCaps w:val="0"/>
                <w:spacing w:val="0"/>
                <w:w w:val="100"/>
                <w:kern w:val="2"/>
                <w:position w:val="0"/>
                <w:sz w:val="21"/>
                <w:szCs w:val="20"/>
              </w:rPr>
              <w:t>安全环保部</w:t>
            </w:r>
          </w:p>
        </w:tc>
        <w:tc>
          <w:tcPr>
            <w:tcW w:w="1874" w:type="pct"/>
            <w:tcBorders>
              <w:top w:val="single" w:color="auto" w:sz="4" w:space="0"/>
              <w:bottom w:val="single" w:color="auto" w:sz="4" w:space="0"/>
              <w:right w:val="single" w:color="auto" w:sz="4" w:space="0"/>
            </w:tcBorders>
            <w:vAlign w:val="center"/>
          </w:tcPr>
          <w:p w14:paraId="7EAD738B">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14:textFill>
                  <w14:solidFill>
                    <w14:schemeClr w14:val="tx1"/>
                  </w14:solidFill>
                </w14:textFill>
              </w:rPr>
            </w:pPr>
            <w:r>
              <w:rPr>
                <w:rFonts w:hint="eastAsia" w:ascii="Times New Roman" w:hAnsi="Times New Roman" w:cs="Times New Roman"/>
                <w:bCs/>
                <w:caps w:val="0"/>
                <w:smallCaps w:val="0"/>
                <w:spacing w:val="0"/>
                <w:w w:val="100"/>
                <w:kern w:val="2"/>
                <w:position w:val="0"/>
                <w:sz w:val="21"/>
                <w:szCs w:val="20"/>
              </w:rPr>
              <w:t>0459-</w:t>
            </w:r>
            <w:r>
              <w:rPr>
                <w:rFonts w:ascii="Times New Roman" w:hAnsi="Times New Roman" w:cs="Times New Roman"/>
                <w:bCs/>
                <w:caps w:val="0"/>
                <w:smallCaps w:val="0"/>
                <w:spacing w:val="0"/>
                <w:w w:val="100"/>
                <w:kern w:val="2"/>
                <w:position w:val="0"/>
                <w:sz w:val="21"/>
                <w:szCs w:val="20"/>
              </w:rPr>
              <w:t>4502967</w:t>
            </w:r>
          </w:p>
        </w:tc>
      </w:tr>
    </w:tbl>
    <w:p w14:paraId="7FC9CD11">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14:textFill>
            <w14:solidFill>
              <w14:schemeClr w14:val="tx1"/>
            </w14:solidFill>
          </w14:textFill>
        </w:rPr>
      </w:pPr>
      <w:r>
        <w:rPr>
          <w:rFonts w:eastAsiaTheme="minorEastAsia"/>
          <w:bCs/>
          <w:caps w:val="0"/>
          <w:smallCaps w:val="0"/>
          <w:color w:val="000000" w:themeColor="text1"/>
          <w:spacing w:val="0"/>
          <w:w w:val="100"/>
          <w:position w:val="0"/>
          <w:sz w:val="24"/>
          <w14:textFill>
            <w14:solidFill>
              <w14:schemeClr w14:val="tx1"/>
            </w14:solidFill>
          </w14:textFill>
        </w:rPr>
        <w:t>由前述分析可知以上提出的各项环境保护措施是切实有效的，同时本项目对生产全过程采取环境保护管理措施和技术措施，有效的预防和减缓本次产能建设可能带来的不良环境影响。</w:t>
      </w:r>
    </w:p>
    <w:p w14:paraId="7BCD1290">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003" w:name="_Toc195661911"/>
      <w:bookmarkStart w:id="1004" w:name="_Toc186444385"/>
      <w:bookmarkStart w:id="1005" w:name="_Toc173163555"/>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6.2“三同时”项目一览表</w:t>
      </w:r>
      <w:bookmarkEnd w:id="1003"/>
      <w:bookmarkEnd w:id="1004"/>
      <w:bookmarkEnd w:id="1005"/>
    </w:p>
    <w:p w14:paraId="054E153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为进一步落实本项目工程设计和环境影响评价提出的各项环保措施，确保环保工程发挥真正作用，本评价列出“三同时”项目表和竣工验收监测与调查的相关要求，具体内容见表6.2-1、表6.2-2。</w:t>
      </w:r>
    </w:p>
    <w:p w14:paraId="5E2C72E3">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 xml:space="preserve">表6.2-1     </w:t>
      </w:r>
      <w:r>
        <w:rPr>
          <w:rFonts w:ascii="Times New Roman" w:hAnsi="Times New Roman" w:cs="Times New Roman"/>
          <w:b/>
          <w:caps w:val="0"/>
          <w:smallCaps w:val="0"/>
          <w:color w:val="000000" w:themeColor="text1"/>
          <w:spacing w:val="0"/>
          <w:w w:val="100"/>
          <w:kern w:val="2"/>
          <w:position w:val="0"/>
          <w14:textFill>
            <w14:solidFill>
              <w14:schemeClr w14:val="tx1"/>
            </w14:solidFill>
          </w14:textFill>
        </w:rPr>
        <w:t>“三同时”</w:t>
      </w: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项目一览表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14"/>
        <w:gridCol w:w="1271"/>
        <w:gridCol w:w="4635"/>
        <w:gridCol w:w="2866"/>
      </w:tblGrid>
      <w:tr w14:paraId="5201C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Align w:val="center"/>
          </w:tcPr>
          <w:p w14:paraId="6A4067EC">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防治内容</w:t>
            </w:r>
          </w:p>
        </w:tc>
        <w:tc>
          <w:tcPr>
            <w:tcW w:w="2495" w:type="pct"/>
            <w:vAlign w:val="center"/>
          </w:tcPr>
          <w:p w14:paraId="43DFB36F">
            <w:pPr>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环保措施</w:t>
            </w:r>
          </w:p>
        </w:tc>
        <w:tc>
          <w:tcPr>
            <w:tcW w:w="1543" w:type="pct"/>
            <w:vAlign w:val="center"/>
          </w:tcPr>
          <w:p w14:paraId="77F375F9">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验收标准</w:t>
            </w:r>
          </w:p>
        </w:tc>
      </w:tr>
      <w:tr w14:paraId="48FC8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restart"/>
            <w:tcBorders>
              <w:right w:val="single" w:color="auto" w:sz="4" w:space="0"/>
            </w:tcBorders>
            <w:vAlign w:val="center"/>
          </w:tcPr>
          <w:p w14:paraId="29C9BE3F">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废气</w:t>
            </w:r>
          </w:p>
        </w:tc>
        <w:tc>
          <w:tcPr>
            <w:tcW w:w="683" w:type="pct"/>
            <w:tcBorders>
              <w:left w:val="single" w:color="auto" w:sz="4" w:space="0"/>
            </w:tcBorders>
            <w:vAlign w:val="center"/>
          </w:tcPr>
          <w:p w14:paraId="3B94377A">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施工期扬尘</w:t>
            </w:r>
          </w:p>
        </w:tc>
        <w:tc>
          <w:tcPr>
            <w:tcW w:w="2495" w:type="pct"/>
            <w:vAlign w:val="center"/>
          </w:tcPr>
          <w:p w14:paraId="40210CD3">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对施工场地采取洒水抑尘，对易起尘的临时土方等加盖苫布，</w:t>
            </w:r>
            <w: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施工运输车辆采取密闭措施或加盖苫布，</w:t>
            </w: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加强施工管理</w:t>
            </w:r>
          </w:p>
        </w:tc>
        <w:tc>
          <w:tcPr>
            <w:tcW w:w="1543" w:type="pct"/>
            <w:vMerge w:val="restart"/>
            <w:vAlign w:val="center"/>
          </w:tcPr>
          <w:p w14:paraId="4EF5DBC2">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施工场界执行《</w:t>
            </w:r>
            <w: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大气污染物综合排放标准</w:t>
            </w: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》（GB16297-1996）</w:t>
            </w:r>
            <w: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表2中颗粒物无组织排放监控浓度限值：≤1.0mg/m</w:t>
            </w:r>
            <w:r>
              <w:rPr>
                <w:rFonts w:ascii="Times New Roman" w:hAnsi="Times New Roman" w:cs="Times New Roman"/>
                <w:bCs/>
                <w:caps w:val="0"/>
                <w:smallCaps w:val="0"/>
                <w:color w:val="000000" w:themeColor="text1"/>
                <w:spacing w:val="0"/>
                <w:w w:val="100"/>
                <w:kern w:val="2"/>
                <w:position w:val="0"/>
                <w:sz w:val="21"/>
                <w:szCs w:val="21"/>
                <w:vertAlign w:val="superscript"/>
                <w14:textFill>
                  <w14:solidFill>
                    <w14:schemeClr w14:val="tx1"/>
                  </w14:solidFill>
                </w14:textFill>
              </w:rPr>
              <w:t>3</w:t>
            </w:r>
          </w:p>
        </w:tc>
      </w:tr>
      <w:tr w14:paraId="0ECDF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tcBorders>
              <w:right w:val="single" w:color="auto" w:sz="4" w:space="0"/>
            </w:tcBorders>
            <w:vAlign w:val="center"/>
          </w:tcPr>
          <w:p w14:paraId="1B698933">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yellow"/>
                <w14:textFill>
                  <w14:solidFill>
                    <w14:schemeClr w14:val="tx1"/>
                  </w14:solidFill>
                </w14:textFill>
              </w:rPr>
            </w:pPr>
          </w:p>
        </w:tc>
        <w:tc>
          <w:tcPr>
            <w:tcW w:w="683" w:type="pct"/>
            <w:tcBorders>
              <w:left w:val="single" w:color="auto" w:sz="4" w:space="0"/>
            </w:tcBorders>
            <w:vAlign w:val="center"/>
          </w:tcPr>
          <w:p w14:paraId="3AC135BB">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焊接烟尘</w:t>
            </w:r>
          </w:p>
        </w:tc>
        <w:tc>
          <w:tcPr>
            <w:tcW w:w="2495" w:type="pct"/>
            <w:vAlign w:val="center"/>
          </w:tcPr>
          <w:p w14:paraId="2137165C">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由于项目焊接点较少，产生的焊接烟尘量较小，且项目位于室外，空气扩散条件较好</w:t>
            </w:r>
          </w:p>
        </w:tc>
        <w:tc>
          <w:tcPr>
            <w:tcW w:w="1543" w:type="pct"/>
            <w:vMerge w:val="continue"/>
            <w:vAlign w:val="center"/>
          </w:tcPr>
          <w:p w14:paraId="59618F94">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p>
        </w:tc>
      </w:tr>
      <w:tr w14:paraId="6E101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restart"/>
            <w:vAlign w:val="center"/>
          </w:tcPr>
          <w:p w14:paraId="0E9E0349">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废水</w:t>
            </w:r>
          </w:p>
        </w:tc>
        <w:tc>
          <w:tcPr>
            <w:tcW w:w="683" w:type="pct"/>
            <w:vAlign w:val="center"/>
          </w:tcPr>
          <w:p w14:paraId="5EF0CA0E">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施工人员生活污水</w:t>
            </w:r>
          </w:p>
        </w:tc>
        <w:tc>
          <w:tcPr>
            <w:tcW w:w="2495" w:type="pct"/>
            <w:vAlign w:val="center"/>
          </w:tcPr>
          <w:p w14:paraId="56846050">
            <w:pPr>
              <w:snapToGrid w:val="0"/>
              <w:spacing w:line="320" w:lineRule="exact"/>
              <w:ind w:firstLine="420" w:firstLineChars="200"/>
              <w:jc w:val="both"/>
              <w:rPr>
                <w:rFonts w:ascii="Times New Roman" w:hAnsi="Times New Roman" w:cs="Times New Roman"/>
                <w:caps w:val="0"/>
                <w:smallCaps w:val="0"/>
                <w:snapToGrid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bCs/>
                <w:caps w:val="0"/>
                <w:smallCaps w:val="0"/>
                <w:snapToGrid w:val="0"/>
                <w:color w:val="000000" w:themeColor="text1"/>
                <w:spacing w:val="0"/>
                <w:w w:val="100"/>
                <w:kern w:val="2"/>
                <w:position w:val="0"/>
                <w:sz w:val="21"/>
                <w:szCs w:val="21"/>
                <w14:textFill>
                  <w14:solidFill>
                    <w14:schemeClr w14:val="tx1"/>
                  </w14:solidFill>
                </w14:textFill>
              </w:rPr>
              <w:t>排入附近计量间或场站已建防渗旱厕，定期由</w:t>
            </w:r>
            <w:r>
              <w:rPr>
                <w:rFonts w:hint="eastAsia" w:ascii="Times New Roman" w:hAnsi="Times New Roman" w:cs="Times New Roman"/>
                <w:bCs/>
                <w:caps w:val="0"/>
                <w:smallCaps w:val="0"/>
                <w:snapToGrid w:val="0"/>
                <w:color w:val="000000" w:themeColor="text1"/>
                <w:spacing w:val="0"/>
                <w:w w:val="100"/>
                <w:kern w:val="2"/>
                <w:position w:val="0"/>
                <w:sz w:val="21"/>
                <w:szCs w:val="21"/>
                <w:lang w:eastAsia="zh-CN"/>
                <w14:textFill>
                  <w14:solidFill>
                    <w14:schemeClr w14:val="tx1"/>
                  </w14:solidFill>
                </w14:textFill>
              </w:rPr>
              <w:t>安达市同昌油田工程有限公司拉运至大庆市净源环保科技有限公司进行处理</w:t>
            </w:r>
          </w:p>
        </w:tc>
        <w:tc>
          <w:tcPr>
            <w:tcW w:w="1543" w:type="pct"/>
            <w:vAlign w:val="center"/>
          </w:tcPr>
          <w:p w14:paraId="2F6FC61D">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不直接排放</w:t>
            </w:r>
          </w:p>
        </w:tc>
      </w:tr>
      <w:tr w14:paraId="34155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vAlign w:val="center"/>
          </w:tcPr>
          <w:p w14:paraId="79C2AB0C">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p>
        </w:tc>
        <w:tc>
          <w:tcPr>
            <w:tcW w:w="683" w:type="pct"/>
            <w:vAlign w:val="center"/>
          </w:tcPr>
          <w:p w14:paraId="3C28DF46">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新建管线试压废水</w:t>
            </w:r>
          </w:p>
        </w:tc>
        <w:tc>
          <w:tcPr>
            <w:tcW w:w="2495" w:type="pct"/>
            <w:vMerge w:val="restart"/>
            <w:vAlign w:val="center"/>
          </w:tcPr>
          <w:p w14:paraId="070A5A46">
            <w:pPr>
              <w:snapToGrid w:val="0"/>
              <w:spacing w:line="320" w:lineRule="exact"/>
              <w:ind w:firstLine="420" w:firstLineChars="200"/>
              <w:jc w:val="both"/>
              <w:rPr>
                <w:rFonts w:ascii="Times New Roman" w:hAnsi="Times New Roman" w:cs="Times New Roman"/>
                <w:caps w:val="0"/>
                <w:smallCaps w:val="0"/>
                <w:snapToGrid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bCs/>
                <w:caps w:val="0"/>
                <w:smallCaps w:val="0"/>
                <w:snapToGrid w:val="0"/>
                <w:color w:val="000000" w:themeColor="text1"/>
                <w:spacing w:val="0"/>
                <w:w w:val="100"/>
                <w:kern w:val="2"/>
                <w:position w:val="0"/>
                <w:sz w:val="21"/>
                <w:szCs w:val="21"/>
                <w14:textFill>
                  <w14:solidFill>
                    <w14:schemeClr w14:val="tx1"/>
                  </w14:solidFill>
                </w14:textFill>
              </w:rPr>
              <w:t>由罐车拉运至</w:t>
            </w:r>
            <w:r>
              <w:rPr>
                <w:rFonts w:hint="eastAsia" w:ascii="Times New Roman" w:hAnsi="Times New Roman" w:cs="Times New Roman"/>
                <w:bCs/>
                <w:caps w:val="0"/>
                <w:smallCaps w:val="0"/>
                <w:snapToGrid w:val="0"/>
                <w:color w:val="000000" w:themeColor="text1"/>
                <w:spacing w:val="0"/>
                <w:w w:val="100"/>
                <w:kern w:val="2"/>
                <w:position w:val="0"/>
                <w:sz w:val="21"/>
                <w:szCs w:val="21"/>
                <w14:textFill>
                  <w14:solidFill>
                    <w14:schemeClr w14:val="tx1"/>
                  </w14:solidFill>
                </w14:textFill>
              </w:rPr>
              <w:t>卫一联含油污水深度处理站</w:t>
            </w:r>
            <w:r>
              <w:rPr>
                <w:rFonts w:ascii="Times New Roman" w:hAnsi="Times New Roman" w:cs="Times New Roman"/>
                <w:bCs/>
                <w:caps w:val="0"/>
                <w:smallCaps w:val="0"/>
                <w:snapToGrid w:val="0"/>
                <w:color w:val="000000" w:themeColor="text1"/>
                <w:spacing w:val="0"/>
                <w:w w:val="100"/>
                <w:kern w:val="2"/>
                <w:position w:val="0"/>
                <w:sz w:val="21"/>
                <w:szCs w:val="21"/>
                <w14:textFill>
                  <w14:solidFill>
                    <w14:schemeClr w14:val="tx1"/>
                  </w14:solidFill>
                </w14:textFill>
              </w:rPr>
              <w:t>处理满足《大庆油田地面工程建设设计规定》（Q/SYDQ0639-2015）及《碎屑岩油藏注水水质指标技术要求及分析方法》（SY/T5329-2022）限值要求后回注油层</w:t>
            </w:r>
          </w:p>
        </w:tc>
        <w:tc>
          <w:tcPr>
            <w:tcW w:w="1543" w:type="pct"/>
            <w:vMerge w:val="restart"/>
            <w:vAlign w:val="center"/>
          </w:tcPr>
          <w:p w14:paraId="3335DABD">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不外排</w:t>
            </w:r>
          </w:p>
        </w:tc>
      </w:tr>
      <w:tr w14:paraId="4F2A9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vAlign w:val="center"/>
          </w:tcPr>
          <w:p w14:paraId="32C5E6F3">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p>
        </w:tc>
        <w:tc>
          <w:tcPr>
            <w:tcW w:w="683" w:type="pct"/>
            <w:vAlign w:val="center"/>
          </w:tcPr>
          <w:p w14:paraId="6D39C407">
            <w:pPr>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废弃管线清洗废水</w:t>
            </w:r>
          </w:p>
        </w:tc>
        <w:tc>
          <w:tcPr>
            <w:tcW w:w="2495" w:type="pct"/>
            <w:vMerge w:val="continue"/>
            <w:vAlign w:val="center"/>
          </w:tcPr>
          <w:p w14:paraId="5C2232E2">
            <w:pPr>
              <w:snapToGrid w:val="0"/>
              <w:spacing w:line="320" w:lineRule="exact"/>
              <w:ind w:firstLine="420" w:firstLineChars="200"/>
              <w:jc w:val="both"/>
              <w:rPr>
                <w:rFonts w:ascii="Times New Roman" w:hAnsi="Times New Roman" w:cs="Times New Roman"/>
                <w:bCs/>
                <w:caps w:val="0"/>
                <w:smallCaps w:val="0"/>
                <w:snapToGrid w:val="0"/>
                <w:color w:val="000000" w:themeColor="text1"/>
                <w:spacing w:val="0"/>
                <w:w w:val="100"/>
                <w:kern w:val="2"/>
                <w:position w:val="0"/>
                <w:sz w:val="21"/>
                <w:szCs w:val="21"/>
                <w14:textFill>
                  <w14:solidFill>
                    <w14:schemeClr w14:val="tx1"/>
                  </w14:solidFill>
                </w14:textFill>
              </w:rPr>
            </w:pPr>
          </w:p>
        </w:tc>
        <w:tc>
          <w:tcPr>
            <w:tcW w:w="1543" w:type="pct"/>
            <w:vMerge w:val="continue"/>
            <w:vAlign w:val="center"/>
          </w:tcPr>
          <w:p w14:paraId="2706E923">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p>
        </w:tc>
      </w:tr>
      <w:tr w14:paraId="290FF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Align w:val="center"/>
          </w:tcPr>
          <w:p w14:paraId="3141959A">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噪声</w:t>
            </w:r>
          </w:p>
        </w:tc>
        <w:tc>
          <w:tcPr>
            <w:tcW w:w="683" w:type="pct"/>
            <w:vAlign w:val="center"/>
          </w:tcPr>
          <w:p w14:paraId="3C1500C6">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施工场地噪声</w:t>
            </w:r>
          </w:p>
        </w:tc>
        <w:tc>
          <w:tcPr>
            <w:tcW w:w="2495" w:type="pct"/>
            <w:vAlign w:val="center"/>
          </w:tcPr>
          <w:p w14:paraId="0CCB7EE1">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合理安排施工进度，避免大量高噪声设备同时施工；选用低噪声设备；加强施工机械设备维修保养；运输车辆选择避开居民区的路线。</w:t>
            </w:r>
          </w:p>
        </w:tc>
        <w:tc>
          <w:tcPr>
            <w:tcW w:w="1543" w:type="pct"/>
            <w:vAlign w:val="center"/>
          </w:tcPr>
          <w:p w14:paraId="75CF3422">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执行《建筑施工噪声排放标准》（GB12523-2025）中限值要求</w:t>
            </w:r>
          </w:p>
        </w:tc>
      </w:tr>
      <w:tr w14:paraId="3168A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277" w:type="pct"/>
            <w:vMerge w:val="restart"/>
            <w:vAlign w:val="center"/>
          </w:tcPr>
          <w:p w14:paraId="649AEDDE">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固废</w:t>
            </w:r>
          </w:p>
        </w:tc>
        <w:tc>
          <w:tcPr>
            <w:tcW w:w="683" w:type="pct"/>
            <w:vAlign w:val="center"/>
          </w:tcPr>
          <w:p w14:paraId="26A44174">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废弃泥浆</w:t>
            </w:r>
          </w:p>
        </w:tc>
        <w:tc>
          <w:tcPr>
            <w:tcW w:w="2495" w:type="pct"/>
            <w:vAlign w:val="center"/>
          </w:tcPr>
          <w:p w14:paraId="066FD6E3">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排入施工场地的钢制泥浆槽中，定期拉运至大庆洁宇环保科技有限公司处理</w:t>
            </w:r>
          </w:p>
        </w:tc>
        <w:tc>
          <w:tcPr>
            <w:tcW w:w="1543" w:type="pct"/>
            <w:vAlign w:val="center"/>
          </w:tcPr>
          <w:p w14:paraId="0B936A7B">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100%处置</w:t>
            </w:r>
          </w:p>
        </w:tc>
      </w:tr>
      <w:tr w14:paraId="5FDB8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277" w:type="pct"/>
            <w:vMerge w:val="continue"/>
            <w:vAlign w:val="center"/>
          </w:tcPr>
          <w:p w14:paraId="1668CAD4">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p>
        </w:tc>
        <w:tc>
          <w:tcPr>
            <w:tcW w:w="683" w:type="pct"/>
            <w:vAlign w:val="center"/>
          </w:tcPr>
          <w:p w14:paraId="4D39E249">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施工废</w:t>
            </w:r>
            <w:r>
              <w:rPr>
                <w:rFonts w:hint="eastAsia"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和废防渗布</w:t>
            </w: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料</w:t>
            </w:r>
          </w:p>
        </w:tc>
        <w:tc>
          <w:tcPr>
            <w:tcW w:w="2495" w:type="pct"/>
            <w:vAlign w:val="center"/>
          </w:tcPr>
          <w:p w14:paraId="40AAD7FF">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采用收集桶回收，拉运至第八采油厂工业固废填埋场处理</w:t>
            </w:r>
          </w:p>
        </w:tc>
        <w:tc>
          <w:tcPr>
            <w:tcW w:w="1543" w:type="pct"/>
            <w:vAlign w:val="center"/>
          </w:tcPr>
          <w:p w14:paraId="752D246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执行《一般工业固体废物贮存和填埋污染控制标准》（GB 18599-2020）要求</w:t>
            </w:r>
          </w:p>
        </w:tc>
      </w:tr>
      <w:tr w14:paraId="6D52D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vAlign w:val="center"/>
          </w:tcPr>
          <w:p w14:paraId="038FDFF2">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p>
        </w:tc>
        <w:tc>
          <w:tcPr>
            <w:tcW w:w="683" w:type="pct"/>
            <w:vAlign w:val="center"/>
          </w:tcPr>
          <w:p w14:paraId="418EF1EC">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生活垃圾</w:t>
            </w:r>
          </w:p>
        </w:tc>
        <w:tc>
          <w:tcPr>
            <w:tcW w:w="2495" w:type="pct"/>
            <w:vAlign w:val="center"/>
          </w:tcPr>
          <w:p w14:paraId="23E3CE9E">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lang w:bidi="ar"/>
                <w14:textFill>
                  <w14:solidFill>
                    <w14:schemeClr w14:val="tx1"/>
                  </w14:solidFill>
                </w14:textFill>
              </w:rPr>
              <w:t>统一收集后拉运至安达市生活垃圾填埋场处理</w:t>
            </w:r>
          </w:p>
        </w:tc>
        <w:tc>
          <w:tcPr>
            <w:tcW w:w="1543" w:type="pct"/>
            <w:vAlign w:val="center"/>
          </w:tcPr>
          <w:p w14:paraId="757A3BB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100%处置</w:t>
            </w:r>
          </w:p>
        </w:tc>
      </w:tr>
      <w:tr w14:paraId="3DEA5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restart"/>
            <w:tcBorders>
              <w:right w:val="single" w:color="auto" w:sz="4" w:space="0"/>
            </w:tcBorders>
            <w:vAlign w:val="center"/>
          </w:tcPr>
          <w:p w14:paraId="1E4DE5B8">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生态治理</w:t>
            </w:r>
          </w:p>
        </w:tc>
        <w:tc>
          <w:tcPr>
            <w:tcW w:w="683" w:type="pct"/>
            <w:tcBorders>
              <w:top w:val="single" w:color="auto" w:sz="4" w:space="0"/>
              <w:left w:val="single" w:color="auto" w:sz="4" w:space="0"/>
              <w:bottom w:val="single" w:color="auto" w:sz="4" w:space="0"/>
            </w:tcBorders>
            <w:vAlign w:val="center"/>
          </w:tcPr>
          <w:p w14:paraId="2D728B1A">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临时占地</w:t>
            </w:r>
          </w:p>
        </w:tc>
        <w:tc>
          <w:tcPr>
            <w:tcW w:w="2495" w:type="pct"/>
            <w:vAlign w:val="center"/>
          </w:tcPr>
          <w:p w14:paraId="1E4F3452">
            <w:pPr>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项目施工均在临时占地内进行，对施工期间管道开挖产生的临时占用耕地进行表土剥离留存，分层回填和平整，施工结束后及时对临时占用的耕地进行复垦，对临时占用草地进行地表植被恢复。</w:t>
            </w:r>
          </w:p>
        </w:tc>
        <w:tc>
          <w:tcPr>
            <w:tcW w:w="1543" w:type="pct"/>
            <w:vAlign w:val="center"/>
          </w:tcPr>
          <w:p w14:paraId="5F96F964">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施工结束后地表平整，及时恢复地表形态、生态修复</w:t>
            </w:r>
          </w:p>
        </w:tc>
      </w:tr>
      <w:tr w14:paraId="2103F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tcBorders>
              <w:right w:val="single" w:color="auto" w:sz="4" w:space="0"/>
            </w:tcBorders>
            <w:vAlign w:val="center"/>
          </w:tcPr>
          <w:p w14:paraId="61E7D00E">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p>
        </w:tc>
        <w:tc>
          <w:tcPr>
            <w:tcW w:w="683" w:type="pct"/>
            <w:tcBorders>
              <w:top w:val="single" w:color="auto" w:sz="4" w:space="0"/>
              <w:left w:val="single" w:color="auto" w:sz="4" w:space="0"/>
            </w:tcBorders>
            <w:vAlign w:val="center"/>
          </w:tcPr>
          <w:p w14:paraId="1525A339">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水土流失</w:t>
            </w:r>
          </w:p>
        </w:tc>
        <w:tc>
          <w:tcPr>
            <w:tcW w:w="2495" w:type="pct"/>
            <w:vAlign w:val="center"/>
          </w:tcPr>
          <w:p w14:paraId="5FF37807">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 xml:space="preserve">管线施工划定施工活动范围，挖、填方作业尽量做到互补平衡，分层回填，回填后应予以平整、压实；在施工作业带内置土带外侧设表土堆存区，土堆表面覆盖土工布或防尘网。 </w:t>
            </w:r>
          </w:p>
        </w:tc>
        <w:tc>
          <w:tcPr>
            <w:tcW w:w="1543" w:type="pct"/>
            <w:vAlign w:val="center"/>
          </w:tcPr>
          <w:p w14:paraId="1A5098D6">
            <w:pPr>
              <w:snapToGrid w:val="0"/>
              <w:spacing w:line="360" w:lineRule="exact"/>
              <w:jc w:val="center"/>
              <w:rPr>
                <w:rFonts w:ascii="Times New Roman" w:hAnsi="Times New Roman" w:cs="Times New Roman"/>
                <w:caps w:val="0"/>
                <w:smallCaps w:val="0"/>
                <w:color w:val="000000" w:themeColor="text1"/>
                <w:spacing w:val="0"/>
                <w:w w:val="100"/>
                <w:kern w:val="2"/>
                <w:position w:val="0"/>
                <w:sz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14:textFill>
                  <w14:solidFill>
                    <w14:schemeClr w14:val="tx1"/>
                  </w14:solidFill>
                </w14:textFill>
              </w:rPr>
              <w:t>施工过程中采取相应的水土流失防治措施，并留存影响资料</w:t>
            </w:r>
          </w:p>
        </w:tc>
      </w:tr>
      <w:tr w14:paraId="1CE5F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tcBorders>
              <w:right w:val="single" w:color="auto" w:sz="4" w:space="0"/>
            </w:tcBorders>
            <w:vAlign w:val="center"/>
          </w:tcPr>
          <w:p w14:paraId="308C2539">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p>
        </w:tc>
        <w:tc>
          <w:tcPr>
            <w:tcW w:w="683" w:type="pct"/>
            <w:tcBorders>
              <w:top w:val="single" w:color="auto" w:sz="4" w:space="0"/>
              <w:left w:val="single" w:color="auto" w:sz="4" w:space="0"/>
            </w:tcBorders>
            <w:vAlign w:val="center"/>
          </w:tcPr>
          <w:p w14:paraId="0B7CDB18">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防沙治沙</w:t>
            </w:r>
          </w:p>
        </w:tc>
        <w:tc>
          <w:tcPr>
            <w:tcW w:w="2495" w:type="pct"/>
            <w:vAlign w:val="center"/>
          </w:tcPr>
          <w:p w14:paraId="4FEDE3F6">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施工均在临时占地内进行，车辆采用“一” 字型作业法，种植草本植物等措施。</w:t>
            </w:r>
          </w:p>
        </w:tc>
        <w:tc>
          <w:tcPr>
            <w:tcW w:w="1543" w:type="pct"/>
            <w:vAlign w:val="center"/>
          </w:tcPr>
          <w:p w14:paraId="744F2FB4">
            <w:pPr>
              <w:snapToGrid w:val="0"/>
              <w:spacing w:line="360" w:lineRule="exact"/>
              <w:jc w:val="center"/>
              <w:rPr>
                <w:rFonts w:ascii="Times New Roman" w:hAnsi="Times New Roman" w:cs="Times New Roman"/>
                <w:caps w:val="0"/>
                <w:smallCaps w:val="0"/>
                <w:color w:val="000000" w:themeColor="text1"/>
                <w:spacing w:val="0"/>
                <w:w w:val="100"/>
                <w:kern w:val="2"/>
                <w:position w:val="0"/>
                <w:sz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14:textFill>
                  <w14:solidFill>
                    <w14:schemeClr w14:val="tx1"/>
                  </w14:solidFill>
                </w14:textFill>
              </w:rPr>
              <w:t>防治土壤沙化</w:t>
            </w:r>
          </w:p>
        </w:tc>
      </w:tr>
      <w:tr w14:paraId="3C348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Merge w:val="restart"/>
            <w:vAlign w:val="center"/>
          </w:tcPr>
          <w:p w14:paraId="3D283B73">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地下水及土壤防护</w:t>
            </w:r>
          </w:p>
        </w:tc>
        <w:tc>
          <w:tcPr>
            <w:tcW w:w="2495" w:type="pct"/>
            <w:vAlign w:val="center"/>
          </w:tcPr>
          <w:p w14:paraId="4B7D8E6E">
            <w:pPr>
              <w:adjustRightInd w:val="0"/>
              <w:snapToGrid w:val="0"/>
              <w:spacing w:line="320" w:lineRule="exact"/>
              <w:ind w:firstLine="420" w:firstLineChars="200"/>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bCs/>
                <w:caps w:val="0"/>
                <w:smallCaps w:val="0"/>
                <w:snapToGrid w:val="0"/>
                <w:color w:val="000000" w:themeColor="text1"/>
                <w:spacing w:val="0"/>
                <w:w w:val="100"/>
                <w:position w:val="0"/>
                <w:sz w:val="21"/>
                <w:szCs w:val="21"/>
                <w14:textFill>
                  <w14:solidFill>
                    <w14:schemeClr w14:val="tx1"/>
                  </w14:solidFill>
                </w14:textFill>
              </w:rPr>
              <w:t>施工期分区防渗：定向钻施工区域的泥浆罐、钢制泥浆槽为重点防渗，采用地面碾压平整并铺设2mm厚高密度聚乙烯膜进行防渗，渗透系数为1.0×10</w:t>
            </w:r>
            <w:r>
              <w:rPr>
                <w:rFonts w:ascii="Times New Roman" w:hAnsi="Times New Roman" w:cs="Times New Roman" w:eastAsiaTheme="minorEastAsia"/>
                <w:bCs/>
                <w:caps w:val="0"/>
                <w:smallCaps w:val="0"/>
                <w:snapToGrid w:val="0"/>
                <w:color w:val="000000" w:themeColor="text1"/>
                <w:spacing w:val="0"/>
                <w:w w:val="100"/>
                <w:position w:val="0"/>
                <w:sz w:val="21"/>
                <w:szCs w:val="21"/>
                <w:vertAlign w:val="superscript"/>
                <w14:textFill>
                  <w14:solidFill>
                    <w14:schemeClr w14:val="tx1"/>
                  </w14:solidFill>
                </w14:textFill>
              </w:rPr>
              <w:t>-10</w:t>
            </w:r>
            <w:r>
              <w:rPr>
                <w:rFonts w:ascii="Times New Roman" w:hAnsi="Times New Roman" w:cs="Times New Roman" w:eastAsiaTheme="minorEastAsia"/>
                <w:bCs/>
                <w:caps w:val="0"/>
                <w:smallCaps w:val="0"/>
                <w:snapToGrid w:val="0"/>
                <w:color w:val="000000" w:themeColor="text1"/>
                <w:spacing w:val="0"/>
                <w:w w:val="100"/>
                <w:position w:val="0"/>
                <w:sz w:val="21"/>
                <w:szCs w:val="21"/>
                <w14:textFill>
                  <w14:solidFill>
                    <w14:schemeClr w14:val="tx1"/>
                  </w14:solidFill>
                </w14:textFill>
              </w:rPr>
              <w:t>cm/s；施工场地其他区域采用地面碾压平整。</w:t>
            </w:r>
          </w:p>
        </w:tc>
        <w:tc>
          <w:tcPr>
            <w:tcW w:w="1543" w:type="pct"/>
            <w:vAlign w:val="center"/>
          </w:tcPr>
          <w:p w14:paraId="2ACE0221">
            <w:pPr>
              <w:snapToGrid w:val="0"/>
              <w:spacing w:line="360" w:lineRule="exact"/>
              <w:jc w:val="center"/>
              <w:rPr>
                <w:rFonts w:ascii="Times New Roman" w:hAnsi="Times New Roman" w:cs="Times New Roman"/>
                <w:caps w:val="0"/>
                <w:smallCaps w:val="0"/>
                <w:color w:val="000000" w:themeColor="text1"/>
                <w:spacing w:val="0"/>
                <w:w w:val="100"/>
                <w:kern w:val="2"/>
                <w:position w:val="0"/>
                <w:sz w:val="21"/>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14:textFill>
                  <w14:solidFill>
                    <w14:schemeClr w14:val="tx1"/>
                  </w14:solidFill>
                </w14:textFill>
              </w:rPr>
              <w:t>执行《环境影响评价技术导则 地下水环境》（HJ610-2016）中关于分区防渗技术要求</w:t>
            </w:r>
          </w:p>
        </w:tc>
      </w:tr>
      <w:tr w14:paraId="5089A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Merge w:val="continue"/>
            <w:vAlign w:val="center"/>
          </w:tcPr>
          <w:p w14:paraId="45834D40">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yellow"/>
                <w14:textFill>
                  <w14:solidFill>
                    <w14:schemeClr w14:val="tx1"/>
                  </w14:solidFill>
                </w14:textFill>
              </w:rPr>
            </w:pPr>
          </w:p>
        </w:tc>
        <w:tc>
          <w:tcPr>
            <w:tcW w:w="2495" w:type="pct"/>
            <w:vAlign w:val="center"/>
          </w:tcPr>
          <w:p w14:paraId="6A40B206">
            <w:pPr>
              <w:widowControl w:val="0"/>
              <w:spacing w:line="360" w:lineRule="exact"/>
              <w:ind w:firstLine="420" w:firstLineChars="200"/>
              <w:jc w:val="both"/>
              <w:rPr>
                <w:rFonts w:hint="eastAsia" w:ascii="Times New Roman" w:hAnsi="Times New Roman" w:cs="Times New Roman"/>
                <w:bCs/>
                <w:caps w:val="0"/>
                <w:smallCaps w:val="0"/>
                <w:color w:val="000000" w:themeColor="text1"/>
                <w:spacing w:val="0"/>
                <w:w w:val="100"/>
                <w:position w:val="0"/>
                <w:sz w:val="21"/>
                <w:szCs w:val="21"/>
                <w:lang w:val="en-US" w:eastAsia="zh-CN"/>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t>运营期分区防渗：</w:t>
            </w:r>
            <w:r>
              <w:rPr>
                <w:rFonts w:hint="eastAsia" w:ascii="Times New Roman" w:hAnsi="Times New Roman" w:cs="Times New Roman"/>
                <w:bCs/>
                <w:caps w:val="0"/>
                <w:smallCaps w:val="0"/>
                <w:color w:val="000000" w:themeColor="text1"/>
                <w:spacing w:val="0"/>
                <w:w w:val="100"/>
                <w:position w:val="0"/>
                <w:sz w:val="21"/>
                <w:szCs w:val="21"/>
                <w:lang w:val="en-US" w:eastAsia="zh-CN"/>
                <w14:textFill>
                  <w14:solidFill>
                    <w14:schemeClr w14:val="tx1"/>
                  </w14:solidFill>
                </w14:textFill>
              </w:rPr>
              <w:t>防腐采用</w:t>
            </w:r>
            <w:r>
              <w:rPr>
                <w:rFonts w:ascii="Times New Roman" w:hAnsi="Times New Roman" w:cs="Times New Roman"/>
                <w:bCs/>
                <w:caps w:val="0"/>
                <w:smallCaps w:val="0"/>
                <w:color w:val="000000" w:themeColor="text1"/>
                <w:spacing w:val="0"/>
                <w:w w:val="100"/>
                <w:position w:val="0"/>
                <w:sz w:val="21"/>
                <w:szCs w:val="21"/>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position w:val="0"/>
                <w:sz w:val="21"/>
                <w:szCs w:val="21"/>
                <w:lang w:val="en-US" w:eastAsia="zh-CN"/>
                <w14:textFill>
                  <w14:solidFill>
                    <w14:schemeClr w14:val="tx1"/>
                  </w14:solidFill>
                </w14:textFill>
              </w:rPr>
              <w:t>氨酯保温聚乙烯保护成品管</w:t>
            </w:r>
            <w:r>
              <w:rPr>
                <w:rFonts w:hint="eastAsia" w:ascii="Times New Roman" w:hAnsi="Times New Roman" w:cs="Times New Roman"/>
                <w:bCs/>
                <w:caps w:val="0"/>
                <w:smallCaps w:val="0"/>
                <w:color w:val="000000" w:themeColor="text1"/>
                <w:spacing w:val="0"/>
                <w:w w:val="100"/>
                <w:position w:val="0"/>
                <w:sz w:val="21"/>
                <w:szCs w:val="21"/>
                <w:lang w:val="en-US" w:eastAsia="zh-CN"/>
                <w14:textFill>
                  <w14:solidFill>
                    <w14:schemeClr w14:val="tx1"/>
                  </w14:solidFill>
                </w14:textFill>
              </w:rPr>
              <w:t>，套管内外壁防腐采用环氧煤沥青涂料普通级，1底4面。</w:t>
            </w:r>
          </w:p>
          <w:p w14:paraId="59375B07">
            <w:pPr>
              <w:widowControl w:val="0"/>
              <w:spacing w:line="360" w:lineRule="exact"/>
              <w:ind w:firstLine="420" w:firstLineChars="200"/>
              <w:jc w:val="both"/>
              <w:rPr>
                <w:rFonts w:ascii="Times New Roman" w:hAnsi="Times New Roman" w:cs="Times New Roman"/>
                <w:bCs/>
                <w:caps w:val="0"/>
                <w:smallCaps w:val="0"/>
                <w:color w:val="000000" w:themeColor="text1"/>
                <w:spacing w:val="0"/>
                <w:w w:val="100"/>
                <w:kern w:val="2"/>
                <w:position w:val="0"/>
                <w:sz w:val="21"/>
                <w:szCs w:val="21"/>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p>
        </w:tc>
        <w:tc>
          <w:tcPr>
            <w:tcW w:w="1543" w:type="pct"/>
            <w:vAlign w:val="center"/>
          </w:tcPr>
          <w:p w14:paraId="3BAC0006">
            <w:pPr>
              <w:snapToGrid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14:textFill>
                  <w14:solidFill>
                    <w14:schemeClr w14:val="tx1"/>
                  </w14:solidFill>
                </w14:textFill>
              </w:rPr>
              <w:t>执行《环境影响评价技术导则 地下水环境》（HJ610-2016）中关于分区防渗技术要求</w:t>
            </w:r>
          </w:p>
        </w:tc>
      </w:tr>
      <w:tr w14:paraId="37173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Merge w:val="continue"/>
            <w:vAlign w:val="center"/>
          </w:tcPr>
          <w:p w14:paraId="4D2E4D4B">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yellow"/>
                <w14:textFill>
                  <w14:solidFill>
                    <w14:schemeClr w14:val="tx1"/>
                  </w14:solidFill>
                </w14:textFill>
              </w:rPr>
            </w:pPr>
          </w:p>
        </w:tc>
        <w:tc>
          <w:tcPr>
            <w:tcW w:w="2495" w:type="pct"/>
            <w:vAlign w:val="center"/>
          </w:tcPr>
          <w:p w14:paraId="659FEC5D">
            <w:pPr>
              <w:adjustRightInd w:val="0"/>
              <w:snapToGrid w:val="0"/>
              <w:jc w:val="center"/>
              <w:rPr>
                <w:rFonts w:ascii="Times New Roman" w:hAnsi="Times New Roman" w:cs="Times New Roman"/>
                <w:caps w:val="0"/>
                <w:smallCaps w:val="0"/>
                <w:spacing w:val="0"/>
                <w:w w:val="100"/>
                <w:kern w:val="2"/>
                <w:position w:val="0"/>
                <w:sz w:val="21"/>
                <w:szCs w:val="21"/>
                <w:highlight w:val="yellow"/>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本项目区域上游</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新建污水干线东北180m的qx-14监测井</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（坐标</w:t>
            </w:r>
            <w:r>
              <w:rPr>
                <w:rFonts w:hint="eastAsia" w:ascii="Times New Roman" w:hAnsi="Times New Roman" w:cs="Times New Roman"/>
                <w:caps w:val="0"/>
                <w:smallCaps w:val="0"/>
                <w:spacing w:val="0"/>
                <w:w w:val="100"/>
                <w:kern w:val="2"/>
                <w:position w:val="0"/>
                <w:sz w:val="21"/>
                <w:szCs w:val="21"/>
                <w:highlight w:val="yellow"/>
              </w:rPr>
              <w:t>124.56339，46.10128</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作为</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潜水背景值监测水井，下游</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新建污水干线南20m</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处</w:t>
            </w:r>
            <w:r>
              <w:rPr>
                <w:rFonts w:hint="eastAsia" w:ascii="Times New Roman" w:hAnsi="Times New Roman" w:cs="Times New Roman"/>
                <w:caps w:val="0"/>
                <w:smallCaps w:val="0"/>
                <w:spacing w:val="0"/>
                <w:w w:val="100"/>
                <w:kern w:val="24"/>
                <w:position w:val="0"/>
                <w:sz w:val="21"/>
                <w:szCs w:val="21"/>
                <w:highlight w:val="yellow"/>
              </w:rPr>
              <w:t>卫一联监测井2#</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（坐标</w:t>
            </w:r>
            <w:r>
              <w:rPr>
                <w:rFonts w:hint="eastAsia" w:ascii="Times New Roman" w:hAnsi="Times New Roman" w:cs="Times New Roman"/>
                <w:caps w:val="0"/>
                <w:smallCaps w:val="0"/>
                <w:spacing w:val="0"/>
                <w:w w:val="100"/>
                <w:kern w:val="2"/>
                <w:position w:val="0"/>
                <w:sz w:val="21"/>
                <w:szCs w:val="21"/>
                <w:highlight w:val="yellow"/>
              </w:rPr>
              <w:t>124.56231，</w:t>
            </w:r>
          </w:p>
          <w:p w14:paraId="08A9315F">
            <w:pPr>
              <w:adjustRightInd w:val="0"/>
              <w:snapToGrid w:val="0"/>
              <w:jc w:val="center"/>
              <w:rPr>
                <w:rFonts w:ascii="Times New Roman" w:hAnsi="Times New Roman" w:cs="Times New Roman"/>
                <w:caps w:val="0"/>
                <w:smallCaps w:val="0"/>
                <w:spacing w:val="0"/>
                <w:w w:val="100"/>
                <w:kern w:val="2"/>
                <w:position w:val="0"/>
                <w:sz w:val="21"/>
                <w:szCs w:val="21"/>
                <w:highlight w:val="yellow"/>
              </w:rPr>
            </w:pPr>
            <w:r>
              <w:rPr>
                <w:rFonts w:hint="eastAsia" w:ascii="Times New Roman" w:hAnsi="Times New Roman" w:cs="Times New Roman"/>
                <w:caps w:val="0"/>
                <w:smallCaps w:val="0"/>
                <w:spacing w:val="0"/>
                <w:w w:val="100"/>
                <w:kern w:val="2"/>
                <w:position w:val="0"/>
                <w:sz w:val="21"/>
                <w:szCs w:val="21"/>
                <w:highlight w:val="yellow"/>
              </w:rPr>
              <w:t>46.09589</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作为</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潜水跟踪监测水井，在区域</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上游</w:t>
            </w:r>
            <w:r>
              <w:rPr>
                <w:rFonts w:hint="eastAsia" w:ascii="Times New Roman" w:hAnsi="Times New Roman" w:eastAsiaTheme="minorEastAsia"/>
                <w:caps w:val="0"/>
                <w:smallCaps w:val="0"/>
                <w:color w:val="000000" w:themeColor="text1"/>
                <w:spacing w:val="0"/>
                <w:w w:val="100"/>
                <w:position w:val="0"/>
                <w:sz w:val="21"/>
                <w:szCs w:val="21"/>
                <w:highlight w:val="yellow"/>
                <w14:textFill>
                  <w14:solidFill>
                    <w14:schemeClr w14:val="tx1"/>
                  </w14:solidFill>
                </w14:textFill>
              </w:rPr>
              <w:t>卫一转阀组间至3-1#注配间末段供水管道东700m</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处</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的</w:t>
            </w:r>
            <w:r>
              <w:rPr>
                <w:rFonts w:hint="eastAsia" w:ascii="Times New Roman" w:hAnsi="Times New Roman" w:cs="Times New Roman"/>
                <w:caps w:val="0"/>
                <w:smallCaps w:val="0"/>
                <w:spacing w:val="0"/>
                <w:w w:val="100"/>
                <w:position w:val="0"/>
                <w:sz w:val="21"/>
                <w:szCs w:val="21"/>
                <w:highlight w:val="yellow"/>
              </w:rPr>
              <w:t>qx-7监测井</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（坐标</w:t>
            </w:r>
            <w:r>
              <w:rPr>
                <w:rFonts w:hint="eastAsia" w:ascii="Times New Roman" w:hAnsi="Times New Roman" w:cs="Times New Roman"/>
                <w:caps w:val="0"/>
                <w:smallCaps w:val="0"/>
                <w:spacing w:val="0"/>
                <w:w w:val="100"/>
                <w:kern w:val="2"/>
                <w:position w:val="0"/>
                <w:sz w:val="21"/>
                <w:szCs w:val="21"/>
                <w:highlight w:val="yellow"/>
              </w:rPr>
              <w:t>125.01252，</w:t>
            </w:r>
          </w:p>
          <w:p w14:paraId="1489B5C6">
            <w:pPr>
              <w:adjustRightInd w:val="0"/>
              <w:snapToGrid w:val="0"/>
              <w:jc w:val="center"/>
              <w:rPr>
                <w:rFonts w:ascii="Times New Roman" w:hAnsi="Times New Roman" w:cs="Times New Roman"/>
                <w:caps w:val="0"/>
                <w:smallCaps w:val="0"/>
                <w:spacing w:val="0"/>
                <w:w w:val="100"/>
                <w:kern w:val="2"/>
                <w:position w:val="0"/>
                <w:sz w:val="21"/>
                <w:szCs w:val="21"/>
                <w:highlight w:val="yellow"/>
              </w:rPr>
            </w:pPr>
            <w:r>
              <w:rPr>
                <w:rFonts w:hint="eastAsia" w:ascii="Times New Roman" w:hAnsi="Times New Roman" w:cs="Times New Roman"/>
                <w:caps w:val="0"/>
                <w:smallCaps w:val="0"/>
                <w:spacing w:val="0"/>
                <w:w w:val="100"/>
                <w:kern w:val="2"/>
                <w:position w:val="0"/>
                <w:sz w:val="21"/>
                <w:szCs w:val="21"/>
                <w:highlight w:val="yellow"/>
              </w:rPr>
              <w:t>46.11074</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作为</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潜水背景值监测水井，在</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下游</w:t>
            </w:r>
            <w:r>
              <w:rPr>
                <w:rFonts w:hint="eastAsia" w:ascii="Times New Roman" w:hAnsi="Times New Roman" w:eastAsiaTheme="minorEastAsia"/>
                <w:caps w:val="0"/>
                <w:smallCaps w:val="0"/>
                <w:color w:val="000000" w:themeColor="text1"/>
                <w:spacing w:val="0"/>
                <w:w w:val="100"/>
                <w:position w:val="0"/>
                <w:sz w:val="21"/>
                <w:szCs w:val="21"/>
                <w:highlight w:val="yellow"/>
                <w14:textFill>
                  <w14:solidFill>
                    <w14:schemeClr w14:val="tx1"/>
                  </w14:solidFill>
                </w14:textFill>
              </w:rPr>
              <w:t>卫一转阀组间至1-2#注配间供水管道西侧350m</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处</w:t>
            </w:r>
            <w:r>
              <w:rPr>
                <w:rFonts w:hint="eastAsia" w:ascii="Times New Roman" w:hAnsi="Times New Roman" w:cs="Times New Roman"/>
                <w:caps w:val="0"/>
                <w:smallCaps w:val="0"/>
                <w:spacing w:val="0"/>
                <w:w w:val="100"/>
                <w:kern w:val="24"/>
                <w:position w:val="0"/>
                <w:sz w:val="21"/>
                <w:szCs w:val="21"/>
                <w:highlight w:val="yellow"/>
              </w:rPr>
              <w:t>石宝珍屯</w:t>
            </w:r>
            <w:r>
              <w:rPr>
                <w:rFonts w:ascii="Times New Roman" w:hAnsi="Times New Roman" w:cs="Times New Roman"/>
                <w:caps w:val="0"/>
                <w:smallCaps w:val="0"/>
                <w:spacing w:val="0"/>
                <w:w w:val="100"/>
                <w:kern w:val="24"/>
                <w:position w:val="0"/>
                <w:sz w:val="21"/>
                <w:szCs w:val="21"/>
                <w:highlight w:val="yellow"/>
              </w:rPr>
              <w:t>水井</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（坐标</w:t>
            </w:r>
            <w:r>
              <w:rPr>
                <w:rFonts w:hint="eastAsia" w:ascii="Times New Roman" w:hAnsi="Times New Roman" w:cs="Times New Roman"/>
                <w:caps w:val="0"/>
                <w:smallCaps w:val="0"/>
                <w:spacing w:val="0"/>
                <w:w w:val="100"/>
                <w:kern w:val="2"/>
                <w:position w:val="0"/>
                <w:sz w:val="21"/>
                <w:szCs w:val="21"/>
                <w:highlight w:val="yellow"/>
              </w:rPr>
              <w:t>125.00266，</w:t>
            </w:r>
          </w:p>
          <w:p w14:paraId="04581350">
            <w:pPr>
              <w:adjustRightInd w:val="0"/>
              <w:snapToGrid w:val="0"/>
              <w:jc w:val="center"/>
              <w:rPr>
                <w:rFonts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pPr>
            <w:r>
              <w:rPr>
                <w:rFonts w:hint="eastAsia" w:ascii="Times New Roman" w:hAnsi="Times New Roman" w:cs="Times New Roman"/>
                <w:caps w:val="0"/>
                <w:smallCaps w:val="0"/>
                <w:spacing w:val="0"/>
                <w:w w:val="100"/>
                <w:kern w:val="2"/>
                <w:position w:val="0"/>
                <w:sz w:val="21"/>
                <w:szCs w:val="21"/>
                <w:highlight w:val="yellow"/>
              </w:rPr>
              <w:t>46.09489</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）布设1口</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潜</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水跟踪监测水井，定期对地下水进行跟踪监测</w:t>
            </w:r>
            <w: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，监测因子为pH、石油类、石油烃（C</w:t>
            </w:r>
            <w:r>
              <w:rPr>
                <w:rFonts w:ascii="Times New Roman" w:hAnsi="Times New Roman" w:cs="Times New Roman" w:eastAsiaTheme="minorEastAsia"/>
                <w:caps w:val="0"/>
                <w:smallCaps w:val="0"/>
                <w:color w:val="000000" w:themeColor="text1"/>
                <w:spacing w:val="0"/>
                <w:w w:val="100"/>
                <w:kern w:val="2"/>
                <w:position w:val="0"/>
                <w:sz w:val="21"/>
                <w:szCs w:val="21"/>
                <w:highlight w:val="yellow"/>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
                <w:position w:val="0"/>
                <w:sz w:val="21"/>
                <w:szCs w:val="21"/>
                <w:highlight w:val="yellow"/>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
                <w:position w:val="0"/>
                <w:sz w:val="21"/>
                <w:szCs w:val="21"/>
                <w:highlight w:val="yellow"/>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
                <w:position w:val="0"/>
                <w:sz w:val="21"/>
                <w:szCs w:val="21"/>
                <w:highlight w:val="yellow"/>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）、砷、六价铬、挥发酚、氨氮、耗氧量</w:t>
            </w:r>
          </w:p>
        </w:tc>
        <w:tc>
          <w:tcPr>
            <w:tcW w:w="1543" w:type="pct"/>
            <w:vAlign w:val="center"/>
          </w:tcPr>
          <w:p w14:paraId="41E9881A">
            <w:pPr>
              <w:snapToGrid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t>执行《地下水质量标准》（GB/T14848-2017）III类标准，石油类执行《地表水环境质量标准》（GB3838-2002）表1中的II类标准限值要求</w:t>
            </w:r>
          </w:p>
        </w:tc>
      </w:tr>
      <w:tr w14:paraId="3568C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Merge w:val="continue"/>
            <w:vAlign w:val="center"/>
          </w:tcPr>
          <w:p w14:paraId="106A34C1">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yellow"/>
                <w14:textFill>
                  <w14:solidFill>
                    <w14:schemeClr w14:val="tx1"/>
                  </w14:solidFill>
                </w14:textFill>
              </w:rPr>
            </w:pPr>
          </w:p>
        </w:tc>
        <w:tc>
          <w:tcPr>
            <w:tcW w:w="2495" w:type="pct"/>
            <w:vAlign w:val="center"/>
          </w:tcPr>
          <w:p w14:paraId="55767786">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14:textFill>
                  <w14:solidFill>
                    <w14:schemeClr w14:val="tx1"/>
                  </w14:solidFill>
                </w14:textFill>
              </w:rPr>
              <w:t>在</w:t>
            </w:r>
            <w:r>
              <w:rPr>
                <w:rFonts w:hint="eastAsia" w:ascii="Times New Roman" w:hAnsi="Times New Roman" w:eastAsiaTheme="minorEastAsia"/>
                <w:caps w:val="0"/>
                <w:smallCaps w:val="0"/>
                <w:color w:val="000000" w:themeColor="text1"/>
                <w:spacing w:val="0"/>
                <w:w w:val="100"/>
                <w:position w:val="0"/>
                <w:sz w:val="21"/>
                <w:szCs w:val="21"/>
                <w:highlight w:val="yellow"/>
                <w14:textFill>
                  <w14:solidFill>
                    <w14:schemeClr w14:val="tx1"/>
                  </w14:solidFill>
                </w14:textFill>
              </w:rPr>
              <w:t>管道</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西侧</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临时占</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耕</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地内</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14:textFill>
                  <w14:solidFill>
                    <w14:schemeClr w14:val="tx1"/>
                  </w14:solidFill>
                </w14:textFill>
              </w:rPr>
              <w:t>各布设1个土壤跟踪监测点，定期对土壤进行跟踪监测，监测因子为pH、石油类、石油烃（C</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vertAlign w:val="subscript"/>
                <w14:textFill>
                  <w14:solidFill>
                    <w14:schemeClr w14:val="tx1"/>
                  </w14:solidFill>
                </w14:textFill>
              </w:rPr>
              <w:t>6</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14:textFill>
                  <w14:solidFill>
                    <w14:schemeClr w14:val="tx1"/>
                  </w14:solidFill>
                </w14:textFill>
              </w:rPr>
              <w:t>~C</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vertAlign w:val="subscript"/>
                <w14:textFill>
                  <w14:solidFill>
                    <w14:schemeClr w14:val="tx1"/>
                  </w14:solidFill>
                </w14:textFill>
              </w:rPr>
              <w:t>9</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14:textFill>
                  <w14:solidFill>
                    <w14:schemeClr w14:val="tx1"/>
                  </w14:solidFill>
                </w14:textFill>
              </w:rPr>
              <w:t>）、石油烃（C</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vertAlign w:val="subscript"/>
                <w14:textFill>
                  <w14:solidFill>
                    <w14:schemeClr w14:val="tx1"/>
                  </w14:solidFill>
                </w14:textFill>
              </w:rPr>
              <w:t>10</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14:textFill>
                  <w14:solidFill>
                    <w14:schemeClr w14:val="tx1"/>
                  </w14:solidFill>
                </w14:textFill>
              </w:rPr>
              <w:t>~C</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vertAlign w:val="subscript"/>
                <w14:textFill>
                  <w14:solidFill>
                    <w14:schemeClr w14:val="tx1"/>
                  </w14:solidFill>
                </w14:textFill>
              </w:rPr>
              <w:t>40</w:t>
            </w:r>
            <w:r>
              <w:rPr>
                <w:rFonts w:ascii="Times New Roman" w:hAnsi="Times New Roman" w:cs="Times New Roman" w:eastAsiaTheme="minorEastAsia"/>
                <w:bCs/>
                <w:caps w:val="0"/>
                <w:smallCaps w:val="0"/>
                <w:color w:val="000000" w:themeColor="text1"/>
                <w:spacing w:val="0"/>
                <w:w w:val="100"/>
                <w:kern w:val="21"/>
                <w:position w:val="0"/>
                <w:sz w:val="21"/>
                <w:szCs w:val="21"/>
                <w:highlight w:val="yellow"/>
                <w14:textFill>
                  <w14:solidFill>
                    <w14:schemeClr w14:val="tx1"/>
                  </w14:solidFill>
                </w14:textFill>
              </w:rPr>
              <w:t>）、汞、砷、六价铬，监测频次为1次/年。</w:t>
            </w:r>
          </w:p>
        </w:tc>
        <w:tc>
          <w:tcPr>
            <w:tcW w:w="1543" w:type="pct"/>
            <w:vAlign w:val="center"/>
          </w:tcPr>
          <w:p w14:paraId="3CD43E59">
            <w:pPr>
              <w:snapToGrid w:val="0"/>
              <w:spacing w:line="360" w:lineRule="exact"/>
              <w:jc w:val="center"/>
              <w:rPr>
                <w:rFonts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t>《土壤环境质量 农用地土壤污染风险管控标准（试行）》（GB15618-2018）表1基本项目筛选值标准，石油烃（C</w:t>
            </w:r>
            <w:r>
              <w:rPr>
                <w:rFonts w:ascii="Times New Roman" w:hAnsi="Times New Roman" w:cs="Times New Roman"/>
                <w:caps w:val="0"/>
                <w:smallCaps w:val="0"/>
                <w:color w:val="000000" w:themeColor="text1"/>
                <w:spacing w:val="0"/>
                <w:w w:val="100"/>
                <w:kern w:val="2"/>
                <w:position w:val="0"/>
                <w:sz w:val="21"/>
                <w:highlight w:val="yellow"/>
                <w:vertAlign w:val="subscript"/>
                <w14:textFill>
                  <w14:solidFill>
                    <w14:schemeClr w14:val="tx1"/>
                  </w14:solidFill>
                </w14:textFill>
              </w:rPr>
              <w:t>10</w:t>
            </w:r>
            <w:r>
              <w:rPr>
                <w:rFonts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highlight w:val="yellow"/>
                <w:vertAlign w:val="subscript"/>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t>）参照执行《土壤环境质量 建设用地土壤污染风险管控标准（试行）》（GB36600-2018）表2中第</w:t>
            </w:r>
            <w:r>
              <w:rPr>
                <w:rFonts w:hint="eastAsia"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t>二</w:t>
            </w:r>
            <w:r>
              <w:rPr>
                <w:rFonts w:ascii="Times New Roman" w:hAnsi="Times New Roman" w:cs="Times New Roman"/>
                <w:caps w:val="0"/>
                <w:smallCaps w:val="0"/>
                <w:color w:val="000000" w:themeColor="text1"/>
                <w:spacing w:val="0"/>
                <w:w w:val="100"/>
                <w:kern w:val="2"/>
                <w:position w:val="0"/>
                <w:sz w:val="21"/>
                <w:highlight w:val="yellow"/>
                <w14:textFill>
                  <w14:solidFill>
                    <w14:schemeClr w14:val="tx1"/>
                  </w14:solidFill>
                </w14:textFill>
              </w:rPr>
              <w:t>类用地风险筛选值</w:t>
            </w:r>
          </w:p>
        </w:tc>
      </w:tr>
      <w:tr w14:paraId="44089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Align w:val="center"/>
          </w:tcPr>
          <w:p w14:paraId="0EC254E8">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风险防控</w:t>
            </w:r>
          </w:p>
        </w:tc>
        <w:tc>
          <w:tcPr>
            <w:tcW w:w="4038" w:type="pct"/>
            <w:gridSpan w:val="2"/>
            <w:vAlign w:val="center"/>
          </w:tcPr>
          <w:p w14:paraId="50400B91">
            <w:pPr>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加强对管线的检测频次；安排巡检人员定期对</w:t>
            </w:r>
            <w:r>
              <w:rPr>
                <w:rFonts w:hint="eastAsia" w:eastAsiaTheme="minorEastAsia"/>
                <w:bCs/>
                <w:color w:val="000000" w:themeColor="text1"/>
                <w:sz w:val="24"/>
                <w:highlight w:val="none"/>
                <w:lang w:val="en-US" w:eastAsia="zh-CN"/>
                <w14:textFill>
                  <w14:solidFill>
                    <w14:schemeClr w14:val="tx1"/>
                  </w14:solidFill>
                </w14:textFill>
              </w:rPr>
              <w:t>集输</w:t>
            </w: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管线进行巡检，并形成巡检记录。配备应急物资及应急设施，确保事故状态下应急物资可正常使用。</w:t>
            </w:r>
          </w:p>
        </w:tc>
      </w:tr>
    </w:tbl>
    <w:p w14:paraId="62AD68F0">
      <w:pPr>
        <w:pStyle w:val="149"/>
        <w:widowControl w:val="0"/>
        <w:spacing w:line="440" w:lineRule="exact"/>
        <w:ind w:firstLine="482"/>
        <w:rPr>
          <w:rFonts w:ascii="Times New Roman" w:hAnsi="Times New Roman" w:eastAsiaTheme="minorEastAsia"/>
          <w:b/>
          <w:caps w:val="0"/>
          <w:smallCaps w:val="0"/>
          <w:color w:val="000000" w:themeColor="text1"/>
          <w:spacing w:val="0"/>
          <w:w w:val="100"/>
          <w:kern w:val="21"/>
          <w:position w:val="0"/>
          <w14:textFill>
            <w14:solidFill>
              <w14:schemeClr w14:val="tx1"/>
            </w14:solidFill>
          </w14:textFill>
        </w:rPr>
      </w:pPr>
      <w:r>
        <w:rPr>
          <w:rFonts w:ascii="Times New Roman" w:hAnsi="Times New Roman" w:eastAsiaTheme="minorEastAsia"/>
          <w:b/>
          <w:caps w:val="0"/>
          <w:smallCaps w:val="0"/>
          <w:color w:val="000000" w:themeColor="text1"/>
          <w:spacing w:val="0"/>
          <w:w w:val="100"/>
          <w:kern w:val="21"/>
          <w:position w:val="0"/>
          <w14:textFill>
            <w14:solidFill>
              <w14:schemeClr w14:val="tx1"/>
            </w14:solidFill>
          </w14:textFill>
        </w:rPr>
        <w:t>表6.2-2    竣工</w:t>
      </w:r>
      <w:r>
        <w:rPr>
          <w:rFonts w:ascii="Times New Roman" w:hAnsi="Times New Roman"/>
          <w:b/>
          <w:caps w:val="0"/>
          <w:smallCaps w:val="0"/>
          <w:color w:val="000000" w:themeColor="text1"/>
          <w:spacing w:val="0"/>
          <w:w w:val="100"/>
          <w:kern w:val="2"/>
          <w:position w:val="0"/>
          <w14:textFill>
            <w14:solidFill>
              <w14:schemeClr w14:val="tx1"/>
            </w14:solidFill>
          </w14:textFill>
        </w:rPr>
        <w:t>验收</w:t>
      </w:r>
      <w:r>
        <w:rPr>
          <w:rFonts w:ascii="Times New Roman" w:hAnsi="Times New Roman" w:eastAsiaTheme="minorEastAsia"/>
          <w:b/>
          <w:caps w:val="0"/>
          <w:smallCaps w:val="0"/>
          <w:color w:val="000000" w:themeColor="text1"/>
          <w:spacing w:val="0"/>
          <w:w w:val="100"/>
          <w:kern w:val="21"/>
          <w:position w:val="0"/>
          <w14:textFill>
            <w14:solidFill>
              <w14:schemeClr w14:val="tx1"/>
            </w14:solidFill>
          </w14:textFill>
        </w:rPr>
        <w:t>监测与调查主要内容</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46"/>
        <w:gridCol w:w="6240"/>
      </w:tblGrid>
      <w:tr w14:paraId="7ECC3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319FA4DE">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项目</w:t>
            </w:r>
          </w:p>
        </w:tc>
        <w:tc>
          <w:tcPr>
            <w:tcW w:w="6089" w:type="dxa"/>
            <w:vAlign w:val="center"/>
          </w:tcPr>
          <w:p w14:paraId="54849EC8">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内容</w:t>
            </w:r>
          </w:p>
        </w:tc>
      </w:tr>
      <w:tr w14:paraId="7B62C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7BB730C5">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环境保护管理检查</w:t>
            </w:r>
          </w:p>
        </w:tc>
        <w:tc>
          <w:tcPr>
            <w:tcW w:w="6089" w:type="dxa"/>
            <w:vAlign w:val="center"/>
          </w:tcPr>
          <w:p w14:paraId="3DD6FADD">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项目各阶段环境保护法律、法规、规章制度的执行情况</w:t>
            </w:r>
          </w:p>
        </w:tc>
      </w:tr>
      <w:tr w14:paraId="72E07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18BFF5FD">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174CA847">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环境保护审批手续及环境保护档案资料</w:t>
            </w:r>
          </w:p>
        </w:tc>
      </w:tr>
      <w:tr w14:paraId="2A6D5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2917992C">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095C0661">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环保组织机构及规章管理制度</w:t>
            </w:r>
          </w:p>
        </w:tc>
      </w:tr>
      <w:tr w14:paraId="2F4FB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40E63433">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5A6D5481">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环保设施建成及运行情况，生态恢复、占地补偿等措施的落实情况</w:t>
            </w:r>
          </w:p>
        </w:tc>
      </w:tr>
      <w:tr w14:paraId="76B9C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2095A8E8">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287DA1ED">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本项目环评报告及其批复提出的环保措施落实情况及其效果</w:t>
            </w:r>
          </w:p>
        </w:tc>
      </w:tr>
      <w:tr w14:paraId="04F32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50DAB456">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714526EC">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运行期环境保护监测计划实施情况</w:t>
            </w:r>
          </w:p>
        </w:tc>
      </w:tr>
      <w:tr w14:paraId="14356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7FA74AD5">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4FEEB8D3">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本项目事故风险的环保应急计划，包括物质配备、防范措施，应急处置等</w:t>
            </w:r>
          </w:p>
        </w:tc>
      </w:tr>
      <w:tr w14:paraId="46B0A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5F1B23E3">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2F3CB320">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施工期扰民现象的调查</w:t>
            </w:r>
          </w:p>
        </w:tc>
      </w:tr>
      <w:tr w14:paraId="7FAB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034AFD9B">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6EEFC6D2">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固体废物种类、产生量、处理处置情况、综合利用情况</w:t>
            </w:r>
          </w:p>
        </w:tc>
      </w:tr>
      <w:tr w14:paraId="01CE3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6E1791FB">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污染物达标排放监测</w:t>
            </w:r>
          </w:p>
        </w:tc>
        <w:tc>
          <w:tcPr>
            <w:tcW w:w="6089" w:type="dxa"/>
            <w:vAlign w:val="center"/>
          </w:tcPr>
          <w:p w14:paraId="194832B6">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事故时对大气，地下水、土壤等进行事故监测</w:t>
            </w:r>
          </w:p>
        </w:tc>
      </w:tr>
      <w:tr w14:paraId="74E96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5E773606">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环境保护敏感点环境质量监测</w:t>
            </w:r>
          </w:p>
        </w:tc>
        <w:tc>
          <w:tcPr>
            <w:tcW w:w="6089" w:type="dxa"/>
            <w:vAlign w:val="center"/>
          </w:tcPr>
          <w:p w14:paraId="1E60715B">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区域内的环境空气、地下水以及生态环境质量</w:t>
            </w:r>
          </w:p>
        </w:tc>
      </w:tr>
      <w:tr w14:paraId="10980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3A0C3FE3">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生态调查主要内容</w:t>
            </w:r>
          </w:p>
        </w:tc>
        <w:tc>
          <w:tcPr>
            <w:tcW w:w="6089" w:type="dxa"/>
            <w:vAlign w:val="center"/>
          </w:tcPr>
          <w:p w14:paraId="02FBCA99">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项目在施工、运行期落实环境影响评价、工程设计文件以及各级环境保护行政主管部门批复文件中生态保护措施的情况</w:t>
            </w:r>
          </w:p>
        </w:tc>
      </w:tr>
      <w:tr w14:paraId="34BE4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4833390">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285DE245">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耕地植被恢复、耕地补偿措施、草地植被恢复、草地补偿措施</w:t>
            </w:r>
          </w:p>
        </w:tc>
      </w:tr>
      <w:tr w14:paraId="3CB82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0360970D">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p>
        </w:tc>
        <w:tc>
          <w:tcPr>
            <w:tcW w:w="6089" w:type="dxa"/>
            <w:vAlign w:val="center"/>
          </w:tcPr>
          <w:p w14:paraId="2B8F8A44">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针对水土流失、防沙治沙环境破坏或潜在环境影响提出补救措施的落实情况</w:t>
            </w:r>
          </w:p>
        </w:tc>
      </w:tr>
    </w:tbl>
    <w:p w14:paraId="7F38B1AF">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14:textFill>
            <w14:solidFill>
              <w14:schemeClr w14:val="tx1"/>
            </w14:solidFill>
          </w14:textFill>
        </w:rPr>
        <w:sectPr>
          <w:type w:val="nextColumn"/>
          <w:pgSz w:w="11906" w:h="16838"/>
          <w:pgMar w:top="1418" w:right="1418" w:bottom="1418" w:left="1418" w:header="851" w:footer="425" w:gutter="0"/>
          <w:cols w:space="720" w:num="1"/>
          <w:docGrid w:linePitch="326" w:charSpace="0"/>
        </w:sectPr>
      </w:pPr>
    </w:p>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14:paraId="392825DD">
      <w:pPr>
        <w:pStyle w:val="3"/>
        <w:widowControl w:val="0"/>
        <w:spacing w:before="180" w:after="180" w:line="440" w:lineRule="exact"/>
        <w:rPr>
          <w:rFonts w:ascii="Times New Roman" w:hAnsi="Times New Roman" w:eastAsiaTheme="minorEastAsia"/>
          <w:b/>
          <w:caps w:val="0"/>
          <w:smallCaps w:val="0"/>
          <w:snapToGrid w:val="0"/>
          <w:color w:val="000000" w:themeColor="text1"/>
          <w:spacing w:val="0"/>
          <w:w w:val="100"/>
          <w:position w:val="0"/>
          <w:sz w:val="30"/>
          <w:szCs w:val="30"/>
          <w14:textFill>
            <w14:solidFill>
              <w14:schemeClr w14:val="tx1"/>
            </w14:solidFill>
          </w14:textFill>
        </w:rPr>
      </w:pPr>
      <w:r>
        <w:rPr>
          <w:rFonts w:ascii="Times New Roman" w:hAnsi="Times New Roman" w:eastAsiaTheme="minorEastAsia"/>
          <w:b/>
          <w:caps w:val="0"/>
          <w:smallCaps w:val="0"/>
          <w:snapToGrid w:val="0"/>
          <w:color w:val="000000" w:themeColor="text1"/>
          <w:spacing w:val="0"/>
          <w:w w:val="100"/>
          <w:position w:val="0"/>
          <w:sz w:val="30"/>
          <w:szCs w:val="30"/>
          <w14:textFill>
            <w14:solidFill>
              <w14:schemeClr w14:val="tx1"/>
            </w14:solidFill>
          </w14:textFill>
        </w:rPr>
        <w:t>7环境影响经济损益分析</w:t>
      </w:r>
      <w:bookmarkEnd w:id="964"/>
      <w:bookmarkEnd w:id="965"/>
      <w:bookmarkEnd w:id="966"/>
    </w:p>
    <w:p w14:paraId="053A011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的建设必将在一定程度上促进当地的社会经济发展，但也必然会对拟建地和周围环境产生一定的不利影响。在建设中采取必要的环境保护措施可以减缓工程建设对环境所造成的不利影响和经济损失。本章通过对该项目的社会、经济、环境效益以及环境损失的分析，对该项目的环境经济损益状况作简要分析。</w:t>
      </w:r>
    </w:p>
    <w:p w14:paraId="17E3536C">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006" w:name="_Toc186444387"/>
      <w:bookmarkStart w:id="1007" w:name="_Toc219900408"/>
      <w:bookmarkStart w:id="1008" w:name="_Toc173163557"/>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7.1环境损失费估算</w:t>
      </w:r>
      <w:bookmarkEnd w:id="1006"/>
      <w:bookmarkEnd w:id="1007"/>
      <w:bookmarkEnd w:id="1008"/>
    </w:p>
    <w:p w14:paraId="1E6B444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本项目管道敷设需要临时占用一定面积土地，而且由此产生的污染物对周围环境也会造成一定污染，因此引起的环境损失费往往很难直接用经济价值来计算，因此，我们仅用植被损失费来估算。</w:t>
      </w:r>
    </w:p>
    <w:p w14:paraId="1EDAB870">
      <w:pPr>
        <w:widowControl w:val="0"/>
        <w:spacing w:line="440" w:lineRule="exact"/>
        <w:ind w:firstLine="480" w:firstLineChars="200"/>
        <w:jc w:val="both"/>
        <w:rPr>
          <w:rFonts w:ascii="Times New Roman" w:hAnsi="Times New Roman" w:cs="Times New Roman"/>
          <w:kern w:val="2"/>
          <w:szCs w:val="28"/>
        </w:rPr>
      </w:pPr>
      <w:r>
        <w:rPr>
          <w:rFonts w:ascii="Times New Roman" w:hAnsi="Times New Roman" w:cs="Times New Roman"/>
        </w:rPr>
        <w:t>本项目损失主要为草地和耕地的损失，</w:t>
      </w:r>
      <w:r>
        <w:rPr>
          <w:rFonts w:ascii="Times New Roman" w:hAnsi="Times New Roman" w:cs="Times New Roman"/>
          <w:kern w:val="2"/>
          <w:szCs w:val="28"/>
        </w:rPr>
        <w:t>本项目临时占用耕地</w:t>
      </w:r>
      <w:r>
        <w:rPr>
          <w:rFonts w:hint="eastAsia" w:ascii="Times New Roman" w:hAnsi="Times New Roman" w:cs="Times New Roman"/>
          <w:kern w:val="2"/>
          <w:szCs w:val="28"/>
          <w:lang w:val="en-US" w:eastAsia="zh-CN"/>
        </w:rPr>
        <w:t>16.96</w:t>
      </w:r>
      <w:r>
        <w:rPr>
          <w:rFonts w:ascii="Times New Roman" w:hAnsi="Times New Roman" w:cs="Times New Roman"/>
          <w:kern w:val="2"/>
          <w:szCs w:val="28"/>
        </w:rPr>
        <w:t>hm</w:t>
      </w:r>
      <w:r>
        <w:rPr>
          <w:rFonts w:ascii="Times New Roman" w:hAnsi="Times New Roman" w:cs="Times New Roman"/>
          <w:kern w:val="2"/>
          <w:szCs w:val="28"/>
          <w:vertAlign w:val="superscript"/>
        </w:rPr>
        <w:t>2</w:t>
      </w:r>
      <w:r>
        <w:rPr>
          <w:rFonts w:hint="eastAsia" w:ascii="Times New Roman" w:hAnsi="Times New Roman" w:cs="Times New Roman"/>
          <w:kern w:val="2"/>
          <w:szCs w:val="28"/>
        </w:rPr>
        <w:t>，</w:t>
      </w:r>
      <w:r>
        <w:rPr>
          <w:rFonts w:ascii="Times New Roman" w:hAnsi="Times New Roman" w:cs="Times New Roman"/>
          <w:kern w:val="2"/>
          <w:szCs w:val="28"/>
        </w:rPr>
        <w:t>临时占用</w:t>
      </w:r>
      <w:r>
        <w:rPr>
          <w:rFonts w:hint="eastAsia" w:ascii="Times New Roman" w:hAnsi="Times New Roman" w:cs="Times New Roman"/>
          <w:kern w:val="2"/>
          <w:szCs w:val="28"/>
        </w:rPr>
        <w:t>草</w:t>
      </w:r>
      <w:r>
        <w:rPr>
          <w:rFonts w:ascii="Times New Roman" w:hAnsi="Times New Roman" w:cs="Times New Roman"/>
          <w:kern w:val="2"/>
          <w:szCs w:val="28"/>
        </w:rPr>
        <w:t>地</w:t>
      </w:r>
      <w:r>
        <w:rPr>
          <w:rFonts w:hint="eastAsia" w:ascii="Times New Roman" w:hAnsi="Times New Roman" w:cs="Times New Roman"/>
          <w:kern w:val="2"/>
          <w:szCs w:val="28"/>
        </w:rPr>
        <w:t>4.</w:t>
      </w:r>
      <w:r>
        <w:rPr>
          <w:rFonts w:hint="eastAsia" w:ascii="Times New Roman" w:hAnsi="Times New Roman" w:cs="Times New Roman"/>
          <w:kern w:val="2"/>
          <w:szCs w:val="28"/>
          <w:lang w:val="en-US" w:eastAsia="zh-CN"/>
        </w:rPr>
        <w:t>92</w:t>
      </w:r>
      <w:r>
        <w:rPr>
          <w:rFonts w:ascii="Times New Roman" w:hAnsi="Times New Roman" w:cs="Times New Roman"/>
          <w:kern w:val="2"/>
          <w:szCs w:val="28"/>
        </w:rPr>
        <w:t>hm</w:t>
      </w:r>
      <w:r>
        <w:rPr>
          <w:rFonts w:ascii="Times New Roman" w:hAnsi="Times New Roman" w:cs="Times New Roman"/>
          <w:kern w:val="2"/>
          <w:szCs w:val="28"/>
          <w:vertAlign w:val="superscript"/>
        </w:rPr>
        <w:t>2</w:t>
      </w:r>
      <w:r>
        <w:rPr>
          <w:rFonts w:ascii="Times New Roman" w:hAnsi="Times New Roman" w:cs="Times New Roman"/>
          <w:kern w:val="2"/>
          <w:szCs w:val="28"/>
        </w:rPr>
        <w:t>。耕地农作物主要为玉米，为大田作物，草地为天然草。</w:t>
      </w:r>
    </w:p>
    <w:p w14:paraId="47E25D9B">
      <w:pPr>
        <w:widowControl w:val="0"/>
        <w:spacing w:line="440" w:lineRule="exact"/>
        <w:ind w:firstLine="480" w:firstLineChars="200"/>
        <w:jc w:val="both"/>
        <w:rPr>
          <w:rFonts w:ascii="Times New Roman" w:hAnsi="Times New Roman" w:cs="Times New Roman"/>
          <w:kern w:val="2"/>
          <w:szCs w:val="28"/>
        </w:rPr>
      </w:pPr>
      <w:r>
        <w:rPr>
          <w:rFonts w:ascii="Times New Roman" w:hAnsi="Times New Roman" w:cs="Times New Roman"/>
        </w:rPr>
        <w:t>根据《</w:t>
      </w:r>
      <w:r>
        <w:rPr>
          <w:rFonts w:hint="eastAsia" w:ascii="Times New Roman" w:hAnsi="Times New Roman" w:cs="Times New Roman"/>
        </w:rPr>
        <w:t>绥化市</w:t>
      </w:r>
      <w:r>
        <w:rPr>
          <w:rFonts w:ascii="Times New Roman" w:hAnsi="Times New Roman" w:cs="Times New Roman"/>
        </w:rPr>
        <w:t>人民政府关于公布</w:t>
      </w:r>
      <w:r>
        <w:rPr>
          <w:rFonts w:hint="eastAsia" w:ascii="Times New Roman" w:hAnsi="Times New Roman"/>
        </w:rPr>
        <w:t>征地区片综合地价标准的通告</w:t>
      </w:r>
      <w:r>
        <w:rPr>
          <w:rFonts w:ascii="Times New Roman" w:hAnsi="Times New Roman" w:cs="Times New Roman"/>
        </w:rPr>
        <w:t>》和《</w:t>
      </w:r>
      <w:r>
        <w:rPr>
          <w:rFonts w:hint="eastAsia" w:ascii="Times New Roman" w:hAnsi="Times New Roman"/>
        </w:rPr>
        <w:t>绥化市土地征收中地上附着物确认和补偿标准暂行规定</w:t>
      </w:r>
      <w:r>
        <w:rPr>
          <w:rFonts w:ascii="Times New Roman" w:hAnsi="Times New Roman" w:cs="Times New Roman"/>
        </w:rPr>
        <w:t>》，青苗补偿标准为征地区片综合地价的</w:t>
      </w:r>
      <w:r>
        <w:rPr>
          <w:rFonts w:hint="eastAsia" w:ascii="Times New Roman" w:hAnsi="Times New Roman" w:cs="Times New Roman"/>
        </w:rPr>
        <w:t>6</w:t>
      </w:r>
      <w:r>
        <w:rPr>
          <w:rFonts w:ascii="Times New Roman" w:hAnsi="Times New Roman" w:cs="Times New Roman"/>
        </w:rPr>
        <w:t>%，即</w:t>
      </w:r>
      <w:r>
        <w:rPr>
          <w:rFonts w:hint="eastAsia" w:ascii="Times New Roman" w:hAnsi="Times New Roman" w:cs="Times New Roman"/>
        </w:rPr>
        <w:t>3.12</w:t>
      </w:r>
      <w:r>
        <w:rPr>
          <w:rFonts w:ascii="Times New Roman" w:hAnsi="Times New Roman" w:cs="Times New Roman"/>
        </w:rPr>
        <w:t>元/m</w:t>
      </w:r>
      <w:r>
        <w:rPr>
          <w:rFonts w:ascii="Times New Roman" w:hAnsi="Times New Roman" w:cs="Times New Roman"/>
          <w:vertAlign w:val="superscript"/>
        </w:rPr>
        <w:t>2</w:t>
      </w:r>
      <w:r>
        <w:rPr>
          <w:rFonts w:ascii="Times New Roman" w:hAnsi="Times New Roman" w:cs="Times New Roman"/>
        </w:rPr>
        <w:t>；天然草的补偿标准参考大庆市标准为0.37元/m</w:t>
      </w:r>
      <w:r>
        <w:rPr>
          <w:rFonts w:ascii="Times New Roman" w:hAnsi="Times New Roman" w:cs="Times New Roman"/>
          <w:vertAlign w:val="superscript"/>
        </w:rPr>
        <w:t>2</w:t>
      </w:r>
      <w:r>
        <w:rPr>
          <w:rFonts w:ascii="Times New Roman" w:hAnsi="Times New Roman" w:cs="Times New Roman"/>
        </w:rPr>
        <w:t>。</w:t>
      </w:r>
      <w:r>
        <w:rPr>
          <w:rFonts w:ascii="Times New Roman" w:hAnsi="Times New Roman" w:cs="Times New Roman"/>
          <w:kern w:val="2"/>
          <w:szCs w:val="20"/>
        </w:rPr>
        <w:t>临时占地生物量损失按照按3年计算，本项目永久及临时占地补偿情况见</w:t>
      </w:r>
      <w:r>
        <w:rPr>
          <w:rFonts w:ascii="Times New Roman" w:hAnsi="Times New Roman" w:cs="Times New Roman"/>
          <w:szCs w:val="22"/>
        </w:rPr>
        <w:t>表7.1-1。</w:t>
      </w:r>
    </w:p>
    <w:p w14:paraId="522DD0A2">
      <w:pPr>
        <w:widowControl w:val="0"/>
        <w:spacing w:line="440" w:lineRule="exact"/>
        <w:ind w:firstLine="482" w:firstLineChars="200"/>
        <w:jc w:val="both"/>
        <w:rPr>
          <w:rFonts w:ascii="Times New Roman" w:hAnsi="Times New Roman" w:cs="Times New Roman"/>
          <w:b/>
          <w:szCs w:val="22"/>
        </w:rPr>
      </w:pPr>
      <w:r>
        <w:rPr>
          <w:rFonts w:ascii="Times New Roman" w:hAnsi="Times New Roman" w:cs="Times New Roman"/>
          <w:b/>
          <w:szCs w:val="22"/>
        </w:rPr>
        <w:t>表7.1-1    本项目临时占地生物量损失的农作物统计</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30"/>
        <w:gridCol w:w="1215"/>
        <w:gridCol w:w="1488"/>
        <w:gridCol w:w="1488"/>
        <w:gridCol w:w="1957"/>
        <w:gridCol w:w="1809"/>
      </w:tblGrid>
      <w:tr w14:paraId="67170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6" w:type="pct"/>
            <w:vAlign w:val="center"/>
          </w:tcPr>
          <w:p w14:paraId="42A9C213">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占地</w:t>
            </w:r>
          </w:p>
        </w:tc>
        <w:tc>
          <w:tcPr>
            <w:tcW w:w="654" w:type="pct"/>
            <w:vAlign w:val="center"/>
          </w:tcPr>
          <w:p w14:paraId="058729F9">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占地类型</w:t>
            </w:r>
          </w:p>
        </w:tc>
        <w:tc>
          <w:tcPr>
            <w:tcW w:w="801" w:type="pct"/>
          </w:tcPr>
          <w:p w14:paraId="2D61EB7B">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占地面积（hm</w:t>
            </w:r>
            <w:r>
              <w:rPr>
                <w:rFonts w:ascii="Times New Roman" w:hAnsi="Times New Roman" w:cs="Times New Roman"/>
                <w:sz w:val="21"/>
                <w:szCs w:val="21"/>
                <w:vertAlign w:val="superscript"/>
                <w:lang w:val="zh-CN"/>
              </w:rPr>
              <w:t>2</w:t>
            </w:r>
            <w:r>
              <w:rPr>
                <w:rFonts w:ascii="Times New Roman" w:hAnsi="Times New Roman" w:cs="Times New Roman"/>
                <w:sz w:val="21"/>
                <w:szCs w:val="21"/>
                <w:lang w:val="zh-CN"/>
              </w:rPr>
              <w:t>）</w:t>
            </w:r>
          </w:p>
        </w:tc>
        <w:tc>
          <w:tcPr>
            <w:tcW w:w="801" w:type="pct"/>
            <w:vAlign w:val="center"/>
          </w:tcPr>
          <w:p w14:paraId="2093A61A">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补偿标准（</w:t>
            </w:r>
            <w:r>
              <w:rPr>
                <w:rFonts w:ascii="Times New Roman" w:hAnsi="Times New Roman" w:cs="Times New Roman"/>
                <w:sz w:val="21"/>
                <w:szCs w:val="21"/>
              </w:rPr>
              <w:t>元/m</w:t>
            </w:r>
            <w:r>
              <w:rPr>
                <w:rFonts w:ascii="Times New Roman" w:hAnsi="Times New Roman" w:cs="Times New Roman"/>
                <w:sz w:val="21"/>
                <w:szCs w:val="21"/>
                <w:vertAlign w:val="superscript"/>
              </w:rPr>
              <w:t>2</w:t>
            </w:r>
            <w:r>
              <w:rPr>
                <w:rFonts w:ascii="Times New Roman" w:hAnsi="Times New Roman" w:cs="Times New Roman"/>
                <w:sz w:val="21"/>
                <w:szCs w:val="21"/>
                <w:lang w:val="zh-CN"/>
              </w:rPr>
              <w:t>）</w:t>
            </w:r>
          </w:p>
        </w:tc>
        <w:tc>
          <w:tcPr>
            <w:tcW w:w="1053" w:type="pct"/>
            <w:vAlign w:val="center"/>
          </w:tcPr>
          <w:p w14:paraId="5B57F3CF">
            <w:pPr>
              <w:widowControl w:val="0"/>
              <w:adjustRightInd w:val="0"/>
              <w:snapToGrid w:val="0"/>
              <w:spacing w:line="360" w:lineRule="exact"/>
              <w:jc w:val="center"/>
              <w:rPr>
                <w:rFonts w:ascii="Times New Roman" w:hAnsi="Times New Roman" w:cs="Times New Roman"/>
                <w:sz w:val="21"/>
                <w:szCs w:val="21"/>
                <w:lang w:val="zh-CN"/>
              </w:rPr>
            </w:pPr>
            <w:r>
              <w:rPr>
                <w:rFonts w:hint="eastAsia" w:ascii="Times New Roman" w:hAnsi="Times New Roman" w:cs="Times New Roman"/>
                <w:sz w:val="21"/>
                <w:szCs w:val="21"/>
                <w:lang w:val="zh-CN"/>
              </w:rPr>
              <w:t>生物量</w:t>
            </w:r>
            <w:r>
              <w:rPr>
                <w:rFonts w:ascii="Times New Roman" w:hAnsi="Times New Roman" w:cs="Times New Roman"/>
                <w:sz w:val="21"/>
                <w:szCs w:val="21"/>
                <w:lang w:val="zh-CN"/>
              </w:rPr>
              <w:t>损失年限（年）</w:t>
            </w:r>
          </w:p>
        </w:tc>
        <w:tc>
          <w:tcPr>
            <w:tcW w:w="973" w:type="pct"/>
            <w:vAlign w:val="center"/>
          </w:tcPr>
          <w:p w14:paraId="58312729">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损失费用</w:t>
            </w:r>
          </w:p>
          <w:p w14:paraId="70B83D5D">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（万元）</w:t>
            </w:r>
          </w:p>
        </w:tc>
      </w:tr>
      <w:tr w14:paraId="532B4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 w:hRule="atLeast"/>
          <w:jc w:val="center"/>
        </w:trPr>
        <w:tc>
          <w:tcPr>
            <w:tcW w:w="716" w:type="pct"/>
            <w:vMerge w:val="restart"/>
            <w:vAlign w:val="center"/>
          </w:tcPr>
          <w:p w14:paraId="13F1E79F">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临时占地</w:t>
            </w:r>
          </w:p>
        </w:tc>
        <w:tc>
          <w:tcPr>
            <w:tcW w:w="654" w:type="pct"/>
            <w:tcBorders>
              <w:bottom w:val="single" w:color="auto" w:sz="4" w:space="0"/>
            </w:tcBorders>
            <w:vAlign w:val="center"/>
          </w:tcPr>
          <w:p w14:paraId="424F6E0B">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耕地</w:t>
            </w:r>
          </w:p>
        </w:tc>
        <w:tc>
          <w:tcPr>
            <w:tcW w:w="801" w:type="pct"/>
            <w:tcBorders>
              <w:bottom w:val="single" w:color="auto" w:sz="4" w:space="0"/>
            </w:tcBorders>
          </w:tcPr>
          <w:p w14:paraId="7C3D6712">
            <w:pPr>
              <w:widowControl w:val="0"/>
              <w:adjustRightInd w:val="0"/>
              <w:snapToGrid w:val="0"/>
              <w:spacing w:line="360" w:lineRule="exact"/>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16.96</w:t>
            </w:r>
          </w:p>
        </w:tc>
        <w:tc>
          <w:tcPr>
            <w:tcW w:w="801" w:type="pct"/>
            <w:tcBorders>
              <w:bottom w:val="single" w:color="auto" w:sz="4" w:space="0"/>
            </w:tcBorders>
            <w:vAlign w:val="center"/>
          </w:tcPr>
          <w:p w14:paraId="5AA81DE4">
            <w:pPr>
              <w:widowControl w:val="0"/>
              <w:adjustRightInd w:val="0"/>
              <w:snapToGrid w:val="0"/>
              <w:spacing w:line="360" w:lineRule="exact"/>
              <w:jc w:val="center"/>
              <w:rPr>
                <w:rFonts w:ascii="Times New Roman" w:hAnsi="Times New Roman" w:cs="Times New Roman"/>
                <w:sz w:val="21"/>
                <w:szCs w:val="21"/>
              </w:rPr>
            </w:pPr>
            <w:r>
              <w:rPr>
                <w:rFonts w:hint="eastAsia" w:ascii="Times New Roman" w:hAnsi="Times New Roman" w:cs="Times New Roman"/>
                <w:sz w:val="21"/>
                <w:szCs w:val="21"/>
              </w:rPr>
              <w:t>3.12</w:t>
            </w:r>
          </w:p>
        </w:tc>
        <w:tc>
          <w:tcPr>
            <w:tcW w:w="1053" w:type="pct"/>
            <w:tcBorders>
              <w:bottom w:val="single" w:color="auto" w:sz="4" w:space="0"/>
            </w:tcBorders>
            <w:vAlign w:val="center"/>
          </w:tcPr>
          <w:p w14:paraId="7E8F9382">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3</w:t>
            </w:r>
          </w:p>
        </w:tc>
        <w:tc>
          <w:tcPr>
            <w:tcW w:w="973" w:type="pct"/>
            <w:tcBorders>
              <w:bottom w:val="single" w:color="auto" w:sz="4" w:space="0"/>
            </w:tcBorders>
            <w:vAlign w:val="center"/>
          </w:tcPr>
          <w:p w14:paraId="651AE0B4">
            <w:pPr>
              <w:widowControl w:val="0"/>
              <w:adjustRightInd w:val="0"/>
              <w:snapToGrid w:val="0"/>
              <w:spacing w:line="360" w:lineRule="exact"/>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158</w:t>
            </w:r>
          </w:p>
        </w:tc>
      </w:tr>
      <w:tr w14:paraId="0CE55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5" w:hRule="atLeast"/>
          <w:jc w:val="center"/>
        </w:trPr>
        <w:tc>
          <w:tcPr>
            <w:tcW w:w="716" w:type="pct"/>
            <w:vMerge w:val="continue"/>
            <w:vAlign w:val="center"/>
          </w:tcPr>
          <w:p w14:paraId="3EDA07C2">
            <w:pPr>
              <w:widowControl w:val="0"/>
              <w:adjustRightInd w:val="0"/>
              <w:snapToGrid w:val="0"/>
              <w:spacing w:line="360" w:lineRule="exact"/>
              <w:jc w:val="center"/>
              <w:rPr>
                <w:rFonts w:ascii="Times New Roman" w:hAnsi="Times New Roman" w:cs="Times New Roman"/>
                <w:sz w:val="21"/>
                <w:szCs w:val="21"/>
                <w:lang w:val="zh-CN"/>
              </w:rPr>
            </w:pPr>
          </w:p>
        </w:tc>
        <w:tc>
          <w:tcPr>
            <w:tcW w:w="654" w:type="pct"/>
            <w:tcBorders>
              <w:top w:val="single" w:color="auto" w:sz="4" w:space="0"/>
              <w:bottom w:val="single" w:color="auto" w:sz="4" w:space="0"/>
            </w:tcBorders>
            <w:vAlign w:val="center"/>
          </w:tcPr>
          <w:p w14:paraId="4D686316">
            <w:pPr>
              <w:widowControl w:val="0"/>
              <w:adjustRightInd w:val="0"/>
              <w:snapToGrid w:val="0"/>
              <w:spacing w:line="360" w:lineRule="exact"/>
              <w:jc w:val="center"/>
              <w:rPr>
                <w:rFonts w:ascii="Times New Roman" w:hAnsi="Times New Roman" w:cs="Times New Roman"/>
                <w:sz w:val="21"/>
                <w:szCs w:val="21"/>
                <w:lang w:val="zh-CN"/>
              </w:rPr>
            </w:pPr>
            <w:r>
              <w:rPr>
                <w:rFonts w:ascii="Times New Roman" w:hAnsi="Times New Roman" w:cs="Times New Roman"/>
                <w:sz w:val="21"/>
                <w:szCs w:val="21"/>
                <w:lang w:val="zh-CN"/>
              </w:rPr>
              <w:t>草地</w:t>
            </w:r>
          </w:p>
        </w:tc>
        <w:tc>
          <w:tcPr>
            <w:tcW w:w="801" w:type="pct"/>
            <w:tcBorders>
              <w:top w:val="single" w:color="auto" w:sz="4" w:space="0"/>
              <w:bottom w:val="single" w:color="auto" w:sz="4" w:space="0"/>
            </w:tcBorders>
          </w:tcPr>
          <w:p w14:paraId="38AE1304">
            <w:pPr>
              <w:widowControl w:val="0"/>
              <w:adjustRightInd w:val="0"/>
              <w:snapToGrid w:val="0"/>
              <w:spacing w:line="360" w:lineRule="exact"/>
              <w:jc w:val="center"/>
              <w:rPr>
                <w:rFonts w:hint="default" w:ascii="Times New Roman" w:hAnsi="Times New Roman" w:eastAsia="宋体" w:cs="Times New Roman"/>
                <w:sz w:val="21"/>
                <w:szCs w:val="21"/>
                <w:lang w:val="en-US" w:eastAsia="zh-CN" w:bidi="ar"/>
              </w:rPr>
            </w:pPr>
            <w:r>
              <w:rPr>
                <w:rFonts w:hint="eastAsia" w:ascii="Times New Roman" w:hAnsi="Times New Roman" w:cs="Times New Roman"/>
                <w:sz w:val="21"/>
                <w:szCs w:val="21"/>
                <w:lang w:val="en-US" w:eastAsia="zh-CN" w:bidi="ar"/>
              </w:rPr>
              <w:t>4.92</w:t>
            </w:r>
          </w:p>
        </w:tc>
        <w:tc>
          <w:tcPr>
            <w:tcW w:w="801" w:type="pct"/>
            <w:tcBorders>
              <w:top w:val="single" w:color="auto" w:sz="4" w:space="0"/>
              <w:bottom w:val="single" w:color="auto" w:sz="4" w:space="0"/>
            </w:tcBorders>
            <w:vAlign w:val="center"/>
          </w:tcPr>
          <w:p w14:paraId="091C59FF">
            <w:pPr>
              <w:widowControl w:val="0"/>
              <w:adjustRightInd w:val="0"/>
              <w:snapToGrid w:val="0"/>
              <w:spacing w:line="360" w:lineRule="exact"/>
              <w:jc w:val="center"/>
              <w:rPr>
                <w:rFonts w:ascii="Times New Roman" w:hAnsi="Times New Roman" w:cs="Times New Roman"/>
                <w:sz w:val="21"/>
                <w:szCs w:val="21"/>
              </w:rPr>
            </w:pPr>
            <w:r>
              <w:rPr>
                <w:rFonts w:hint="eastAsia" w:ascii="Times New Roman" w:hAnsi="Times New Roman" w:cs="Times New Roman"/>
                <w:sz w:val="21"/>
                <w:szCs w:val="21"/>
              </w:rPr>
              <w:t>0</w:t>
            </w:r>
            <w:r>
              <w:rPr>
                <w:rFonts w:ascii="Times New Roman" w:hAnsi="Times New Roman" w:cs="Times New Roman"/>
                <w:sz w:val="21"/>
                <w:szCs w:val="21"/>
              </w:rPr>
              <w:t>.37</w:t>
            </w:r>
          </w:p>
        </w:tc>
        <w:tc>
          <w:tcPr>
            <w:tcW w:w="1053" w:type="pct"/>
            <w:tcBorders>
              <w:top w:val="single" w:color="auto" w:sz="4" w:space="0"/>
              <w:bottom w:val="single" w:color="auto" w:sz="4" w:space="0"/>
            </w:tcBorders>
            <w:vAlign w:val="center"/>
          </w:tcPr>
          <w:p w14:paraId="1FB54170">
            <w:pPr>
              <w:widowControl w:val="0"/>
              <w:adjustRightInd w:val="0"/>
              <w:snapToGrid w:val="0"/>
              <w:spacing w:line="360" w:lineRule="exact"/>
              <w:jc w:val="center"/>
              <w:rPr>
                <w:rFonts w:ascii="Times New Roman" w:hAnsi="Times New Roman" w:cs="Times New Roman"/>
                <w:sz w:val="21"/>
                <w:szCs w:val="21"/>
                <w:lang w:val="zh-CN"/>
              </w:rPr>
            </w:pPr>
            <w:r>
              <w:rPr>
                <w:rFonts w:hint="eastAsia" w:ascii="Times New Roman" w:hAnsi="Times New Roman" w:cs="Times New Roman"/>
                <w:sz w:val="21"/>
                <w:szCs w:val="21"/>
                <w:lang w:val="zh-CN"/>
              </w:rPr>
              <w:t>3</w:t>
            </w:r>
          </w:p>
        </w:tc>
        <w:tc>
          <w:tcPr>
            <w:tcW w:w="973" w:type="pct"/>
            <w:tcBorders>
              <w:top w:val="single" w:color="auto" w:sz="4" w:space="0"/>
              <w:bottom w:val="single" w:color="auto" w:sz="4" w:space="0"/>
            </w:tcBorders>
            <w:vAlign w:val="center"/>
          </w:tcPr>
          <w:p w14:paraId="079C2934">
            <w:pPr>
              <w:widowControl w:val="0"/>
              <w:adjustRightInd w:val="0"/>
              <w:snapToGrid w:val="0"/>
              <w:spacing w:line="360" w:lineRule="exact"/>
              <w:jc w:val="center"/>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5.46</w:t>
            </w:r>
          </w:p>
        </w:tc>
      </w:tr>
    </w:tbl>
    <w:p w14:paraId="0877F10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pPr>
      <w:r>
        <w:rPr>
          <w:rFonts w:ascii="Times New Roman" w:hAnsi="Times New Roman"/>
        </w:rPr>
        <w:t>由以上可知，本项目临时占地</w:t>
      </w:r>
      <w:r>
        <w:rPr>
          <w:rFonts w:hint="eastAsia" w:ascii="Times New Roman" w:hAnsi="Times New Roman"/>
        </w:rPr>
        <w:t>生物量</w:t>
      </w:r>
      <w:r>
        <w:rPr>
          <w:rFonts w:ascii="Times New Roman" w:hAnsi="Times New Roman"/>
        </w:rPr>
        <w:t>损失费为</w:t>
      </w:r>
      <w:r>
        <w:rPr>
          <w:rFonts w:hint="eastAsia" w:ascii="Times New Roman" w:hAnsi="Times New Roman"/>
          <w:lang w:val="en-US" w:eastAsia="zh-CN"/>
        </w:rPr>
        <w:t>163.46</w:t>
      </w:r>
      <w:r>
        <w:rPr>
          <w:rFonts w:ascii="Times New Roman" w:hAnsi="Times New Roman"/>
        </w:rPr>
        <w:t>万元</w:t>
      </w:r>
      <w:r>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t>。</w:t>
      </w:r>
    </w:p>
    <w:p w14:paraId="3E83A1B5">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009" w:name="_Toc219900409"/>
      <w:bookmarkStart w:id="1010" w:name="_Toc186444388"/>
      <w:bookmarkStart w:id="1011" w:name="_Toc173163558"/>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7.2环保投资估算及环境效益分析</w:t>
      </w:r>
      <w:bookmarkEnd w:id="1009"/>
      <w:bookmarkEnd w:id="1010"/>
      <w:bookmarkEnd w:id="1011"/>
    </w:p>
    <w:p w14:paraId="38FE61DE">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012" w:name="_Toc127192438"/>
      <w:bookmarkStart w:id="1013" w:name="_Toc143099677"/>
      <w:bookmarkStart w:id="1014" w:name="_Toc131167390"/>
      <w:bookmarkStart w:id="1015" w:name="_Toc186444389"/>
      <w:bookmarkStart w:id="1016" w:name="_Toc126863489"/>
      <w:r>
        <w:rPr>
          <w:rFonts w:eastAsiaTheme="minorEastAsia"/>
          <w:b/>
          <w:caps w:val="0"/>
          <w:smallCaps w:val="0"/>
          <w:color w:val="000000" w:themeColor="text1"/>
          <w:spacing w:val="0"/>
          <w:w w:val="100"/>
          <w:kern w:val="2"/>
          <w:position w:val="0"/>
          <w:sz w:val="24"/>
          <w:szCs w:val="24"/>
          <w14:textFill>
            <w14:solidFill>
              <w14:schemeClr w14:val="tx1"/>
            </w14:solidFill>
          </w14:textFill>
        </w:rPr>
        <w:t>7.2.1环保投资估算</w:t>
      </w:r>
      <w:bookmarkEnd w:id="1012"/>
      <w:bookmarkEnd w:id="1013"/>
      <w:bookmarkEnd w:id="1014"/>
      <w:bookmarkEnd w:id="1015"/>
      <w:bookmarkEnd w:id="1016"/>
    </w:p>
    <w:p w14:paraId="09F33AA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本项目总投资</w:t>
      </w:r>
      <w:r>
        <w:rPr>
          <w:rFonts w:hint="eastAsia" w:ascii="Times New Roman" w:hAnsi="Times New Roman" w:cs="Times New Roman" w:eastAsiaTheme="minorEastAsia"/>
          <w:bCs/>
          <w:caps w:val="0"/>
          <w:smallCaps w:val="0"/>
          <w:color w:val="000000" w:themeColor="text1"/>
          <w:spacing w:val="0"/>
          <w:w w:val="100"/>
          <w:kern w:val="21"/>
          <w:position w:val="0"/>
          <w:lang w:val="en-US" w:eastAsia="zh-CN"/>
          <w14:textFill>
            <w14:solidFill>
              <w14:schemeClr w14:val="tx1"/>
            </w14:solidFill>
          </w14:textFill>
        </w:rPr>
        <w:t>646.90</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万元，资金来源为</w:t>
      </w:r>
      <w:r>
        <w:rPr>
          <w:rFonts w:hint="eastAsia"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企业自筹，</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其中环保投资</w:t>
      </w:r>
      <w:r>
        <w:rPr>
          <w:rFonts w:hint="eastAsia" w:ascii="Times New Roman" w:hAnsi="Times New Roman" w:cs="Times New Roman" w:eastAsiaTheme="minorEastAsia"/>
          <w:bCs/>
          <w:caps w:val="0"/>
          <w:smallCaps w:val="0"/>
          <w:color w:val="000000" w:themeColor="text1"/>
          <w:spacing w:val="0"/>
          <w:w w:val="100"/>
          <w:kern w:val="21"/>
          <w:position w:val="0"/>
          <w:lang w:val="en-US" w:eastAsia="zh-CN"/>
          <w14:textFill>
            <w14:solidFill>
              <w14:schemeClr w14:val="tx1"/>
            </w14:solidFill>
          </w14:textFill>
        </w:rPr>
        <w:t>186.67</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万元，环保投资占总投资的</w:t>
      </w:r>
      <w:r>
        <w:rPr>
          <w:rFonts w:hint="eastAsia" w:ascii="Times New Roman" w:hAnsi="Times New Roman" w:cs="Times New Roman" w:eastAsiaTheme="minorEastAsia"/>
          <w:bCs/>
          <w:caps w:val="0"/>
          <w:smallCaps w:val="0"/>
          <w:color w:val="000000" w:themeColor="text1"/>
          <w:spacing w:val="0"/>
          <w:w w:val="100"/>
          <w:kern w:val="21"/>
          <w:position w:val="0"/>
          <w:lang w:val="en-US" w:eastAsia="zh-CN"/>
          <w14:textFill>
            <w14:solidFill>
              <w14:schemeClr w14:val="tx1"/>
            </w14:solidFill>
          </w14:textFill>
        </w:rPr>
        <w:t>28.86</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%，本工程环保投资详见表7.2-1。</w:t>
      </w:r>
    </w:p>
    <w:p w14:paraId="342A1D5E">
      <w:pPr>
        <w:widowControl w:val="0"/>
        <w:spacing w:line="440" w:lineRule="exact"/>
        <w:ind w:firstLine="482" w:firstLineChars="200"/>
        <w:jc w:val="both"/>
        <w:rPr>
          <w:rFonts w:ascii="Times New Roman" w:hAnsi="Times New Roman" w:cs="Times New Roman" w:eastAsiaTheme="minorEastAsia"/>
          <w:b/>
          <w:color w:val="000000" w:themeColor="text1"/>
          <w:kern w:val="21"/>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 xml:space="preserve">表7.2-1    </w:t>
      </w:r>
      <w:r>
        <w:rPr>
          <w:rFonts w:ascii="Times New Roman" w:hAnsi="Times New Roman" w:cs="Times New Roman" w:eastAsiaTheme="minorEastAsia"/>
          <w:b/>
          <w:caps w:val="0"/>
          <w:smallCaps w:val="0"/>
          <w:color w:val="000000" w:themeColor="text1"/>
          <w:spacing w:val="0"/>
          <w:w w:val="100"/>
          <w:position w:val="0"/>
          <w:szCs w:val="22"/>
          <w14:textFill>
            <w14:solidFill>
              <w14:schemeClr w14:val="tx1"/>
            </w14:solidFill>
          </w14:textFill>
        </w:rPr>
        <w:t>环保</w:t>
      </w: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投资</w:t>
      </w:r>
      <w:bookmarkStart w:id="1017" w:name="_Toc143099678"/>
      <w:bookmarkStart w:id="1018" w:name="_Toc131167391"/>
      <w:bookmarkStart w:id="1019" w:name="_Toc127192439"/>
      <w:bookmarkStart w:id="1020" w:name="_Toc126863490"/>
      <w:bookmarkStart w:id="1021" w:name="_Toc186444390"/>
      <w:r>
        <w:rPr>
          <w:rFonts w:ascii="Times New Roman" w:hAnsi="Times New Roman" w:cs="Times New Roman" w:eastAsiaTheme="minorEastAsia"/>
          <w:b/>
          <w:color w:val="000000" w:themeColor="text1"/>
          <w:kern w:val="21"/>
          <w14:textFill>
            <w14:solidFill>
              <w14:schemeClr w14:val="tx1"/>
            </w14:solidFill>
          </w14:textFill>
        </w:rPr>
        <w:t>统计</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76"/>
        <w:gridCol w:w="728"/>
        <w:gridCol w:w="4213"/>
        <w:gridCol w:w="2560"/>
        <w:gridCol w:w="1210"/>
      </w:tblGrid>
      <w:tr w14:paraId="491AC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Align w:val="center"/>
          </w:tcPr>
          <w:p w14:paraId="4EB574CA">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环保工程名称</w:t>
            </w:r>
          </w:p>
        </w:tc>
        <w:tc>
          <w:tcPr>
            <w:tcW w:w="2268" w:type="pct"/>
            <w:vAlign w:val="center"/>
          </w:tcPr>
          <w:p w14:paraId="224E5AD4">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措施内容</w:t>
            </w:r>
          </w:p>
        </w:tc>
        <w:tc>
          <w:tcPr>
            <w:tcW w:w="1378" w:type="pct"/>
            <w:vAlign w:val="center"/>
          </w:tcPr>
          <w:p w14:paraId="32FF2AA4">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工程量</w:t>
            </w:r>
          </w:p>
        </w:tc>
        <w:tc>
          <w:tcPr>
            <w:tcW w:w="651" w:type="pct"/>
            <w:vAlign w:val="center"/>
          </w:tcPr>
          <w:p w14:paraId="0213B531">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环保投资（万元）</w:t>
            </w:r>
          </w:p>
        </w:tc>
      </w:tr>
      <w:tr w14:paraId="77C8D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restart"/>
            <w:vAlign w:val="center"/>
          </w:tcPr>
          <w:p w14:paraId="22CE2079">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施工期</w:t>
            </w:r>
          </w:p>
        </w:tc>
        <w:tc>
          <w:tcPr>
            <w:tcW w:w="391" w:type="pct"/>
            <w:vAlign w:val="center"/>
          </w:tcPr>
          <w:p w14:paraId="58C0774E">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废气</w:t>
            </w:r>
          </w:p>
        </w:tc>
        <w:tc>
          <w:tcPr>
            <w:tcW w:w="2268" w:type="pct"/>
            <w:vAlign w:val="center"/>
          </w:tcPr>
          <w:p w14:paraId="6AADD1C3">
            <w:pPr>
              <w:pStyle w:val="41"/>
              <w:snapToGrid w:val="0"/>
              <w:spacing w:line="310" w:lineRule="exact"/>
              <w:jc w:val="center"/>
              <w:rPr>
                <w:rFonts w:ascii="Times New Roman" w:hAnsi="Times New Roman" w:eastAsiaTheme="minorEastAsia"/>
                <w:bCs/>
                <w:snapToGrid w:val="0"/>
                <w:color w:val="000000" w:themeColor="text1"/>
                <w:kern w:val="28"/>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施工场地洒水抑尘，临时土方等加盖苫布等遮盖物，施工运输车辆采取密闭措施或加盖防尘布</w:t>
            </w:r>
          </w:p>
        </w:tc>
        <w:tc>
          <w:tcPr>
            <w:tcW w:w="1378" w:type="pct"/>
            <w:vAlign w:val="center"/>
          </w:tcPr>
          <w:p w14:paraId="29550B4B">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0.1万元/hm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2</w:t>
            </w:r>
            <w:r>
              <w:rPr>
                <w:rFonts w:ascii="Times New Roman" w:hAnsi="Times New Roman" w:cs="Times New Roman" w:eastAsiaTheme="minorEastAsia"/>
                <w:color w:val="000000" w:themeColor="text1"/>
                <w:sz w:val="21"/>
                <w:szCs w:val="21"/>
                <w14:textFill>
                  <w14:solidFill>
                    <w14:schemeClr w14:val="tx1"/>
                  </w14:solidFill>
                </w14:textFill>
              </w:rPr>
              <w:t>，共</w:t>
            </w: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21.88</w:t>
            </w:r>
            <w:r>
              <w:rPr>
                <w:rFonts w:ascii="Times New Roman" w:hAnsi="Times New Roman" w:cs="Times New Roman" w:eastAsiaTheme="minorEastAsia"/>
                <w:color w:val="000000" w:themeColor="text1"/>
                <w:sz w:val="21"/>
                <w:szCs w:val="21"/>
                <w14:textFill>
                  <w14:solidFill>
                    <w14:schemeClr w14:val="tx1"/>
                  </w14:solidFill>
                </w14:textFill>
              </w:rPr>
              <w:t>hm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2</w:t>
            </w:r>
          </w:p>
        </w:tc>
        <w:tc>
          <w:tcPr>
            <w:tcW w:w="651" w:type="pct"/>
            <w:vAlign w:val="center"/>
          </w:tcPr>
          <w:p w14:paraId="3E9F13D6">
            <w:pPr>
              <w:spacing w:line="310" w:lineRule="exact"/>
              <w:jc w:val="center"/>
              <w:rPr>
                <w:rFonts w:hint="default" w:ascii="Times New Roman" w:hAnsi="Times New Roman" w:cs="Times New Roman" w:eastAsiaTheme="minorEastAsia"/>
                <w:bCs/>
                <w:snapToGrid w:val="0"/>
                <w:color w:val="000000" w:themeColor="text1"/>
                <w:kern w:val="28"/>
                <w:sz w:val="21"/>
                <w:szCs w:val="21"/>
                <w:lang w:val="en-US" w:eastAsia="zh-CN"/>
                <w14:textFill>
                  <w14:solidFill>
                    <w14:schemeClr w14:val="tx1"/>
                  </w14:solidFill>
                </w14:textFill>
              </w:rPr>
            </w:pPr>
            <w:r>
              <w:rPr>
                <w:rFonts w:hint="eastAsia" w:ascii="Times New Roman" w:hAnsi="Times New Roman" w:cs="Times New Roman" w:eastAsiaTheme="minorEastAsia"/>
                <w:bCs/>
                <w:snapToGrid w:val="0"/>
                <w:color w:val="000000" w:themeColor="text1"/>
                <w:kern w:val="28"/>
                <w:sz w:val="21"/>
                <w:szCs w:val="21"/>
                <w:lang w:val="en-US" w:eastAsia="zh-CN"/>
                <w14:textFill>
                  <w14:solidFill>
                    <w14:schemeClr w14:val="tx1"/>
                  </w14:solidFill>
                </w14:textFill>
              </w:rPr>
              <w:t>2.188</w:t>
            </w:r>
          </w:p>
        </w:tc>
      </w:tr>
      <w:tr w14:paraId="63E4A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7034B96D">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Align w:val="center"/>
          </w:tcPr>
          <w:p w14:paraId="31BA7406">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废水</w:t>
            </w:r>
          </w:p>
        </w:tc>
        <w:tc>
          <w:tcPr>
            <w:tcW w:w="2268" w:type="pct"/>
            <w:vAlign w:val="center"/>
          </w:tcPr>
          <w:p w14:paraId="5901D389">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新建管线试压废水、</w:t>
            </w:r>
            <w:r>
              <w:rPr>
                <w:rFonts w:hint="eastAsia" w:ascii="Times New Roman" w:hAnsi="Times New Roman" w:cs="Times New Roman" w:eastAsiaTheme="minorEastAsia"/>
                <w:bCs/>
                <w:snapToGrid w:val="0"/>
                <w:color w:val="000000" w:themeColor="text1"/>
                <w:kern w:val="28"/>
                <w:sz w:val="21"/>
                <w:szCs w:val="21"/>
                <w14:textFill>
                  <w14:solidFill>
                    <w14:schemeClr w14:val="tx1"/>
                  </w14:solidFill>
                </w14:textFill>
              </w:rPr>
              <w:t>废弃管线清洗废水</w:t>
            </w: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由罐车拉运至</w:t>
            </w:r>
            <w:r>
              <w:rPr>
                <w:rFonts w:hint="eastAsia" w:ascii="Times New Roman" w:hAnsi="Times New Roman" w:cs="Times New Roman" w:eastAsiaTheme="minorEastAsia"/>
                <w:bCs/>
                <w:color w:val="000000" w:themeColor="text1"/>
                <w:sz w:val="21"/>
                <w:szCs w:val="21"/>
                <w14:textFill>
                  <w14:solidFill>
                    <w14:schemeClr w14:val="tx1"/>
                  </w14:solidFill>
                </w14:textFill>
              </w:rPr>
              <w:t>卫一联含油污水深度处理站</w:t>
            </w: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处理</w:t>
            </w:r>
          </w:p>
        </w:tc>
        <w:tc>
          <w:tcPr>
            <w:tcW w:w="1378" w:type="pct"/>
            <w:vAlign w:val="center"/>
          </w:tcPr>
          <w:p w14:paraId="361D01F1">
            <w:pPr>
              <w:adjustRightInd w:val="0"/>
              <w:snapToGrid w:val="0"/>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0.005万元/m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3</w:t>
            </w:r>
            <w:r>
              <w:rPr>
                <w:rFonts w:ascii="Times New Roman" w:hAnsi="Times New Roman" w:cs="Times New Roman" w:eastAsiaTheme="minorEastAsia"/>
                <w:color w:val="000000" w:themeColor="text1"/>
                <w:sz w:val="21"/>
                <w:szCs w:val="21"/>
                <w14:textFill>
                  <w14:solidFill>
                    <w14:schemeClr w14:val="tx1"/>
                  </w14:solidFill>
                </w14:textFill>
              </w:rPr>
              <w:t>，共计</w:t>
            </w:r>
            <w:r>
              <w:rPr>
                <w:rFonts w:hint="eastAsia" w:ascii="Times New Roman" w:hAnsi="Times New Roman" w:cs="Times New Roman" w:eastAsiaTheme="minorEastAsia"/>
                <w:bCs/>
                <w:color w:val="000000" w:themeColor="text1"/>
                <w:sz w:val="21"/>
                <w:szCs w:val="21"/>
                <w:lang w:val="en-US" w:eastAsia="zh-CN"/>
                <w14:textFill>
                  <w14:solidFill>
                    <w14:schemeClr w14:val="tx1"/>
                  </w14:solidFill>
                </w14:textFill>
              </w:rPr>
              <w:t>377.5</w:t>
            </w:r>
            <w:r>
              <w:rPr>
                <w:rFonts w:ascii="Times New Roman" w:hAnsi="Times New Roman" w:cs="Times New Roman" w:eastAsiaTheme="minorEastAsia"/>
                <w:color w:val="000000" w:themeColor="text1"/>
                <w:sz w:val="21"/>
                <w:szCs w:val="21"/>
                <w14:textFill>
                  <w14:solidFill>
                    <w14:schemeClr w14:val="tx1"/>
                  </w14:solidFill>
                </w14:textFill>
              </w:rPr>
              <w:t>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3</w:t>
            </w:r>
          </w:p>
        </w:tc>
        <w:tc>
          <w:tcPr>
            <w:tcW w:w="651" w:type="pct"/>
            <w:vAlign w:val="center"/>
          </w:tcPr>
          <w:p w14:paraId="11E045DB">
            <w:pPr>
              <w:adjustRightInd w:val="0"/>
              <w:snapToGrid w:val="0"/>
              <w:spacing w:line="310" w:lineRule="exact"/>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1.8875</w:t>
            </w:r>
          </w:p>
        </w:tc>
      </w:tr>
      <w:tr w14:paraId="5F80E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5684649A">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Align w:val="center"/>
          </w:tcPr>
          <w:p w14:paraId="30143A38">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噪声</w:t>
            </w:r>
          </w:p>
        </w:tc>
        <w:tc>
          <w:tcPr>
            <w:tcW w:w="2268" w:type="pct"/>
            <w:vAlign w:val="center"/>
          </w:tcPr>
          <w:p w14:paraId="130A3AC2">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施工机械设备定期维护保养，在离村屯较近的施工带周围设置声屏障措施</w:t>
            </w:r>
          </w:p>
        </w:tc>
        <w:tc>
          <w:tcPr>
            <w:tcW w:w="1378" w:type="pct"/>
            <w:vAlign w:val="center"/>
          </w:tcPr>
          <w:p w14:paraId="0A7CD1BD">
            <w:pPr>
              <w:adjustRightInd w:val="0"/>
              <w:snapToGrid w:val="0"/>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w:t>
            </w:r>
          </w:p>
        </w:tc>
        <w:tc>
          <w:tcPr>
            <w:tcW w:w="651" w:type="pct"/>
            <w:vAlign w:val="center"/>
          </w:tcPr>
          <w:p w14:paraId="7186E80B">
            <w:pPr>
              <w:adjustRightInd w:val="0"/>
              <w:snapToGrid w:val="0"/>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hint="eastAsia" w:ascii="Times New Roman" w:hAnsi="Times New Roman" w:cs="Times New Roman" w:eastAsiaTheme="minorEastAsia"/>
                <w:color w:val="000000" w:themeColor="text1"/>
                <w:sz w:val="21"/>
                <w:szCs w:val="21"/>
                <w14:textFill>
                  <w14:solidFill>
                    <w14:schemeClr w14:val="tx1"/>
                  </w14:solidFill>
                </w14:textFill>
              </w:rPr>
              <w:t>0.5</w:t>
            </w:r>
          </w:p>
        </w:tc>
      </w:tr>
      <w:tr w14:paraId="2DDF1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6FB212AF">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Merge w:val="restart"/>
            <w:vAlign w:val="center"/>
          </w:tcPr>
          <w:p w14:paraId="1D83B505">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固体废物</w:t>
            </w:r>
          </w:p>
        </w:tc>
        <w:tc>
          <w:tcPr>
            <w:tcW w:w="2268" w:type="pct"/>
            <w:vAlign w:val="center"/>
          </w:tcPr>
          <w:p w14:paraId="60C43497">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废弃泥浆拉运至</w:t>
            </w:r>
            <w:r>
              <w:rPr>
                <w:rFonts w:hint="eastAsia" w:ascii="Times New Roman" w:hAnsi="Times New Roman" w:cs="Times New Roman" w:eastAsiaTheme="minorEastAsia"/>
                <w:bCs/>
                <w:snapToGrid w:val="0"/>
                <w:color w:val="000000" w:themeColor="text1"/>
                <w:kern w:val="28"/>
                <w:sz w:val="21"/>
                <w:szCs w:val="21"/>
                <w14:textFill>
                  <w14:solidFill>
                    <w14:schemeClr w14:val="tx1"/>
                  </w14:solidFill>
                </w14:textFill>
              </w:rPr>
              <w:t>大庆洁宇环保科技有限公司处理</w:t>
            </w:r>
          </w:p>
        </w:tc>
        <w:tc>
          <w:tcPr>
            <w:tcW w:w="1378" w:type="pct"/>
            <w:vAlign w:val="center"/>
          </w:tcPr>
          <w:p w14:paraId="62227266">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0.005万元/m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3</w:t>
            </w:r>
            <w:r>
              <w:rPr>
                <w:rFonts w:ascii="Times New Roman" w:hAnsi="Times New Roman" w:cs="Times New Roman" w:eastAsiaTheme="minorEastAsia"/>
                <w:color w:val="000000" w:themeColor="text1"/>
                <w:sz w:val="21"/>
                <w:szCs w:val="21"/>
                <w14:textFill>
                  <w14:solidFill>
                    <w14:schemeClr w14:val="tx1"/>
                  </w14:solidFill>
                </w14:textFill>
              </w:rPr>
              <w:t>，共计</w:t>
            </w:r>
            <w:r>
              <w:rPr>
                <w:rFonts w:hint="eastAsia" w:ascii="Times New Roman" w:hAnsi="Times New Roman" w:cs="Times New Roman" w:eastAsiaTheme="minorEastAsia"/>
                <w:bCs/>
                <w:color w:val="000000" w:themeColor="text1"/>
                <w:sz w:val="21"/>
                <w:szCs w:val="21"/>
                <w:lang w:val="en-US" w:eastAsia="zh-CN"/>
                <w14:textFill>
                  <w14:solidFill>
                    <w14:schemeClr w14:val="tx1"/>
                  </w14:solidFill>
                </w14:textFill>
              </w:rPr>
              <w:t>70.56</w:t>
            </w:r>
            <w:r>
              <w:rPr>
                <w:rFonts w:ascii="Times New Roman" w:hAnsi="Times New Roman" w:cs="Times New Roman" w:eastAsiaTheme="minorEastAsia"/>
                <w:color w:val="000000" w:themeColor="text1"/>
                <w:sz w:val="21"/>
                <w:szCs w:val="21"/>
                <w14:textFill>
                  <w14:solidFill>
                    <w14:schemeClr w14:val="tx1"/>
                  </w14:solidFill>
                </w14:textFill>
              </w:rPr>
              <w:t>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3</w:t>
            </w:r>
          </w:p>
        </w:tc>
        <w:tc>
          <w:tcPr>
            <w:tcW w:w="651" w:type="pct"/>
            <w:vAlign w:val="center"/>
          </w:tcPr>
          <w:p w14:paraId="5E8BA252">
            <w:pPr>
              <w:spacing w:line="310" w:lineRule="exact"/>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0.3528</w:t>
            </w:r>
          </w:p>
        </w:tc>
      </w:tr>
      <w:tr w14:paraId="26E09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62F08A67">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Merge w:val="continue"/>
            <w:vAlign w:val="center"/>
          </w:tcPr>
          <w:p w14:paraId="40FA7E10">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p>
        </w:tc>
        <w:tc>
          <w:tcPr>
            <w:tcW w:w="2268" w:type="pct"/>
            <w:vAlign w:val="center"/>
          </w:tcPr>
          <w:p w14:paraId="64C31430">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施工废料</w:t>
            </w:r>
            <w:r>
              <w:rPr>
                <w:rFonts w:hint="eastAsia" w:ascii="Times New Roman" w:hAnsi="Times New Roman" w:cs="Times New Roman" w:eastAsiaTheme="minorEastAsia"/>
                <w:bCs/>
                <w:snapToGrid w:val="0"/>
                <w:color w:val="000000" w:themeColor="text1"/>
                <w:kern w:val="28"/>
                <w:sz w:val="21"/>
                <w:szCs w:val="21"/>
                <w14:textFill>
                  <w14:solidFill>
                    <w14:schemeClr w14:val="tx1"/>
                  </w14:solidFill>
                </w14:textFill>
              </w:rPr>
              <w:t>和废防渗布</w:t>
            </w:r>
            <w:r>
              <w:rPr>
                <w:rFonts w:ascii="Times New Roman" w:hAnsi="Times New Roman" w:cs="Times New Roman"/>
                <w:color w:val="000000" w:themeColor="text1"/>
                <w:kern w:val="2"/>
                <w:sz w:val="21"/>
                <w:szCs w:val="21"/>
                <w14:textFill>
                  <w14:solidFill>
                    <w14:schemeClr w14:val="tx1"/>
                  </w14:solidFill>
                </w14:textFill>
              </w:rPr>
              <w:t>拉运至第八采油厂工业固废填埋场处理</w:t>
            </w:r>
          </w:p>
        </w:tc>
        <w:tc>
          <w:tcPr>
            <w:tcW w:w="1378" w:type="pct"/>
            <w:vAlign w:val="center"/>
          </w:tcPr>
          <w:p w14:paraId="2AEA5041">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0.1万元/吨，共计</w:t>
            </w: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3.35</w:t>
            </w:r>
            <w:r>
              <w:rPr>
                <w:rFonts w:ascii="Times New Roman" w:hAnsi="Times New Roman" w:cs="Times New Roman" w:eastAsiaTheme="minorEastAsia"/>
                <w:color w:val="000000" w:themeColor="text1"/>
                <w:sz w:val="21"/>
                <w:szCs w:val="21"/>
                <w14:textFill>
                  <w14:solidFill>
                    <w14:schemeClr w14:val="tx1"/>
                  </w14:solidFill>
                </w14:textFill>
              </w:rPr>
              <w:t>t</w:t>
            </w:r>
          </w:p>
        </w:tc>
        <w:tc>
          <w:tcPr>
            <w:tcW w:w="651" w:type="pct"/>
            <w:vAlign w:val="center"/>
          </w:tcPr>
          <w:p w14:paraId="7A1586C8">
            <w:pPr>
              <w:spacing w:line="310" w:lineRule="exact"/>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0.335</w:t>
            </w:r>
          </w:p>
        </w:tc>
      </w:tr>
      <w:tr w14:paraId="02C42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111552C7">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Merge w:val="continue"/>
            <w:vAlign w:val="center"/>
          </w:tcPr>
          <w:p w14:paraId="7A154833">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p>
        </w:tc>
        <w:tc>
          <w:tcPr>
            <w:tcW w:w="2268" w:type="pct"/>
            <w:vAlign w:val="center"/>
          </w:tcPr>
          <w:p w14:paraId="1D7FB74D">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生活垃圾统一收集后拉运至安达市生活垃圾填埋场处理</w:t>
            </w:r>
          </w:p>
        </w:tc>
        <w:tc>
          <w:tcPr>
            <w:tcW w:w="1378" w:type="pct"/>
            <w:vAlign w:val="center"/>
          </w:tcPr>
          <w:p w14:paraId="47A7D8AB">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0.1万元/吨，共计0.9t</w:t>
            </w:r>
          </w:p>
        </w:tc>
        <w:tc>
          <w:tcPr>
            <w:tcW w:w="651" w:type="pct"/>
            <w:vAlign w:val="center"/>
          </w:tcPr>
          <w:p w14:paraId="0D2FEDD8">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0.09</w:t>
            </w:r>
          </w:p>
        </w:tc>
      </w:tr>
      <w:tr w14:paraId="6FAFF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39856509">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Merge w:val="restart"/>
            <w:vAlign w:val="center"/>
          </w:tcPr>
          <w:p w14:paraId="4D81EA41">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生态</w:t>
            </w:r>
          </w:p>
        </w:tc>
        <w:tc>
          <w:tcPr>
            <w:tcW w:w="2268" w:type="pct"/>
            <w:shd w:val="clear" w:color="auto" w:fill="auto"/>
            <w:vAlign w:val="center"/>
          </w:tcPr>
          <w:p w14:paraId="0C04A43F">
            <w:pPr>
              <w:spacing w:line="310" w:lineRule="exact"/>
              <w:jc w:val="center"/>
              <w:rPr>
                <w:rFonts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ascii="Times New Roman" w:hAnsi="Times New Roman" w:cs="Times New Roman"/>
                <w:kern w:val="2"/>
                <w:sz w:val="21"/>
                <w:szCs w:val="21"/>
              </w:rPr>
              <w:t>对临时占用的土地进行恢复、平整，恢复临时占地</w:t>
            </w:r>
            <w:r>
              <w:rPr>
                <w:rFonts w:hint="eastAsia" w:ascii="Times New Roman" w:hAnsi="Times New Roman" w:cs="Times New Roman"/>
                <w:kern w:val="2"/>
                <w:sz w:val="21"/>
                <w:szCs w:val="21"/>
                <w:lang w:val="en-US" w:eastAsia="zh-CN"/>
              </w:rPr>
              <w:t>21.88</w:t>
            </w:r>
            <w:r>
              <w:rPr>
                <w:rFonts w:ascii="Times New Roman" w:hAnsi="Times New Roman" w:cs="Times New Roman"/>
                <w:kern w:val="2"/>
                <w:sz w:val="21"/>
                <w:szCs w:val="21"/>
              </w:rPr>
              <w:t>hm</w:t>
            </w:r>
            <w:r>
              <w:rPr>
                <w:rFonts w:ascii="Times New Roman" w:hAnsi="Times New Roman" w:cs="Times New Roman"/>
                <w:kern w:val="2"/>
                <w:sz w:val="21"/>
                <w:szCs w:val="21"/>
                <w:vertAlign w:val="superscript"/>
              </w:rPr>
              <w:t>2</w:t>
            </w:r>
          </w:p>
        </w:tc>
        <w:tc>
          <w:tcPr>
            <w:tcW w:w="1378" w:type="pct"/>
            <w:shd w:val="clear" w:color="auto" w:fill="auto"/>
            <w:vAlign w:val="center"/>
          </w:tcPr>
          <w:p w14:paraId="291DB631">
            <w:pPr>
              <w:spacing w:line="310" w:lineRule="exact"/>
              <w:jc w:val="center"/>
              <w:rPr>
                <w:rFonts w:ascii="Times New Roman" w:hAnsi="Times New Roman" w:cs="Times New Roman" w:eastAsiaTheme="minorEastAsia"/>
                <w:color w:val="000000" w:themeColor="text1"/>
                <w:sz w:val="21"/>
                <w:szCs w:val="21"/>
                <w:highlight w:val="yellow"/>
                <w:lang w:val="en-US" w:eastAsia="zh-CN" w:bidi="ar-SA"/>
                <w14:textFill>
                  <w14:solidFill>
                    <w14:schemeClr w14:val="tx1"/>
                  </w14:solidFill>
                </w14:textFill>
              </w:rPr>
            </w:pPr>
            <w:r>
              <w:rPr>
                <w:rFonts w:ascii="Times New Roman" w:hAnsi="Times New Roman" w:cs="Times New Roman" w:eastAsiaTheme="minorEastAsia"/>
                <w:sz w:val="21"/>
                <w:szCs w:val="21"/>
              </w:rPr>
              <w:t>临时征地费用按5.2元/m</w:t>
            </w:r>
            <w:r>
              <w:rPr>
                <w:rFonts w:ascii="Times New Roman" w:hAnsi="Times New Roman" w:cs="Times New Roman" w:eastAsiaTheme="minorEastAsia"/>
                <w:sz w:val="21"/>
                <w:szCs w:val="21"/>
                <w:vertAlign w:val="superscript"/>
              </w:rPr>
              <w:t>2</w:t>
            </w:r>
            <w:r>
              <w:rPr>
                <w:rFonts w:ascii="Times New Roman" w:hAnsi="Times New Roman" w:cs="Times New Roman" w:eastAsiaTheme="minorEastAsia"/>
                <w:sz w:val="21"/>
                <w:szCs w:val="21"/>
              </w:rPr>
              <w:t>，青苗补偿标准为3.12元/m</w:t>
            </w:r>
            <w:r>
              <w:rPr>
                <w:rFonts w:ascii="Times New Roman" w:hAnsi="Times New Roman" w:cs="Times New Roman" w:eastAsiaTheme="minorEastAsia"/>
                <w:sz w:val="21"/>
                <w:szCs w:val="21"/>
                <w:vertAlign w:val="superscript"/>
              </w:rPr>
              <w:t>2</w:t>
            </w:r>
            <w:r>
              <w:rPr>
                <w:rFonts w:ascii="Times New Roman" w:hAnsi="Times New Roman" w:cs="Times New Roman" w:eastAsiaTheme="minorEastAsia"/>
                <w:sz w:val="21"/>
                <w:szCs w:val="21"/>
              </w:rPr>
              <w:t>，天然草的补偿标准为0.37元/m</w:t>
            </w:r>
            <w:r>
              <w:rPr>
                <w:rFonts w:ascii="Times New Roman" w:hAnsi="Times New Roman" w:cs="Times New Roman" w:eastAsiaTheme="minorEastAsia"/>
                <w:sz w:val="21"/>
                <w:szCs w:val="21"/>
                <w:vertAlign w:val="superscript"/>
              </w:rPr>
              <w:t>2</w:t>
            </w:r>
            <w:r>
              <w:rPr>
                <w:rFonts w:ascii="Times New Roman" w:hAnsi="Times New Roman" w:cs="Times New Roman" w:eastAsiaTheme="minorEastAsia"/>
                <w:sz w:val="21"/>
                <w:szCs w:val="21"/>
              </w:rPr>
              <w:t xml:space="preserve"> </w:t>
            </w:r>
          </w:p>
        </w:tc>
        <w:tc>
          <w:tcPr>
            <w:tcW w:w="651" w:type="pct"/>
            <w:shd w:val="clear" w:color="auto" w:fill="auto"/>
            <w:vAlign w:val="center"/>
          </w:tcPr>
          <w:p w14:paraId="73E33D34">
            <w:pPr>
              <w:spacing w:line="310" w:lineRule="exact"/>
              <w:jc w:val="center"/>
              <w:rPr>
                <w:rFonts w:hint="default" w:ascii="Times New Roman" w:hAnsi="Times New Roman" w:cs="Times New Roman" w:eastAsiaTheme="minorEastAsia"/>
                <w:color w:val="000000" w:themeColor="text1"/>
                <w:sz w:val="21"/>
                <w:szCs w:val="21"/>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168.51</w:t>
            </w:r>
          </w:p>
        </w:tc>
      </w:tr>
      <w:tr w14:paraId="4DBFC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2BEC2244">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Merge w:val="continue"/>
            <w:vAlign w:val="center"/>
          </w:tcPr>
          <w:p w14:paraId="1CEB4620">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p>
        </w:tc>
        <w:tc>
          <w:tcPr>
            <w:tcW w:w="2268" w:type="pct"/>
            <w:shd w:val="clear" w:color="auto" w:fill="auto"/>
            <w:vAlign w:val="center"/>
          </w:tcPr>
          <w:p w14:paraId="08EDEEAE">
            <w:pPr>
              <w:spacing w:line="310" w:lineRule="exact"/>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水土流失防护、防沙治沙、黑土地保护</w:t>
            </w:r>
          </w:p>
        </w:tc>
        <w:tc>
          <w:tcPr>
            <w:tcW w:w="1378" w:type="pct"/>
            <w:shd w:val="clear" w:color="auto" w:fill="auto"/>
            <w:vAlign w:val="center"/>
          </w:tcPr>
          <w:p w14:paraId="2AEA2D67">
            <w:pPr>
              <w:spacing w:line="310" w:lineRule="exact"/>
              <w:jc w:val="center"/>
              <w:rPr>
                <w:rFonts w:ascii="Times New Roman" w:hAnsi="Times New Roman" w:cs="Times New Roman" w:eastAsiaTheme="minorEastAsia"/>
                <w:color w:val="000000" w:themeColor="text1"/>
                <w:sz w:val="21"/>
                <w:szCs w:val="21"/>
                <w:lang w:val="en-US" w:eastAsia="zh-CN" w:bidi="ar-SA"/>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0.2万元/</w:t>
            </w: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 xml:space="preserve"> </w:t>
            </w:r>
            <w:r>
              <w:rPr>
                <w:rFonts w:ascii="Times New Roman" w:hAnsi="Times New Roman" w:cs="Times New Roman" w:eastAsiaTheme="minorEastAsia"/>
                <w:bCs/>
                <w:color w:val="000000" w:themeColor="text1"/>
                <w:sz w:val="21"/>
                <w:szCs w:val="21"/>
                <w14:textFill>
                  <w14:solidFill>
                    <w14:schemeClr w14:val="tx1"/>
                  </w14:solidFill>
                </w14:textFill>
              </w:rPr>
              <w:t>hm</w:t>
            </w:r>
            <w:r>
              <w:rPr>
                <w:rFonts w:ascii="Times New Roman" w:hAnsi="Times New Roman" w:cs="Times New Roman" w:eastAsiaTheme="minorEastAsia"/>
                <w:bCs/>
                <w:color w:val="000000" w:themeColor="text1"/>
                <w:sz w:val="21"/>
                <w:szCs w:val="21"/>
                <w:vertAlign w:val="superscript"/>
                <w14:textFill>
                  <w14:solidFill>
                    <w14:schemeClr w14:val="tx1"/>
                  </w14:solidFill>
                </w14:textFill>
              </w:rPr>
              <w:t>2</w:t>
            </w: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，本项目新增总占地面积为</w:t>
            </w:r>
            <w:r>
              <w:rPr>
                <w:rFonts w:hint="eastAsia" w:ascii="Times New Roman" w:hAnsi="Times New Roman" w:cs="Times New Roman" w:eastAsiaTheme="minorEastAsia"/>
                <w:bCs/>
                <w:snapToGrid w:val="0"/>
                <w:color w:val="000000" w:themeColor="text1"/>
                <w:kern w:val="28"/>
                <w:sz w:val="21"/>
                <w:szCs w:val="21"/>
                <w:lang w:val="en-US" w:eastAsia="zh-CN"/>
                <w14:textFill>
                  <w14:solidFill>
                    <w14:schemeClr w14:val="tx1"/>
                  </w14:solidFill>
                </w14:textFill>
              </w:rPr>
              <w:t>21.88</w:t>
            </w: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hm</w:t>
            </w:r>
            <w:r>
              <w:rPr>
                <w:rFonts w:ascii="Times New Roman" w:hAnsi="Times New Roman" w:cs="Times New Roman" w:eastAsiaTheme="minorEastAsia"/>
                <w:bCs/>
                <w:snapToGrid w:val="0"/>
                <w:color w:val="000000" w:themeColor="text1"/>
                <w:kern w:val="28"/>
                <w:sz w:val="21"/>
                <w:szCs w:val="21"/>
                <w:vertAlign w:val="superscript"/>
                <w14:textFill>
                  <w14:solidFill>
                    <w14:schemeClr w14:val="tx1"/>
                  </w14:solidFill>
                </w14:textFill>
              </w:rPr>
              <w:t>2</w:t>
            </w:r>
          </w:p>
        </w:tc>
        <w:tc>
          <w:tcPr>
            <w:tcW w:w="651" w:type="pct"/>
            <w:shd w:val="clear" w:color="auto" w:fill="auto"/>
            <w:vAlign w:val="center"/>
          </w:tcPr>
          <w:p w14:paraId="74DC97FD">
            <w:pPr>
              <w:spacing w:line="310" w:lineRule="exact"/>
              <w:jc w:val="center"/>
              <w:rPr>
                <w:rFonts w:hint="default" w:ascii="Times New Roman" w:hAnsi="Times New Roman" w:cs="Times New Roman" w:eastAsiaTheme="minorEastAsia"/>
                <w:color w:val="000000" w:themeColor="text1"/>
                <w:sz w:val="21"/>
                <w:szCs w:val="21"/>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4.38</w:t>
            </w:r>
          </w:p>
        </w:tc>
      </w:tr>
      <w:tr w14:paraId="4A917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Align w:val="center"/>
          </w:tcPr>
          <w:p w14:paraId="07E80D85">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hint="eastAsia" w:ascii="Times New Roman" w:hAnsi="Times New Roman" w:cs="Times New Roman" w:eastAsiaTheme="minorEastAsia"/>
                <w:snapToGrid w:val="0"/>
                <w:color w:val="000000" w:themeColor="text1"/>
                <w:sz w:val="21"/>
                <w:szCs w:val="21"/>
                <w14:textFill>
                  <w14:solidFill>
                    <w14:schemeClr w14:val="tx1"/>
                  </w14:solidFill>
                </w14:textFill>
              </w:rPr>
              <w:t>运营期</w:t>
            </w:r>
          </w:p>
        </w:tc>
        <w:tc>
          <w:tcPr>
            <w:tcW w:w="391" w:type="pct"/>
            <w:vAlign w:val="center"/>
          </w:tcPr>
          <w:p w14:paraId="6C5B6880">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sz w:val="21"/>
                <w:szCs w:val="21"/>
                <w:lang w:bidi="ar"/>
              </w:rPr>
              <w:t>噪声</w:t>
            </w:r>
          </w:p>
        </w:tc>
        <w:tc>
          <w:tcPr>
            <w:tcW w:w="2268" w:type="pct"/>
            <w:vAlign w:val="center"/>
          </w:tcPr>
          <w:p w14:paraId="09C4F7C1">
            <w:pPr>
              <w:spacing w:line="310" w:lineRule="exact"/>
              <w:jc w:val="center"/>
              <w:rPr>
                <w:rFonts w:ascii="Times New Roman" w:hAnsi="Times New Roman" w:cs="Times New Roman"/>
                <w:color w:val="000000" w:themeColor="text1"/>
                <w:kern w:val="2"/>
                <w:sz w:val="21"/>
                <w:szCs w:val="21"/>
                <w:highlight w:val="yellow"/>
                <w14:textFill>
                  <w14:solidFill>
                    <w14:schemeClr w14:val="tx1"/>
                  </w14:solidFill>
                </w14:textFill>
              </w:rPr>
            </w:pPr>
            <w:r>
              <w:rPr>
                <w:rFonts w:ascii="Times New Roman" w:hAnsi="Times New Roman" w:cs="Times New Roman"/>
                <w:sz w:val="21"/>
                <w:szCs w:val="21"/>
                <w:lang w:bidi="ar"/>
              </w:rPr>
              <w:t>低噪声设备、基础减振，设备定期维护保养</w:t>
            </w:r>
            <w:r>
              <w:rPr>
                <w:rFonts w:hint="eastAsia" w:ascii="Times New Roman" w:hAnsi="Times New Roman" w:cs="Times New Roman"/>
                <w:sz w:val="21"/>
                <w:szCs w:val="21"/>
                <w:lang w:bidi="ar"/>
              </w:rPr>
              <w:t>，建筑隔声</w:t>
            </w:r>
          </w:p>
        </w:tc>
        <w:tc>
          <w:tcPr>
            <w:tcW w:w="1378" w:type="pct"/>
            <w:vAlign w:val="center"/>
          </w:tcPr>
          <w:p w14:paraId="64616753">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hint="eastAsia" w:ascii="Times New Roman" w:hAnsi="Times New Roman" w:cs="Times New Roman" w:eastAsiaTheme="minorEastAsia"/>
                <w:color w:val="000000" w:themeColor="text1"/>
                <w:sz w:val="21"/>
                <w:szCs w:val="21"/>
                <w14:textFill>
                  <w14:solidFill>
                    <w14:schemeClr w14:val="tx1"/>
                  </w14:solidFill>
                </w14:textFill>
              </w:rPr>
              <w:t>/</w:t>
            </w:r>
          </w:p>
        </w:tc>
        <w:tc>
          <w:tcPr>
            <w:tcW w:w="651" w:type="pct"/>
            <w:vAlign w:val="center"/>
          </w:tcPr>
          <w:p w14:paraId="07C5CE8C">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hint="eastAsia" w:ascii="Times New Roman" w:hAnsi="Times New Roman" w:cs="Times New Roman" w:eastAsiaTheme="minorEastAsia"/>
                <w:color w:val="000000" w:themeColor="text1"/>
                <w:sz w:val="21"/>
                <w:szCs w:val="21"/>
                <w14:textFill>
                  <w14:solidFill>
                    <w14:schemeClr w14:val="tx1"/>
                  </w14:solidFill>
                </w14:textFill>
              </w:rPr>
              <w:t>2.0</w:t>
            </w:r>
          </w:p>
        </w:tc>
      </w:tr>
      <w:tr w14:paraId="4C1B6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restart"/>
            <w:vAlign w:val="center"/>
          </w:tcPr>
          <w:p w14:paraId="749E1518">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退役期</w:t>
            </w:r>
          </w:p>
        </w:tc>
        <w:tc>
          <w:tcPr>
            <w:tcW w:w="391" w:type="pct"/>
            <w:vAlign w:val="center"/>
          </w:tcPr>
          <w:p w14:paraId="6F9C2B3C">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废气</w:t>
            </w:r>
          </w:p>
        </w:tc>
        <w:tc>
          <w:tcPr>
            <w:tcW w:w="2268" w:type="pct"/>
            <w:vAlign w:val="center"/>
          </w:tcPr>
          <w:p w14:paraId="55337DD4">
            <w:pPr>
              <w:spacing w:line="310" w:lineRule="exact"/>
              <w:jc w:val="center"/>
              <w:rPr>
                <w:rFonts w:ascii="Times New Roman" w:hAnsi="Times New Roman" w:cs="Times New Roman"/>
                <w:color w:val="000000" w:themeColor="text1"/>
                <w:kern w:val="2"/>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施工扬尘</w:t>
            </w:r>
            <w:r>
              <w:rPr>
                <w:rFonts w:ascii="Times New Roman" w:hAnsi="Times New Roman" w:cs="Times New Roman"/>
                <w:color w:val="000000" w:themeColor="text1"/>
                <w:kern w:val="2"/>
                <w:sz w:val="21"/>
                <w:szCs w:val="21"/>
                <w14:textFill>
                  <w14:solidFill>
                    <w14:schemeClr w14:val="tx1"/>
                  </w14:solidFill>
                </w14:textFill>
              </w:rPr>
              <w:t>采取车辆密闭运输、洒水抑尘</w:t>
            </w:r>
          </w:p>
        </w:tc>
        <w:tc>
          <w:tcPr>
            <w:tcW w:w="1378" w:type="pct"/>
            <w:vAlign w:val="center"/>
          </w:tcPr>
          <w:p w14:paraId="336F108C">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w:t>
            </w:r>
          </w:p>
        </w:tc>
        <w:tc>
          <w:tcPr>
            <w:tcW w:w="651" w:type="pct"/>
            <w:vAlign w:val="center"/>
          </w:tcPr>
          <w:p w14:paraId="46DA9F3B">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0.2</w:t>
            </w:r>
          </w:p>
        </w:tc>
      </w:tr>
      <w:tr w14:paraId="3FBA9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5190D266">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Align w:val="center"/>
          </w:tcPr>
          <w:p w14:paraId="3BE46C4B">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废水</w:t>
            </w:r>
          </w:p>
        </w:tc>
        <w:tc>
          <w:tcPr>
            <w:tcW w:w="2268" w:type="pct"/>
            <w:vAlign w:val="center"/>
          </w:tcPr>
          <w:p w14:paraId="451B5FE6">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hint="eastAsia" w:ascii="Times New Roman" w:hAnsi="Times New Roman" w:cs="Times New Roman" w:eastAsiaTheme="minorEastAsia"/>
                <w:bCs/>
                <w:snapToGrid w:val="0"/>
                <w:color w:val="000000" w:themeColor="text1"/>
                <w:kern w:val="28"/>
                <w:sz w:val="21"/>
                <w:szCs w:val="21"/>
                <w14:textFill>
                  <w14:solidFill>
                    <w14:schemeClr w14:val="tx1"/>
                  </w14:solidFill>
                </w14:textFill>
              </w:rPr>
              <w:t>退役管线清洗废水由罐车拉运至卫一联含油污水深度处理站</w:t>
            </w: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处理</w:t>
            </w:r>
          </w:p>
        </w:tc>
        <w:tc>
          <w:tcPr>
            <w:tcW w:w="1378" w:type="pct"/>
            <w:vAlign w:val="center"/>
          </w:tcPr>
          <w:p w14:paraId="463ACE8D">
            <w:pPr>
              <w:adjustRightInd w:val="0"/>
              <w:snapToGrid w:val="0"/>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0.005万元/m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3</w:t>
            </w:r>
            <w:r>
              <w:rPr>
                <w:rFonts w:ascii="Times New Roman" w:hAnsi="Times New Roman" w:cs="Times New Roman" w:eastAsiaTheme="minorEastAsia"/>
                <w:color w:val="000000" w:themeColor="text1"/>
                <w:sz w:val="21"/>
                <w:szCs w:val="21"/>
                <w14:textFill>
                  <w14:solidFill>
                    <w14:schemeClr w14:val="tx1"/>
                  </w14:solidFill>
                </w14:textFill>
              </w:rPr>
              <w:t>，共计</w:t>
            </w:r>
            <w:r>
              <w:rPr>
                <w:rFonts w:hint="eastAsia" w:ascii="Times New Roman" w:hAnsi="Times New Roman" w:cs="Times New Roman" w:eastAsiaTheme="minorEastAsia"/>
                <w:bCs/>
                <w:color w:val="000000" w:themeColor="text1"/>
                <w:sz w:val="21"/>
                <w:szCs w:val="21"/>
                <w:lang w:val="en-US" w:eastAsia="zh-CN"/>
                <w14:textFill>
                  <w14:solidFill>
                    <w14:schemeClr w14:val="tx1"/>
                  </w14:solidFill>
                </w14:textFill>
              </w:rPr>
              <w:t>281.9</w:t>
            </w:r>
            <w:r>
              <w:rPr>
                <w:rFonts w:ascii="Times New Roman" w:hAnsi="Times New Roman" w:cs="Times New Roman" w:eastAsiaTheme="minorEastAsia"/>
                <w:color w:val="000000" w:themeColor="text1"/>
                <w:sz w:val="21"/>
                <w:szCs w:val="21"/>
                <w14:textFill>
                  <w14:solidFill>
                    <w14:schemeClr w14:val="tx1"/>
                  </w14:solidFill>
                </w14:textFill>
              </w:rPr>
              <w:t>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3</w:t>
            </w:r>
          </w:p>
        </w:tc>
        <w:tc>
          <w:tcPr>
            <w:tcW w:w="651" w:type="pct"/>
            <w:vAlign w:val="center"/>
          </w:tcPr>
          <w:p w14:paraId="5912C273">
            <w:pPr>
              <w:adjustRightInd w:val="0"/>
              <w:snapToGrid w:val="0"/>
              <w:spacing w:line="310" w:lineRule="exact"/>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1.41</w:t>
            </w:r>
          </w:p>
        </w:tc>
      </w:tr>
      <w:tr w14:paraId="655AD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7540D9C1">
            <w:pPr>
              <w:snapToGrid w:val="0"/>
              <w:spacing w:line="31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p>
        </w:tc>
        <w:tc>
          <w:tcPr>
            <w:tcW w:w="391" w:type="pct"/>
            <w:vAlign w:val="center"/>
          </w:tcPr>
          <w:p w14:paraId="53EEB95F">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固体废物</w:t>
            </w:r>
          </w:p>
        </w:tc>
        <w:tc>
          <w:tcPr>
            <w:tcW w:w="2268" w:type="pct"/>
            <w:vAlign w:val="center"/>
          </w:tcPr>
          <w:p w14:paraId="084A5FE3">
            <w:pPr>
              <w:spacing w:line="310" w:lineRule="exact"/>
              <w:jc w:val="center"/>
              <w:rPr>
                <w:rFonts w:ascii="Times New Roman" w:hAnsi="Times New Roman" w:cs="Times New Roman"/>
                <w:color w:val="000000" w:themeColor="text1"/>
                <w:kern w:val="2"/>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生活垃圾统一收集后拉运至安达市生活垃圾填埋场处理</w:t>
            </w:r>
          </w:p>
        </w:tc>
        <w:tc>
          <w:tcPr>
            <w:tcW w:w="1378" w:type="pct"/>
            <w:vAlign w:val="center"/>
          </w:tcPr>
          <w:p w14:paraId="284D29EF">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0.1万元/吨，共计0.2t</w:t>
            </w:r>
          </w:p>
        </w:tc>
        <w:tc>
          <w:tcPr>
            <w:tcW w:w="651" w:type="pct"/>
            <w:vAlign w:val="center"/>
          </w:tcPr>
          <w:p w14:paraId="334E7E95">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0.02</w:t>
            </w:r>
          </w:p>
        </w:tc>
      </w:tr>
      <w:tr w14:paraId="00100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Align w:val="center"/>
          </w:tcPr>
          <w:p w14:paraId="69B38C47">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风险防范</w:t>
            </w:r>
          </w:p>
        </w:tc>
        <w:tc>
          <w:tcPr>
            <w:tcW w:w="2268" w:type="pct"/>
            <w:vAlign w:val="center"/>
          </w:tcPr>
          <w:p w14:paraId="28196BB1">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配备围油栏、吸油毡、消油剂等应急物资，定期进行应急演练等风险防范措施及应急措施</w:t>
            </w:r>
          </w:p>
        </w:tc>
        <w:tc>
          <w:tcPr>
            <w:tcW w:w="1378" w:type="pct"/>
            <w:vAlign w:val="center"/>
          </w:tcPr>
          <w:p w14:paraId="72452E5A">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依托现有</w:t>
            </w:r>
          </w:p>
        </w:tc>
        <w:tc>
          <w:tcPr>
            <w:tcW w:w="651" w:type="pct"/>
            <w:vAlign w:val="center"/>
          </w:tcPr>
          <w:p w14:paraId="631036B8">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w:t>
            </w:r>
          </w:p>
        </w:tc>
      </w:tr>
      <w:tr w14:paraId="52CFD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Merge w:val="restart"/>
            <w:vAlign w:val="center"/>
          </w:tcPr>
          <w:p w14:paraId="02C729A1">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地下水及土壤防范措施</w:t>
            </w:r>
          </w:p>
        </w:tc>
        <w:tc>
          <w:tcPr>
            <w:tcW w:w="2268" w:type="pct"/>
            <w:vAlign w:val="center"/>
          </w:tcPr>
          <w:p w14:paraId="2D94B838">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施工场地采取分区防渗措施</w:t>
            </w:r>
          </w:p>
        </w:tc>
        <w:tc>
          <w:tcPr>
            <w:tcW w:w="1378" w:type="pct"/>
            <w:vAlign w:val="center"/>
          </w:tcPr>
          <w:p w14:paraId="3D6BFC5A">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w:t>
            </w:r>
          </w:p>
        </w:tc>
        <w:tc>
          <w:tcPr>
            <w:tcW w:w="651" w:type="pct"/>
            <w:vAlign w:val="center"/>
          </w:tcPr>
          <w:p w14:paraId="72BCDF4F">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hint="eastAsia" w:ascii="Times New Roman" w:hAnsi="Times New Roman" w:cs="Times New Roman" w:eastAsiaTheme="minorEastAsia"/>
                <w:color w:val="000000" w:themeColor="text1"/>
                <w:sz w:val="21"/>
                <w:szCs w:val="21"/>
                <w14:textFill>
                  <w14:solidFill>
                    <w14:schemeClr w14:val="tx1"/>
                  </w14:solidFill>
                </w14:textFill>
              </w:rPr>
              <w:t>4</w:t>
            </w:r>
          </w:p>
        </w:tc>
      </w:tr>
      <w:tr w14:paraId="0FA60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Merge w:val="continue"/>
            <w:vAlign w:val="center"/>
          </w:tcPr>
          <w:p w14:paraId="0AC4C638">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p>
        </w:tc>
        <w:tc>
          <w:tcPr>
            <w:tcW w:w="2268" w:type="pct"/>
            <w:vAlign w:val="center"/>
          </w:tcPr>
          <w:p w14:paraId="39F5176E">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依托周边已建水井布设</w:t>
            </w:r>
            <w:r>
              <w:rPr>
                <w:rFonts w:hint="eastAsia" w:ascii="Times New Roman" w:hAnsi="Times New Roman" w:cs="Times New Roman" w:eastAsiaTheme="minorEastAsia"/>
                <w:bCs/>
                <w:snapToGrid w:val="0"/>
                <w:color w:val="000000" w:themeColor="text1"/>
                <w:kern w:val="28"/>
                <w:sz w:val="21"/>
                <w:szCs w:val="21"/>
                <w14:textFill>
                  <w14:solidFill>
                    <w14:schemeClr w14:val="tx1"/>
                  </w14:solidFill>
                </w14:textFill>
              </w:rPr>
              <w:t>4</w:t>
            </w: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口跟踪监测井，定期跟踪监测地下水</w:t>
            </w:r>
          </w:p>
        </w:tc>
        <w:tc>
          <w:tcPr>
            <w:tcW w:w="1378" w:type="pct"/>
            <w:vAlign w:val="center"/>
          </w:tcPr>
          <w:p w14:paraId="0A909C93">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0.1万元/点位，共</w:t>
            </w:r>
            <w:r>
              <w:rPr>
                <w:rFonts w:hint="eastAsia" w:ascii="Times New Roman" w:hAnsi="Times New Roman" w:cs="Times New Roman" w:eastAsiaTheme="minorEastAsia"/>
                <w:bCs/>
                <w:snapToGrid w:val="0"/>
                <w:color w:val="000000" w:themeColor="text1"/>
                <w:kern w:val="28"/>
                <w:sz w:val="21"/>
                <w:szCs w:val="21"/>
                <w14:textFill>
                  <w14:solidFill>
                    <w14:schemeClr w14:val="tx1"/>
                  </w14:solidFill>
                </w14:textFill>
              </w:rPr>
              <w:t>4</w:t>
            </w: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个监测点位</w:t>
            </w:r>
          </w:p>
        </w:tc>
        <w:tc>
          <w:tcPr>
            <w:tcW w:w="651" w:type="pct"/>
            <w:vAlign w:val="center"/>
          </w:tcPr>
          <w:p w14:paraId="68D35D0F">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w:t>
            </w:r>
            <w:r>
              <w:rPr>
                <w:rFonts w:hint="eastAsia" w:ascii="Times New Roman" w:hAnsi="Times New Roman" w:cs="Times New Roman" w:eastAsiaTheme="minorEastAsia"/>
                <w:color w:val="000000" w:themeColor="text1"/>
                <w:sz w:val="21"/>
                <w:szCs w:val="21"/>
                <w14:textFill>
                  <w14:solidFill>
                    <w14:schemeClr w14:val="tx1"/>
                  </w14:solidFill>
                </w14:textFill>
              </w:rPr>
              <w:t>4</w:t>
            </w:r>
          </w:p>
        </w:tc>
      </w:tr>
      <w:tr w14:paraId="5D9BF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Merge w:val="continue"/>
            <w:vAlign w:val="center"/>
          </w:tcPr>
          <w:p w14:paraId="6F9B40DB">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p>
        </w:tc>
        <w:tc>
          <w:tcPr>
            <w:tcW w:w="2268" w:type="pct"/>
            <w:vAlign w:val="center"/>
          </w:tcPr>
          <w:p w14:paraId="3213FB6F">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设2个土壤跟踪监测点，定期跟踪监测土壤</w:t>
            </w:r>
          </w:p>
        </w:tc>
        <w:tc>
          <w:tcPr>
            <w:tcW w:w="1378" w:type="pct"/>
            <w:vAlign w:val="center"/>
          </w:tcPr>
          <w:p w14:paraId="43A19E20">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0.2万元/点位，共2个监测点位</w:t>
            </w:r>
          </w:p>
        </w:tc>
        <w:tc>
          <w:tcPr>
            <w:tcW w:w="651" w:type="pct"/>
            <w:vAlign w:val="center"/>
          </w:tcPr>
          <w:p w14:paraId="2A3C126F">
            <w:pPr>
              <w:spacing w:line="31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0.4</w:t>
            </w:r>
          </w:p>
        </w:tc>
      </w:tr>
      <w:tr w14:paraId="7EC4C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348" w:type="pct"/>
            <w:gridSpan w:val="4"/>
            <w:vAlign w:val="center"/>
          </w:tcPr>
          <w:p w14:paraId="43CDE024">
            <w:pPr>
              <w:spacing w:line="310" w:lineRule="exact"/>
              <w:jc w:val="cente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pPr>
            <w:r>
              <w:rPr>
                <w:rFonts w:ascii="Times New Roman" w:hAnsi="Times New Roman" w:cs="Times New Roman" w:eastAsiaTheme="minorEastAsia"/>
                <w:bCs/>
                <w:snapToGrid w:val="0"/>
                <w:color w:val="000000" w:themeColor="text1"/>
                <w:kern w:val="28"/>
                <w:sz w:val="21"/>
                <w:szCs w:val="21"/>
                <w14:textFill>
                  <w14:solidFill>
                    <w14:schemeClr w14:val="tx1"/>
                  </w14:solidFill>
                </w14:textFill>
              </w:rPr>
              <w:t>合计</w:t>
            </w:r>
          </w:p>
        </w:tc>
        <w:tc>
          <w:tcPr>
            <w:tcW w:w="651" w:type="pct"/>
            <w:vAlign w:val="center"/>
          </w:tcPr>
          <w:p w14:paraId="4C1C8FC8">
            <w:pPr>
              <w:spacing w:line="310" w:lineRule="exact"/>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186.67</w:t>
            </w:r>
          </w:p>
        </w:tc>
      </w:tr>
    </w:tbl>
    <w:p w14:paraId="3A5A494A">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r>
        <w:rPr>
          <w:rFonts w:eastAsiaTheme="minorEastAsia"/>
          <w:b/>
          <w:caps w:val="0"/>
          <w:smallCaps w:val="0"/>
          <w:color w:val="000000" w:themeColor="text1"/>
          <w:spacing w:val="0"/>
          <w:w w:val="100"/>
          <w:kern w:val="2"/>
          <w:position w:val="0"/>
          <w:sz w:val="24"/>
          <w:szCs w:val="24"/>
          <w14:textFill>
            <w14:solidFill>
              <w14:schemeClr w14:val="tx1"/>
            </w14:solidFill>
          </w14:textFill>
        </w:rPr>
        <w:t>7.2.2环境效益简要分析</w:t>
      </w:r>
      <w:bookmarkEnd w:id="1017"/>
      <w:bookmarkEnd w:id="1018"/>
      <w:bookmarkEnd w:id="1019"/>
      <w:bookmarkEnd w:id="1020"/>
      <w:bookmarkEnd w:id="1021"/>
    </w:p>
    <w:p w14:paraId="7E3A0E6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项目建设运营中排放的污染物采取了一系列治理措施，大大降低了排入环境中污染物的数量，将取得一定的环境效益。</w:t>
      </w:r>
    </w:p>
    <w:p w14:paraId="7EA3B2B8">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022" w:name="_Toc219900410"/>
      <w:bookmarkStart w:id="1023" w:name="_Toc186444391"/>
      <w:bookmarkStart w:id="1024" w:name="_Toc173163559"/>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7.3环境经济损益分析结论</w:t>
      </w:r>
      <w:bookmarkEnd w:id="1022"/>
      <w:bookmarkEnd w:id="1023"/>
      <w:bookmarkEnd w:id="1024"/>
    </w:p>
    <w:p w14:paraId="43D1C4F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w:t>
      </w:r>
      <w:r>
        <w:rPr>
          <w:rFonts w:hint="eastAsia" w:ascii="Times New Roman" w:hAnsi="Times New Roman" w:cs="Times New Roman" w:eastAsiaTheme="minorEastAsia"/>
          <w:caps w:val="0"/>
          <w:smallCaps w:val="0"/>
          <w:color w:val="000000" w:themeColor="text1"/>
          <w:spacing w:val="0"/>
          <w:w w:val="100"/>
          <w:kern w:val="21"/>
          <w:position w:val="0"/>
          <w:lang w:val="en-US" w:eastAsia="zh-CN"/>
          <w14:textFill>
            <w14:solidFill>
              <w14:schemeClr w14:val="tx1"/>
            </w14:solidFill>
          </w14:textFill>
        </w:rPr>
        <w:t>对</w:t>
      </w:r>
      <w:r>
        <w:rPr>
          <w:rFonts w:hint="eastAsia" w:ascii="Times New Roman" w:hAnsi="Times New Roman" w:cs="Times New Roman" w:eastAsiaTheme="minorEastAsia"/>
          <w:caps w:val="0"/>
          <w:smallCaps w:val="0"/>
          <w:color w:val="000000" w:themeColor="text1"/>
          <w:spacing w:val="0"/>
          <w:w w:val="100"/>
          <w:kern w:val="21"/>
          <w:position w:val="0"/>
          <w:lang w:eastAsia="zh-CN"/>
          <w14:textFill>
            <w14:solidFill>
              <w14:schemeClr w14:val="tx1"/>
            </w14:solidFill>
          </w14:textFill>
        </w:rPr>
        <w:t>大庆油田有限责任公司第十一采油厂</w:t>
      </w:r>
      <w:r>
        <w:rPr>
          <w:rFonts w:hint="eastAsia" w:ascii="Times New Roman" w:hAnsi="Times New Roman" w:cs="Times New Roman" w:eastAsiaTheme="minorEastAsia"/>
          <w:caps w:val="0"/>
          <w:smallCaps w:val="0"/>
          <w:color w:val="000000" w:themeColor="text1"/>
          <w:spacing w:val="0"/>
          <w:w w:val="100"/>
          <w:kern w:val="21"/>
          <w:position w:val="0"/>
          <w:lang w:val="en-US" w:eastAsia="zh-CN"/>
          <w14:textFill>
            <w14:solidFill>
              <w14:schemeClr w14:val="tx1"/>
            </w14:solidFill>
          </w14:textFill>
        </w:rPr>
        <w:t>内已开发区块管道等腐蚀老化设施进行更换，</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有效的解决了管线漏失给区域内环境带来的环境风险隐患，项目实施后有效的解决了存在的一系列安全问题，具有良好的社会效益和环境效益。本项目实施后满足</w:t>
      </w:r>
      <w:r>
        <w:rPr>
          <w:rFonts w:hint="eastAsia" w:ascii="Times New Roman" w:hAnsi="Times New Roman" w:cs="Times New Roman" w:eastAsiaTheme="minorEastAsia"/>
          <w:caps w:val="0"/>
          <w:smallCaps w:val="0"/>
          <w:color w:val="000000" w:themeColor="text1"/>
          <w:spacing w:val="0"/>
          <w:w w:val="100"/>
          <w:kern w:val="21"/>
          <w:position w:val="0"/>
          <w:lang w:eastAsia="zh-CN"/>
          <w14:textFill>
            <w14:solidFill>
              <w14:schemeClr w14:val="tx1"/>
            </w14:solidFill>
          </w14:textFill>
        </w:rPr>
        <w:t>大庆油田有限责任公司第十一采油厂</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油田稳产的需要，对促进企业发展而促进当地经济发展的效益明显。因此，从各方面讲，本项目的开发建设将带来较大的社会、经济、环境效益。</w:t>
      </w:r>
    </w:p>
    <w:p w14:paraId="2A977C2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sectPr>
          <w:type w:val="nextColumn"/>
          <w:pgSz w:w="11907" w:h="16840"/>
          <w:pgMar w:top="1418" w:right="1418" w:bottom="1418" w:left="1418" w:header="851" w:footer="992" w:gutter="0"/>
          <w:cols w:space="720" w:num="1"/>
          <w:docGrid w:linePitch="319" w:charSpace="0"/>
        </w:sectPr>
      </w:pPr>
    </w:p>
    <w:p w14:paraId="76F0B484">
      <w:pPr>
        <w:pStyle w:val="3"/>
        <w:widowControl w:val="0"/>
        <w:spacing w:before="180" w:after="180" w:line="440" w:lineRule="exact"/>
        <w:rPr>
          <w:rFonts w:ascii="Times New Roman" w:hAnsi="Times New Roman" w:eastAsiaTheme="minorEastAsia"/>
          <w:b/>
          <w:caps w:val="0"/>
          <w:smallCaps w:val="0"/>
          <w:snapToGrid w:val="0"/>
          <w:color w:val="000000" w:themeColor="text1"/>
          <w:spacing w:val="0"/>
          <w:w w:val="100"/>
          <w:position w:val="0"/>
          <w:sz w:val="30"/>
          <w:szCs w:val="30"/>
          <w14:textFill>
            <w14:solidFill>
              <w14:schemeClr w14:val="tx1"/>
            </w14:solidFill>
          </w14:textFill>
        </w:rPr>
      </w:pPr>
      <w:bookmarkStart w:id="1025" w:name="_Toc72747948"/>
      <w:bookmarkStart w:id="1026" w:name="_Toc110400384"/>
      <w:bookmarkStart w:id="1027" w:name="_Toc106791234"/>
      <w:bookmarkStart w:id="1028" w:name="_Toc107196364"/>
      <w:bookmarkStart w:id="1029" w:name="_Toc75252815"/>
      <w:bookmarkStart w:id="1030" w:name="_Toc480447682"/>
      <w:bookmarkStart w:id="1031" w:name="_Toc106157355"/>
      <w:bookmarkStart w:id="1032" w:name="_Toc219900411"/>
      <w:bookmarkStart w:id="1033" w:name="_Toc213077353"/>
      <w:bookmarkStart w:id="1034" w:name="_Toc106172601"/>
      <w:bookmarkStart w:id="1035" w:name="_Toc107218493"/>
      <w:bookmarkStart w:id="1036" w:name="_Toc72748366"/>
      <w:bookmarkStart w:id="1037" w:name="_Toc72720550"/>
      <w:bookmarkStart w:id="1038" w:name="_Toc502736541"/>
      <w:bookmarkStart w:id="1039" w:name="_Toc118087455"/>
      <w:bookmarkStart w:id="1040" w:name="_Toc456590416"/>
      <w:bookmarkStart w:id="1041" w:name="_Toc74709503"/>
      <w:bookmarkStart w:id="1042" w:name="_Toc73100699"/>
      <w:bookmarkStart w:id="1043" w:name="_Toc106157196"/>
      <w:bookmarkStart w:id="1044" w:name="_Toc107052532"/>
      <w:bookmarkStart w:id="1045" w:name="_Toc106159387"/>
      <w:bookmarkStart w:id="1046" w:name="_Toc74537701"/>
      <w:bookmarkStart w:id="1047" w:name="_Toc107037124"/>
      <w:bookmarkStart w:id="1048" w:name="_Toc107209647"/>
      <w:bookmarkStart w:id="1049" w:name="_Toc106415529"/>
      <w:bookmarkStart w:id="1050" w:name="_Toc106447270"/>
      <w:bookmarkStart w:id="1051" w:name="_Toc73161218"/>
      <w:bookmarkStart w:id="1052" w:name="_Toc75075767"/>
      <w:bookmarkStart w:id="1053" w:name="_Toc371751594"/>
      <w:bookmarkStart w:id="1054" w:name="_Toc75075829"/>
      <w:bookmarkStart w:id="1055" w:name="_Toc415146721"/>
      <w:bookmarkStart w:id="1056" w:name="_Toc45678602"/>
      <w:r>
        <w:rPr>
          <w:rFonts w:ascii="Times New Roman" w:hAnsi="Times New Roman" w:eastAsiaTheme="minorEastAsia"/>
          <w:b/>
          <w:caps w:val="0"/>
          <w:smallCaps w:val="0"/>
          <w:snapToGrid w:val="0"/>
          <w:color w:val="000000" w:themeColor="text1"/>
          <w:spacing w:val="0"/>
          <w:w w:val="100"/>
          <w:position w:val="0"/>
          <w:sz w:val="30"/>
          <w:szCs w:val="30"/>
          <w14:textFill>
            <w14:solidFill>
              <w14:schemeClr w14:val="tx1"/>
            </w14:solidFill>
          </w14:textFill>
        </w:rPr>
        <w:t>8环境管理与监测计划</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14:paraId="4402138A">
      <w:pPr>
        <w:widowControl w:val="0"/>
        <w:spacing w:before="120" w:after="120" w:line="440" w:lineRule="exact"/>
        <w:jc w:val="both"/>
        <w:outlineLvl w:val="1"/>
        <w:rPr>
          <w:rFonts w:ascii="Times New Roman" w:hAnsi="Times New Roman" w:cs="Times New Roman" w:eastAsiaTheme="minorEastAsia"/>
          <w:b/>
          <w:bCs/>
          <w:caps w:val="0"/>
          <w:smallCaps w:val="0"/>
          <w:snapToGrid w:val="0"/>
          <w:color w:val="000000" w:themeColor="text1"/>
          <w:spacing w:val="0"/>
          <w:w w:val="100"/>
          <w:position w:val="0"/>
          <w:sz w:val="28"/>
          <w:szCs w:val="32"/>
          <w14:textFill>
            <w14:solidFill>
              <w14:schemeClr w14:val="tx1"/>
            </w14:solidFill>
          </w14:textFill>
        </w:rPr>
      </w:pPr>
      <w:bookmarkStart w:id="1057" w:name="_Toc186444393"/>
      <w:bookmarkStart w:id="1058" w:name="_Toc173163561"/>
      <w:bookmarkStart w:id="1059" w:name="_Toc219900412"/>
      <w:bookmarkStart w:id="1060" w:name="_Toc65426019"/>
      <w:bookmarkStart w:id="1061" w:name="_Toc77144395"/>
      <w:bookmarkStart w:id="1062" w:name="_Toc455043909"/>
      <w:bookmarkStart w:id="1063" w:name="_Toc480447683"/>
      <w:bookmarkStart w:id="1064" w:name="_Toc456590417"/>
      <w:bookmarkStart w:id="1065" w:name="_Toc502736542"/>
      <w:bookmarkStart w:id="1066" w:name="_Toc189535448"/>
      <w:bookmarkStart w:id="1067" w:name="_Toc109128038"/>
      <w:bookmarkStart w:id="1068" w:name="_Toc196215829"/>
      <w:bookmarkStart w:id="1069" w:name="_Toc342462533"/>
      <w:r>
        <w:rPr>
          <w:rFonts w:ascii="Times New Roman" w:hAnsi="Times New Roman" w:cs="Times New Roman" w:eastAsiaTheme="minorEastAsia"/>
          <w:b/>
          <w:bCs/>
          <w:caps w:val="0"/>
          <w:smallCaps w:val="0"/>
          <w:snapToGrid w:val="0"/>
          <w:color w:val="000000" w:themeColor="text1"/>
          <w:spacing w:val="0"/>
          <w:w w:val="100"/>
          <w:position w:val="0"/>
          <w:sz w:val="28"/>
          <w:szCs w:val="32"/>
          <w14:textFill>
            <w14:solidFill>
              <w14:schemeClr w14:val="tx1"/>
            </w14:solidFill>
          </w14:textFill>
        </w:rPr>
        <w:t>8.1 HSE管理体系的建立和运行</w:t>
      </w:r>
      <w:bookmarkEnd w:id="1057"/>
      <w:bookmarkEnd w:id="1058"/>
      <w:bookmarkEnd w:id="1059"/>
    </w:p>
    <w:p w14:paraId="3CF7775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应依据《石油天然气工业健康、安全与环境管理体系》（SY/T6276-2014）的要求，在项目的建设期、运营期和退役期等3个阶段建立和实施HSE管理体系。其中，环境管理的内容应符合ISO系列标准规定的环境管理体系原则以及石油开采、集输等有关标准的要求，健康管理体系符合《职业安全卫生管理体系》（OHS18000）的有关要求。建设期、运营期和退役期的HSE管理分别包括以下内容：</w:t>
      </w:r>
    </w:p>
    <w:p w14:paraId="6B752EE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（1）建设期HSE管理主要包括良好的工程（高产、节水、节能）设计、安全、健康与环境保护设施的同时设计、同时施工和同时投入使用，安全、绿色施工等；</w:t>
      </w:r>
    </w:p>
    <w:p w14:paraId="2C8313D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（2）运营期HSE管理主要包括：HSE组织机构的建立及职责的确定、文件的编写、风险的识别和管理、应急措施的建立、人员的培训、HSE管理体系的运行及保持、清洁生产等；</w:t>
      </w:r>
    </w:p>
    <w:p w14:paraId="065A97A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（3）退役期HSE管理主要考虑油区退役的安全与环境影响。</w:t>
      </w:r>
    </w:p>
    <w:p w14:paraId="416AB93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油田开发建设对环境主要影响是建设期的各种施工作业活动和运行期的风险事故。为最大限度地减轻油田生产对区域内空气环境、水环境及生态环境的影响，减少温室气体的排放，减少事故的发生，以确保油田安全运行，必须建立科学有效的环境管理体制，制定详细周密的环境保护管理计划。</w:t>
      </w:r>
    </w:p>
    <w:p w14:paraId="3DA13672">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070" w:name="_Toc126863494"/>
      <w:bookmarkStart w:id="1071" w:name="_Toc186444394"/>
      <w:bookmarkStart w:id="1072" w:name="_Toc131167395"/>
      <w:bookmarkStart w:id="1073" w:name="_Toc143099682"/>
      <w:bookmarkStart w:id="1074" w:name="_Toc127192443"/>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8.1.1组织结构</w:t>
      </w:r>
      <w:bookmarkEnd w:id="1070"/>
      <w:bookmarkEnd w:id="1071"/>
      <w:bookmarkEnd w:id="1072"/>
      <w:bookmarkEnd w:id="1073"/>
      <w:bookmarkEnd w:id="1074"/>
    </w:p>
    <w:p w14:paraId="759735D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本项目严格实施 HSE 环境管理体系，本项目环境管理归大庆油田第</w:t>
      </w:r>
      <w:r>
        <w:rPr>
          <w:rFonts w:hint="eastAsia" w:ascii="Times New Roman" w:hAnsi="Times New Roman" w:cs="Times New Roman" w:eastAsiaTheme="minorEastAsia"/>
          <w:caps w:val="0"/>
          <w:smallCaps w:val="0"/>
          <w:color w:val="000000" w:themeColor="text1"/>
          <w:spacing w:val="0"/>
          <w:w w:val="100"/>
          <w:kern w:val="21"/>
          <w:position w:val="0"/>
          <w:lang w:val="en-US" w:eastAsia="zh-CN"/>
          <w14:textFill>
            <w14:solidFill>
              <w14:schemeClr w14:val="tx1"/>
            </w14:solidFill>
          </w14:textFill>
        </w:rPr>
        <w:t>十一</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采油厂管理，逐级落实岗位责任制，各层下属单位设环保员一名，相应基层单位经理为 HSE 管理体系的第一负责人，对单位日常生产过程中的相关环境工作进行管理。</w:t>
      </w:r>
    </w:p>
    <w:p w14:paraId="336A6588">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075" w:name="_Toc143099683"/>
      <w:bookmarkStart w:id="1076" w:name="_Toc126863495"/>
      <w:bookmarkStart w:id="1077" w:name="_Toc131167396"/>
      <w:bookmarkStart w:id="1078" w:name="_Toc127192444"/>
      <w:bookmarkStart w:id="1079" w:name="_Toc186444395"/>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8.1.2规章制度</w:t>
      </w:r>
      <w:bookmarkEnd w:id="1075"/>
      <w:bookmarkEnd w:id="1076"/>
      <w:bookmarkEnd w:id="1077"/>
      <w:bookmarkEnd w:id="1078"/>
      <w:bookmarkEnd w:id="1079"/>
    </w:p>
    <w:p w14:paraId="70902F3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油田环保工作必须严格执行国家、黑龙江省的环保法律法规，同时还应制定相应的环境管理规章制度，环保法规及油田内部的各种环境管理规章制度应下发到相应人员，并组织有关人员学习和贯彻执行，以确保环境管理工作的顺利进行。相关法规和规章制度详见表8.1-1。</w:t>
      </w:r>
    </w:p>
    <w:p w14:paraId="71607364">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表8.1-1    环保</w:t>
      </w:r>
      <w:r>
        <w:rPr>
          <w:rFonts w:ascii="Times New Roman" w:hAnsi="Times New Roman" w:cs="Times New Roman" w:eastAsiaTheme="minorEastAsia"/>
          <w:b/>
          <w:caps w:val="0"/>
          <w:smallCaps w:val="0"/>
          <w:color w:val="000000" w:themeColor="text1"/>
          <w:spacing w:val="0"/>
          <w:w w:val="100"/>
          <w:position w:val="0"/>
          <w:szCs w:val="22"/>
          <w14:textFill>
            <w14:solidFill>
              <w14:schemeClr w14:val="tx1"/>
            </w14:solidFill>
          </w14:textFill>
        </w:rPr>
        <w:t>法规</w:t>
      </w: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和规章制度一览表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168"/>
        <w:gridCol w:w="6443"/>
      </w:tblGrid>
      <w:tr w14:paraId="0DA09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71F7913D">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序号</w:t>
            </w:r>
          </w:p>
        </w:tc>
        <w:tc>
          <w:tcPr>
            <w:tcW w:w="2168" w:type="dxa"/>
            <w:tcMar>
              <w:top w:w="28" w:type="dxa"/>
              <w:bottom w:w="28" w:type="dxa"/>
            </w:tcMar>
            <w:vAlign w:val="center"/>
          </w:tcPr>
          <w:p w14:paraId="237BA472">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规章名称</w:t>
            </w:r>
          </w:p>
        </w:tc>
        <w:tc>
          <w:tcPr>
            <w:tcW w:w="6444" w:type="dxa"/>
            <w:tcMar>
              <w:top w:w="28" w:type="dxa"/>
              <w:bottom w:w="28" w:type="dxa"/>
            </w:tcMar>
            <w:vAlign w:val="center"/>
          </w:tcPr>
          <w:p w14:paraId="6228FCF2">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主要内容</w:t>
            </w:r>
          </w:p>
        </w:tc>
      </w:tr>
      <w:tr w14:paraId="7069D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46DD7222">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1</w:t>
            </w:r>
          </w:p>
        </w:tc>
        <w:tc>
          <w:tcPr>
            <w:tcW w:w="2168" w:type="dxa"/>
            <w:tcMar>
              <w:top w:w="28" w:type="dxa"/>
              <w:bottom w:w="28" w:type="dxa"/>
            </w:tcMar>
            <w:vAlign w:val="center"/>
          </w:tcPr>
          <w:p w14:paraId="5DE434BE">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国家、省市级的相关环保法律法规</w:t>
            </w:r>
          </w:p>
        </w:tc>
        <w:tc>
          <w:tcPr>
            <w:tcW w:w="6444" w:type="dxa"/>
            <w:tcMar>
              <w:top w:w="28" w:type="dxa"/>
              <w:bottom w:w="28" w:type="dxa"/>
            </w:tcMar>
            <w:vAlign w:val="center"/>
          </w:tcPr>
          <w:p w14:paraId="6C0943E0">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国家、省市颁发的环境保护法律、法规。</w:t>
            </w:r>
          </w:p>
        </w:tc>
      </w:tr>
      <w:tr w14:paraId="50D39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66FB484B">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2</w:t>
            </w:r>
          </w:p>
        </w:tc>
        <w:tc>
          <w:tcPr>
            <w:tcW w:w="2168" w:type="dxa"/>
            <w:tcMar>
              <w:top w:w="28" w:type="dxa"/>
              <w:bottom w:w="28" w:type="dxa"/>
            </w:tcMar>
            <w:vAlign w:val="center"/>
          </w:tcPr>
          <w:p w14:paraId="00CDA68A">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油田公司制定的相关环保法律法规</w:t>
            </w:r>
          </w:p>
        </w:tc>
        <w:tc>
          <w:tcPr>
            <w:tcW w:w="6444" w:type="dxa"/>
            <w:tcMar>
              <w:top w:w="28" w:type="dxa"/>
              <w:bottom w:w="28" w:type="dxa"/>
            </w:tcMar>
            <w:vAlign w:val="center"/>
          </w:tcPr>
          <w:p w14:paraId="619E1375">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油田公司的环境管理规定及环境管理规章制度（或环境保护条例及事故预案）。</w:t>
            </w:r>
          </w:p>
        </w:tc>
      </w:tr>
      <w:tr w14:paraId="2AF74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481A80AA">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3</w:t>
            </w:r>
          </w:p>
        </w:tc>
        <w:tc>
          <w:tcPr>
            <w:tcW w:w="2168" w:type="dxa"/>
            <w:tcMar>
              <w:top w:w="28" w:type="dxa"/>
              <w:bottom w:w="28" w:type="dxa"/>
            </w:tcMar>
            <w:vAlign w:val="center"/>
          </w:tcPr>
          <w:p w14:paraId="65F2307B">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环保技术规程及标准</w:t>
            </w:r>
          </w:p>
        </w:tc>
        <w:tc>
          <w:tcPr>
            <w:tcW w:w="6444" w:type="dxa"/>
            <w:tcMar>
              <w:top w:w="28" w:type="dxa"/>
              <w:bottom w:w="28" w:type="dxa"/>
            </w:tcMar>
            <w:vAlign w:val="center"/>
          </w:tcPr>
          <w:p w14:paraId="2FB1495E">
            <w:pPr>
              <w:widowControl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各级有关环境管理的技术规程、标准，主要包括：国家及省市颁布的相关污染物排放控制标准；油田公司及厂矿等各级单位制定的生产工艺、设备的环境技术管理规程，环境保护设备的操作规程等。</w:t>
            </w:r>
          </w:p>
        </w:tc>
      </w:tr>
      <w:tr w14:paraId="78B04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2C715133">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4</w:t>
            </w:r>
          </w:p>
        </w:tc>
        <w:tc>
          <w:tcPr>
            <w:tcW w:w="2168" w:type="dxa"/>
            <w:tcMar>
              <w:top w:w="28" w:type="dxa"/>
              <w:bottom w:w="28" w:type="dxa"/>
            </w:tcMar>
            <w:vAlign w:val="center"/>
          </w:tcPr>
          <w:p w14:paraId="300153CB">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环境保护责任制</w:t>
            </w:r>
          </w:p>
        </w:tc>
        <w:tc>
          <w:tcPr>
            <w:tcW w:w="6444" w:type="dxa"/>
            <w:tcMar>
              <w:top w:w="28" w:type="dxa"/>
              <w:bottom w:w="28" w:type="dxa"/>
            </w:tcMar>
            <w:vAlign w:val="center"/>
          </w:tcPr>
          <w:p w14:paraId="0A3AB2F2">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公司各类人员环境保护工作范围，应负的责任以及相应的权力。</w:t>
            </w:r>
          </w:p>
        </w:tc>
      </w:tr>
      <w:tr w14:paraId="489D5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5FB8724B">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5</w:t>
            </w:r>
          </w:p>
        </w:tc>
        <w:tc>
          <w:tcPr>
            <w:tcW w:w="2168" w:type="dxa"/>
            <w:tcMar>
              <w:top w:w="28" w:type="dxa"/>
              <w:bottom w:w="28" w:type="dxa"/>
            </w:tcMar>
            <w:vAlign w:val="center"/>
          </w:tcPr>
          <w:p w14:paraId="4CEBC7B8">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三废管理制度</w:t>
            </w:r>
          </w:p>
        </w:tc>
        <w:tc>
          <w:tcPr>
            <w:tcW w:w="6444" w:type="dxa"/>
            <w:tcMar>
              <w:top w:w="28" w:type="dxa"/>
              <w:bottom w:w="28" w:type="dxa"/>
            </w:tcMar>
            <w:vAlign w:val="center"/>
          </w:tcPr>
          <w:p w14:paraId="728D4E7B">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包括油田开发建设期及生产运行期废水、废气、废渣及噪声等方面的管理制度。</w:t>
            </w:r>
          </w:p>
        </w:tc>
      </w:tr>
      <w:tr w14:paraId="69F9D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01C40D09">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6</w:t>
            </w:r>
          </w:p>
        </w:tc>
        <w:tc>
          <w:tcPr>
            <w:tcW w:w="2168" w:type="dxa"/>
            <w:tcMar>
              <w:top w:w="28" w:type="dxa"/>
              <w:bottom w:w="28" w:type="dxa"/>
            </w:tcMar>
            <w:vAlign w:val="center"/>
          </w:tcPr>
          <w:p w14:paraId="7E9BF351">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生态保护管理制度</w:t>
            </w:r>
          </w:p>
        </w:tc>
        <w:tc>
          <w:tcPr>
            <w:tcW w:w="6444" w:type="dxa"/>
            <w:tcMar>
              <w:top w:w="28" w:type="dxa"/>
              <w:bottom w:w="28" w:type="dxa"/>
            </w:tcMar>
            <w:vAlign w:val="center"/>
          </w:tcPr>
          <w:p w14:paraId="68D1EA89">
            <w:pPr>
              <w:widowControl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 xml:space="preserve">主要包括油田建设期管道的建设过程对区域内生态环境产生的影响后所做出的恢复计划及生态补偿措施等 </w:t>
            </w:r>
          </w:p>
        </w:tc>
      </w:tr>
      <w:tr w14:paraId="71586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1BB56403">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7</w:t>
            </w:r>
          </w:p>
        </w:tc>
        <w:tc>
          <w:tcPr>
            <w:tcW w:w="2168" w:type="dxa"/>
            <w:tcMar>
              <w:top w:w="28" w:type="dxa"/>
              <w:bottom w:w="28" w:type="dxa"/>
            </w:tcMar>
            <w:vAlign w:val="center"/>
          </w:tcPr>
          <w:p w14:paraId="0A4878CA">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事故管理预案</w:t>
            </w:r>
          </w:p>
        </w:tc>
        <w:tc>
          <w:tcPr>
            <w:tcW w:w="6444" w:type="dxa"/>
            <w:tcMar>
              <w:top w:w="28" w:type="dxa"/>
              <w:bottom w:w="28" w:type="dxa"/>
            </w:tcMar>
            <w:vAlign w:val="center"/>
          </w:tcPr>
          <w:p w14:paraId="445F6C43">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14:textFill>
                  <w14:solidFill>
                    <w14:schemeClr w14:val="tx1"/>
                  </w14:solidFill>
                </w14:textFill>
              </w:rPr>
              <w:t>明确项目田开发建设过程中的管道所可能存在的突发事故的预防管理措施。</w:t>
            </w:r>
          </w:p>
        </w:tc>
      </w:tr>
    </w:tbl>
    <w:p w14:paraId="2D7C93A2">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080" w:name="_Toc127192445"/>
      <w:bookmarkStart w:id="1081" w:name="_Toc131167397"/>
      <w:bookmarkStart w:id="1082" w:name="_Toc126863496"/>
      <w:bookmarkStart w:id="1083" w:name="_Toc186444396"/>
      <w:bookmarkStart w:id="1084" w:name="_Toc143099684"/>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8.1.3管理措施</w:t>
      </w:r>
      <w:bookmarkEnd w:id="1080"/>
      <w:bookmarkEnd w:id="1081"/>
      <w:bookmarkEnd w:id="1082"/>
      <w:bookmarkEnd w:id="1083"/>
      <w:bookmarkEnd w:id="1084"/>
    </w:p>
    <w:p w14:paraId="74B0B2B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（1）最高领导层将HSE管理放在与企业生产和经营管理同等重要的位置上；</w:t>
      </w:r>
    </w:p>
    <w:p w14:paraId="30AAD95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（2）公司员工时刻将HSE责任放在心中；</w:t>
      </w:r>
    </w:p>
    <w:p w14:paraId="5FA341C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（3）制定和落实一岗一责制；</w:t>
      </w:r>
    </w:p>
    <w:p w14:paraId="0A3839A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（4）加强生产技术及HSE教育和培训；</w:t>
      </w:r>
    </w:p>
    <w:p w14:paraId="724D40B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（5）做好现场审核和整改；</w:t>
      </w:r>
    </w:p>
    <w:p w14:paraId="5946C59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（6）奖优罚劣，持续改进HSE表现。</w:t>
      </w:r>
    </w:p>
    <w:p w14:paraId="6DF925DD">
      <w:pPr>
        <w:widowControl w:val="0"/>
        <w:spacing w:before="120" w:after="120" w:line="440" w:lineRule="exact"/>
        <w:jc w:val="both"/>
        <w:outlineLvl w:val="1"/>
        <w:rPr>
          <w:rFonts w:ascii="Times New Roman" w:hAnsi="Times New Roman" w:cs="Times New Roman" w:eastAsiaTheme="minorEastAsia"/>
          <w:b/>
          <w:bCs/>
          <w:caps w:val="0"/>
          <w:smallCaps w:val="0"/>
          <w:snapToGrid w:val="0"/>
          <w:color w:val="000000" w:themeColor="text1"/>
          <w:spacing w:val="0"/>
          <w:w w:val="100"/>
          <w:position w:val="0"/>
          <w:sz w:val="28"/>
          <w:szCs w:val="32"/>
          <w14:textFill>
            <w14:solidFill>
              <w14:schemeClr w14:val="tx1"/>
            </w14:solidFill>
          </w14:textFill>
        </w:rPr>
      </w:pPr>
      <w:bookmarkStart w:id="1085" w:name="_Toc186444397"/>
      <w:bookmarkStart w:id="1086" w:name="_Toc219900413"/>
      <w:bookmarkStart w:id="1087" w:name="_Toc173163562"/>
      <w:r>
        <w:rPr>
          <w:rFonts w:ascii="Times New Roman" w:hAnsi="Times New Roman" w:cs="Times New Roman" w:eastAsiaTheme="minorEastAsia"/>
          <w:b/>
          <w:bCs/>
          <w:caps w:val="0"/>
          <w:smallCaps w:val="0"/>
          <w:snapToGrid w:val="0"/>
          <w:color w:val="000000" w:themeColor="text1"/>
          <w:spacing w:val="0"/>
          <w:w w:val="100"/>
          <w:position w:val="0"/>
          <w:sz w:val="28"/>
          <w:szCs w:val="32"/>
          <w14:textFill>
            <w14:solidFill>
              <w14:schemeClr w14:val="tx1"/>
            </w14:solidFill>
          </w14:textFill>
        </w:rPr>
        <w:t>8.2环境监控</w:t>
      </w:r>
      <w:bookmarkEnd w:id="1085"/>
      <w:bookmarkEnd w:id="1086"/>
      <w:bookmarkEnd w:id="1087"/>
    </w:p>
    <w:p w14:paraId="7D84A1B2">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088" w:name="_Toc127192447"/>
      <w:bookmarkStart w:id="1089" w:name="_Toc186444398"/>
      <w:bookmarkStart w:id="1090" w:name="_Toc126863498"/>
      <w:bookmarkStart w:id="1091" w:name="_Toc131167399"/>
      <w:bookmarkStart w:id="1092" w:name="_Toc143099686"/>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8.2.1环境监控实施计划</w:t>
      </w:r>
      <w:bookmarkEnd w:id="1088"/>
      <w:bookmarkEnd w:id="1089"/>
      <w:bookmarkEnd w:id="1090"/>
      <w:bookmarkEnd w:id="1091"/>
      <w:bookmarkEnd w:id="1092"/>
    </w:p>
    <w:p w14:paraId="4C091147">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本项目由</w:t>
      </w:r>
      <w:r>
        <w:rPr>
          <w:rFonts w:hint="eastAsia" w:ascii="Times New Roman" w:hAnsi="Times New Roman" w:cs="Times New Roman" w:eastAsiaTheme="minorEastAsia"/>
          <w:color w:val="auto"/>
          <w:w w:val="99"/>
          <w:kern w:val="21"/>
          <w:highlight w:val="none"/>
          <w:lang w:eastAsia="zh-CN"/>
        </w:rPr>
        <w:t>大庆油田有限责任公司第十一采油厂</w:t>
      </w:r>
      <w:r>
        <w:rPr>
          <w:rFonts w:ascii="Times New Roman" w:hAnsi="Times New Roman" w:cs="Times New Roman" w:eastAsiaTheme="minorEastAsia"/>
          <w:color w:val="auto"/>
          <w:w w:val="99"/>
          <w:kern w:val="21"/>
          <w:highlight w:val="none"/>
        </w:rPr>
        <w:t>安全环保部对油田建设环境保护工作进行全过程监控，对环境保护措施强制推行，以加强设计和施工阶段的环境管理，控制施工阶段的环境污染和生态破坏；同时在日常生产管理过程中对相应的环境管理机构、人员及环境管理制度必须切实落实和执行。尤其在建设施工期，除设置油田专职环保员一名外，还应根据现场实际情况，建立健全相应的二级HSE管理网络，在油田已有HSE指挥部的基础上，分别配备数名</w:t>
      </w:r>
      <w:r>
        <w:rPr>
          <w:rFonts w:hint="eastAsia" w:ascii="Times New Roman" w:hAnsi="Times New Roman" w:cs="Times New Roman" w:eastAsiaTheme="minorEastAsia"/>
          <w:color w:val="auto"/>
          <w:w w:val="99"/>
          <w:kern w:val="21"/>
          <w:highlight w:val="none"/>
          <w:lang w:val="en-US" w:eastAsia="zh-CN"/>
        </w:rPr>
        <w:t>HSE</w:t>
      </w:r>
      <w:r>
        <w:rPr>
          <w:rFonts w:ascii="Times New Roman" w:hAnsi="Times New Roman" w:cs="Times New Roman" w:eastAsiaTheme="minorEastAsia"/>
          <w:color w:val="auto"/>
          <w:w w:val="99"/>
          <w:kern w:val="21"/>
          <w:highlight w:val="none"/>
        </w:rPr>
        <w:t>现场监督人员。分别配备协调员，实行逐级负责制。</w:t>
      </w:r>
    </w:p>
    <w:p w14:paraId="7D84BA55">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HSE机构在环境管理上的主要任务包括；负责制定本油田施工作业的环境管理方案，制定发生事故的应急计划，监督各项环保措施的落实及环保工程的检查和预验收，负责协调与地方环保、水利、土地等部门的关系以及负责有关环保文件、技术资料的收集建档等。</w:t>
      </w:r>
    </w:p>
    <w:p w14:paraId="5DF5EA11">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093" w:name="_Toc186444399"/>
      <w:bookmarkStart w:id="1094" w:name="_Toc127192448"/>
      <w:bookmarkStart w:id="1095" w:name="_Toc131167400"/>
      <w:bookmarkStart w:id="1096" w:name="_Toc143099687"/>
      <w:bookmarkStart w:id="1097" w:name="_Toc126863499"/>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8.2.2环境管理工作的重点</w:t>
      </w:r>
      <w:bookmarkEnd w:id="1093"/>
      <w:bookmarkEnd w:id="1094"/>
      <w:bookmarkEnd w:id="1095"/>
      <w:bookmarkEnd w:id="1096"/>
      <w:bookmarkEnd w:id="1097"/>
    </w:p>
    <w:p w14:paraId="6DC9C980">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工程投产运行后，油田环境管理工作由</w:t>
      </w:r>
      <w:r>
        <w:rPr>
          <w:rFonts w:hint="eastAsia" w:ascii="Times New Roman" w:hAnsi="Times New Roman" w:cs="Times New Roman" w:eastAsiaTheme="minorEastAsia"/>
          <w:color w:val="auto"/>
          <w:w w:val="99"/>
          <w:kern w:val="21"/>
          <w:highlight w:val="none"/>
          <w:lang w:eastAsia="zh-CN"/>
        </w:rPr>
        <w:t>大庆油田有限责任公司第十一采油厂</w:t>
      </w:r>
      <w:r>
        <w:rPr>
          <w:rFonts w:ascii="Times New Roman" w:hAnsi="Times New Roman" w:cs="Times New Roman" w:eastAsiaTheme="minorEastAsia"/>
          <w:color w:val="auto"/>
          <w:w w:val="99"/>
          <w:kern w:val="21"/>
          <w:highlight w:val="none"/>
        </w:rPr>
        <w:t>安全环保部负责，在油田生产运行期，环境管理除抓好日常站场各种环保设施的运行、维护等工作外，工作重点应针对</w:t>
      </w:r>
      <w:r>
        <w:rPr>
          <w:rFonts w:hint="eastAsia" w:ascii="Times New Roman" w:hAnsi="Times New Roman" w:cs="Times New Roman" w:eastAsiaTheme="minorEastAsia"/>
          <w:color w:val="auto"/>
          <w:w w:val="99"/>
          <w:kern w:val="21"/>
          <w:highlight w:val="none"/>
          <w:lang w:val="en-US" w:eastAsia="zh-CN"/>
        </w:rPr>
        <w:t>集油</w:t>
      </w:r>
      <w:r>
        <w:rPr>
          <w:rFonts w:ascii="Times New Roman" w:hAnsi="Times New Roman" w:cs="Times New Roman" w:eastAsiaTheme="minorEastAsia"/>
          <w:color w:val="auto"/>
          <w:w w:val="99"/>
          <w:kern w:val="21"/>
          <w:highlight w:val="none"/>
        </w:rPr>
        <w:t>管线破裂后</w:t>
      </w:r>
      <w:r>
        <w:rPr>
          <w:rFonts w:hint="eastAsia" w:ascii="Times New Roman" w:hAnsi="Times New Roman" w:cs="Times New Roman" w:eastAsiaTheme="minorEastAsia"/>
          <w:color w:val="auto"/>
          <w:w w:val="99"/>
          <w:kern w:val="21"/>
          <w:highlight w:val="none"/>
          <w:lang w:val="en-US" w:eastAsia="zh-CN"/>
        </w:rPr>
        <w:t>净化油</w:t>
      </w:r>
      <w:r>
        <w:rPr>
          <w:rFonts w:ascii="Times New Roman" w:hAnsi="Times New Roman" w:cs="Times New Roman" w:eastAsiaTheme="minorEastAsia"/>
          <w:color w:val="auto"/>
          <w:w w:val="99"/>
          <w:kern w:val="21"/>
          <w:highlight w:val="none"/>
        </w:rPr>
        <w:t>泄漏等事故的预防和处理上。为此，必须制定相应的事故预防措施、事故应急措施以及恢复补偿措施等。</w:t>
      </w:r>
      <w:r>
        <w:rPr>
          <w:rFonts w:hint="eastAsia" w:ascii="Times New Roman" w:hAnsi="Times New Roman" w:cs="Times New Roman" w:eastAsiaTheme="minorEastAsia"/>
          <w:color w:val="auto"/>
          <w:w w:val="99"/>
          <w:kern w:val="21"/>
          <w:highlight w:val="none"/>
          <w:lang w:eastAsia="zh-CN"/>
        </w:rPr>
        <w:t>外输油管道</w:t>
      </w:r>
      <w:r>
        <w:rPr>
          <w:rFonts w:ascii="Times New Roman" w:hAnsi="Times New Roman" w:cs="Times New Roman" w:eastAsiaTheme="minorEastAsia"/>
          <w:color w:val="auto"/>
          <w:w w:val="99"/>
          <w:kern w:val="21"/>
          <w:highlight w:val="none"/>
        </w:rPr>
        <w:t>的监控内容为管道运营是否正常，是否有穿孔等潜在危害存在，以杜绝</w:t>
      </w:r>
      <w:r>
        <w:rPr>
          <w:rFonts w:hint="eastAsia" w:ascii="Times New Roman" w:hAnsi="Times New Roman" w:cs="Times New Roman" w:eastAsiaTheme="minorEastAsia"/>
          <w:color w:val="auto"/>
          <w:w w:val="99"/>
          <w:kern w:val="21"/>
          <w:highlight w:val="none"/>
          <w:lang w:val="en-US" w:eastAsia="zh-CN"/>
        </w:rPr>
        <w:t>净化油</w:t>
      </w:r>
      <w:r>
        <w:rPr>
          <w:rFonts w:ascii="Times New Roman" w:hAnsi="Times New Roman" w:cs="Times New Roman" w:eastAsiaTheme="minorEastAsia"/>
          <w:color w:val="auto"/>
          <w:w w:val="99"/>
          <w:kern w:val="21"/>
          <w:highlight w:val="none"/>
        </w:rPr>
        <w:t>泄漏。</w:t>
      </w:r>
    </w:p>
    <w:p w14:paraId="4DAB48CB">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098" w:name="_Toc127192449"/>
      <w:bookmarkStart w:id="1099" w:name="_Toc186444400"/>
      <w:bookmarkStart w:id="1100" w:name="_Toc131167401"/>
      <w:bookmarkStart w:id="1101" w:name="_Toc143099688"/>
      <w:bookmarkStart w:id="1102" w:name="_Toc126863500"/>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8.2.3环境管理人员的基本职责</w:t>
      </w:r>
      <w:bookmarkEnd w:id="1098"/>
      <w:bookmarkEnd w:id="1099"/>
      <w:bookmarkEnd w:id="1100"/>
      <w:bookmarkEnd w:id="1101"/>
      <w:bookmarkEnd w:id="1102"/>
    </w:p>
    <w:p w14:paraId="07565D2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（1）协助有关生态环境部门进行环境保护设施的竣工验收工作；</w:t>
      </w:r>
    </w:p>
    <w:p w14:paraId="560682B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（2）定期进行环保安全检查和召开有关会议；</w:t>
      </w:r>
    </w:p>
    <w:p w14:paraId="3640607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（3）对领导和职工特别是兼职环保人员进行环保安全方面的培训；</w:t>
      </w:r>
    </w:p>
    <w:p w14:paraId="05B35E6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（4）制定各种可能发生事故的应急计划，定期进行演练；配备各种必要的维护、抢修器材和设备，保证在发生事故时能及时到位；</w:t>
      </w:r>
    </w:p>
    <w:p w14:paraId="72AD730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（5）主管环保的人员应参加生产调度和管理工作会议，针对生产运行中存在的环境问题，向公司领导和生产部门提出建议和技术处理措施。</w:t>
      </w:r>
    </w:p>
    <w:p w14:paraId="1F73DC65">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103" w:name="_Toc127192450"/>
      <w:bookmarkStart w:id="1104" w:name="_Toc143099689"/>
      <w:bookmarkStart w:id="1105" w:name="_Toc186444401"/>
      <w:bookmarkStart w:id="1106" w:name="_Toc126863501"/>
      <w:bookmarkStart w:id="1107" w:name="_Toc131167402"/>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8.2.4环境监控基本内容</w:t>
      </w:r>
      <w:bookmarkEnd w:id="1103"/>
      <w:bookmarkEnd w:id="1104"/>
      <w:bookmarkEnd w:id="1105"/>
      <w:bookmarkEnd w:id="1106"/>
      <w:bookmarkEnd w:id="1107"/>
    </w:p>
    <w:p w14:paraId="6979326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为了油田开发区域内环境的持续改进，对油田开发建设的各项活动进行全过程、全方位的监控。运营期的环境监控主要是管线集输过程中的环境保护措施执行情况。日常监控主要由本站的环保员组织定期进行，由上级部门核查。核查采用检查现场、检查记录、与员工座谈等形式进行；检查和核查应形成记录。</w:t>
      </w:r>
    </w:p>
    <w:p w14:paraId="0B0A3C61">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108" w:name="_Toc186444402"/>
      <w:bookmarkStart w:id="1109" w:name="_Toc143099690"/>
      <w:bookmarkStart w:id="1110" w:name="_Toc131167403"/>
      <w:bookmarkStart w:id="1111" w:name="_Toc126863502"/>
      <w:bookmarkStart w:id="1112" w:name="_Toc127192451"/>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8.2.5本工程污染源排放清单</w:t>
      </w:r>
      <w:bookmarkEnd w:id="1108"/>
      <w:bookmarkEnd w:id="1109"/>
      <w:bookmarkEnd w:id="1110"/>
      <w:bookmarkEnd w:id="1111"/>
      <w:bookmarkEnd w:id="1112"/>
    </w:p>
    <w:p w14:paraId="09EDDAF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本工程施工期污染物排放清单见表8.2-1。</w:t>
      </w:r>
    </w:p>
    <w:p w14:paraId="46E8335D">
      <w:pPr>
        <w:widowControl w:val="0"/>
        <w:spacing w:line="440" w:lineRule="exact"/>
        <w:ind w:firstLine="482" w:firstLineChars="200"/>
        <w:jc w:val="both"/>
        <w:rPr>
          <w:rFonts w:ascii="Times New Roman" w:hAnsi="Times New Roman" w:cs="Times New Roman" w:eastAsiaTheme="minorEastAsia"/>
          <w:color w:val="000000" w:themeColor="text1"/>
          <w:kern w:val="21"/>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8.2-1    施工期污染物排放清</w:t>
      </w:r>
      <w:bookmarkStart w:id="1113" w:name="_Toc186444403"/>
      <w:bookmarkStart w:id="1114" w:name="_Toc143099691"/>
      <w:bookmarkStart w:id="1115" w:name="_Toc126863503"/>
      <w:bookmarkStart w:id="1116" w:name="_Toc131167404"/>
      <w:bookmarkStart w:id="1117" w:name="_Toc127192452"/>
      <w:r>
        <w:rPr>
          <w:rFonts w:ascii="Times New Roman" w:hAnsi="Times New Roman" w:cs="Times New Roman" w:eastAsiaTheme="minorEastAsia"/>
          <w:b/>
          <w:color w:val="000000" w:themeColor="text1"/>
          <w:kern w:val="21"/>
          <w14:textFill>
            <w14:solidFill>
              <w14:schemeClr w14:val="tx1"/>
            </w14:solidFill>
          </w14:textFill>
        </w:rPr>
        <w:t>单</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725"/>
        <w:gridCol w:w="726"/>
        <w:gridCol w:w="1016"/>
        <w:gridCol w:w="3632"/>
        <w:gridCol w:w="2463"/>
      </w:tblGrid>
      <w:tr w14:paraId="3B921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390" w:type="pct"/>
            <w:vAlign w:val="center"/>
          </w:tcPr>
          <w:p w14:paraId="55076467">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污染物种类</w:t>
            </w:r>
          </w:p>
        </w:tc>
        <w:tc>
          <w:tcPr>
            <w:tcW w:w="390" w:type="pct"/>
            <w:vAlign w:val="center"/>
          </w:tcPr>
          <w:p w14:paraId="17A3B9A8">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污染物名称</w:t>
            </w:r>
          </w:p>
        </w:tc>
        <w:tc>
          <w:tcPr>
            <w:tcW w:w="390" w:type="pct"/>
            <w:vAlign w:val="center"/>
          </w:tcPr>
          <w:p w14:paraId="7F162DA1">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主要污染因子</w:t>
            </w:r>
          </w:p>
        </w:tc>
        <w:tc>
          <w:tcPr>
            <w:tcW w:w="547" w:type="pct"/>
            <w:vAlign w:val="center"/>
          </w:tcPr>
          <w:p w14:paraId="10E18442">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排放量</w:t>
            </w:r>
          </w:p>
        </w:tc>
        <w:tc>
          <w:tcPr>
            <w:tcW w:w="1955" w:type="pct"/>
            <w:vAlign w:val="center"/>
          </w:tcPr>
          <w:p w14:paraId="369B9ABD">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控制措施及去向</w:t>
            </w:r>
          </w:p>
        </w:tc>
        <w:tc>
          <w:tcPr>
            <w:tcW w:w="1326" w:type="pct"/>
            <w:vAlign w:val="center"/>
          </w:tcPr>
          <w:p w14:paraId="0A8C186F">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排放管理要求</w:t>
            </w:r>
          </w:p>
        </w:tc>
      </w:tr>
      <w:tr w14:paraId="35A21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restart"/>
            <w:vAlign w:val="center"/>
          </w:tcPr>
          <w:p w14:paraId="6D957E3A">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废气</w:t>
            </w:r>
          </w:p>
        </w:tc>
        <w:tc>
          <w:tcPr>
            <w:tcW w:w="390" w:type="pct"/>
            <w:vAlign w:val="center"/>
          </w:tcPr>
          <w:p w14:paraId="1B1873AE">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施工期扬尘</w:t>
            </w:r>
          </w:p>
        </w:tc>
        <w:tc>
          <w:tcPr>
            <w:tcW w:w="390" w:type="pct"/>
            <w:vAlign w:val="center"/>
          </w:tcPr>
          <w:p w14:paraId="141A9063">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颗粒物</w:t>
            </w:r>
          </w:p>
        </w:tc>
        <w:tc>
          <w:tcPr>
            <w:tcW w:w="547" w:type="pct"/>
            <w:vAlign w:val="center"/>
          </w:tcPr>
          <w:p w14:paraId="5A21E5F4">
            <w:pPr>
              <w:spacing w:line="320" w:lineRule="exact"/>
              <w:jc w:val="center"/>
              <w:rPr>
                <w:rFonts w:ascii="Times New Roman" w:hAnsi="Times New Roman" w:cs="Times New Roman" w:eastAsiaTheme="minorEastAsia"/>
                <w:color w:val="000000" w:themeColor="text1"/>
                <w:sz w:val="21"/>
                <w:szCs w:val="21"/>
                <w:highlight w:val="yellow"/>
                <w14:textFill>
                  <w14:solidFill>
                    <w14:schemeClr w14:val="tx1"/>
                  </w14:solidFill>
                </w14:textFill>
              </w:rPr>
            </w:pPr>
            <w:r>
              <w:rPr>
                <w:rFonts w:hint="eastAsia" w:ascii="Times New Roman" w:hAnsi="Times New Roman" w:cs="Times New Roman" w:eastAsiaTheme="minorEastAsia"/>
                <w:bCs/>
                <w:color w:val="000000" w:themeColor="text1"/>
                <w:sz w:val="21"/>
                <w:szCs w:val="21"/>
                <w:lang w:val="en-US" w:eastAsia="zh-CN"/>
                <w14:textFill>
                  <w14:solidFill>
                    <w14:schemeClr w14:val="tx1"/>
                  </w14:solidFill>
                </w14:textFill>
              </w:rPr>
              <w:t>4.7</w:t>
            </w:r>
            <w:r>
              <w:rPr>
                <w:rFonts w:ascii="Times New Roman" w:hAnsi="Times New Roman" w:cs="Times New Roman" w:eastAsiaTheme="minorEastAsia"/>
                <w:bCs/>
                <w:color w:val="000000" w:themeColor="text1"/>
                <w:sz w:val="21"/>
                <w:szCs w:val="21"/>
                <w14:textFill>
                  <w14:solidFill>
                    <w14:schemeClr w14:val="tx1"/>
                  </w14:solidFill>
                </w14:textFill>
              </w:rPr>
              <w:t>t</w:t>
            </w:r>
          </w:p>
        </w:tc>
        <w:tc>
          <w:tcPr>
            <w:tcW w:w="1955" w:type="pct"/>
            <w:vAlign w:val="center"/>
          </w:tcPr>
          <w:p w14:paraId="617FA020">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对施工场地采取洒水抑尘，对易起尘的临时土方等加盖苫布，</w:t>
            </w:r>
            <w:r>
              <w:rPr>
                <w:rFonts w:ascii="Times New Roman" w:hAnsi="Times New Roman" w:cs="Times New Roman" w:eastAsiaTheme="minorEastAsia"/>
                <w:bCs/>
                <w:color w:val="000000" w:themeColor="text1"/>
                <w:sz w:val="21"/>
                <w:szCs w:val="21"/>
                <w14:textFill>
                  <w14:solidFill>
                    <w14:schemeClr w14:val="tx1"/>
                  </w14:solidFill>
                </w14:textFill>
              </w:rPr>
              <w:t>施工运输车辆采取密闭措施或加盖苫布，</w:t>
            </w:r>
            <w:r>
              <w:rPr>
                <w:rFonts w:ascii="Times New Roman" w:hAnsi="Times New Roman" w:cs="Times New Roman" w:eastAsiaTheme="minorEastAsia"/>
                <w:color w:val="000000" w:themeColor="text1"/>
                <w:sz w:val="21"/>
                <w:szCs w:val="21"/>
                <w14:textFill>
                  <w14:solidFill>
                    <w14:schemeClr w14:val="tx1"/>
                  </w14:solidFill>
                </w14:textFill>
              </w:rPr>
              <w:t>加强施工管理。</w:t>
            </w:r>
          </w:p>
        </w:tc>
        <w:tc>
          <w:tcPr>
            <w:tcW w:w="1326" w:type="pct"/>
            <w:vMerge w:val="restart"/>
            <w:vAlign w:val="center"/>
          </w:tcPr>
          <w:p w14:paraId="782EC756">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执行</w:t>
            </w:r>
            <w:r>
              <w:rPr>
                <w:rFonts w:ascii="Times New Roman" w:hAnsi="Times New Roman" w:cs="Times New Roman" w:eastAsiaTheme="minorEastAsia"/>
                <w:snapToGrid w:val="0"/>
                <w:color w:val="000000" w:themeColor="text1"/>
                <w:sz w:val="21"/>
                <w:szCs w:val="21"/>
                <w14:textFill>
                  <w14:solidFill>
                    <w14:schemeClr w14:val="tx1"/>
                  </w14:solidFill>
                </w14:textFill>
              </w:rPr>
              <w:t>《大气污染物综合排放标准》（GB16297-1996）表2中无组织排放监控浓度限值要求</w:t>
            </w:r>
          </w:p>
        </w:tc>
      </w:tr>
      <w:tr w14:paraId="659A6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25FFC9A7">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p>
        </w:tc>
        <w:tc>
          <w:tcPr>
            <w:tcW w:w="390" w:type="pct"/>
            <w:vAlign w:val="center"/>
          </w:tcPr>
          <w:p w14:paraId="60E7C3DD">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焊接烟尘</w:t>
            </w:r>
          </w:p>
        </w:tc>
        <w:tc>
          <w:tcPr>
            <w:tcW w:w="390" w:type="pct"/>
            <w:vAlign w:val="center"/>
          </w:tcPr>
          <w:p w14:paraId="3651D7F7">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颗粒物</w:t>
            </w:r>
          </w:p>
        </w:tc>
        <w:tc>
          <w:tcPr>
            <w:tcW w:w="547" w:type="pct"/>
            <w:vAlign w:val="center"/>
          </w:tcPr>
          <w:p w14:paraId="7CD70108">
            <w:pPr>
              <w:spacing w:line="320" w:lineRule="exact"/>
              <w:jc w:val="center"/>
              <w:rPr>
                <w:rFonts w:ascii="Times New Roman" w:hAnsi="Times New Roman" w:cs="Times New Roman" w:eastAsiaTheme="minorEastAsia"/>
                <w:bCs/>
                <w:color w:val="000000" w:themeColor="text1"/>
                <w:sz w:val="21"/>
                <w:szCs w:val="21"/>
                <w14:textFill>
                  <w14:solidFill>
                    <w14:schemeClr w14:val="tx1"/>
                  </w14:solidFill>
                </w14:textFill>
              </w:rPr>
            </w:pPr>
            <w:r>
              <w:rPr>
                <w:rFonts w:ascii="Times New Roman" w:hAnsi="Times New Roman" w:cs="Times New Roman" w:eastAsiaTheme="minorEastAsia"/>
                <w:bCs/>
                <w:color w:val="000000" w:themeColor="text1"/>
                <w:sz w:val="21"/>
                <w:szCs w:val="21"/>
                <w14:textFill>
                  <w14:solidFill>
                    <w14:schemeClr w14:val="tx1"/>
                  </w14:solidFill>
                </w14:textFill>
              </w:rPr>
              <w:t>0.00</w:t>
            </w:r>
            <w:r>
              <w:rPr>
                <w:rFonts w:hint="eastAsia" w:ascii="Times New Roman" w:hAnsi="Times New Roman" w:cs="Times New Roman" w:eastAsiaTheme="minorEastAsia"/>
                <w:bCs/>
                <w:color w:val="000000" w:themeColor="text1"/>
                <w:sz w:val="21"/>
                <w:szCs w:val="21"/>
                <w14:textFill>
                  <w14:solidFill>
                    <w14:schemeClr w14:val="tx1"/>
                  </w14:solidFill>
                </w14:textFill>
              </w:rPr>
              <w:t>13</w:t>
            </w:r>
            <w:r>
              <w:rPr>
                <w:rFonts w:ascii="Times New Roman" w:hAnsi="Times New Roman" w:cs="Times New Roman" w:eastAsiaTheme="minorEastAsia"/>
                <w:bCs/>
                <w:color w:val="000000" w:themeColor="text1"/>
                <w:sz w:val="21"/>
                <w:szCs w:val="21"/>
                <w14:textFill>
                  <w14:solidFill>
                    <w14:schemeClr w14:val="tx1"/>
                  </w14:solidFill>
                </w14:textFill>
              </w:rPr>
              <w:t>t</w:t>
            </w:r>
          </w:p>
        </w:tc>
        <w:tc>
          <w:tcPr>
            <w:tcW w:w="1955" w:type="pct"/>
            <w:vAlign w:val="center"/>
          </w:tcPr>
          <w:p w14:paraId="5F4F9C18">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由于项目焊接点较少，产生的焊接烟尘量较小，且项目位于室外，空气扩散条件较好</w:t>
            </w:r>
          </w:p>
        </w:tc>
        <w:tc>
          <w:tcPr>
            <w:tcW w:w="1326" w:type="pct"/>
            <w:vMerge w:val="continue"/>
            <w:vAlign w:val="center"/>
          </w:tcPr>
          <w:p w14:paraId="0C243F3B">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p>
        </w:tc>
      </w:tr>
      <w:tr w14:paraId="79790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restart"/>
            <w:vAlign w:val="center"/>
          </w:tcPr>
          <w:p w14:paraId="705D767A">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废水</w:t>
            </w:r>
          </w:p>
        </w:tc>
        <w:tc>
          <w:tcPr>
            <w:tcW w:w="390" w:type="pct"/>
            <w:vAlign w:val="center"/>
          </w:tcPr>
          <w:p w14:paraId="4C9724CC">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生活污水</w:t>
            </w:r>
          </w:p>
        </w:tc>
        <w:tc>
          <w:tcPr>
            <w:tcW w:w="390" w:type="pct"/>
            <w:vAlign w:val="center"/>
          </w:tcPr>
          <w:p w14:paraId="5D6B9753">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CODNH</w:t>
            </w:r>
            <w:r>
              <w:rPr>
                <w:rFonts w:ascii="Times New Roman" w:hAnsi="Times New Roman" w:cs="Times New Roman" w:eastAsiaTheme="minorEastAsia"/>
                <w:color w:val="000000" w:themeColor="text1"/>
                <w:sz w:val="21"/>
                <w:szCs w:val="21"/>
                <w:vertAlign w:val="subscript"/>
                <w14:textFill>
                  <w14:solidFill>
                    <w14:schemeClr w14:val="tx1"/>
                  </w14:solidFill>
                </w14:textFill>
              </w:rPr>
              <w:t>3</w:t>
            </w:r>
            <w:r>
              <w:rPr>
                <w:rFonts w:ascii="Times New Roman" w:hAnsi="Times New Roman" w:cs="Times New Roman" w:eastAsiaTheme="minorEastAsia"/>
                <w:color w:val="000000" w:themeColor="text1"/>
                <w:sz w:val="21"/>
                <w:szCs w:val="21"/>
                <w14:textFill>
                  <w14:solidFill>
                    <w14:schemeClr w14:val="tx1"/>
                  </w14:solidFill>
                </w14:textFill>
              </w:rPr>
              <w:t>-N</w:t>
            </w:r>
          </w:p>
        </w:tc>
        <w:tc>
          <w:tcPr>
            <w:tcW w:w="547" w:type="pct"/>
            <w:vAlign w:val="center"/>
          </w:tcPr>
          <w:p w14:paraId="0399369B">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hint="eastAsia" w:ascii="Times New Roman" w:hAnsi="Times New Roman" w:cs="Times New Roman" w:eastAsiaTheme="minorEastAsia"/>
                <w:color w:val="000000" w:themeColor="text1"/>
                <w:sz w:val="21"/>
                <w:szCs w:val="21"/>
                <w14:textFill>
                  <w14:solidFill>
                    <w14:schemeClr w14:val="tx1"/>
                  </w14:solidFill>
                </w14:textFill>
              </w:rPr>
              <w:t>115.2</w:t>
            </w:r>
            <w:r>
              <w:rPr>
                <w:rFonts w:ascii="Times New Roman" w:hAnsi="Times New Roman" w:cs="Times New Roman" w:eastAsiaTheme="minorEastAsia"/>
                <w:color w:val="000000" w:themeColor="text1"/>
                <w:sz w:val="21"/>
                <w:szCs w:val="21"/>
                <w14:textFill>
                  <w14:solidFill>
                    <w14:schemeClr w14:val="tx1"/>
                  </w14:solidFill>
                </w14:textFill>
              </w:rPr>
              <w:t>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3</w:t>
            </w:r>
          </w:p>
        </w:tc>
        <w:tc>
          <w:tcPr>
            <w:tcW w:w="1955" w:type="pct"/>
            <w:vAlign w:val="center"/>
          </w:tcPr>
          <w:p w14:paraId="27D0778E">
            <w:pPr>
              <w:spacing w:line="320" w:lineRule="exact"/>
              <w:jc w:val="center"/>
              <w:rPr>
                <w:rFonts w:ascii="Times New Roman" w:hAnsi="Times New Roman" w:cs="Times New Roman" w:eastAsiaTheme="minorEastAsia"/>
                <w:color w:val="000000" w:themeColor="text1"/>
                <w:kern w:val="2"/>
                <w:sz w:val="21"/>
                <w:szCs w:val="21"/>
                <w14:textFill>
                  <w14:solidFill>
                    <w14:schemeClr w14:val="tx1"/>
                  </w14:solidFill>
                </w14:textFill>
              </w:rPr>
            </w:pPr>
            <w:r>
              <w:rPr>
                <w:rFonts w:ascii="Times New Roman" w:hAnsi="Times New Roman" w:cs="Times New Roman" w:eastAsiaTheme="minorEastAsia"/>
                <w:bCs/>
                <w:color w:val="000000" w:themeColor="text1"/>
                <w:kern w:val="2"/>
                <w:sz w:val="21"/>
                <w:szCs w:val="21"/>
                <w14:textFill>
                  <w14:solidFill>
                    <w14:schemeClr w14:val="tx1"/>
                  </w14:solidFill>
                </w14:textFill>
              </w:rPr>
              <w:t>排入附近计量间或场站已建防渗旱厕，定期由</w:t>
            </w:r>
            <w:r>
              <w:rPr>
                <w:rFonts w:hint="eastAsia" w:ascii="Times New Roman" w:hAnsi="Times New Roman" w:cs="Times New Roman" w:eastAsiaTheme="minorEastAsia"/>
                <w:bCs/>
                <w:color w:val="000000" w:themeColor="text1"/>
                <w:kern w:val="2"/>
                <w:sz w:val="21"/>
                <w:szCs w:val="21"/>
                <w:lang w:eastAsia="zh-CN"/>
                <w14:textFill>
                  <w14:solidFill>
                    <w14:schemeClr w14:val="tx1"/>
                  </w14:solidFill>
                </w14:textFill>
              </w:rPr>
              <w:t>安达市同昌油田工程有限公司拉运至大庆市净源环保科技有限公司进行处理</w:t>
            </w:r>
          </w:p>
        </w:tc>
        <w:tc>
          <w:tcPr>
            <w:tcW w:w="1326" w:type="pct"/>
            <w:vAlign w:val="center"/>
          </w:tcPr>
          <w:p w14:paraId="0387529D">
            <w:pPr>
              <w:spacing w:line="320" w:lineRule="exact"/>
              <w:jc w:val="center"/>
              <w:rPr>
                <w:rFonts w:ascii="Times New Roman" w:hAnsi="Times New Roman" w:cs="Times New Roman"/>
                <w:color w:val="000000" w:themeColor="text1"/>
                <w:kern w:val="2"/>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不直接排放</w:t>
            </w:r>
          </w:p>
        </w:tc>
      </w:tr>
      <w:tr w14:paraId="4A4FC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32A367C8">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p>
        </w:tc>
        <w:tc>
          <w:tcPr>
            <w:tcW w:w="390" w:type="pct"/>
            <w:vAlign w:val="center"/>
          </w:tcPr>
          <w:p w14:paraId="41D12751">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bCs/>
                <w:color w:val="000000" w:themeColor="text1"/>
                <w:sz w:val="21"/>
                <w:szCs w:val="21"/>
                <w14:textFill>
                  <w14:solidFill>
                    <w14:schemeClr w14:val="tx1"/>
                  </w14:solidFill>
                </w14:textFill>
              </w:rPr>
              <w:t>新建管线试压废水</w:t>
            </w:r>
          </w:p>
        </w:tc>
        <w:tc>
          <w:tcPr>
            <w:tcW w:w="390" w:type="pct"/>
            <w:vAlign w:val="center"/>
          </w:tcPr>
          <w:p w14:paraId="0FDE2918">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SS</w:t>
            </w:r>
          </w:p>
        </w:tc>
        <w:tc>
          <w:tcPr>
            <w:tcW w:w="547" w:type="pct"/>
            <w:vAlign w:val="center"/>
          </w:tcPr>
          <w:p w14:paraId="58DB28F4">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hint="eastAsia" w:ascii="Times New Roman" w:hAnsi="Times New Roman" w:cs="Times New Roman" w:eastAsiaTheme="minorEastAsia"/>
                <w:bCs/>
                <w:color w:val="000000" w:themeColor="text1"/>
                <w:sz w:val="21"/>
                <w:szCs w:val="21"/>
                <w:lang w:val="en-US" w:eastAsia="zh-CN"/>
                <w14:textFill>
                  <w14:solidFill>
                    <w14:schemeClr w14:val="tx1"/>
                  </w14:solidFill>
                </w14:textFill>
              </w:rPr>
              <w:t>90.8</w:t>
            </w:r>
            <w:r>
              <w:rPr>
                <w:rFonts w:ascii="Times New Roman" w:hAnsi="Times New Roman" w:cs="Times New Roman" w:eastAsiaTheme="minorEastAsia"/>
                <w:color w:val="000000" w:themeColor="text1"/>
                <w:sz w:val="21"/>
                <w:szCs w:val="21"/>
                <w14:textFill>
                  <w14:solidFill>
                    <w14:schemeClr w14:val="tx1"/>
                  </w14:solidFill>
                </w14:textFill>
              </w:rPr>
              <w:t>m</w:t>
            </w:r>
            <w:r>
              <w:rPr>
                <w:rFonts w:ascii="Times New Roman" w:hAnsi="Times New Roman" w:cs="Times New Roman" w:eastAsiaTheme="minorEastAsia"/>
                <w:color w:val="000000" w:themeColor="text1"/>
                <w:sz w:val="21"/>
                <w:szCs w:val="21"/>
                <w:vertAlign w:val="superscript"/>
                <w14:textFill>
                  <w14:solidFill>
                    <w14:schemeClr w14:val="tx1"/>
                  </w14:solidFill>
                </w14:textFill>
              </w:rPr>
              <w:t>3</w:t>
            </w:r>
          </w:p>
        </w:tc>
        <w:tc>
          <w:tcPr>
            <w:tcW w:w="1955" w:type="pct"/>
            <w:vMerge w:val="restart"/>
            <w:vAlign w:val="center"/>
          </w:tcPr>
          <w:p w14:paraId="6ABEEB0F">
            <w:pPr>
              <w:spacing w:line="320" w:lineRule="exact"/>
              <w:jc w:val="center"/>
              <w:rPr>
                <w:rFonts w:ascii="Times New Roman" w:hAnsi="Times New Roman" w:cs="Times New Roman" w:eastAsiaTheme="minorEastAsia"/>
                <w:color w:val="000000" w:themeColor="text1"/>
                <w:kern w:val="2"/>
                <w:sz w:val="21"/>
                <w:szCs w:val="21"/>
                <w14:textFill>
                  <w14:solidFill>
                    <w14:schemeClr w14:val="tx1"/>
                  </w14:solidFill>
                </w14:textFill>
              </w:rPr>
            </w:pPr>
            <w:r>
              <w:rPr>
                <w:rFonts w:ascii="Times New Roman" w:hAnsi="Times New Roman" w:cs="Times New Roman" w:eastAsiaTheme="minorEastAsia"/>
                <w:bCs/>
                <w:color w:val="000000" w:themeColor="text1"/>
                <w:kern w:val="2"/>
                <w:sz w:val="21"/>
                <w:szCs w:val="21"/>
                <w14:textFill>
                  <w14:solidFill>
                    <w14:schemeClr w14:val="tx1"/>
                  </w14:solidFill>
                </w14:textFill>
              </w:rPr>
              <w:t>由罐车拉运至</w:t>
            </w:r>
            <w:r>
              <w:rPr>
                <w:rFonts w:hint="eastAsia" w:ascii="Times New Roman" w:hAnsi="Times New Roman" w:cs="Times New Roman" w:eastAsiaTheme="minorEastAsia"/>
                <w:bCs/>
                <w:color w:val="000000" w:themeColor="text1"/>
                <w:kern w:val="2"/>
                <w:sz w:val="21"/>
                <w:szCs w:val="21"/>
                <w14:textFill>
                  <w14:solidFill>
                    <w14:schemeClr w14:val="tx1"/>
                  </w14:solidFill>
                </w14:textFill>
              </w:rPr>
              <w:t>卫一联含油污水深度处理站</w:t>
            </w:r>
            <w:r>
              <w:rPr>
                <w:rFonts w:ascii="Times New Roman" w:hAnsi="Times New Roman" w:cs="Times New Roman" w:eastAsiaTheme="minorEastAsia"/>
                <w:bCs/>
                <w:color w:val="000000" w:themeColor="text1"/>
                <w:kern w:val="2"/>
                <w:sz w:val="21"/>
                <w:szCs w:val="21"/>
                <w14:textFill>
                  <w14:solidFill>
                    <w14:schemeClr w14:val="tx1"/>
                  </w14:solidFill>
                </w14:textFill>
              </w:rPr>
              <w:t>处理满足《大庆油田地面工程建设设计规定》（Q/SYDQ0639-2015）及《碎屑岩油藏注水水质指标技术要求及分析方法》（SY/T5329-2022）限值要求后回注油层</w:t>
            </w:r>
          </w:p>
        </w:tc>
        <w:tc>
          <w:tcPr>
            <w:tcW w:w="1326" w:type="pct"/>
            <w:vMerge w:val="restart"/>
            <w:vAlign w:val="center"/>
          </w:tcPr>
          <w:p w14:paraId="394C9729">
            <w:pPr>
              <w:spacing w:line="320" w:lineRule="exact"/>
              <w:jc w:val="center"/>
              <w:rPr>
                <w:rFonts w:ascii="Times New Roman" w:hAnsi="Times New Roman" w:cs="Times New Roman"/>
                <w:color w:val="000000" w:themeColor="text1"/>
                <w:kern w:val="2"/>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不外排</w:t>
            </w:r>
          </w:p>
        </w:tc>
      </w:tr>
      <w:tr w14:paraId="56698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72360BED">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p>
        </w:tc>
        <w:tc>
          <w:tcPr>
            <w:tcW w:w="390" w:type="pct"/>
            <w:vAlign w:val="center"/>
          </w:tcPr>
          <w:p w14:paraId="1E747896">
            <w:pPr>
              <w:spacing w:line="320" w:lineRule="exact"/>
              <w:jc w:val="center"/>
              <w:rPr>
                <w:rFonts w:ascii="Times New Roman" w:hAnsi="Times New Roman" w:cs="Times New Roman" w:eastAsiaTheme="minorEastAsia"/>
                <w:bCs/>
                <w:color w:val="000000" w:themeColor="text1"/>
                <w:sz w:val="21"/>
                <w:szCs w:val="21"/>
                <w14:textFill>
                  <w14:solidFill>
                    <w14:schemeClr w14:val="tx1"/>
                  </w14:solidFill>
                </w14:textFill>
              </w:rPr>
            </w:pPr>
            <w:r>
              <w:rPr>
                <w:rFonts w:hint="eastAsia" w:ascii="Times New Roman" w:hAnsi="Times New Roman" w:cs="Times New Roman" w:eastAsiaTheme="minorEastAsia"/>
                <w:bCs/>
                <w:color w:val="000000" w:themeColor="text1"/>
                <w:sz w:val="21"/>
                <w:szCs w:val="21"/>
                <w14:textFill>
                  <w14:solidFill>
                    <w14:schemeClr w14:val="tx1"/>
                  </w14:solidFill>
                </w14:textFill>
              </w:rPr>
              <w:t>废弃管线清洗废水</w:t>
            </w:r>
          </w:p>
        </w:tc>
        <w:tc>
          <w:tcPr>
            <w:tcW w:w="390" w:type="pct"/>
            <w:vAlign w:val="center"/>
          </w:tcPr>
          <w:p w14:paraId="7542E523">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石油类、</w:t>
            </w:r>
            <w:r>
              <w:rPr>
                <w:rFonts w:hint="eastAsia" w:ascii="Times New Roman" w:hAnsi="Times New Roman" w:cs="Times New Roman" w:eastAsiaTheme="minorEastAsia"/>
                <w:color w:val="000000" w:themeColor="text1"/>
                <w:sz w:val="21"/>
                <w:szCs w:val="21"/>
                <w14:textFill>
                  <w14:solidFill>
                    <w14:schemeClr w14:val="tx1"/>
                  </w14:solidFill>
                </w14:textFill>
              </w:rPr>
              <w:t>SS</w:t>
            </w:r>
          </w:p>
        </w:tc>
        <w:tc>
          <w:tcPr>
            <w:tcW w:w="547" w:type="pct"/>
            <w:vAlign w:val="center"/>
          </w:tcPr>
          <w:p w14:paraId="225D56F8">
            <w:pPr>
              <w:spacing w:line="320" w:lineRule="exact"/>
              <w:jc w:val="center"/>
              <w:rPr>
                <w:rFonts w:ascii="Times New Roman" w:hAnsi="Times New Roman" w:cs="Times New Roman" w:eastAsiaTheme="minorEastAsia"/>
                <w:bCs/>
                <w:color w:val="000000" w:themeColor="text1"/>
                <w:sz w:val="21"/>
                <w:szCs w:val="21"/>
                <w14:textFill>
                  <w14:solidFill>
                    <w14:schemeClr w14:val="tx1"/>
                  </w14:solidFill>
                </w14:textFill>
              </w:rPr>
            </w:pPr>
            <w:r>
              <w:rPr>
                <w:rFonts w:hint="eastAsia" w:ascii="Times New Roman" w:hAnsi="Times New Roman" w:cs="Times New Roman" w:eastAsiaTheme="minorEastAsia"/>
                <w:bCs/>
                <w:color w:val="000000" w:themeColor="text1"/>
                <w:sz w:val="21"/>
                <w:szCs w:val="21"/>
                <w:lang w:val="en-US" w:eastAsia="zh-CN"/>
                <w14:textFill>
                  <w14:solidFill>
                    <w14:schemeClr w14:val="tx1"/>
                  </w14:solidFill>
                </w14:textFill>
              </w:rPr>
              <w:t>281.9</w:t>
            </w:r>
            <w:r>
              <w:rPr>
                <w:rFonts w:ascii="Times New Roman" w:hAnsi="Times New Roman" w:cs="Times New Roman" w:eastAsiaTheme="minorEastAsia"/>
                <w:bCs/>
                <w:color w:val="000000" w:themeColor="text1"/>
                <w:sz w:val="21"/>
                <w:szCs w:val="21"/>
                <w14:textFill>
                  <w14:solidFill>
                    <w14:schemeClr w14:val="tx1"/>
                  </w14:solidFill>
                </w14:textFill>
              </w:rPr>
              <w:t>m</w:t>
            </w:r>
            <w:r>
              <w:rPr>
                <w:rFonts w:ascii="Times New Roman" w:hAnsi="Times New Roman" w:cs="Times New Roman" w:eastAsiaTheme="minorEastAsia"/>
                <w:bCs/>
                <w:color w:val="000000" w:themeColor="text1"/>
                <w:sz w:val="21"/>
                <w:szCs w:val="21"/>
                <w:vertAlign w:val="superscript"/>
                <w14:textFill>
                  <w14:solidFill>
                    <w14:schemeClr w14:val="tx1"/>
                  </w14:solidFill>
                </w14:textFill>
              </w:rPr>
              <w:t>3</w:t>
            </w:r>
          </w:p>
        </w:tc>
        <w:tc>
          <w:tcPr>
            <w:tcW w:w="1955" w:type="pct"/>
            <w:vMerge w:val="continue"/>
            <w:vAlign w:val="center"/>
          </w:tcPr>
          <w:p w14:paraId="71DE2741">
            <w:pPr>
              <w:spacing w:line="320" w:lineRule="exact"/>
              <w:jc w:val="center"/>
              <w:rPr>
                <w:rFonts w:ascii="Times New Roman" w:hAnsi="Times New Roman" w:cs="Times New Roman" w:eastAsiaTheme="minorEastAsia"/>
                <w:bCs/>
                <w:color w:val="000000" w:themeColor="text1"/>
                <w:kern w:val="2"/>
                <w:sz w:val="21"/>
                <w:szCs w:val="21"/>
                <w14:textFill>
                  <w14:solidFill>
                    <w14:schemeClr w14:val="tx1"/>
                  </w14:solidFill>
                </w14:textFill>
              </w:rPr>
            </w:pPr>
          </w:p>
        </w:tc>
        <w:tc>
          <w:tcPr>
            <w:tcW w:w="1326" w:type="pct"/>
            <w:vMerge w:val="continue"/>
            <w:vAlign w:val="center"/>
          </w:tcPr>
          <w:p w14:paraId="7294ED89">
            <w:pPr>
              <w:spacing w:line="320" w:lineRule="exact"/>
              <w:jc w:val="center"/>
              <w:rPr>
                <w:rFonts w:ascii="Times New Roman" w:hAnsi="Times New Roman" w:cs="Times New Roman"/>
                <w:color w:val="000000" w:themeColor="text1"/>
                <w:kern w:val="2"/>
                <w:sz w:val="21"/>
                <w:szCs w:val="21"/>
                <w14:textFill>
                  <w14:solidFill>
                    <w14:schemeClr w14:val="tx1"/>
                  </w14:solidFill>
                </w14:textFill>
              </w:rPr>
            </w:pPr>
          </w:p>
        </w:tc>
      </w:tr>
      <w:tr w14:paraId="71DE0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jc w:val="center"/>
        </w:trPr>
        <w:tc>
          <w:tcPr>
            <w:tcW w:w="390" w:type="pct"/>
            <w:vMerge w:val="restart"/>
            <w:vAlign w:val="center"/>
          </w:tcPr>
          <w:p w14:paraId="28EA74E7">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固废</w:t>
            </w:r>
          </w:p>
        </w:tc>
        <w:tc>
          <w:tcPr>
            <w:tcW w:w="390" w:type="pct"/>
            <w:vAlign w:val="center"/>
          </w:tcPr>
          <w:p w14:paraId="4593801C">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废弃泥浆</w:t>
            </w:r>
          </w:p>
        </w:tc>
        <w:tc>
          <w:tcPr>
            <w:tcW w:w="390" w:type="pct"/>
            <w:vAlign w:val="center"/>
          </w:tcPr>
          <w:p w14:paraId="46A682DF">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w:t>
            </w:r>
          </w:p>
        </w:tc>
        <w:tc>
          <w:tcPr>
            <w:tcW w:w="547" w:type="pct"/>
            <w:vAlign w:val="center"/>
          </w:tcPr>
          <w:p w14:paraId="7CF77089">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70.56</w:t>
            </w:r>
            <w:r>
              <w:rPr>
                <w:rFonts w:ascii="Times New Roman" w:hAnsi="Times New Roman" w:cs="Times New Roman"/>
                <w:color w:val="000000" w:themeColor="text1"/>
                <w:kern w:val="2"/>
                <w:sz w:val="21"/>
                <w:szCs w:val="21"/>
                <w14:textFill>
                  <w14:solidFill>
                    <w14:schemeClr w14:val="tx1"/>
                  </w14:solidFill>
                </w14:textFill>
              </w:rPr>
              <w:t>m</w:t>
            </w:r>
            <w:r>
              <w:rPr>
                <w:rFonts w:ascii="Times New Roman" w:hAnsi="Times New Roman" w:cs="Times New Roman"/>
                <w:color w:val="000000" w:themeColor="text1"/>
                <w:kern w:val="2"/>
                <w:sz w:val="21"/>
                <w:szCs w:val="21"/>
                <w:vertAlign w:val="superscript"/>
                <w14:textFill>
                  <w14:solidFill>
                    <w14:schemeClr w14:val="tx1"/>
                  </w14:solidFill>
                </w14:textFill>
              </w:rPr>
              <w:t>3</w:t>
            </w:r>
            <w:r>
              <w:rPr>
                <w:rFonts w:ascii="Times New Roman" w:hAnsi="Times New Roman" w:cs="Times New Roman"/>
                <w:color w:val="000000" w:themeColor="text1"/>
                <w:kern w:val="2"/>
                <w:sz w:val="21"/>
                <w:szCs w:val="21"/>
                <w14:textFill>
                  <w14:solidFill>
                    <w14:schemeClr w14:val="tx1"/>
                  </w14:solidFill>
                </w14:textFill>
              </w:rPr>
              <w:t xml:space="preserve"> </w:t>
            </w:r>
          </w:p>
        </w:tc>
        <w:tc>
          <w:tcPr>
            <w:tcW w:w="1955" w:type="pct"/>
            <w:vAlign w:val="center"/>
          </w:tcPr>
          <w:p w14:paraId="3BA53B92">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bCs/>
                <w:color w:val="000000" w:themeColor="text1"/>
                <w:sz w:val="21"/>
                <w:szCs w:val="21"/>
                <w14:textFill>
                  <w14:solidFill>
                    <w14:schemeClr w14:val="tx1"/>
                  </w14:solidFill>
                </w14:textFill>
              </w:rPr>
              <w:t>排入施工场地的钢制泥浆槽中，定期拉运至大庆洁宇环保科技有限公司处理</w:t>
            </w:r>
          </w:p>
        </w:tc>
        <w:tc>
          <w:tcPr>
            <w:tcW w:w="1326" w:type="pct"/>
            <w:vAlign w:val="center"/>
          </w:tcPr>
          <w:p w14:paraId="4CEB16FF">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100%处置</w:t>
            </w:r>
          </w:p>
        </w:tc>
      </w:tr>
      <w:tr w14:paraId="5B13D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6EF24F16">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p>
        </w:tc>
        <w:tc>
          <w:tcPr>
            <w:tcW w:w="390" w:type="pct"/>
            <w:vAlign w:val="center"/>
          </w:tcPr>
          <w:p w14:paraId="60D0E1F9">
            <w:pPr>
              <w:spacing w:line="320" w:lineRule="exact"/>
              <w:jc w:val="center"/>
              <w:rPr>
                <w:rFonts w:ascii="Times New Roman" w:hAnsi="Times New Roman" w:cs="Times New Roman" w:eastAsiaTheme="minorEastAsia"/>
                <w:color w:val="000000" w:themeColor="text1"/>
                <w:kern w:val="2"/>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施工废料</w:t>
            </w:r>
          </w:p>
        </w:tc>
        <w:tc>
          <w:tcPr>
            <w:tcW w:w="390" w:type="pct"/>
            <w:vAlign w:val="center"/>
          </w:tcPr>
          <w:p w14:paraId="4879E559">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w:t>
            </w:r>
          </w:p>
        </w:tc>
        <w:tc>
          <w:tcPr>
            <w:tcW w:w="547" w:type="pct"/>
            <w:vAlign w:val="center"/>
          </w:tcPr>
          <w:p w14:paraId="076063A6">
            <w:pPr>
              <w:spacing w:line="320" w:lineRule="exact"/>
              <w:jc w:val="center"/>
              <w:rPr>
                <w:rFonts w:ascii="Times New Roman" w:hAnsi="Times New Roman" w:cs="Times New Roman" w:eastAsiaTheme="minorEastAsia"/>
                <w:color w:val="000000" w:themeColor="text1"/>
                <w:kern w:val="2"/>
                <w:sz w:val="21"/>
                <w:szCs w:val="21"/>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3.22</w:t>
            </w:r>
            <w:r>
              <w:rPr>
                <w:rFonts w:ascii="Times New Roman" w:hAnsi="Times New Roman" w:cs="Times New Roman"/>
                <w:color w:val="000000" w:themeColor="text1"/>
                <w:kern w:val="2"/>
                <w:sz w:val="21"/>
                <w:szCs w:val="21"/>
                <w14:textFill>
                  <w14:solidFill>
                    <w14:schemeClr w14:val="tx1"/>
                  </w14:solidFill>
                </w14:textFill>
              </w:rPr>
              <w:t>t</w:t>
            </w:r>
          </w:p>
        </w:tc>
        <w:tc>
          <w:tcPr>
            <w:tcW w:w="1955" w:type="pct"/>
            <w:vAlign w:val="center"/>
          </w:tcPr>
          <w:p w14:paraId="17DB8264">
            <w:pPr>
              <w:spacing w:line="320" w:lineRule="exact"/>
              <w:jc w:val="center"/>
              <w:rPr>
                <w:rFonts w:ascii="Times New Roman" w:hAnsi="Times New Roman" w:cs="Times New Roman"/>
                <w:color w:val="000000" w:themeColor="text1"/>
                <w:sz w:val="21"/>
                <w:szCs w:val="21"/>
                <w:lang w:bidi="ar"/>
                <w14:textFill>
                  <w14:solidFill>
                    <w14:schemeClr w14:val="tx1"/>
                  </w14:solidFill>
                </w14:textFill>
              </w:rPr>
            </w:pPr>
            <w:r>
              <w:rPr>
                <w:rFonts w:ascii="Times New Roman" w:hAnsi="Times New Roman" w:cs="Times New Roman"/>
                <w:bCs/>
                <w:color w:val="000000" w:themeColor="text1"/>
                <w:sz w:val="21"/>
                <w:szCs w:val="21"/>
                <w:lang w:bidi="ar"/>
                <w14:textFill>
                  <w14:solidFill>
                    <w14:schemeClr w14:val="tx1"/>
                  </w14:solidFill>
                </w14:textFill>
              </w:rPr>
              <w:t>施工废料采用收集桶回收，拉运至第八采油厂工业固废填埋场处理</w:t>
            </w:r>
          </w:p>
        </w:tc>
        <w:tc>
          <w:tcPr>
            <w:tcW w:w="1326" w:type="pct"/>
            <w:vAlign w:val="center"/>
          </w:tcPr>
          <w:p w14:paraId="5B25FAD0">
            <w:pPr>
              <w:spacing w:line="320" w:lineRule="exact"/>
              <w:jc w:val="center"/>
              <w:rPr>
                <w:rFonts w:ascii="Times New Roman" w:hAnsi="Times New Roman" w:cs="Times New Roman"/>
                <w:color w:val="000000" w:themeColor="text1"/>
                <w:kern w:val="2"/>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100%处置</w:t>
            </w:r>
          </w:p>
        </w:tc>
      </w:tr>
      <w:tr w14:paraId="165B8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5919CDE4">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p>
        </w:tc>
        <w:tc>
          <w:tcPr>
            <w:tcW w:w="390" w:type="pct"/>
            <w:vAlign w:val="center"/>
          </w:tcPr>
          <w:p w14:paraId="4DFC9BB6">
            <w:pPr>
              <w:spacing w:line="320" w:lineRule="exact"/>
              <w:jc w:val="center"/>
              <w:rPr>
                <w:rFonts w:ascii="Times New Roman" w:hAnsi="Times New Roman" w:cs="Times New Roman"/>
                <w:color w:val="000000" w:themeColor="text1"/>
                <w:kern w:val="2"/>
                <w:sz w:val="21"/>
                <w:szCs w:val="21"/>
                <w14:textFill>
                  <w14:solidFill>
                    <w14:schemeClr w14:val="tx1"/>
                  </w14:solidFill>
                </w14:textFill>
              </w:rPr>
            </w:pPr>
            <w:r>
              <w:rPr>
                <w:rFonts w:hint="eastAsia" w:ascii="Times New Roman" w:hAnsi="Times New Roman" w:cs="Times New Roman"/>
                <w:color w:val="000000" w:themeColor="text1"/>
                <w:kern w:val="2"/>
                <w:sz w:val="21"/>
                <w:szCs w:val="21"/>
                <w14:textFill>
                  <w14:solidFill>
                    <w14:schemeClr w14:val="tx1"/>
                  </w14:solidFill>
                </w14:textFill>
              </w:rPr>
              <w:t>废防渗布</w:t>
            </w:r>
          </w:p>
        </w:tc>
        <w:tc>
          <w:tcPr>
            <w:tcW w:w="390" w:type="pct"/>
            <w:vAlign w:val="center"/>
          </w:tcPr>
          <w:p w14:paraId="6EEE86EE">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hint="eastAsia" w:ascii="Times New Roman" w:hAnsi="Times New Roman" w:cs="Times New Roman" w:eastAsiaTheme="minorEastAsia"/>
                <w:snapToGrid w:val="0"/>
                <w:color w:val="000000" w:themeColor="text1"/>
                <w:sz w:val="21"/>
                <w:szCs w:val="21"/>
                <w14:textFill>
                  <w14:solidFill>
                    <w14:schemeClr w14:val="tx1"/>
                  </w14:solidFill>
                </w14:textFill>
              </w:rPr>
              <w:t>/</w:t>
            </w:r>
          </w:p>
        </w:tc>
        <w:tc>
          <w:tcPr>
            <w:tcW w:w="547" w:type="pct"/>
            <w:vAlign w:val="center"/>
          </w:tcPr>
          <w:p w14:paraId="4FBB554A">
            <w:pPr>
              <w:spacing w:line="320" w:lineRule="exact"/>
              <w:jc w:val="center"/>
              <w:rPr>
                <w:rFonts w:ascii="Times New Roman" w:hAnsi="Times New Roman" w:cs="Times New Roman"/>
                <w:color w:val="000000" w:themeColor="text1"/>
                <w:kern w:val="2"/>
                <w:sz w:val="21"/>
                <w:szCs w:val="21"/>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3.22</w:t>
            </w:r>
            <w:r>
              <w:rPr>
                <w:rFonts w:hint="eastAsia" w:ascii="Times New Roman" w:hAnsi="Times New Roman" w:cs="Times New Roman"/>
                <w:color w:val="000000" w:themeColor="text1"/>
                <w:kern w:val="2"/>
                <w:sz w:val="21"/>
                <w:szCs w:val="21"/>
                <w14:textFill>
                  <w14:solidFill>
                    <w14:schemeClr w14:val="tx1"/>
                  </w14:solidFill>
                </w14:textFill>
              </w:rPr>
              <w:t>t</w:t>
            </w:r>
          </w:p>
        </w:tc>
        <w:tc>
          <w:tcPr>
            <w:tcW w:w="1955" w:type="pct"/>
            <w:vAlign w:val="center"/>
          </w:tcPr>
          <w:p w14:paraId="60C3E966">
            <w:pPr>
              <w:spacing w:line="320" w:lineRule="exact"/>
              <w:jc w:val="center"/>
              <w:rPr>
                <w:rFonts w:ascii="Times New Roman" w:hAnsi="Times New Roman" w:cs="Times New Roman"/>
                <w:bCs/>
                <w:color w:val="000000" w:themeColor="text1"/>
                <w:sz w:val="21"/>
                <w:szCs w:val="21"/>
                <w:lang w:bidi="ar"/>
                <w14:textFill>
                  <w14:solidFill>
                    <w14:schemeClr w14:val="tx1"/>
                  </w14:solidFill>
                </w14:textFill>
              </w:rPr>
            </w:pPr>
            <w:r>
              <w:rPr>
                <w:rFonts w:hint="eastAsia" w:ascii="Times New Roman" w:hAnsi="Times New Roman" w:cs="Times New Roman"/>
                <w:bCs/>
                <w:color w:val="000000" w:themeColor="text1"/>
                <w:sz w:val="21"/>
                <w:szCs w:val="21"/>
                <w:lang w:bidi="ar"/>
                <w14:textFill>
                  <w14:solidFill>
                    <w14:schemeClr w14:val="tx1"/>
                  </w14:solidFill>
                </w14:textFill>
              </w:rPr>
              <w:t>集中收集</w:t>
            </w:r>
            <w:r>
              <w:rPr>
                <w:rFonts w:ascii="Times New Roman" w:hAnsi="Times New Roman" w:cs="Times New Roman"/>
                <w:bCs/>
                <w:color w:val="000000" w:themeColor="text1"/>
                <w:sz w:val="21"/>
                <w:szCs w:val="21"/>
                <w:lang w:bidi="ar"/>
                <w14:textFill>
                  <w14:solidFill>
                    <w14:schemeClr w14:val="tx1"/>
                  </w14:solidFill>
                </w14:textFill>
              </w:rPr>
              <w:t>拉运至第八采油厂工业固废填埋场处理</w:t>
            </w:r>
          </w:p>
        </w:tc>
        <w:tc>
          <w:tcPr>
            <w:tcW w:w="1326" w:type="pct"/>
            <w:vAlign w:val="center"/>
          </w:tcPr>
          <w:p w14:paraId="56DDCF03">
            <w:pPr>
              <w:spacing w:line="320" w:lineRule="exact"/>
              <w:jc w:val="center"/>
              <w:rPr>
                <w:rFonts w:ascii="Times New Roman" w:hAnsi="Times New Roman" w:cs="Times New Roman"/>
                <w:color w:val="000000" w:themeColor="text1"/>
                <w:kern w:val="2"/>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100%处置</w:t>
            </w:r>
          </w:p>
        </w:tc>
      </w:tr>
      <w:tr w14:paraId="13267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23581ACC">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p>
        </w:tc>
        <w:tc>
          <w:tcPr>
            <w:tcW w:w="390" w:type="pct"/>
            <w:vAlign w:val="center"/>
          </w:tcPr>
          <w:p w14:paraId="0608DAA8">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生活垃圾</w:t>
            </w:r>
          </w:p>
        </w:tc>
        <w:tc>
          <w:tcPr>
            <w:tcW w:w="390" w:type="pct"/>
            <w:vAlign w:val="center"/>
          </w:tcPr>
          <w:p w14:paraId="1CB90AA4">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snapToGrid w:val="0"/>
                <w:color w:val="000000" w:themeColor="text1"/>
                <w:sz w:val="21"/>
                <w:szCs w:val="21"/>
                <w14:textFill>
                  <w14:solidFill>
                    <w14:schemeClr w14:val="tx1"/>
                  </w14:solidFill>
                </w14:textFill>
              </w:rPr>
              <w:t>/</w:t>
            </w:r>
          </w:p>
        </w:tc>
        <w:tc>
          <w:tcPr>
            <w:tcW w:w="547" w:type="pct"/>
            <w:vAlign w:val="center"/>
          </w:tcPr>
          <w:p w14:paraId="01DA047B">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0.9t</w:t>
            </w:r>
          </w:p>
        </w:tc>
        <w:tc>
          <w:tcPr>
            <w:tcW w:w="1955" w:type="pct"/>
            <w:vAlign w:val="center"/>
          </w:tcPr>
          <w:p w14:paraId="23EAA06D">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bCs/>
                <w:color w:val="000000" w:themeColor="text1"/>
                <w:kern w:val="2"/>
                <w:sz w:val="21"/>
                <w:szCs w:val="21"/>
                <w14:textFill>
                  <w14:solidFill>
                    <w14:schemeClr w14:val="tx1"/>
                  </w14:solidFill>
                </w14:textFill>
              </w:rPr>
              <w:t>统一收集后拉运至安达市生活垃圾填埋场处理</w:t>
            </w:r>
          </w:p>
        </w:tc>
        <w:tc>
          <w:tcPr>
            <w:tcW w:w="1326" w:type="pct"/>
            <w:vAlign w:val="center"/>
          </w:tcPr>
          <w:p w14:paraId="7B1942D9">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color w:val="000000" w:themeColor="text1"/>
                <w:kern w:val="2"/>
                <w:sz w:val="21"/>
                <w:szCs w:val="21"/>
                <w14:textFill>
                  <w14:solidFill>
                    <w14:schemeClr w14:val="tx1"/>
                  </w14:solidFill>
                </w14:textFill>
              </w:rPr>
              <w:t>100%处置</w:t>
            </w:r>
          </w:p>
        </w:tc>
      </w:tr>
      <w:tr w14:paraId="40635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Align w:val="center"/>
          </w:tcPr>
          <w:p w14:paraId="4626968D">
            <w:pPr>
              <w:spacing w:line="320" w:lineRule="exact"/>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噪声</w:t>
            </w:r>
          </w:p>
        </w:tc>
        <w:tc>
          <w:tcPr>
            <w:tcW w:w="390" w:type="pct"/>
            <w:vAlign w:val="center"/>
          </w:tcPr>
          <w:p w14:paraId="516A8307">
            <w:pPr>
              <w:snapToGrid w:val="0"/>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机械噪声</w:t>
            </w:r>
          </w:p>
        </w:tc>
        <w:tc>
          <w:tcPr>
            <w:tcW w:w="390" w:type="pct"/>
            <w:vAlign w:val="center"/>
          </w:tcPr>
          <w:p w14:paraId="7E317B48">
            <w:pPr>
              <w:snapToGrid w:val="0"/>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噪声</w:t>
            </w:r>
          </w:p>
        </w:tc>
        <w:tc>
          <w:tcPr>
            <w:tcW w:w="547" w:type="pct"/>
            <w:vAlign w:val="center"/>
          </w:tcPr>
          <w:p w14:paraId="4B536DE5">
            <w:pPr>
              <w:snapToGrid w:val="0"/>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60～</w:t>
            </w:r>
            <w:r>
              <w:rPr>
                <w:rFonts w:hint="eastAsia" w:ascii="Times New Roman" w:hAnsi="Times New Roman" w:cs="Times New Roman" w:eastAsiaTheme="minorEastAsia"/>
                <w:color w:val="000000" w:themeColor="text1"/>
                <w:sz w:val="21"/>
                <w:szCs w:val="21"/>
                <w14:textFill>
                  <w14:solidFill>
                    <w14:schemeClr w14:val="tx1"/>
                  </w14:solidFill>
                </w14:textFill>
              </w:rPr>
              <w:t>90</w:t>
            </w:r>
            <w:r>
              <w:rPr>
                <w:rFonts w:ascii="Times New Roman" w:hAnsi="Times New Roman" w:cs="Times New Roman" w:eastAsiaTheme="minorEastAsia"/>
                <w:snapToGrid w:val="0"/>
                <w:color w:val="000000" w:themeColor="text1"/>
                <w:sz w:val="21"/>
                <w:szCs w:val="21"/>
                <w14:textFill>
                  <w14:solidFill>
                    <w14:schemeClr w14:val="tx1"/>
                  </w14:solidFill>
                </w14:textFill>
              </w:rPr>
              <w:t>dB（A）</w:t>
            </w:r>
          </w:p>
        </w:tc>
        <w:tc>
          <w:tcPr>
            <w:tcW w:w="1955" w:type="pct"/>
            <w:vAlign w:val="center"/>
          </w:tcPr>
          <w:p w14:paraId="5AABC407">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bCs/>
                <w:snapToGrid w:val="0"/>
                <w:color w:val="000000" w:themeColor="text1"/>
                <w:sz w:val="21"/>
                <w:szCs w:val="21"/>
                <w14:textFill>
                  <w14:solidFill>
                    <w14:schemeClr w14:val="tx1"/>
                  </w14:solidFill>
                </w14:textFill>
              </w:rPr>
              <w:t>合理安排施工进度，避免大量高噪声设备同时施工；选用低噪声设备；加强施工机械设备维修保养；运输车辆选择避开居民区的路线</w:t>
            </w:r>
          </w:p>
        </w:tc>
        <w:tc>
          <w:tcPr>
            <w:tcW w:w="1326" w:type="pct"/>
            <w:vAlign w:val="center"/>
          </w:tcPr>
          <w:p w14:paraId="0A8C3895">
            <w:pPr>
              <w:spacing w:line="320" w:lineRule="exact"/>
              <w:jc w:val="center"/>
              <w:rPr>
                <w:rFonts w:ascii="Times New Roman" w:hAnsi="Times New Roman" w:cs="Times New Roman" w:eastAsiaTheme="minorEastAsia"/>
                <w:snapToGrid w:val="0"/>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执行《建筑施工噪声排放标准》（GB 12523-20</w:t>
            </w:r>
            <w:r>
              <w:rPr>
                <w:rFonts w:hint="eastAsia" w:ascii="Times New Roman" w:hAnsi="Times New Roman" w:cs="Times New Roman" w:eastAsiaTheme="minorEastAsia"/>
                <w:color w:val="000000" w:themeColor="text1"/>
                <w:sz w:val="21"/>
                <w:szCs w:val="21"/>
                <w14:textFill>
                  <w14:solidFill>
                    <w14:schemeClr w14:val="tx1"/>
                  </w14:solidFill>
                </w14:textFill>
              </w:rPr>
              <w:t>25</w:t>
            </w:r>
            <w:r>
              <w:rPr>
                <w:rFonts w:ascii="Times New Roman" w:hAnsi="Times New Roman" w:cs="Times New Roman" w:eastAsiaTheme="minorEastAsia"/>
                <w:color w:val="000000" w:themeColor="text1"/>
                <w:sz w:val="21"/>
                <w:szCs w:val="21"/>
                <w14:textFill>
                  <w14:solidFill>
                    <w14:schemeClr w14:val="tx1"/>
                  </w14:solidFill>
                </w14:textFill>
              </w:rPr>
              <w:t>）要求</w:t>
            </w:r>
          </w:p>
        </w:tc>
      </w:tr>
    </w:tbl>
    <w:p w14:paraId="5B87B79D">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8.2.6总量控制</w:t>
      </w:r>
      <w:bookmarkEnd w:id="1113"/>
      <w:bookmarkEnd w:id="1114"/>
      <w:bookmarkEnd w:id="1115"/>
      <w:bookmarkEnd w:id="1116"/>
      <w:bookmarkEnd w:id="1117"/>
    </w:p>
    <w:p w14:paraId="6DBAD398">
      <w:pPr>
        <w:widowControl w:val="0"/>
        <w:snapToGrid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14:textFill>
            <w14:solidFill>
              <w14:schemeClr w14:val="tx1"/>
            </w14:solidFill>
          </w14:textFill>
        </w:rPr>
        <w:t>本项目为</w:t>
      </w:r>
      <w:r>
        <w:rPr>
          <w:rFonts w:ascii="Times New Roman" w:hAnsi="Times New Roman" w:cs="Times New Roman"/>
          <w:bCs/>
          <w:caps w:val="0"/>
          <w:smallCaps w:val="0"/>
          <w:color w:val="000000" w:themeColor="text1"/>
          <w:spacing w:val="0"/>
          <w:w w:val="100"/>
          <w:kern w:val="2"/>
          <w:position w:val="0"/>
          <w14:textFill>
            <w14:solidFill>
              <w14:schemeClr w14:val="tx1"/>
            </w14:solidFill>
          </w14:textFill>
        </w:rPr>
        <w:t>油田内部</w:t>
      </w:r>
      <w:r>
        <w:rPr>
          <w:rFonts w:hint="eastAsia" w:ascii="Times New Roman" w:hAnsi="Times New Roman" w:cs="Times New Roman"/>
          <w:bCs/>
          <w:caps w:val="0"/>
          <w:smallCaps w:val="0"/>
          <w:color w:val="000000" w:themeColor="text1"/>
          <w:spacing w:val="0"/>
          <w:w w:val="100"/>
          <w:kern w:val="2"/>
          <w:position w:val="0"/>
          <w14:textFill>
            <w14:solidFill>
              <w14:schemeClr w14:val="tx1"/>
            </w14:solidFill>
          </w14:textFill>
        </w:rPr>
        <w:t>输油管道及输气管道</w:t>
      </w:r>
      <w:r>
        <w:rPr>
          <w:rFonts w:ascii="Times New Roman" w:hAnsi="Times New Roman" w:cs="Times New Roman"/>
          <w:bCs/>
          <w:caps w:val="0"/>
          <w:smallCaps w:val="0"/>
          <w:color w:val="000000" w:themeColor="text1"/>
          <w:spacing w:val="0"/>
          <w:w w:val="100"/>
          <w:kern w:val="2"/>
          <w:position w:val="0"/>
          <w14:textFill>
            <w14:solidFill>
              <w14:schemeClr w14:val="tx1"/>
            </w14:solidFill>
          </w14:textFill>
        </w:rPr>
        <w:t>建设项目</w:t>
      </w:r>
      <w:r>
        <w:rPr>
          <w:rFonts w:ascii="Times New Roman" w:hAnsi="Times New Roman" w:cs="Times New Roman"/>
          <w:caps w:val="0"/>
          <w:smallCaps w:val="0"/>
          <w:color w:val="000000" w:themeColor="text1"/>
          <w:spacing w:val="0"/>
          <w:w w:val="100"/>
          <w:kern w:val="2"/>
          <w:position w:val="0"/>
          <w14:textFill>
            <w14:solidFill>
              <w14:schemeClr w14:val="tx1"/>
            </w14:solidFill>
          </w14:textFill>
        </w:rPr>
        <w:t>，不新增污染物，整体区域总量不增加。</w:t>
      </w:r>
    </w:p>
    <w:p w14:paraId="0C6B6455">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118" w:name="_Toc126863504"/>
      <w:bookmarkStart w:id="1119" w:name="_Toc127192453"/>
      <w:bookmarkStart w:id="1120" w:name="_Toc131167405"/>
      <w:bookmarkStart w:id="1121" w:name="_Toc186444404"/>
      <w:bookmarkStart w:id="1122" w:name="_Toc143099692"/>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8.2.7施工期环境管理</w:t>
      </w:r>
      <w:bookmarkEnd w:id="1118"/>
      <w:bookmarkEnd w:id="1119"/>
      <w:bookmarkEnd w:id="1120"/>
      <w:bookmarkEnd w:id="1121"/>
      <w:bookmarkEnd w:id="1122"/>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与监测计划</w:t>
      </w:r>
    </w:p>
    <w:p w14:paraId="2D54D090">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t>8.2.7.1加强工程承包方管理</w:t>
      </w:r>
    </w:p>
    <w:p w14:paraId="3DE857E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要与具有相关资质的施工作业单位签定《工程服务安全生产合同》，执行HSE管理体系，对项目实施HSE立卷管理，并按其内容执行。针对工程的承包方，应加强环境管理，制定出严格的环保管理制度：</w:t>
      </w:r>
    </w:p>
    <w:p w14:paraId="3C71AAA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（1）在承包方的选择上应优先选择那些环保管理水平高、环保业绩好的单位；</w:t>
      </w:r>
    </w:p>
    <w:p w14:paraId="099C5B4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（2）在承包合同中应明确有关环境保护条款，如环境保护目标，采取的水、气、声和生态保护措施等，将环保工作的好坏作为工程验收的标准之一；</w:t>
      </w:r>
    </w:p>
    <w:p w14:paraId="1FA37DA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（3）各分承包方应按照项目部的环境管理制度要求，建立相应的环境管理机构，明确环保管理人员，明确人员职责等；</w:t>
      </w:r>
    </w:p>
    <w:p w14:paraId="49B5A4A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（4）各分承包方在施工之前，编制详细的“环境管理方案”，并连同施工计划一起呈报项目经理部以及有关的生态环境部门，批准后方可以开工。</w:t>
      </w:r>
    </w:p>
    <w:p w14:paraId="7800E58F">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t>8.2.7.2注重人员培训</w:t>
      </w:r>
    </w:p>
    <w:p w14:paraId="5F0D1EA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施工作业之前必须对全体施工人员进行包括环保知识、意识和能力的培训。其中环保能力的培训主要包括：保护生态环境的规定；减少和收集、处理固体废物的方法；管理、存放及处理危险品的方法等；此外，人员培训的内容还包括有国家的法规和规章制度，主要为国家及当地政府的环境保护法律、法规等。</w:t>
      </w:r>
    </w:p>
    <w:p w14:paraId="78D43492">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pPr>
      <w:bookmarkStart w:id="1123" w:name="_Toc126863505"/>
      <w:bookmarkStart w:id="1124" w:name="_Toc127192454"/>
      <w:bookmarkStart w:id="1125" w:name="_Toc186444405"/>
      <w:bookmarkStart w:id="1126" w:name="_Toc143099693"/>
      <w:bookmarkStart w:id="1127" w:name="_Toc131167406"/>
      <w:r>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t>8.2.7.3施工期环境监测计划</w:t>
      </w:r>
    </w:p>
    <w:p w14:paraId="50E52B4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施工期的环境监测可包括对作业场所的控制监测和事故发生后的影响监测。主要监测对象为土壤、植被。施工期对作业场所的控制监测根据当地具体情况、当地生态环境主管部门要求等情况而定。施工期监测计划参照下表。</w:t>
      </w:r>
    </w:p>
    <w:p w14:paraId="4318EB89">
      <w:pPr>
        <w:pStyle w:val="149"/>
        <w:widowControl w:val="0"/>
        <w:spacing w:line="440" w:lineRule="exact"/>
        <w:ind w:firstLine="478"/>
        <w:rPr>
          <w:rFonts w:ascii="Times New Roman" w:hAnsi="Times New Roman"/>
          <w:b/>
          <w:caps w:val="0"/>
          <w:smallCaps w:val="0"/>
          <w:color w:val="000000" w:themeColor="text1"/>
          <w:spacing w:val="0"/>
          <w:w w:val="100"/>
          <w:kern w:val="2"/>
          <w:position w:val="0"/>
          <w14:textFill>
            <w14:solidFill>
              <w14:schemeClr w14:val="tx1"/>
            </w14:solidFill>
          </w14:textFill>
        </w:rPr>
      </w:pPr>
      <w:r>
        <w:rPr>
          <w:rFonts w:ascii="Times New Roman" w:hAnsi="Times New Roman"/>
          <w:b/>
          <w:caps w:val="0"/>
          <w:smallCaps w:val="0"/>
          <w:color w:val="000000" w:themeColor="text1"/>
          <w:spacing w:val="0"/>
          <w:w w:val="100"/>
          <w:kern w:val="2"/>
          <w:position w:val="0"/>
          <w14:textFill>
            <w14:solidFill>
              <w14:schemeClr w14:val="tx1"/>
            </w14:solidFill>
          </w14:textFill>
        </w:rPr>
        <w:t>表8.2-2    本工程施工期固体废物产生量统计表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39"/>
        <w:gridCol w:w="4505"/>
        <w:gridCol w:w="1597"/>
        <w:gridCol w:w="1445"/>
      </w:tblGrid>
      <w:tr w14:paraId="78027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936" w:type="pct"/>
            <w:vAlign w:val="center"/>
          </w:tcPr>
          <w:p w14:paraId="346F1F44">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监测项目</w:t>
            </w:r>
          </w:p>
        </w:tc>
        <w:tc>
          <w:tcPr>
            <w:tcW w:w="2425" w:type="pct"/>
            <w:vAlign w:val="center"/>
          </w:tcPr>
          <w:p w14:paraId="73D42288">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主要技术要求</w:t>
            </w:r>
          </w:p>
        </w:tc>
        <w:tc>
          <w:tcPr>
            <w:tcW w:w="860" w:type="pct"/>
            <w:vAlign w:val="center"/>
          </w:tcPr>
          <w:p w14:paraId="3A3681D1">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监控方式</w:t>
            </w:r>
          </w:p>
        </w:tc>
        <w:tc>
          <w:tcPr>
            <w:tcW w:w="778" w:type="pct"/>
            <w:vAlign w:val="center"/>
          </w:tcPr>
          <w:p w14:paraId="31542AFD">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实施单位</w:t>
            </w:r>
          </w:p>
        </w:tc>
      </w:tr>
      <w:tr w14:paraId="7F336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936" w:type="pct"/>
            <w:vAlign w:val="center"/>
          </w:tcPr>
          <w:p w14:paraId="57110211">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施工现场清理及生态恢复情况</w:t>
            </w:r>
          </w:p>
        </w:tc>
        <w:tc>
          <w:tcPr>
            <w:tcW w:w="2425" w:type="pct"/>
            <w:vAlign w:val="center"/>
          </w:tcPr>
          <w:p w14:paraId="09EA717D">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1.监测内容：施工结束后，施工现场的弃土、石、渣等和生态环境恢复情况。</w:t>
            </w:r>
          </w:p>
          <w:p w14:paraId="76153CE4">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2.监测时间及频次：施工结束后进行1次。</w:t>
            </w:r>
          </w:p>
          <w:p w14:paraId="3962CD64">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3.监测地点：各施工区段</w:t>
            </w:r>
          </w:p>
        </w:tc>
        <w:tc>
          <w:tcPr>
            <w:tcW w:w="860" w:type="pct"/>
            <w:vAlign w:val="center"/>
          </w:tcPr>
          <w:p w14:paraId="1EB16971">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现场监测</w:t>
            </w:r>
          </w:p>
        </w:tc>
        <w:tc>
          <w:tcPr>
            <w:tcW w:w="778" w:type="pct"/>
            <w:vAlign w:val="center"/>
          </w:tcPr>
          <w:p w14:paraId="4C4DC3F4">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14:textFill>
                  <w14:solidFill>
                    <w14:schemeClr w14:val="tx1"/>
                  </w14:solidFill>
                </w14:textFill>
              </w:rPr>
              <w:t>施工单位和建设单位环境管理机构</w:t>
            </w:r>
          </w:p>
        </w:tc>
      </w:tr>
    </w:tbl>
    <w:p w14:paraId="77CCDAE3">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8.2.8运营期环境管理与监测计划</w:t>
      </w:r>
      <w:bookmarkEnd w:id="1123"/>
      <w:bookmarkEnd w:id="1124"/>
      <w:bookmarkEnd w:id="1125"/>
      <w:bookmarkEnd w:id="1126"/>
      <w:bookmarkEnd w:id="1127"/>
    </w:p>
    <w:p w14:paraId="0149FFC4">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t>8.2.8.1运营期环境管理</w:t>
      </w:r>
    </w:p>
    <w:p w14:paraId="2896348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（1）进行环境监测，掌握污染现状；</w:t>
      </w:r>
    </w:p>
    <w:p w14:paraId="44ADA58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（2）定时定点监测周围环境，及时掌握环境状况的资料，促进环境管理的深入和污染治理的落实；</w:t>
      </w:r>
    </w:p>
    <w:p w14:paraId="708B1DB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（3）落实环境管理制度；</w:t>
      </w:r>
    </w:p>
    <w:p w14:paraId="5735458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（4）制定环保经济责任考核制度，提高各部门对环境保护的责任感；</w:t>
      </w:r>
    </w:p>
    <w:p w14:paraId="1F4D99F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（5）强化专业人员培训。</w:t>
      </w:r>
    </w:p>
    <w:p w14:paraId="11D89BC8">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14:textFill>
            <w14:solidFill>
              <w14:schemeClr w14:val="tx1"/>
            </w14:solidFill>
          </w14:textFill>
        </w:rPr>
        <w:t>8.2.8.2运营期环境监测计划</w:t>
      </w:r>
    </w:p>
    <w:p w14:paraId="2B1CA44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工程生产运行期需要进行的环境监测任务委托取得相关资质的地方环境监测机构进行。环境监测应按国家和地方的环保要求进行，应采用国家规定的标准监测方法，并应按照规定，定期向有关环境保护主管部门上报监测结果。</w:t>
      </w:r>
    </w:p>
    <w:p w14:paraId="5F1C59B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运营期根据《环境影响评价技术导则 地下水环境》（HJ610-2016）、《环境影响评价技术导则 土壤环境（试行）》（HJ964-2018）、《工业企业土壤和地下水自行监测技术指南（试行）》（HJ1209-2021）、《排污单位自行监测技术指南 陆上石油天然气开采工业》（HJ 1248-2022）及生态环境部门要求，结合油田运营期环境污染的特点，主要针对油田开发区生态恢复情况、事故等，同时考虑已批复现有工程等制定监测计划，包括污染源监测计划、环境质量监测计划及生态调查方案，具体见下表：</w:t>
      </w:r>
    </w:p>
    <w:p w14:paraId="0634B48C">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表8.2-3    项目运行期污染源监测计划表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997"/>
        <w:gridCol w:w="2141"/>
        <w:gridCol w:w="1712"/>
        <w:gridCol w:w="4276"/>
      </w:tblGrid>
      <w:tr w14:paraId="3B7EB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46" w:type="pct"/>
            <w:tcMar>
              <w:top w:w="28" w:type="dxa"/>
              <w:bottom w:w="28" w:type="dxa"/>
            </w:tcMar>
            <w:vAlign w:val="center"/>
          </w:tcPr>
          <w:p w14:paraId="1E2E14D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监测内容</w:t>
            </w:r>
          </w:p>
        </w:tc>
        <w:tc>
          <w:tcPr>
            <w:tcW w:w="1173" w:type="pct"/>
            <w:tcMar>
              <w:top w:w="28" w:type="dxa"/>
              <w:bottom w:w="28" w:type="dxa"/>
            </w:tcMar>
            <w:vAlign w:val="center"/>
          </w:tcPr>
          <w:p w14:paraId="4E3118E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监测因子</w:t>
            </w:r>
          </w:p>
        </w:tc>
        <w:tc>
          <w:tcPr>
            <w:tcW w:w="938" w:type="pct"/>
            <w:tcMar>
              <w:top w:w="28" w:type="dxa"/>
              <w:bottom w:w="28" w:type="dxa"/>
            </w:tcMar>
            <w:vAlign w:val="center"/>
          </w:tcPr>
          <w:p w14:paraId="00A57D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监测点位</w:t>
            </w:r>
          </w:p>
        </w:tc>
        <w:tc>
          <w:tcPr>
            <w:tcW w:w="2343" w:type="pct"/>
            <w:tcMar>
              <w:top w:w="28" w:type="dxa"/>
              <w:bottom w:w="28" w:type="dxa"/>
            </w:tcMar>
            <w:vAlign w:val="center"/>
          </w:tcPr>
          <w:p w14:paraId="3D4E1B6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监测频次</w:t>
            </w:r>
          </w:p>
        </w:tc>
      </w:tr>
      <w:tr w14:paraId="0B890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46" w:type="pct"/>
            <w:tcMar>
              <w:top w:w="28" w:type="dxa"/>
              <w:bottom w:w="28" w:type="dxa"/>
            </w:tcMar>
            <w:vAlign w:val="center"/>
          </w:tcPr>
          <w:p w14:paraId="5EB6D9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事故监测</w:t>
            </w:r>
          </w:p>
        </w:tc>
        <w:tc>
          <w:tcPr>
            <w:tcW w:w="1173" w:type="pct"/>
            <w:tcMar>
              <w:top w:w="28" w:type="dxa"/>
              <w:bottom w:w="28" w:type="dxa"/>
            </w:tcMar>
            <w:vAlign w:val="center"/>
          </w:tcPr>
          <w:p w14:paraId="4C472AE2">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空气：非甲烷总烃；土壤：石油烃（C</w:t>
            </w:r>
            <w:r>
              <w:rPr>
                <w:rFonts w:ascii="Times New Roman" w:hAnsi="Times New Roman" w:cs="Times New Roman" w:eastAsiaTheme="minorEastAsia"/>
                <w:caps w:val="0"/>
                <w:smallCaps w:val="0"/>
                <w:color w:val="000000" w:themeColor="text1"/>
                <w:spacing w:val="0"/>
                <w:w w:val="100"/>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）；地下水：石油类；地表水：石油类</w:t>
            </w:r>
          </w:p>
        </w:tc>
        <w:tc>
          <w:tcPr>
            <w:tcW w:w="938" w:type="pct"/>
            <w:tcMar>
              <w:top w:w="28" w:type="dxa"/>
              <w:bottom w:w="28" w:type="dxa"/>
            </w:tcMar>
            <w:vAlign w:val="center"/>
          </w:tcPr>
          <w:p w14:paraId="1C639CA9">
            <w:pPr>
              <w:adjustRightInd w:val="0"/>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空气及土壤为事故地点；地表水及地下水为事故地点周围区域。</w:t>
            </w:r>
          </w:p>
        </w:tc>
        <w:tc>
          <w:tcPr>
            <w:tcW w:w="2343" w:type="pct"/>
            <w:tcMar>
              <w:top w:w="28" w:type="dxa"/>
              <w:bottom w:w="28" w:type="dxa"/>
            </w:tcMar>
            <w:vAlign w:val="center"/>
          </w:tcPr>
          <w:p w14:paraId="6FDB9047">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监测频次依据不同的环境区域功能和现场具体污染状况确定。事件刚发生时，监测频次可适当增加，待摸清污染变化规律后，可适当减少监测频次。当应急组织指挥机构终止应急响应或批准应急监测终止建议时，方可终止应急监测。</w:t>
            </w:r>
          </w:p>
        </w:tc>
      </w:tr>
    </w:tbl>
    <w:p w14:paraId="5C4D9822">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1"/>
          <w:position w:val="0"/>
          <w:highlight w:val="yellow"/>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yellow"/>
          <w14:textFill>
            <w14:solidFill>
              <w14:schemeClr w14:val="tx1"/>
            </w14:solidFill>
          </w14:textFill>
        </w:rPr>
        <w:t>表8.2-4    项目运行期环境质量监测计划表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558"/>
        <w:gridCol w:w="794"/>
        <w:gridCol w:w="1639"/>
        <w:gridCol w:w="1999"/>
        <w:gridCol w:w="1259"/>
        <w:gridCol w:w="2008"/>
        <w:gridCol w:w="869"/>
      </w:tblGrid>
      <w:tr w14:paraId="3A108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6" w:type="pct"/>
            <w:tcMar>
              <w:top w:w="28" w:type="dxa"/>
              <w:bottom w:w="28" w:type="dxa"/>
            </w:tcMar>
            <w:vAlign w:val="center"/>
          </w:tcPr>
          <w:p w14:paraId="10748D8C">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序号</w:t>
            </w:r>
          </w:p>
        </w:tc>
        <w:tc>
          <w:tcPr>
            <w:tcW w:w="435" w:type="pct"/>
            <w:tcMar>
              <w:top w:w="28" w:type="dxa"/>
              <w:bottom w:w="28" w:type="dxa"/>
            </w:tcMar>
            <w:vAlign w:val="center"/>
          </w:tcPr>
          <w:p w14:paraId="1C91174F">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监测内容</w:t>
            </w:r>
          </w:p>
        </w:tc>
        <w:tc>
          <w:tcPr>
            <w:tcW w:w="898" w:type="pct"/>
            <w:tcMar>
              <w:top w:w="28" w:type="dxa"/>
              <w:bottom w:w="28" w:type="dxa"/>
            </w:tcMar>
            <w:vAlign w:val="center"/>
          </w:tcPr>
          <w:p w14:paraId="0C90CFCC">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监测因子</w:t>
            </w:r>
          </w:p>
        </w:tc>
        <w:tc>
          <w:tcPr>
            <w:tcW w:w="1095" w:type="pct"/>
            <w:tcMar>
              <w:top w:w="28" w:type="dxa"/>
              <w:bottom w:w="28" w:type="dxa"/>
            </w:tcMar>
            <w:vAlign w:val="center"/>
          </w:tcPr>
          <w:p w14:paraId="71D1D1C7">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监测点位</w:t>
            </w:r>
          </w:p>
        </w:tc>
        <w:tc>
          <w:tcPr>
            <w:tcW w:w="690" w:type="pct"/>
            <w:vAlign w:val="center"/>
          </w:tcPr>
          <w:p w14:paraId="23824F8D">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坐标</w:t>
            </w:r>
          </w:p>
        </w:tc>
        <w:tc>
          <w:tcPr>
            <w:tcW w:w="1100" w:type="pct"/>
            <w:vAlign w:val="center"/>
          </w:tcPr>
          <w:p w14:paraId="7E482D9A">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与本项目的位置关系</w:t>
            </w:r>
          </w:p>
        </w:tc>
        <w:tc>
          <w:tcPr>
            <w:tcW w:w="476" w:type="pct"/>
            <w:tcMar>
              <w:top w:w="28" w:type="dxa"/>
              <w:bottom w:w="28" w:type="dxa"/>
            </w:tcMar>
            <w:vAlign w:val="center"/>
          </w:tcPr>
          <w:p w14:paraId="4ECF2F7E">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监测频次</w:t>
            </w:r>
          </w:p>
        </w:tc>
      </w:tr>
      <w:tr w14:paraId="26AC0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6" w:type="pct"/>
            <w:tcMar>
              <w:top w:w="28" w:type="dxa"/>
              <w:bottom w:w="28" w:type="dxa"/>
            </w:tcMar>
            <w:vAlign w:val="center"/>
          </w:tcPr>
          <w:p w14:paraId="50DA0282">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1</w:t>
            </w:r>
          </w:p>
        </w:tc>
        <w:tc>
          <w:tcPr>
            <w:tcW w:w="435" w:type="pct"/>
            <w:tcMar>
              <w:top w:w="28" w:type="dxa"/>
              <w:bottom w:w="28" w:type="dxa"/>
            </w:tcMar>
            <w:vAlign w:val="center"/>
          </w:tcPr>
          <w:p w14:paraId="104EDB7C">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地下水</w:t>
            </w:r>
          </w:p>
        </w:tc>
        <w:tc>
          <w:tcPr>
            <w:tcW w:w="898" w:type="pct"/>
            <w:tcMar>
              <w:top w:w="28" w:type="dxa"/>
              <w:bottom w:w="28" w:type="dxa"/>
            </w:tcMar>
            <w:vAlign w:val="center"/>
          </w:tcPr>
          <w:p w14:paraId="30BC6B74">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pH、石油类、石油烃（C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）、汞、砷、六价铬、挥发酚、氨氮、耗氧量</w:t>
            </w:r>
          </w:p>
        </w:tc>
        <w:tc>
          <w:tcPr>
            <w:tcW w:w="1095" w:type="pct"/>
            <w:tcMar>
              <w:top w:w="28" w:type="dxa"/>
              <w:bottom w:w="28" w:type="dxa"/>
            </w:tcMar>
            <w:vAlign w:val="center"/>
          </w:tcPr>
          <w:p w14:paraId="16D155AA">
            <w:pPr>
              <w:widowControl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新建管线西南侧</w:t>
            </w:r>
            <w:r>
              <w:rPr>
                <w:rFonts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50m潜水井</w:t>
            </w:r>
          </w:p>
        </w:tc>
        <w:tc>
          <w:tcPr>
            <w:tcW w:w="690" w:type="pct"/>
            <w:vAlign w:val="center"/>
          </w:tcPr>
          <w:p w14:paraId="11350E8C">
            <w:pPr>
              <w:widowControl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124.83972，46.32094</w:t>
            </w:r>
          </w:p>
        </w:tc>
        <w:tc>
          <w:tcPr>
            <w:tcW w:w="1100" w:type="pct"/>
            <w:vAlign w:val="center"/>
          </w:tcPr>
          <w:p w14:paraId="2FE7127E">
            <w:pPr>
              <w:widowControl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新建管线西南侧</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50m</w:t>
            </w:r>
          </w:p>
        </w:tc>
        <w:tc>
          <w:tcPr>
            <w:tcW w:w="476" w:type="pct"/>
            <w:tcMar>
              <w:top w:w="28" w:type="dxa"/>
              <w:bottom w:w="28" w:type="dxa"/>
            </w:tcMar>
            <w:vAlign w:val="center"/>
          </w:tcPr>
          <w:p w14:paraId="6348F202">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1次/半年</w:t>
            </w:r>
          </w:p>
        </w:tc>
      </w:tr>
      <w:tr w14:paraId="5186D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6" w:type="pct"/>
            <w:vMerge w:val="restart"/>
            <w:tcMar>
              <w:top w:w="28" w:type="dxa"/>
              <w:bottom w:w="28" w:type="dxa"/>
            </w:tcMar>
            <w:vAlign w:val="center"/>
          </w:tcPr>
          <w:p w14:paraId="6DAE8474">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2</w:t>
            </w:r>
          </w:p>
        </w:tc>
        <w:tc>
          <w:tcPr>
            <w:tcW w:w="435" w:type="pct"/>
            <w:vMerge w:val="restart"/>
            <w:tcMar>
              <w:top w:w="28" w:type="dxa"/>
              <w:bottom w:w="28" w:type="dxa"/>
            </w:tcMar>
            <w:vAlign w:val="center"/>
          </w:tcPr>
          <w:p w14:paraId="1C17DB2E">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土壤</w:t>
            </w:r>
          </w:p>
        </w:tc>
        <w:tc>
          <w:tcPr>
            <w:tcW w:w="898" w:type="pct"/>
            <w:vMerge w:val="restart"/>
            <w:tcMar>
              <w:top w:w="28" w:type="dxa"/>
              <w:bottom w:w="28" w:type="dxa"/>
            </w:tcMar>
            <w:vAlign w:val="center"/>
          </w:tcPr>
          <w:p w14:paraId="5A046C93">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pH、石油类、石油烃（C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yellow"/>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）、汞、砷、六价铬</w:t>
            </w:r>
          </w:p>
        </w:tc>
        <w:tc>
          <w:tcPr>
            <w:tcW w:w="1095" w:type="pct"/>
            <w:tcMar>
              <w:top w:w="28" w:type="dxa"/>
              <w:bottom w:w="28" w:type="dxa"/>
            </w:tcMar>
            <w:vAlign w:val="center"/>
          </w:tcPr>
          <w:p w14:paraId="75E25407">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sz w:val="21"/>
                <w:szCs w:val="21"/>
                <w:highlight w:val="yellow"/>
                <w14:textFill>
                  <w14:solidFill>
                    <w14:schemeClr w14:val="tx1"/>
                  </w14:solidFill>
                </w14:textFill>
              </w:rPr>
              <w:t>管道临时占地范围内</w:t>
            </w:r>
          </w:p>
        </w:tc>
        <w:tc>
          <w:tcPr>
            <w:tcW w:w="690" w:type="pct"/>
            <w:vAlign w:val="center"/>
          </w:tcPr>
          <w:p w14:paraId="6ECF6B1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124.84045，46.32136</w:t>
            </w:r>
          </w:p>
        </w:tc>
        <w:tc>
          <w:tcPr>
            <w:tcW w:w="1100" w:type="pct"/>
            <w:vAlign w:val="center"/>
          </w:tcPr>
          <w:p w14:paraId="5F491FCA">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拟建管线占地范围内</w:t>
            </w:r>
          </w:p>
        </w:tc>
        <w:tc>
          <w:tcPr>
            <w:tcW w:w="476" w:type="pct"/>
            <w:vMerge w:val="restart"/>
            <w:tcMar>
              <w:top w:w="28" w:type="dxa"/>
              <w:bottom w:w="28" w:type="dxa"/>
            </w:tcMar>
            <w:vAlign w:val="center"/>
          </w:tcPr>
          <w:p w14:paraId="5D784D9D">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t>1次/年</w:t>
            </w:r>
          </w:p>
        </w:tc>
      </w:tr>
      <w:tr w14:paraId="08F7B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6" w:type="pct"/>
            <w:vMerge w:val="continue"/>
            <w:tcMar>
              <w:top w:w="28" w:type="dxa"/>
              <w:bottom w:w="28" w:type="dxa"/>
            </w:tcMar>
            <w:vAlign w:val="center"/>
          </w:tcPr>
          <w:p w14:paraId="0075A007">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p>
        </w:tc>
        <w:tc>
          <w:tcPr>
            <w:tcW w:w="435" w:type="pct"/>
            <w:vMerge w:val="continue"/>
            <w:tcMar>
              <w:top w:w="28" w:type="dxa"/>
              <w:bottom w:w="28" w:type="dxa"/>
            </w:tcMar>
            <w:vAlign w:val="center"/>
          </w:tcPr>
          <w:p w14:paraId="691F4B2F">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p>
        </w:tc>
        <w:tc>
          <w:tcPr>
            <w:tcW w:w="898" w:type="pct"/>
            <w:vMerge w:val="continue"/>
            <w:tcMar>
              <w:top w:w="28" w:type="dxa"/>
              <w:bottom w:w="28" w:type="dxa"/>
            </w:tcMar>
            <w:vAlign w:val="center"/>
          </w:tcPr>
          <w:p w14:paraId="3ABF82CD">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p>
        </w:tc>
        <w:tc>
          <w:tcPr>
            <w:tcW w:w="1095" w:type="pct"/>
            <w:tcMar>
              <w:top w:w="28" w:type="dxa"/>
              <w:bottom w:w="28" w:type="dxa"/>
            </w:tcMar>
            <w:vAlign w:val="center"/>
          </w:tcPr>
          <w:p w14:paraId="74599696">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yellow"/>
                <w14:textFill>
                  <w14:solidFill>
                    <w14:schemeClr w14:val="tx1"/>
                  </w14:solidFill>
                </w14:textFill>
              </w:rPr>
              <w:t>管道临时占地范围外草地</w:t>
            </w:r>
          </w:p>
        </w:tc>
        <w:tc>
          <w:tcPr>
            <w:tcW w:w="690" w:type="pct"/>
            <w:vAlign w:val="center"/>
          </w:tcPr>
          <w:p w14:paraId="504ED16D">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yellow"/>
                <w14:textFill>
                  <w14:solidFill>
                    <w14:schemeClr w14:val="tx1"/>
                  </w14:solidFill>
                </w14:textFill>
              </w:rPr>
              <w:t>124.83915，46.32146</w:t>
            </w:r>
          </w:p>
        </w:tc>
        <w:tc>
          <w:tcPr>
            <w:tcW w:w="1100" w:type="pct"/>
            <w:vAlign w:val="center"/>
          </w:tcPr>
          <w:p w14:paraId="47D79BB9">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sz w:val="21"/>
                <w:szCs w:val="21"/>
                <w:highlight w:val="yellow"/>
                <w14:textFill>
                  <w14:solidFill>
                    <w14:schemeClr w14:val="tx1"/>
                  </w14:solidFill>
                </w14:textFill>
              </w:rPr>
              <w:t>管道临时占地西侧100m</w:t>
            </w:r>
          </w:p>
        </w:tc>
        <w:tc>
          <w:tcPr>
            <w:tcW w:w="476" w:type="pct"/>
            <w:vMerge w:val="continue"/>
            <w:tcMar>
              <w:top w:w="28" w:type="dxa"/>
              <w:bottom w:w="28" w:type="dxa"/>
            </w:tcMar>
            <w:vAlign w:val="center"/>
          </w:tcPr>
          <w:p w14:paraId="1A3A9ED3">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yellow"/>
                <w14:textFill>
                  <w14:solidFill>
                    <w14:schemeClr w14:val="tx1"/>
                  </w14:solidFill>
                </w14:textFill>
              </w:rPr>
            </w:pPr>
          </w:p>
        </w:tc>
      </w:tr>
    </w:tbl>
    <w:p w14:paraId="79C289D4">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14:textFill>
            <w14:solidFill>
              <w14:schemeClr w14:val="tx1"/>
            </w14:solidFill>
          </w14:textFill>
        </w:rPr>
        <w:t>表8.2-5    生态调查方案</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747"/>
        <w:gridCol w:w="1605"/>
        <w:gridCol w:w="2820"/>
        <w:gridCol w:w="1676"/>
        <w:gridCol w:w="2277"/>
      </w:tblGrid>
      <w:tr w14:paraId="4464F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742" w:type="dxa"/>
            <w:tcMar>
              <w:top w:w="28" w:type="dxa"/>
              <w:left w:w="28" w:type="dxa"/>
              <w:bottom w:w="28" w:type="dxa"/>
              <w:right w:w="28" w:type="dxa"/>
            </w:tcMar>
            <w:vAlign w:val="center"/>
          </w:tcPr>
          <w:p w14:paraId="6578E73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序号</w:t>
            </w:r>
          </w:p>
        </w:tc>
        <w:tc>
          <w:tcPr>
            <w:tcW w:w="1593" w:type="dxa"/>
            <w:tcMar>
              <w:top w:w="28" w:type="dxa"/>
              <w:left w:w="28" w:type="dxa"/>
              <w:bottom w:w="28" w:type="dxa"/>
              <w:right w:w="28" w:type="dxa"/>
            </w:tcMar>
            <w:vAlign w:val="center"/>
          </w:tcPr>
          <w:p w14:paraId="467B68D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调查内容</w:t>
            </w:r>
          </w:p>
        </w:tc>
        <w:tc>
          <w:tcPr>
            <w:tcW w:w="2800" w:type="dxa"/>
            <w:tcMar>
              <w:top w:w="28" w:type="dxa"/>
              <w:left w:w="28" w:type="dxa"/>
              <w:bottom w:w="28" w:type="dxa"/>
              <w:right w:w="28" w:type="dxa"/>
            </w:tcMar>
            <w:vAlign w:val="center"/>
          </w:tcPr>
          <w:p w14:paraId="1515C45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调查方法</w:t>
            </w:r>
          </w:p>
        </w:tc>
        <w:tc>
          <w:tcPr>
            <w:tcW w:w="1664" w:type="dxa"/>
            <w:tcMar>
              <w:top w:w="28" w:type="dxa"/>
              <w:left w:w="28" w:type="dxa"/>
              <w:bottom w:w="28" w:type="dxa"/>
              <w:right w:w="28" w:type="dxa"/>
            </w:tcMar>
            <w:vAlign w:val="center"/>
          </w:tcPr>
          <w:p w14:paraId="7A90D3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点位</w:t>
            </w:r>
          </w:p>
        </w:tc>
        <w:tc>
          <w:tcPr>
            <w:tcW w:w="2261" w:type="dxa"/>
            <w:tcMar>
              <w:top w:w="28" w:type="dxa"/>
              <w:left w:w="28" w:type="dxa"/>
              <w:bottom w:w="28" w:type="dxa"/>
              <w:right w:w="28" w:type="dxa"/>
            </w:tcMar>
            <w:vAlign w:val="center"/>
          </w:tcPr>
          <w:p w14:paraId="0E0BE6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监测频次</w:t>
            </w:r>
          </w:p>
        </w:tc>
      </w:tr>
      <w:tr w14:paraId="3D8EB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742" w:type="dxa"/>
            <w:tcMar>
              <w:top w:w="28" w:type="dxa"/>
              <w:left w:w="28" w:type="dxa"/>
              <w:bottom w:w="28" w:type="dxa"/>
              <w:right w:w="28" w:type="dxa"/>
            </w:tcMar>
            <w:vAlign w:val="center"/>
          </w:tcPr>
          <w:p w14:paraId="1522A3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1</w:t>
            </w:r>
          </w:p>
        </w:tc>
        <w:tc>
          <w:tcPr>
            <w:tcW w:w="1593" w:type="dxa"/>
            <w:tcMar>
              <w:top w:w="28" w:type="dxa"/>
              <w:left w:w="28" w:type="dxa"/>
              <w:bottom w:w="28" w:type="dxa"/>
              <w:right w:w="28" w:type="dxa"/>
            </w:tcMar>
            <w:vAlign w:val="center"/>
          </w:tcPr>
          <w:p w14:paraId="3A4283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植被恢复情况</w:t>
            </w:r>
          </w:p>
        </w:tc>
        <w:tc>
          <w:tcPr>
            <w:tcW w:w="2800" w:type="dxa"/>
            <w:tcMar>
              <w:top w:w="28" w:type="dxa"/>
              <w:left w:w="28" w:type="dxa"/>
              <w:bottom w:w="28" w:type="dxa"/>
              <w:right w:w="28" w:type="dxa"/>
            </w:tcMar>
            <w:vAlign w:val="center"/>
          </w:tcPr>
          <w:p w14:paraId="3B69BE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样方调查</w:t>
            </w:r>
          </w:p>
        </w:tc>
        <w:tc>
          <w:tcPr>
            <w:tcW w:w="1664" w:type="dxa"/>
            <w:tcMar>
              <w:top w:w="28" w:type="dxa"/>
              <w:left w:w="28" w:type="dxa"/>
              <w:bottom w:w="28" w:type="dxa"/>
              <w:right w:w="28" w:type="dxa"/>
            </w:tcMar>
            <w:vAlign w:val="center"/>
          </w:tcPr>
          <w:p w14:paraId="3884DC82">
            <w:pPr>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临时占地内</w:t>
            </w:r>
          </w:p>
        </w:tc>
        <w:tc>
          <w:tcPr>
            <w:tcW w:w="2261" w:type="dxa"/>
            <w:tcMar>
              <w:top w:w="28" w:type="dxa"/>
              <w:left w:w="28" w:type="dxa"/>
              <w:bottom w:w="28" w:type="dxa"/>
              <w:right w:w="28" w:type="dxa"/>
            </w:tcMar>
            <w:vAlign w:val="center"/>
          </w:tcPr>
          <w:p w14:paraId="208AD2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1次/年，直至恢复至与周边地表植被相协调</w:t>
            </w:r>
          </w:p>
        </w:tc>
      </w:tr>
    </w:tbl>
    <w:p w14:paraId="2A45A499">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128" w:name="_Toc186444406"/>
      <w:bookmarkStart w:id="1129" w:name="_Toc141286423"/>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8.2.9退役期环境管理与监测计划</w:t>
      </w:r>
      <w:bookmarkEnd w:id="1128"/>
    </w:p>
    <w:p w14:paraId="2F5693BE">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对退役期的管线进行场地土壤环境调查与评价，确定未造成场地污染后，应跟踪其生态恢复情况。</w:t>
      </w:r>
    </w:p>
    <w:p w14:paraId="41DED701">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（1）进行环境监测，掌握污染现状；</w:t>
      </w:r>
    </w:p>
    <w:p w14:paraId="6AB9446A">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（2）定时定点监测周围环境，及时掌握环境状况的资料，促进环境管理的深入和污染治理的落实；</w:t>
      </w:r>
    </w:p>
    <w:p w14:paraId="602157C6">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（3）落实环境管理制度；</w:t>
      </w:r>
    </w:p>
    <w:p w14:paraId="7668D712">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（4）检查环保措施可行性。</w:t>
      </w:r>
    </w:p>
    <w:p w14:paraId="27033BB9">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pPr>
      <w:bookmarkStart w:id="1130" w:name="_Toc186444407"/>
      <w:r>
        <w:rPr>
          <w:rFonts w:ascii="Times New Roman" w:hAnsi="Times New Roman" w:cs="Times New Roman" w:eastAsiaTheme="minorEastAsia"/>
          <w:b/>
          <w:bCs/>
          <w:caps w:val="0"/>
          <w:smallCaps w:val="0"/>
          <w:color w:val="000000" w:themeColor="text1"/>
          <w:spacing w:val="0"/>
          <w:w w:val="100"/>
          <w:kern w:val="2"/>
          <w:position w:val="0"/>
          <w14:textFill>
            <w14:solidFill>
              <w14:schemeClr w14:val="tx1"/>
            </w14:solidFill>
          </w14:textFill>
        </w:rPr>
        <w:t>8.2.10排污许可管理</w:t>
      </w:r>
      <w:bookmarkEnd w:id="1130"/>
    </w:p>
    <w:p w14:paraId="1CC6A795">
      <w:pPr>
        <w:widowControl w:val="0"/>
        <w:spacing w:line="440" w:lineRule="exact"/>
        <w:ind w:firstLine="482"/>
        <w:jc w:val="both"/>
        <w:rPr>
          <w:rFonts w:ascii="Times New Roman" w:hAnsi="Times New Roman" w:cs="Times New Roman" w:eastAsiaTheme="minorEastAsia"/>
          <w:bCs/>
          <w:caps w:val="0"/>
          <w:smallCaps w:val="0"/>
          <w:color w:val="000000" w:themeColor="text1"/>
          <w:spacing w:val="0"/>
          <w:w w:val="100"/>
          <w:kern w:val="21"/>
          <w:position w:val="0"/>
          <w:szCs w:val="20"/>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根据《排污许可管理办法（试行）》（环境保护部令第</w:t>
      </w:r>
      <w:r>
        <w:rPr>
          <w:rFonts w:hint="default"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48号），本项目应严格按照相关排污许可证改革的要求，在本项目取得环境影响评价审批意见后，排污行为发生前三十个工作日内向核发环保部门（大庆生态环境局）提出排污许可证的申请。应将项目建设内容、产品方案、建设规模、采用的工艺流程、工艺技术方案、污染防治措施、环保设施和治理措施、各类污染物排放总量、在线监测和自主监测要求、环境安全防范措施、环境应急体系和应急设施等，全部按装置、设施载入排污许可证。企业在设计、建设和运营过程中，需按照排污许可证管理要求进行监测和申报，发生变更应及时进行申报，重大变更应重新进行环境影响评价和申请许可证变更，积极配合环保管理部分的监督核查。</w:t>
      </w:r>
    </w:p>
    <w:p w14:paraId="6D6BDEAB">
      <w:pPr>
        <w:widowControl w:val="0"/>
        <w:spacing w:line="440" w:lineRule="exact"/>
        <w:ind w:firstLine="482"/>
        <w:jc w:val="both"/>
        <w:rPr>
          <w:rFonts w:ascii="Times New Roman" w:hAnsi="Times New Roman" w:cs="Times New Roman" w:eastAsiaTheme="minorEastAsia"/>
          <w:bCs/>
          <w:caps w:val="0"/>
          <w:smallCaps w:val="0"/>
          <w:color w:val="000000" w:themeColor="text1"/>
          <w:spacing w:val="0"/>
          <w:w w:val="100"/>
          <w:kern w:val="21"/>
          <w:position w:val="0"/>
          <w:szCs w:val="20"/>
          <w14:textFill>
            <w14:solidFill>
              <w14:schemeClr w14:val="tx1"/>
            </w14:solidFill>
          </w14:textFill>
        </w:rPr>
      </w:pPr>
      <w:r>
        <w:rPr>
          <w:rFonts w:hint="default"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根据《固定污染源排污许可分类管理名录（2019年版）》要求，</w:t>
      </w:r>
      <w:r>
        <w:rPr>
          <w:rFonts w:hint="eastAsia"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大庆油田有限责任公司第十一采油厂</w:t>
      </w:r>
      <w:r>
        <w:rPr>
          <w:rFonts w:hint="default"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排污许可管理类别为简化管理。登记编号：</w:t>
      </w:r>
      <w:r>
        <w:rPr>
          <w:rFonts w:hint="eastAsia" w:ascii="Times New Roman" w:hAnsi="Times New Roman" w:cs="Times New Roman" w:eastAsiaTheme="minorEastAsia"/>
          <w:bCs/>
          <w:caps w:val="0"/>
          <w:smallCaps w:val="0"/>
          <w:color w:val="000000" w:themeColor="text1"/>
          <w:spacing w:val="0"/>
          <w:w w:val="100"/>
          <w:kern w:val="21"/>
          <w:position w:val="0"/>
          <w:szCs w:val="20"/>
          <w14:textFill>
            <w14:solidFill>
              <w14:schemeClr w14:val="tx1"/>
            </w14:solidFill>
          </w14:textFill>
        </w:rPr>
        <w:t>912312817028111747001X</w:t>
      </w:r>
      <w:r>
        <w:rPr>
          <w:rFonts w:hint="eastAsia"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，有限期限为2025.08.21-2030.08.20</w:t>
      </w:r>
      <w:r>
        <w:rPr>
          <w:rFonts w:hint="default"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，本项目不涉及通用工序重点管理和简化管理的固定污染源，故项目建成后，大庆油田有限责任公司</w:t>
      </w:r>
      <w:r>
        <w:rPr>
          <w:rFonts w:hint="eastAsia"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大庆油田有限责任公司第十一采油厂</w:t>
      </w:r>
      <w:r>
        <w:rPr>
          <w:rFonts w:hint="default" w:ascii="Times New Roman" w:hAnsi="Times New Roman" w:cs="Times New Roman" w:eastAsiaTheme="minorEastAsia"/>
          <w:bCs/>
          <w:caps w:val="0"/>
          <w:smallCaps w:val="0"/>
          <w:color w:val="000000" w:themeColor="text1"/>
          <w:spacing w:val="0"/>
          <w:w w:val="100"/>
          <w:kern w:val="21"/>
          <w:position w:val="0"/>
          <w:szCs w:val="20"/>
          <w:lang w:val="en-US" w:eastAsia="zh-CN"/>
          <w14:textFill>
            <w14:solidFill>
              <w14:schemeClr w14:val="tx1"/>
            </w14:solidFill>
          </w14:textFill>
        </w:rPr>
        <w:t>排污许可仍为简化管理。</w:t>
      </w:r>
    </w:p>
    <w:p w14:paraId="3034BC1F">
      <w:pPr>
        <w:widowControl w:val="0"/>
        <w:spacing w:before="120" w:after="120" w:line="440" w:lineRule="exact"/>
        <w:jc w:val="both"/>
        <w:outlineLvl w:val="1"/>
        <w:rPr>
          <w:rFonts w:ascii="Times New Roman" w:hAnsi="Times New Roman" w:cs="Times New Roman" w:eastAsiaTheme="minorEastAsia"/>
          <w:b/>
          <w:bCs/>
          <w:caps w:val="0"/>
          <w:smallCaps w:val="0"/>
          <w:snapToGrid w:val="0"/>
          <w:color w:val="000000" w:themeColor="text1"/>
          <w:spacing w:val="0"/>
          <w:w w:val="100"/>
          <w:position w:val="0"/>
          <w:sz w:val="28"/>
          <w:szCs w:val="32"/>
          <w14:textFill>
            <w14:solidFill>
              <w14:schemeClr w14:val="tx1"/>
            </w14:solidFill>
          </w14:textFill>
        </w:rPr>
      </w:pPr>
      <w:bookmarkStart w:id="1131" w:name="_Toc173163563"/>
      <w:bookmarkStart w:id="1132" w:name="_Toc186444408"/>
      <w:bookmarkStart w:id="1133" w:name="_Toc219900414"/>
      <w:r>
        <w:rPr>
          <w:rFonts w:ascii="Times New Roman" w:hAnsi="Times New Roman" w:cs="Times New Roman" w:eastAsiaTheme="minorEastAsia"/>
          <w:b/>
          <w:bCs/>
          <w:caps w:val="0"/>
          <w:smallCaps w:val="0"/>
          <w:snapToGrid w:val="0"/>
          <w:color w:val="000000" w:themeColor="text1"/>
          <w:spacing w:val="0"/>
          <w:w w:val="100"/>
          <w:position w:val="0"/>
          <w:sz w:val="28"/>
          <w:szCs w:val="32"/>
          <w14:textFill>
            <w14:solidFill>
              <w14:schemeClr w14:val="tx1"/>
            </w14:solidFill>
          </w14:textFill>
        </w:rPr>
        <w:t>8.3</w:t>
      </w:r>
      <w:bookmarkEnd w:id="1129"/>
      <w:r>
        <w:rPr>
          <w:rFonts w:ascii="Times New Roman" w:hAnsi="Times New Roman" w:cs="Times New Roman" w:eastAsiaTheme="minorEastAsia"/>
          <w:b/>
          <w:bCs/>
          <w:caps w:val="0"/>
          <w:smallCaps w:val="0"/>
          <w:snapToGrid w:val="0"/>
          <w:color w:val="000000" w:themeColor="text1"/>
          <w:spacing w:val="0"/>
          <w:w w:val="100"/>
          <w:position w:val="0"/>
          <w:sz w:val="28"/>
          <w:szCs w:val="32"/>
          <w14:textFill>
            <w14:solidFill>
              <w14:schemeClr w14:val="tx1"/>
            </w14:solidFill>
          </w14:textFill>
        </w:rPr>
        <w:t>占地审批流程</w:t>
      </w:r>
      <w:bookmarkEnd w:id="1131"/>
      <w:bookmarkEnd w:id="1132"/>
      <w:bookmarkEnd w:id="1133"/>
    </w:p>
    <w:p w14:paraId="17494B5B">
      <w:pPr>
        <w:widowControl w:val="0"/>
        <w:spacing w:line="440" w:lineRule="exact"/>
        <w:ind w:firstLine="480" w:firstLineChars="200"/>
        <w:jc w:val="both"/>
        <w:rPr>
          <w:rFonts w:ascii="Times New Roman" w:hAnsi="Times New Roman" w:cs="Times New Roman" w:eastAsiaTheme="minorEastAsia"/>
          <w:color w:val="000000" w:themeColor="text1"/>
          <w:kern w:val="21"/>
          <w14:textFill>
            <w14:solidFill>
              <w14:schemeClr w14:val="tx1"/>
            </w14:solidFill>
          </w14:textFill>
        </w:rPr>
      </w:pPr>
      <w:r>
        <w:rPr>
          <w:rFonts w:ascii="Times New Roman" w:hAnsi="Times New Roman" w:cs="Times New Roman" w:eastAsiaTheme="minorEastAsia"/>
          <w:color w:val="000000" w:themeColor="text1"/>
          <w:kern w:val="21"/>
          <w14:textFill>
            <w14:solidFill>
              <w14:schemeClr w14:val="tx1"/>
            </w14:solidFill>
          </w14:textFill>
        </w:rPr>
        <w:t>本项目总占地面积为</w:t>
      </w:r>
      <w:r>
        <w:rPr>
          <w:rFonts w:hint="eastAsia" w:ascii="Times New Roman" w:hAnsi="Times New Roman" w:cs="Times New Roman" w:eastAsiaTheme="minorEastAsia"/>
          <w:color w:val="000000" w:themeColor="text1"/>
          <w:kern w:val="21"/>
          <w:lang w:val="en-US" w:eastAsia="zh-CN"/>
          <w14:textFill>
            <w14:solidFill>
              <w14:schemeClr w14:val="tx1"/>
            </w14:solidFill>
          </w14:textFill>
        </w:rPr>
        <w:t>21.88</w:t>
      </w:r>
      <w:r>
        <w:rPr>
          <w:rFonts w:ascii="Times New Roman" w:hAnsi="Times New Roman" w:cs="Times New Roman" w:eastAsiaTheme="minorEastAsia"/>
          <w:color w:val="000000" w:themeColor="text1"/>
          <w:kern w:val="21"/>
          <w14:textFill>
            <w14:solidFill>
              <w14:schemeClr w14:val="tx1"/>
            </w14:solidFill>
          </w14:textFill>
        </w:rPr>
        <w:t>hm</w:t>
      </w:r>
      <w:r>
        <w:rPr>
          <w:rFonts w:ascii="Times New Roman" w:hAnsi="Times New Roman" w:cs="Times New Roman" w:eastAsiaTheme="minorEastAsia"/>
          <w:color w:val="000000" w:themeColor="text1"/>
          <w:kern w:val="21"/>
          <w:vertAlign w:val="superscript"/>
          <w14:textFill>
            <w14:solidFill>
              <w14:schemeClr w14:val="tx1"/>
            </w14:solidFill>
          </w14:textFill>
        </w:rPr>
        <w:t>2</w:t>
      </w:r>
      <w:r>
        <w:rPr>
          <w:rFonts w:ascii="Times New Roman" w:hAnsi="Times New Roman" w:cs="Times New Roman" w:eastAsiaTheme="minorEastAsia"/>
          <w:color w:val="000000" w:themeColor="text1"/>
          <w:kern w:val="21"/>
          <w14:textFill>
            <w14:solidFill>
              <w14:schemeClr w14:val="tx1"/>
            </w14:solidFill>
          </w14:textFill>
        </w:rPr>
        <w:t>，</w:t>
      </w:r>
      <w:r>
        <w:rPr>
          <w:rFonts w:hint="eastAsia" w:ascii="Times New Roman" w:hAnsi="Times New Roman" w:cs="Times New Roman" w:eastAsiaTheme="minorEastAsia"/>
          <w:color w:val="000000" w:themeColor="text1"/>
          <w:kern w:val="21"/>
          <w:lang w:val="en-US" w:eastAsia="zh-CN"/>
          <w14:textFill>
            <w14:solidFill>
              <w14:schemeClr w14:val="tx1"/>
            </w14:solidFill>
          </w14:textFill>
        </w:rPr>
        <w:t>均为</w:t>
      </w:r>
      <w:r>
        <w:rPr>
          <w:rFonts w:ascii="Times New Roman" w:hAnsi="Times New Roman" w:cs="Times New Roman" w:eastAsiaTheme="minorEastAsia"/>
          <w:bCs/>
          <w:color w:val="000000" w:themeColor="text1"/>
          <w:kern w:val="21"/>
          <w14:textFill>
            <w14:solidFill>
              <w14:schemeClr w14:val="tx1"/>
            </w14:solidFill>
          </w14:textFill>
        </w:rPr>
        <w:t>临时</w:t>
      </w:r>
      <w:r>
        <w:rPr>
          <w:rFonts w:hint="eastAsia" w:ascii="Times New Roman" w:hAnsi="Times New Roman" w:cs="Times New Roman" w:eastAsiaTheme="minorEastAsia"/>
          <w:bCs/>
          <w:color w:val="000000" w:themeColor="text1"/>
          <w:kern w:val="21"/>
          <w:lang w:val="en-US" w:eastAsia="zh-CN"/>
          <w14:textFill>
            <w14:solidFill>
              <w14:schemeClr w14:val="tx1"/>
            </w14:solidFill>
          </w14:textFill>
        </w:rPr>
        <w:t>占地</w:t>
      </w:r>
      <w:r>
        <w:rPr>
          <w:rFonts w:ascii="Times New Roman" w:hAnsi="Times New Roman" w:cs="Times New Roman" w:eastAsiaTheme="minorEastAsia"/>
          <w:bCs/>
          <w:color w:val="000000" w:themeColor="text1"/>
          <w:kern w:val="21"/>
          <w14:textFill>
            <w14:solidFill>
              <w14:schemeClr w14:val="tx1"/>
            </w14:solidFill>
          </w14:textFill>
        </w:rPr>
        <w:t>，</w:t>
      </w:r>
      <w:r>
        <w:rPr>
          <w:rFonts w:ascii="Times New Roman" w:hAnsi="Times New Roman" w:cs="Times New Roman" w:eastAsiaTheme="minorEastAsia"/>
          <w:color w:val="000000" w:themeColor="text1"/>
          <w:kern w:val="21"/>
          <w14:textFill>
            <w14:solidFill>
              <w14:schemeClr w14:val="tx1"/>
            </w14:solidFill>
          </w14:textFill>
        </w:rPr>
        <w:t>占地类型为</w:t>
      </w:r>
      <w:r>
        <w:rPr>
          <w:rFonts w:ascii="Times New Roman" w:hAnsi="Times New Roman" w:cs="Times New Roman" w:eastAsiaTheme="minorEastAsia"/>
          <w:bCs/>
          <w:color w:val="000000" w:themeColor="text1"/>
          <w:kern w:val="21"/>
          <w14:textFill>
            <w14:solidFill>
              <w14:schemeClr w14:val="tx1"/>
            </w14:solidFill>
          </w14:textFill>
        </w:rPr>
        <w:t>耕地（基本农田）及草地（非基本草原）</w:t>
      </w:r>
      <w:r>
        <w:rPr>
          <w:rFonts w:ascii="Times New Roman" w:hAnsi="Times New Roman" w:cs="Times New Roman" w:eastAsiaTheme="minorEastAsia"/>
          <w:color w:val="000000" w:themeColor="text1"/>
          <w:kern w:val="21"/>
          <w14:textFill>
            <w14:solidFill>
              <w14:schemeClr w14:val="tx1"/>
            </w14:solidFill>
          </w14:textFill>
        </w:rPr>
        <w:t>。</w:t>
      </w:r>
    </w:p>
    <w:p w14:paraId="52D4D8B2">
      <w:pPr>
        <w:widowControl w:val="0"/>
        <w:spacing w:line="440" w:lineRule="exact"/>
        <w:ind w:firstLine="480" w:firstLineChars="200"/>
        <w:jc w:val="both"/>
        <w:rPr>
          <w:rFonts w:ascii="Times New Roman" w:hAnsi="Times New Roman" w:cs="Times New Roman"/>
          <w:kern w:val="21"/>
        </w:rPr>
      </w:pPr>
      <w:r>
        <w:rPr>
          <w:rFonts w:hint="eastAsia" w:ascii="Times New Roman" w:hAnsi="Times New Roman" w:cs="Times New Roman"/>
          <w:kern w:val="21"/>
        </w:rPr>
        <w:t>建设单位在环境影响评价批复文件下发后应按文件要求申请临时用地批复。</w:t>
      </w:r>
    </w:p>
    <w:p w14:paraId="4A8A1535">
      <w:pPr>
        <w:widowControl w:val="0"/>
        <w:spacing w:line="440" w:lineRule="exact"/>
        <w:ind w:firstLine="480" w:firstLineChars="200"/>
        <w:jc w:val="both"/>
        <w:rPr>
          <w:rFonts w:ascii="Times New Roman" w:hAnsi="Times New Roman" w:cs="Times New Roman"/>
          <w:kern w:val="21"/>
        </w:rPr>
      </w:pPr>
      <w:r>
        <w:rPr>
          <w:rFonts w:hint="eastAsia"/>
          <w:kern w:val="21"/>
        </w:rPr>
        <w:t>①</w:t>
      </w:r>
      <w:r>
        <w:rPr>
          <w:rFonts w:hint="eastAsia" w:ascii="Times New Roman" w:hAnsi="Times New Roman" w:cs="Times New Roman"/>
          <w:kern w:val="21"/>
          <w:lang w:val="en-US" w:eastAsia="zh-CN"/>
        </w:rPr>
        <w:t>大庆</w:t>
      </w:r>
      <w:r>
        <w:rPr>
          <w:rFonts w:ascii="Times New Roman" w:hAnsi="Times New Roman" w:cs="Times New Roman"/>
          <w:kern w:val="21"/>
        </w:rPr>
        <w:t>油田有限责任公司</w:t>
      </w:r>
      <w:r>
        <w:rPr>
          <w:rFonts w:hint="eastAsia" w:ascii="Times New Roman" w:hAnsi="Times New Roman" w:cs="Times New Roman"/>
          <w:kern w:val="21"/>
          <w:lang w:val="en-US" w:eastAsia="zh-CN"/>
        </w:rPr>
        <w:t>第十一采油厂</w:t>
      </w:r>
      <w:r>
        <w:rPr>
          <w:rFonts w:ascii="Times New Roman" w:hAnsi="Times New Roman" w:cs="Times New Roman"/>
          <w:kern w:val="21"/>
        </w:rPr>
        <w:t>监督管理中心土地组依据项目设计资料、投资计划等基础资料，核实项目用地范围、面积、类型，准备临时用地申请、平面布置图、占地现状图、临时使用土地合同、土地复垦方案等相关材料，提交给</w:t>
      </w:r>
      <w:r>
        <w:rPr>
          <w:rFonts w:hint="eastAsia" w:ascii="Times New Roman" w:hAnsi="Times New Roman" w:cs="Times New Roman"/>
          <w:kern w:val="21"/>
        </w:rPr>
        <w:t>安达市</w:t>
      </w:r>
      <w:r>
        <w:rPr>
          <w:rFonts w:ascii="Times New Roman" w:hAnsi="Times New Roman" w:cs="Times New Roman"/>
          <w:kern w:val="21"/>
        </w:rPr>
        <w:t>自然资源部门。</w:t>
      </w:r>
    </w:p>
    <w:p w14:paraId="2E5C655A">
      <w:pPr>
        <w:widowControl w:val="0"/>
        <w:spacing w:line="440" w:lineRule="exact"/>
        <w:ind w:firstLine="480" w:firstLineChars="200"/>
        <w:jc w:val="both"/>
        <w:rPr>
          <w:rFonts w:ascii="Times New Roman" w:hAnsi="Times New Roman" w:cs="Times New Roman"/>
          <w:kern w:val="21"/>
        </w:rPr>
      </w:pPr>
      <w:r>
        <w:rPr>
          <w:rFonts w:hint="eastAsia"/>
          <w:kern w:val="21"/>
        </w:rPr>
        <w:t>②</w:t>
      </w:r>
      <w:r>
        <w:rPr>
          <w:rFonts w:hint="eastAsia" w:ascii="Times New Roman" w:hAnsi="Times New Roman" w:cs="Times New Roman"/>
          <w:kern w:val="21"/>
        </w:rPr>
        <w:t>安达市</w:t>
      </w:r>
      <w:r>
        <w:rPr>
          <w:rFonts w:ascii="Times New Roman" w:hAnsi="Times New Roman" w:cs="Times New Roman"/>
          <w:kern w:val="21"/>
        </w:rPr>
        <w:t>自然资源部门对资料进行初审。</w:t>
      </w:r>
      <w:r>
        <w:rPr>
          <w:rFonts w:hint="eastAsia" w:ascii="Times New Roman" w:hAnsi="Times New Roman" w:cs="Times New Roman"/>
          <w:kern w:val="21"/>
        </w:rPr>
        <w:t>安达市</w:t>
      </w:r>
      <w:r>
        <w:rPr>
          <w:rFonts w:ascii="Times New Roman" w:hAnsi="Times New Roman" w:cs="Times New Roman"/>
          <w:kern w:val="21"/>
        </w:rPr>
        <w:t>自然资源部门组织对</w:t>
      </w:r>
      <w:r>
        <w:rPr>
          <w:rFonts w:hint="eastAsia" w:ascii="Times New Roman" w:hAnsi="Times New Roman" w:cs="Times New Roman"/>
          <w:kern w:val="21"/>
          <w:lang w:val="en-US" w:eastAsia="zh-CN"/>
        </w:rPr>
        <w:t>大庆</w:t>
      </w:r>
      <w:r>
        <w:rPr>
          <w:rFonts w:ascii="Times New Roman" w:hAnsi="Times New Roman" w:cs="Times New Roman"/>
          <w:kern w:val="21"/>
        </w:rPr>
        <w:t>油田有限责任公司</w:t>
      </w:r>
      <w:r>
        <w:rPr>
          <w:rFonts w:hint="eastAsia" w:ascii="Times New Roman" w:hAnsi="Times New Roman" w:cs="Times New Roman"/>
          <w:kern w:val="21"/>
          <w:lang w:val="en-US" w:eastAsia="zh-CN"/>
        </w:rPr>
        <w:t>第十一采油厂</w:t>
      </w:r>
      <w:r>
        <w:rPr>
          <w:rFonts w:ascii="Times New Roman" w:hAnsi="Times New Roman" w:cs="Times New Roman"/>
          <w:kern w:val="21"/>
        </w:rPr>
        <w:t>监督管理中心土地组提交的临时用地申请资料进行初审，开展实地探勘核验，审查同意的出具审查意见。</w:t>
      </w:r>
    </w:p>
    <w:p w14:paraId="29A8F208">
      <w:pPr>
        <w:widowControl w:val="0"/>
        <w:spacing w:line="440" w:lineRule="exact"/>
        <w:ind w:firstLine="480" w:firstLineChars="200"/>
        <w:jc w:val="both"/>
        <w:rPr>
          <w:rFonts w:ascii="Times New Roman" w:hAnsi="Times New Roman" w:cs="Times New Roman"/>
          <w:kern w:val="21"/>
        </w:rPr>
      </w:pPr>
      <w:r>
        <w:rPr>
          <w:rFonts w:hint="eastAsia"/>
          <w:kern w:val="21"/>
        </w:rPr>
        <w:t>③</w:t>
      </w:r>
      <w:r>
        <w:rPr>
          <w:rFonts w:hint="eastAsia" w:ascii="Times New Roman" w:hAnsi="Times New Roman" w:cs="Times New Roman"/>
          <w:kern w:val="21"/>
        </w:rPr>
        <w:t>绥化市</w:t>
      </w:r>
      <w:r>
        <w:rPr>
          <w:rFonts w:ascii="Times New Roman" w:hAnsi="Times New Roman" w:cs="Times New Roman"/>
          <w:kern w:val="21"/>
        </w:rPr>
        <w:t>自然资源局审批。</w:t>
      </w:r>
      <w:r>
        <w:rPr>
          <w:rFonts w:hint="eastAsia" w:ascii="Times New Roman" w:hAnsi="Times New Roman" w:cs="Times New Roman"/>
          <w:kern w:val="21"/>
        </w:rPr>
        <w:t>绥化市</w:t>
      </w:r>
      <w:r>
        <w:rPr>
          <w:rFonts w:ascii="Times New Roman" w:hAnsi="Times New Roman" w:cs="Times New Roman"/>
          <w:kern w:val="21"/>
        </w:rPr>
        <w:t>自然资源局组织审查县、县区自然资源部门提交的</w:t>
      </w:r>
      <w:r>
        <w:rPr>
          <w:rFonts w:hint="eastAsia" w:ascii="Times New Roman" w:hAnsi="Times New Roman" w:cs="Times New Roman"/>
          <w:kern w:val="21"/>
          <w:lang w:val="en-US" w:eastAsia="zh-CN"/>
        </w:rPr>
        <w:t>大庆</w:t>
      </w:r>
      <w:r>
        <w:rPr>
          <w:rFonts w:ascii="Times New Roman" w:hAnsi="Times New Roman" w:cs="Times New Roman"/>
          <w:kern w:val="21"/>
        </w:rPr>
        <w:t>油田有限责任公司</w:t>
      </w:r>
      <w:r>
        <w:rPr>
          <w:rFonts w:hint="eastAsia" w:ascii="Times New Roman" w:hAnsi="Times New Roman" w:cs="Times New Roman"/>
          <w:kern w:val="21"/>
          <w:lang w:val="en-US" w:eastAsia="zh-CN"/>
        </w:rPr>
        <w:t>第十一采油厂</w:t>
      </w:r>
      <w:r>
        <w:rPr>
          <w:rFonts w:ascii="Times New Roman" w:hAnsi="Times New Roman" w:cs="Times New Roman"/>
          <w:kern w:val="21"/>
        </w:rPr>
        <w:t>监督管理中心土地组临时用地申请是否已完成初审、是否符合相关要求，对满足要求的用地申请组织审批，下发临时用地批复文件。</w:t>
      </w:r>
    </w:p>
    <w:p w14:paraId="5159E98F">
      <w:pPr>
        <w:widowControl w:val="0"/>
        <w:spacing w:line="440" w:lineRule="exact"/>
        <w:ind w:firstLine="480" w:firstLineChars="200"/>
        <w:jc w:val="both"/>
        <w:rPr>
          <w:rFonts w:ascii="Times New Roman" w:hAnsi="Times New Roman" w:cs="Times New Roman"/>
          <w:kern w:val="21"/>
        </w:rPr>
      </w:pPr>
      <w:r>
        <w:rPr>
          <w:rFonts w:hint="eastAsia"/>
          <w:kern w:val="21"/>
        </w:rPr>
        <w:t>④</w:t>
      </w:r>
      <w:r>
        <w:rPr>
          <w:rFonts w:hint="eastAsia" w:ascii="Times New Roman" w:hAnsi="Times New Roman" w:cs="Times New Roman"/>
          <w:kern w:val="21"/>
          <w:lang w:val="en-US" w:eastAsia="zh-CN"/>
        </w:rPr>
        <w:t>大庆</w:t>
      </w:r>
      <w:r>
        <w:rPr>
          <w:rFonts w:ascii="Times New Roman" w:hAnsi="Times New Roman" w:cs="Times New Roman"/>
          <w:kern w:val="21"/>
        </w:rPr>
        <w:t>油田有限责任公司</w:t>
      </w:r>
      <w:r>
        <w:rPr>
          <w:rFonts w:hint="eastAsia" w:ascii="Times New Roman" w:hAnsi="Times New Roman" w:cs="Times New Roman"/>
          <w:kern w:val="21"/>
          <w:lang w:val="en-US" w:eastAsia="zh-CN"/>
        </w:rPr>
        <w:t>第十一采油厂</w:t>
      </w:r>
      <w:r>
        <w:rPr>
          <w:rFonts w:ascii="Times New Roman" w:hAnsi="Times New Roman" w:cs="Times New Roman"/>
          <w:kern w:val="21"/>
        </w:rPr>
        <w:t>监督管理中心土地组根据批复文件，办理征地手续，组织进场施工。</w:t>
      </w:r>
    </w:p>
    <w:p w14:paraId="3E8D6C68">
      <w:pPr>
        <w:widowControl w:val="0"/>
        <w:spacing w:line="440" w:lineRule="exact"/>
        <w:ind w:firstLine="480" w:firstLineChars="200"/>
        <w:jc w:val="both"/>
        <w:rPr>
          <w:rFonts w:ascii="Times New Roman" w:hAnsi="Times New Roman" w:cs="Times New Roman" w:eastAsiaTheme="minorEastAsia"/>
          <w:color w:val="000000" w:themeColor="text1"/>
          <w:kern w:val="21"/>
          <w14:textFill>
            <w14:solidFill>
              <w14:schemeClr w14:val="tx1"/>
            </w14:solidFill>
          </w14:textFill>
        </w:rPr>
        <w:sectPr>
          <w:footerReference r:id="rId12" w:type="default"/>
          <w:type w:val="nextColumn"/>
          <w:pgSz w:w="11906" w:h="16838"/>
          <w:pgMar w:top="1418" w:right="1418" w:bottom="1418" w:left="1418" w:header="851" w:footer="992" w:gutter="0"/>
          <w:cols w:space="720" w:num="1"/>
          <w:docGrid w:linePitch="312" w:charSpace="0"/>
        </w:sectPr>
      </w:pPr>
      <w:r>
        <w:rPr>
          <w:rFonts w:hint="eastAsia" w:ascii="Times New Roman" w:hAnsi="Times New Roman" w:cs="Times New Roman"/>
          <w:kern w:val="21"/>
          <w:lang w:val="en-US" w:eastAsia="zh-CN"/>
        </w:rPr>
        <w:t>大庆</w:t>
      </w:r>
      <w:r>
        <w:rPr>
          <w:rFonts w:ascii="Times New Roman" w:hAnsi="Times New Roman" w:cs="Times New Roman"/>
          <w:kern w:val="21"/>
        </w:rPr>
        <w:t>油田有限责任公司</w:t>
      </w:r>
      <w:r>
        <w:rPr>
          <w:rFonts w:hint="eastAsia" w:ascii="Times New Roman" w:hAnsi="Times New Roman" w:cs="Times New Roman"/>
          <w:kern w:val="21"/>
          <w:lang w:val="en-US" w:eastAsia="zh-CN"/>
        </w:rPr>
        <w:t>第十一采油厂</w:t>
      </w:r>
      <w:r>
        <w:rPr>
          <w:rFonts w:ascii="Times New Roman" w:hAnsi="Times New Roman" w:cs="Times New Roman"/>
          <w:kern w:val="21"/>
        </w:rPr>
        <w:t>监督管理中心土地组按照“先临时、后永久”的政策，井场、道路、</w:t>
      </w:r>
      <w:r>
        <w:rPr>
          <w:rFonts w:hint="eastAsia" w:ascii="Times New Roman" w:hAnsi="Times New Roman" w:cs="Times New Roman"/>
          <w:kern w:val="21"/>
        </w:rPr>
        <w:t>管线</w:t>
      </w:r>
      <w:r>
        <w:rPr>
          <w:rFonts w:ascii="Times New Roman" w:hAnsi="Times New Roman" w:cs="Times New Roman"/>
          <w:kern w:val="21"/>
        </w:rPr>
        <w:t>临时用地结束后，办理永久用地审批。</w:t>
      </w:r>
      <w:r>
        <w:rPr>
          <w:rFonts w:hint="eastAsia" w:ascii="Times New Roman" w:hAnsi="Times New Roman" w:cs="Times New Roman"/>
          <w:kern w:val="21"/>
          <w:lang w:val="en-US" w:eastAsia="zh-CN"/>
        </w:rPr>
        <w:t>大庆</w:t>
      </w:r>
      <w:r>
        <w:rPr>
          <w:rFonts w:ascii="Times New Roman" w:hAnsi="Times New Roman" w:cs="Times New Roman"/>
          <w:kern w:val="21"/>
        </w:rPr>
        <w:t>油田有限责任公司</w:t>
      </w:r>
      <w:r>
        <w:rPr>
          <w:rFonts w:hint="eastAsia" w:ascii="Times New Roman" w:hAnsi="Times New Roman" w:cs="Times New Roman"/>
          <w:kern w:val="21"/>
          <w:lang w:val="en-US" w:eastAsia="zh-CN"/>
        </w:rPr>
        <w:t>第十一采油厂</w:t>
      </w:r>
      <w:r>
        <w:rPr>
          <w:rFonts w:ascii="Times New Roman" w:hAnsi="Times New Roman" w:cs="Times New Roman"/>
          <w:kern w:val="21"/>
        </w:rPr>
        <w:t>监督管理中心土地组每年上报油田公司生态资源管理部，全油田全年组卷一次，经县自然资源局、县政府，市自然资源局、市政府，省自然资源厅、省政府，逐级上报自然资源部、国务院审批</w:t>
      </w:r>
      <w:r>
        <w:rPr>
          <w:rFonts w:ascii="Times New Roman" w:hAnsi="Times New Roman" w:cs="Times New Roman" w:eastAsiaTheme="minorEastAsia"/>
          <w:color w:val="000000" w:themeColor="text1"/>
          <w:kern w:val="21"/>
          <w14:textFill>
            <w14:solidFill>
              <w14:schemeClr w14:val="tx1"/>
            </w14:solidFill>
          </w14:textFill>
        </w:rPr>
        <w:t>。</w:t>
      </w:r>
    </w:p>
    <w:bookmarkEnd w:id="1052"/>
    <w:bookmarkEnd w:id="1053"/>
    <w:bookmarkEnd w:id="1054"/>
    <w:bookmarkEnd w:id="1055"/>
    <w:bookmarkEnd w:id="1056"/>
    <w:bookmarkEnd w:id="1060"/>
    <w:bookmarkEnd w:id="1061"/>
    <w:bookmarkEnd w:id="1062"/>
    <w:bookmarkEnd w:id="1063"/>
    <w:bookmarkEnd w:id="1064"/>
    <w:bookmarkEnd w:id="1065"/>
    <w:bookmarkEnd w:id="1066"/>
    <w:bookmarkEnd w:id="1067"/>
    <w:bookmarkEnd w:id="1068"/>
    <w:bookmarkEnd w:id="1069"/>
    <w:p w14:paraId="1D9B0021">
      <w:pPr>
        <w:pStyle w:val="3"/>
        <w:widowControl w:val="0"/>
        <w:spacing w:before="180" w:after="180" w:line="440" w:lineRule="exact"/>
        <w:rPr>
          <w:rFonts w:ascii="Times New Roman" w:hAnsi="Times New Roman" w:eastAsiaTheme="minorEastAsia"/>
          <w:b/>
          <w:caps w:val="0"/>
          <w:smallCaps w:val="0"/>
          <w:snapToGrid w:val="0"/>
          <w:color w:val="000000" w:themeColor="text1"/>
          <w:spacing w:val="0"/>
          <w:w w:val="100"/>
          <w:position w:val="0"/>
          <w:sz w:val="30"/>
          <w:szCs w:val="30"/>
          <w14:textFill>
            <w14:solidFill>
              <w14:schemeClr w14:val="tx1"/>
            </w14:solidFill>
          </w14:textFill>
        </w:rPr>
      </w:pPr>
      <w:bookmarkStart w:id="1134" w:name="_Toc502736556"/>
      <w:bookmarkStart w:id="1135" w:name="_Toc255202340"/>
      <w:bookmarkStart w:id="1136" w:name="_Toc277178465"/>
      <w:bookmarkStart w:id="1137" w:name="_Toc480447686"/>
      <w:bookmarkStart w:id="1138" w:name="_Toc219900415"/>
      <w:bookmarkStart w:id="1139" w:name="_Toc255202323"/>
      <w:bookmarkStart w:id="1140" w:name="_Toc346267817"/>
      <w:bookmarkStart w:id="1141" w:name="_Toc277178450"/>
      <w:bookmarkStart w:id="1142" w:name="_Toc456590420"/>
      <w:r>
        <w:rPr>
          <w:rFonts w:ascii="Times New Roman" w:hAnsi="Times New Roman" w:eastAsiaTheme="minorEastAsia"/>
          <w:b/>
          <w:caps w:val="0"/>
          <w:smallCaps w:val="0"/>
          <w:snapToGrid w:val="0"/>
          <w:color w:val="000000" w:themeColor="text1"/>
          <w:spacing w:val="0"/>
          <w:w w:val="100"/>
          <w:position w:val="0"/>
          <w:sz w:val="30"/>
          <w:szCs w:val="30"/>
          <w14:textFill>
            <w14:solidFill>
              <w14:schemeClr w14:val="tx1"/>
            </w14:solidFill>
          </w14:textFill>
        </w:rPr>
        <w:t>9</w:t>
      </w:r>
      <w:bookmarkEnd w:id="1134"/>
      <w:bookmarkEnd w:id="1135"/>
      <w:bookmarkEnd w:id="1136"/>
      <w:bookmarkEnd w:id="1137"/>
      <w:r>
        <w:rPr>
          <w:rFonts w:ascii="Times New Roman" w:hAnsi="Times New Roman" w:eastAsiaTheme="minorEastAsia"/>
          <w:b/>
          <w:caps w:val="0"/>
          <w:smallCaps w:val="0"/>
          <w:snapToGrid w:val="0"/>
          <w:color w:val="000000" w:themeColor="text1"/>
          <w:spacing w:val="0"/>
          <w:w w:val="100"/>
          <w:position w:val="0"/>
          <w:sz w:val="30"/>
          <w:szCs w:val="30"/>
          <w14:textFill>
            <w14:solidFill>
              <w14:schemeClr w14:val="tx1"/>
            </w14:solidFill>
          </w14:textFill>
        </w:rPr>
        <w:t>环境影响评价结论</w:t>
      </w:r>
      <w:bookmarkEnd w:id="1138"/>
    </w:p>
    <w:p w14:paraId="04E98C9A">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143" w:name="_Toc24451"/>
      <w:bookmarkStart w:id="1144" w:name="_Toc219900416"/>
      <w:bookmarkStart w:id="1145" w:name="_Toc502736558"/>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9.1建设项目概况</w:t>
      </w:r>
      <w:bookmarkEnd w:id="1143"/>
      <w:bookmarkEnd w:id="1144"/>
      <w:bookmarkEnd w:id="1145"/>
    </w:p>
    <w:p w14:paraId="5BF0C56B">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pPr>
      <w:bookmarkStart w:id="1146" w:name="_Toc502736559"/>
      <w:r>
        <w:rPr>
          <w:rFonts w:ascii="Times New Roman" w:hAnsi="Times New Roman" w:cs="Times New Roman" w:eastAsiaTheme="minorEastAsia"/>
          <w:bCs/>
          <w:caps w:val="0"/>
          <w:smallCaps w:val="0"/>
          <w:color w:val="000000" w:themeColor="text1"/>
          <w:spacing w:val="0"/>
          <w:w w:val="100"/>
          <w:position w:val="0"/>
          <w14:textFill>
            <w14:solidFill>
              <w14:schemeClr w14:val="tx1"/>
            </w14:solidFill>
          </w14:textFill>
        </w:rPr>
        <w:t>大庆油田有限责任公司第</w:t>
      </w:r>
      <w:r>
        <w:rPr>
          <w:rFonts w:hint="eastAsia" w:ascii="Times New Roman" w:hAnsi="Times New Roman" w:cs="Times New Roman" w:eastAsiaTheme="minorEastAsia"/>
          <w:bCs/>
          <w:caps w:val="0"/>
          <w:smallCaps w:val="0"/>
          <w:color w:val="000000" w:themeColor="text1"/>
          <w:spacing w:val="0"/>
          <w:w w:val="100"/>
          <w:position w:val="0"/>
          <w:lang w:val="en-US" w:eastAsia="zh-CN"/>
          <w14:textFill>
            <w14:solidFill>
              <w14:schemeClr w14:val="tx1"/>
            </w14:solidFill>
          </w14:textFill>
        </w:rPr>
        <w:t>十一</w:t>
      </w:r>
      <w:r>
        <w:rPr>
          <w:rFonts w:ascii="Times New Roman" w:hAnsi="Times New Roman" w:cs="Times New Roman" w:eastAsiaTheme="minorEastAsia"/>
          <w:bCs/>
          <w:caps w:val="0"/>
          <w:smallCaps w:val="0"/>
          <w:color w:val="000000" w:themeColor="text1"/>
          <w:spacing w:val="0"/>
          <w:w w:val="100"/>
          <w:position w:val="0"/>
          <w14:textFill>
            <w14:solidFill>
              <w14:schemeClr w14:val="tx1"/>
            </w14:solidFill>
          </w14:textFill>
        </w:rPr>
        <w:t>采油厂拟建</w:t>
      </w:r>
      <w:r>
        <w:rPr>
          <w:rFonts w:ascii="Times New Roman" w:hAnsi="Times New Roman" w:cs="Times New Roman" w:eastAsiaTheme="minorEastAsia"/>
          <w:bCs/>
          <w:caps w:val="0"/>
          <w:smallCaps w:val="0"/>
          <w:color w:val="000000" w:themeColor="text1"/>
          <w:spacing w:val="0"/>
          <w:w w:val="100"/>
          <w:position w:val="0"/>
          <w:lang w:val="en-US" w:eastAsia="zh-CN"/>
          <w14:textFill>
            <w14:solidFill>
              <w14:schemeClr w14:val="tx1"/>
            </w14:solidFill>
          </w14:textFill>
        </w:rPr>
        <w:t>大庆油田第十一采油厂油系统管道安全隐</w:t>
      </w:r>
      <w:r>
        <w:rPr>
          <w:rFonts w:hint="default" w:ascii="Times New Roman" w:hAnsi="Times New Roman" w:cs="Times New Roman" w:eastAsiaTheme="minorEastAsia"/>
          <w:bCs/>
          <w:caps w:val="0"/>
          <w:smallCaps w:val="0"/>
          <w:color w:val="000000" w:themeColor="text1"/>
          <w:spacing w:val="0"/>
          <w:w w:val="100"/>
          <w:position w:val="0"/>
          <w:lang w:val="en-US" w:eastAsia="zh-CN"/>
          <w14:textFill>
            <w14:solidFill>
              <w14:schemeClr w14:val="tx1"/>
            </w14:solidFill>
          </w14:textFill>
        </w:rPr>
        <w:t>患治理工程</w:t>
      </w:r>
      <w:r>
        <w:rPr>
          <w:rFonts w:ascii="Times New Roman" w:hAnsi="Times New Roman" w:cs="Times New Roman" w:eastAsiaTheme="minorEastAsia"/>
          <w:bCs/>
          <w:caps w:val="0"/>
          <w:smallCaps w:val="0"/>
          <w:color w:val="000000" w:themeColor="text1"/>
          <w:spacing w:val="0"/>
          <w:w w:val="100"/>
          <w:position w:val="0"/>
          <w14:textFill>
            <w14:solidFill>
              <w14:schemeClr w14:val="tx1"/>
            </w14:solidFill>
          </w14:textFill>
        </w:rPr>
        <w:t>项目，为改建项目，</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位于</w:t>
      </w:r>
      <w:r>
        <w:rPr>
          <w:rFonts w:hint="eastAsia" w:ascii="Times New Roman" w:hAnsi="Times New Roman" w:cs="Times New Roman" w:eastAsiaTheme="minorEastAsia"/>
          <w:caps w:val="0"/>
          <w:smallCaps w:val="0"/>
          <w:color w:val="auto"/>
          <w:spacing w:val="0"/>
          <w:w w:val="100"/>
          <w:position w:val="0"/>
          <w:highlight w:val="none"/>
          <w:lang w:bidi="zh-CN"/>
        </w:rPr>
        <w:t>黑龙江省绥化市安达市昌德镇</w:t>
      </w:r>
      <w:r>
        <w:rPr>
          <w:rFonts w:hint="eastAsia" w:ascii="Times New Roman" w:hAnsi="Times New Roman" w:cs="Times New Roman" w:eastAsiaTheme="minorEastAsia"/>
          <w:caps w:val="0"/>
          <w:smallCaps w:val="0"/>
          <w:color w:val="auto"/>
          <w:spacing w:val="0"/>
          <w:w w:val="100"/>
          <w:position w:val="0"/>
          <w:highlight w:val="none"/>
          <w:lang w:val="en-US" w:bidi="zh-CN"/>
        </w:rPr>
        <w:t>卫1联合站东南侧</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，地理坐标为东经124°</w:t>
      </w:r>
      <w:r>
        <w:rPr>
          <w:rFonts w:hint="eastAsia"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5</w:t>
      </w:r>
      <w:r>
        <w:rPr>
          <w:rFonts w:hint="eastAsia" w:ascii="Times New Roman" w:hAnsi="Times New Roman" w:cs="Times New Roman" w:eastAsiaTheme="minorEastAsia"/>
          <w:caps w:val="0"/>
          <w:smallCaps w:val="0"/>
          <w:snapToGrid w:val="0"/>
          <w:color w:val="000000" w:themeColor="text1"/>
          <w:spacing w:val="0"/>
          <w:w w:val="100"/>
          <w:position w:val="0"/>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lang w:val="en-US" w:eastAsia="zh-CN"/>
          <w14:textFill>
            <w14:solidFill>
              <w14:schemeClr w14:val="tx1"/>
            </w14:solidFill>
          </w14:textFill>
        </w:rPr>
        <w:t>21.569</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 12</w:t>
      </w:r>
      <w:r>
        <w:rPr>
          <w:rFonts w:hint="eastAsia"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5</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lang w:val="en-US" w:eastAsia="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lang w:val="en-US" w:eastAsia="zh-CN"/>
          <w14:textFill>
            <w14:solidFill>
              <w14:schemeClr w14:val="tx1"/>
            </w14:solidFill>
          </w14:textFill>
        </w:rPr>
        <w:t>42.254</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"，北纬46°</w:t>
      </w:r>
      <w:r>
        <w:rPr>
          <w:rFonts w:hint="eastAsia" w:ascii="Times New Roman" w:hAnsi="Times New Roman" w:cs="Times New Roman" w:eastAsiaTheme="minorEastAsia"/>
          <w:caps w:val="0"/>
          <w:smallCaps w:val="0"/>
          <w:snapToGrid w:val="0"/>
          <w:color w:val="000000" w:themeColor="text1"/>
          <w:spacing w:val="0"/>
          <w:w w:val="100"/>
          <w:position w:val="0"/>
          <w:lang w:val="en-US" w:eastAsia="zh-CN"/>
          <w14:textFill>
            <w14:solidFill>
              <w14:schemeClr w14:val="tx1"/>
            </w14:solidFill>
          </w14:textFill>
        </w:rPr>
        <w:t>7</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lang w:val="en-US" w:eastAsia="zh-CN"/>
          <w14:textFill>
            <w14:solidFill>
              <w14:schemeClr w14:val="tx1"/>
            </w14:solidFill>
          </w14:textFill>
        </w:rPr>
        <w:t>57.512</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 ~ 46°1</w:t>
      </w:r>
      <w:r>
        <w:rPr>
          <w:rFonts w:hint="eastAsia" w:ascii="Times New Roman" w:hAnsi="Times New Roman" w:cs="Times New Roman" w:eastAsiaTheme="minorEastAsia"/>
          <w:caps w:val="0"/>
          <w:smallCaps w:val="0"/>
          <w:snapToGrid w:val="0"/>
          <w:color w:val="000000" w:themeColor="text1"/>
          <w:spacing w:val="0"/>
          <w:w w:val="100"/>
          <w:position w:val="0"/>
          <w:lang w:val="en-US" w:eastAsia="zh-CN"/>
          <w14:textFill>
            <w14:solidFill>
              <w14:schemeClr w14:val="tx1"/>
            </w14:solidFill>
          </w14:textFill>
        </w:rPr>
        <w:t>0</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lang w:val="en-US" w:eastAsia="zh-CN"/>
          <w14:textFill>
            <w14:solidFill>
              <w14:schemeClr w14:val="tx1"/>
            </w14:solidFill>
          </w14:textFill>
        </w:rPr>
        <w:t>6.042</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w:t>
      </w:r>
    </w:p>
    <w:p w14:paraId="47B0DEC2">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本项目</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整体更换站间管道 1 条，局部更换站间管道 1 条，长度共计 8.29km。整体更换集油环管道1个，局部更换集油环管道2个，长度共计7.83km</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，配套建设防腐等工程。</w:t>
      </w:r>
    </w:p>
    <w:p w14:paraId="5904F1E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本项目总投资</w:t>
      </w:r>
      <w:r>
        <w:rPr>
          <w:rFonts w:hint="eastAsia" w:ascii="Times New Roman" w:hAnsi="Times New Roman" w:cs="Times New Roman" w:eastAsiaTheme="minorEastAsia"/>
          <w:bCs/>
          <w:caps w:val="0"/>
          <w:smallCaps w:val="0"/>
          <w:snapToGrid w:val="0"/>
          <w:color w:val="000000" w:themeColor="text1"/>
          <w:spacing w:val="0"/>
          <w:w w:val="100"/>
          <w:position w:val="0"/>
          <w:lang w:val="en-US" w:eastAsia="zh-CN"/>
          <w14:textFill>
            <w14:solidFill>
              <w14:schemeClr w14:val="tx1"/>
            </w14:solidFill>
          </w14:textFill>
        </w:rPr>
        <w:t>646.90</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万元，其中环保投资</w:t>
      </w:r>
      <w:r>
        <w:rPr>
          <w:rFonts w:hint="eastAsia" w:ascii="Times New Roman" w:hAnsi="Times New Roman" w:cs="Times New Roman" w:eastAsiaTheme="minorEastAsia"/>
          <w:bCs/>
          <w:caps w:val="0"/>
          <w:smallCaps w:val="0"/>
          <w:snapToGrid w:val="0"/>
          <w:color w:val="000000" w:themeColor="text1"/>
          <w:spacing w:val="0"/>
          <w:w w:val="100"/>
          <w:position w:val="0"/>
          <w:lang w:val="en-US" w:eastAsia="zh-CN"/>
          <w14:textFill>
            <w14:solidFill>
              <w14:schemeClr w14:val="tx1"/>
            </w14:solidFill>
          </w14:textFill>
        </w:rPr>
        <w:t>186.67</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万元，环保投资占总投资的</w:t>
      </w:r>
      <w:r>
        <w:rPr>
          <w:rFonts w:hint="eastAsia" w:ascii="Times New Roman" w:hAnsi="Times New Roman" w:cs="Times New Roman" w:eastAsiaTheme="minorEastAsia"/>
          <w:bCs/>
          <w:caps w:val="0"/>
          <w:smallCaps w:val="0"/>
          <w:snapToGrid w:val="0"/>
          <w:color w:val="000000" w:themeColor="text1"/>
          <w:spacing w:val="0"/>
          <w:w w:val="100"/>
          <w:position w:val="0"/>
          <w:lang w:val="en-US" w:eastAsia="zh-CN"/>
          <w14:textFill>
            <w14:solidFill>
              <w14:schemeClr w14:val="tx1"/>
            </w14:solidFill>
          </w14:textFill>
        </w:rPr>
        <w:t>28.86</w:t>
      </w:r>
      <w:r>
        <w:rPr>
          <w:rFonts w:ascii="Times New Roman" w:hAnsi="Times New Roman" w:cs="Times New Roman" w:eastAsiaTheme="minorEastAsia"/>
          <w:caps w:val="0"/>
          <w:smallCaps w:val="0"/>
          <w:snapToGrid w:val="0"/>
          <w:color w:val="000000" w:themeColor="text1"/>
          <w:spacing w:val="0"/>
          <w:w w:val="100"/>
          <w:position w:val="0"/>
          <w14:textFill>
            <w14:solidFill>
              <w14:schemeClr w14:val="tx1"/>
            </w14:solidFill>
          </w14:textFill>
        </w:rPr>
        <w:t>%。</w:t>
      </w:r>
    </w:p>
    <w:p w14:paraId="58503B86">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147" w:name="_Toc186444411"/>
      <w:bookmarkStart w:id="1148" w:name="_Toc173163566"/>
      <w:bookmarkStart w:id="1149" w:name="_Toc219900417"/>
      <w:bookmarkStart w:id="1150" w:name="_Toc4044"/>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9.2环境质量现状评价结论</w:t>
      </w:r>
      <w:bookmarkEnd w:id="1147"/>
      <w:bookmarkEnd w:id="1148"/>
      <w:bookmarkEnd w:id="1149"/>
    </w:p>
    <w:p w14:paraId="3793AD35">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51" w:name="_Toc126863511"/>
      <w:bookmarkStart w:id="1152" w:name="_Toc143099699"/>
      <w:bookmarkStart w:id="1153" w:name="_Toc131167412"/>
      <w:bookmarkStart w:id="1154" w:name="_Toc127192460"/>
      <w:bookmarkStart w:id="1155" w:name="_Toc186444412"/>
      <w:r>
        <w:rPr>
          <w:rFonts w:eastAsiaTheme="minorEastAsia"/>
          <w:b/>
          <w:caps w:val="0"/>
          <w:smallCaps w:val="0"/>
          <w:color w:val="000000" w:themeColor="text1"/>
          <w:spacing w:val="0"/>
          <w:w w:val="100"/>
          <w:kern w:val="2"/>
          <w:position w:val="0"/>
          <w:sz w:val="24"/>
          <w:szCs w:val="24"/>
          <w14:textFill>
            <w14:solidFill>
              <w14:schemeClr w14:val="tx1"/>
            </w14:solidFill>
          </w14:textFill>
        </w:rPr>
        <w:t>9.2.1大气环境质量现状评价结论</w:t>
      </w:r>
      <w:bookmarkEnd w:id="1151"/>
      <w:bookmarkEnd w:id="1152"/>
      <w:bookmarkEnd w:id="1153"/>
      <w:bookmarkEnd w:id="1154"/>
      <w:bookmarkEnd w:id="1155"/>
    </w:p>
    <w:p w14:paraId="7D047AA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根据《</w:t>
      </w:r>
      <w:r>
        <w:rPr>
          <w:rFonts w:hint="eastAsia"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绥化市</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环境</w:t>
      </w:r>
      <w:r>
        <w:rPr>
          <w:rFonts w:hint="eastAsia"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质量</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年报（</w:t>
      </w:r>
      <w:r>
        <w:rPr>
          <w:rFonts w:hint="eastAsia"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024年度）》统计数据可知，项目所在区域属于不达标区</w:t>
      </w:r>
      <w:r>
        <w:rPr>
          <w:rFonts w:hint="eastAsia"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，P</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M2.5不能满足</w:t>
      </w:r>
      <w:r>
        <w:rPr>
          <w:rFonts w:hint="eastAsia"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《环境空气质量标准》（GB3095-2026）中过渡阶段的二级标准</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要求。特征污染物非甲烷总烃满足《大气污染物综合排放标准详解》中的2.0mg/m3标准要求。TSP满足</w:t>
      </w:r>
      <w:r>
        <w:rPr>
          <w:rFonts w:hint="eastAsia"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《环境空气质量标准》（GB3095-2026）中过渡阶段的二级标准</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w:t>
      </w:r>
    </w:p>
    <w:p w14:paraId="6EF00D49">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56" w:name="_Toc100822236"/>
      <w:bookmarkStart w:id="1157" w:name="_Toc106810423"/>
      <w:bookmarkStart w:id="1158" w:name="_Toc143099700"/>
      <w:bookmarkStart w:id="1159" w:name="_Toc186444413"/>
      <w:bookmarkStart w:id="1160" w:name="_Toc103610995"/>
      <w:bookmarkStart w:id="1161" w:name="_Toc127192462"/>
      <w:bookmarkStart w:id="1162" w:name="_Toc126863513"/>
      <w:bookmarkStart w:id="1163" w:name="_Toc131167413"/>
      <w:r>
        <w:rPr>
          <w:rFonts w:eastAsiaTheme="minorEastAsia"/>
          <w:b/>
          <w:caps w:val="0"/>
          <w:smallCaps w:val="0"/>
          <w:color w:val="000000" w:themeColor="text1"/>
          <w:spacing w:val="0"/>
          <w:w w:val="100"/>
          <w:kern w:val="2"/>
          <w:position w:val="0"/>
          <w:sz w:val="24"/>
          <w:szCs w:val="24"/>
          <w14:textFill>
            <w14:solidFill>
              <w14:schemeClr w14:val="tx1"/>
            </w14:solidFill>
          </w14:textFill>
        </w:rPr>
        <w:t>9.2.2地表水环境质量现状评价结论</w:t>
      </w:r>
      <w:bookmarkEnd w:id="1156"/>
      <w:bookmarkEnd w:id="1157"/>
      <w:bookmarkEnd w:id="1158"/>
      <w:bookmarkEnd w:id="1159"/>
      <w:bookmarkEnd w:id="1160"/>
    </w:p>
    <w:p w14:paraId="7DEA75F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0"/>
          <w14:textFill>
            <w14:solidFill>
              <w14:schemeClr w14:val="tx1"/>
            </w14:solidFill>
          </w14:textFill>
        </w:rPr>
        <w:t>本项目属于水污染影响型三级B评价，可不开展区域污染源调查。本项目地表水评价范围为拟建管线沿线两侧外扩200m范围的地表水体，该范围内</w:t>
      </w:r>
      <w:r>
        <w:rPr>
          <w:rFonts w:hint="eastAsia" w:ascii="Times New Roman" w:hAnsi="Times New Roman" w:eastAsiaTheme="minorEastAsia"/>
          <w:caps w:val="0"/>
          <w:smallCaps w:val="0"/>
          <w:color w:val="000000" w:themeColor="text1"/>
          <w:spacing w:val="0"/>
          <w:w w:val="100"/>
          <w:position w:val="0"/>
          <w:szCs w:val="20"/>
          <w14:textFill>
            <w14:solidFill>
              <w14:schemeClr w14:val="tx1"/>
            </w14:solidFill>
          </w14:textFill>
        </w:rPr>
        <w:t>无</w:t>
      </w:r>
      <w:r>
        <w:rPr>
          <w:rFonts w:ascii="Times New Roman" w:hAnsi="Times New Roman" w:eastAsiaTheme="minorEastAsia"/>
          <w:caps w:val="0"/>
          <w:smallCaps w:val="0"/>
          <w:color w:val="000000" w:themeColor="text1"/>
          <w:spacing w:val="0"/>
          <w:w w:val="100"/>
          <w:position w:val="0"/>
          <w:szCs w:val="20"/>
          <w14:textFill>
            <w14:solidFill>
              <w14:schemeClr w14:val="tx1"/>
            </w14:solidFill>
          </w14:textFill>
        </w:rPr>
        <w:t>地表水体，因此本次未对地表水体进行监测。</w:t>
      </w:r>
    </w:p>
    <w:p w14:paraId="21798304">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64" w:name="_Toc143099701"/>
      <w:bookmarkStart w:id="1165" w:name="_Toc186444414"/>
      <w:r>
        <w:rPr>
          <w:rFonts w:eastAsiaTheme="minorEastAsia"/>
          <w:b/>
          <w:caps w:val="0"/>
          <w:smallCaps w:val="0"/>
          <w:color w:val="000000" w:themeColor="text1"/>
          <w:spacing w:val="0"/>
          <w:w w:val="100"/>
          <w:kern w:val="2"/>
          <w:position w:val="0"/>
          <w:sz w:val="24"/>
          <w:szCs w:val="24"/>
          <w14:textFill>
            <w14:solidFill>
              <w14:schemeClr w14:val="tx1"/>
            </w14:solidFill>
          </w14:textFill>
        </w:rPr>
        <w:t>9.2.3地下水环境质量现状评价结论</w:t>
      </w:r>
      <w:bookmarkEnd w:id="1161"/>
      <w:bookmarkEnd w:id="1162"/>
      <w:bookmarkEnd w:id="1163"/>
      <w:bookmarkEnd w:id="1164"/>
      <w:bookmarkEnd w:id="1165"/>
    </w:p>
    <w:p w14:paraId="778873AA">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color w:val="000000" w:themeColor="text1"/>
          <w:spacing w:val="0"/>
          <w:w w:val="100"/>
          <w:kern w:val="21"/>
          <w:position w:val="0"/>
          <w14:textFill>
            <w14:solidFill>
              <w14:schemeClr w14:val="tx1"/>
            </w14:solidFill>
          </w14:textFill>
        </w:rPr>
        <w:t>评价区域地下水水质除潜水中锰外均满足《地下水质量标准》（GB/T148488-2017）中的Ⅲ类标准要求。其中锰因子水质监测浓度占标率偏高，主要是由于评价区域地层中富含锰矿物，还原条件下转化的Mn</w:t>
      </w:r>
      <w:r>
        <w:rPr>
          <w:rFonts w:ascii="Times New Roman" w:hAnsi="Times New Roman" w:eastAsiaTheme="minorEastAsia"/>
          <w:caps w:val="0"/>
          <w:smallCaps w:val="0"/>
          <w:color w:val="000000" w:themeColor="text1"/>
          <w:spacing w:val="0"/>
          <w:w w:val="100"/>
          <w:kern w:val="21"/>
          <w:position w:val="0"/>
          <w:vertAlign w:val="superscript"/>
          <w14:textFill>
            <w14:solidFill>
              <w14:schemeClr w14:val="tx1"/>
            </w14:solidFill>
          </w14:textFill>
        </w:rPr>
        <w:t>2+</w:t>
      </w:r>
      <w:r>
        <w:rPr>
          <w:rFonts w:ascii="Times New Roman" w:hAnsi="Times New Roman" w:eastAsiaTheme="minorEastAsia"/>
          <w:caps w:val="0"/>
          <w:smallCaps w:val="0"/>
          <w:color w:val="000000" w:themeColor="text1"/>
          <w:spacing w:val="0"/>
          <w:w w:val="100"/>
          <w:kern w:val="21"/>
          <w:position w:val="0"/>
          <w14:textFill>
            <w14:solidFill>
              <w14:schemeClr w14:val="tx1"/>
            </w14:solidFill>
          </w14:textFill>
        </w:rPr>
        <w:t>在CO</w:t>
      </w:r>
      <w:r>
        <w:rPr>
          <w:rFonts w:ascii="Times New Roman" w:hAnsi="Times New Roman" w:eastAsiaTheme="minorEastAsia"/>
          <w:caps w:val="0"/>
          <w:smallCaps w:val="0"/>
          <w:color w:val="000000" w:themeColor="text1"/>
          <w:spacing w:val="0"/>
          <w:w w:val="100"/>
          <w:kern w:val="21"/>
          <w:position w:val="0"/>
          <w:vertAlign w:val="subscript"/>
          <w14:textFill>
            <w14:solidFill>
              <w14:schemeClr w14:val="tx1"/>
            </w14:solidFill>
          </w14:textFill>
        </w:rPr>
        <w:t>2</w:t>
      </w:r>
      <w:r>
        <w:rPr>
          <w:rFonts w:ascii="Times New Roman" w:hAnsi="Times New Roman" w:eastAsiaTheme="minorEastAsia"/>
          <w:caps w:val="0"/>
          <w:smallCaps w:val="0"/>
          <w:color w:val="000000" w:themeColor="text1"/>
          <w:spacing w:val="0"/>
          <w:w w:val="100"/>
          <w:kern w:val="21"/>
          <w:position w:val="0"/>
          <w14:textFill>
            <w14:solidFill>
              <w14:schemeClr w14:val="tx1"/>
            </w14:solidFill>
          </w14:textFill>
        </w:rPr>
        <w:t>作用下溶入地下水中，形成锰浓度偏高的水文地质化学环境。评价区域地下水化学类型主要为4-A型HCO</w:t>
      </w:r>
      <w:r>
        <w:rPr>
          <w:rFonts w:ascii="Times New Roman" w:hAnsi="Times New Roman" w:eastAsiaTheme="minorEastAsia"/>
          <w:caps w:val="0"/>
          <w:smallCaps w:val="0"/>
          <w:color w:val="000000" w:themeColor="text1"/>
          <w:spacing w:val="0"/>
          <w:w w:val="100"/>
          <w:kern w:val="21"/>
          <w:position w:val="0"/>
          <w:vertAlign w:val="subscript"/>
          <w14:textFill>
            <w14:solidFill>
              <w14:schemeClr w14:val="tx1"/>
            </w14:solidFill>
          </w14:textFill>
        </w:rPr>
        <w:t>3</w:t>
      </w:r>
      <w:r>
        <w:rPr>
          <w:rFonts w:ascii="Times New Roman" w:hAnsi="Times New Roman" w:eastAsiaTheme="minorEastAsia"/>
          <w:caps w:val="0"/>
          <w:smallCaps w:val="0"/>
          <w:color w:val="000000" w:themeColor="text1"/>
          <w:spacing w:val="0"/>
          <w:w w:val="100"/>
          <w:kern w:val="21"/>
          <w:position w:val="0"/>
          <w14:textFill>
            <w14:solidFill>
              <w14:schemeClr w14:val="tx1"/>
            </w14:solidFill>
          </w14:textFill>
        </w:rPr>
        <w:t>- Na+Ca淡水。</w:t>
      </w:r>
    </w:p>
    <w:p w14:paraId="32DC7EFF">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66" w:name="_Toc131167414"/>
      <w:bookmarkStart w:id="1167" w:name="_Toc127192463"/>
      <w:bookmarkStart w:id="1168" w:name="_Toc126863514"/>
      <w:bookmarkStart w:id="1169" w:name="_Toc143099702"/>
      <w:bookmarkStart w:id="1170" w:name="_Toc186444415"/>
      <w:r>
        <w:rPr>
          <w:rFonts w:eastAsiaTheme="minorEastAsia"/>
          <w:b/>
          <w:caps w:val="0"/>
          <w:smallCaps w:val="0"/>
          <w:color w:val="000000" w:themeColor="text1"/>
          <w:spacing w:val="0"/>
          <w:w w:val="100"/>
          <w:kern w:val="2"/>
          <w:position w:val="0"/>
          <w:sz w:val="24"/>
          <w:szCs w:val="24"/>
          <w14:textFill>
            <w14:solidFill>
              <w14:schemeClr w14:val="tx1"/>
            </w14:solidFill>
          </w14:textFill>
        </w:rPr>
        <w:t>9.2.4声环境质量现状评价结论</w:t>
      </w:r>
      <w:bookmarkEnd w:id="1166"/>
      <w:bookmarkEnd w:id="1167"/>
      <w:bookmarkEnd w:id="1168"/>
      <w:bookmarkEnd w:id="1169"/>
      <w:bookmarkEnd w:id="1170"/>
    </w:p>
    <w:p w14:paraId="45DF3FB6">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bCs/>
          <w:caps w:val="0"/>
          <w:smallCaps w:val="0"/>
          <w:snapToGrid w:val="0"/>
          <w:color w:val="000000" w:themeColor="text1"/>
          <w:spacing w:val="0"/>
          <w:w w:val="100"/>
          <w:position w:val="0"/>
          <w14:textFill>
            <w14:solidFill>
              <w14:schemeClr w14:val="tx1"/>
            </w14:solidFill>
          </w14:textFill>
        </w:rPr>
        <w:t>由本项目区域声环境质量现状监测结果与执行评价标准限值对比分析可知，项目周边村屯声环境满足《声环境质量标准》（GB3096-2008）1类标准。</w:t>
      </w:r>
    </w:p>
    <w:p w14:paraId="054F879D">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71" w:name="_Toc143099703"/>
      <w:bookmarkStart w:id="1172" w:name="_Toc131167415"/>
      <w:bookmarkStart w:id="1173" w:name="_Toc127192464"/>
      <w:bookmarkStart w:id="1174" w:name="_Toc186444416"/>
      <w:bookmarkStart w:id="1175" w:name="_Toc126863515"/>
      <w:r>
        <w:rPr>
          <w:rFonts w:eastAsiaTheme="minorEastAsia"/>
          <w:b/>
          <w:caps w:val="0"/>
          <w:smallCaps w:val="0"/>
          <w:color w:val="000000" w:themeColor="text1"/>
          <w:spacing w:val="0"/>
          <w:w w:val="100"/>
          <w:kern w:val="2"/>
          <w:position w:val="0"/>
          <w:sz w:val="24"/>
          <w:szCs w:val="24"/>
          <w14:textFill>
            <w14:solidFill>
              <w14:schemeClr w14:val="tx1"/>
            </w14:solidFill>
          </w14:textFill>
        </w:rPr>
        <w:t>9.2.5土壤现状评价结论</w:t>
      </w:r>
      <w:bookmarkEnd w:id="1171"/>
      <w:bookmarkEnd w:id="1172"/>
      <w:bookmarkEnd w:id="1173"/>
      <w:bookmarkEnd w:id="1174"/>
      <w:bookmarkEnd w:id="1175"/>
    </w:p>
    <w:p w14:paraId="44A9CB06">
      <w:pPr>
        <w:pStyle w:val="156"/>
        <w:widowControl w:val="0"/>
        <w:spacing w:line="440" w:lineRule="exact"/>
        <w:ind w:firstLine="473"/>
        <w:jc w:val="both"/>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t>评价区域内土壤环境质量较好，没有出现超标情况。本项目区块内现有井场及场站土壤满足《土壤环境质量 建设用地土壤污染风险管控标准（试行）》（GB36600-2018）中第二类用地筛选值标准，本项目管线临时占地内及周边农用地土壤满足《土壤环境质量 农用地土壤污染风险管控标准（试行）》（GB15618-2018）表1农用地土壤风险筛选值。</w:t>
      </w:r>
    </w:p>
    <w:p w14:paraId="78CA07D4">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76" w:name="_Toc143099704"/>
      <w:bookmarkStart w:id="1177" w:name="_Toc127192465"/>
      <w:bookmarkStart w:id="1178" w:name="_Toc131167416"/>
      <w:bookmarkStart w:id="1179" w:name="_Toc186444417"/>
      <w:bookmarkStart w:id="1180" w:name="_Toc126863516"/>
      <w:r>
        <w:rPr>
          <w:rFonts w:eastAsiaTheme="minorEastAsia"/>
          <w:b/>
          <w:caps w:val="0"/>
          <w:smallCaps w:val="0"/>
          <w:color w:val="000000" w:themeColor="text1"/>
          <w:spacing w:val="0"/>
          <w:w w:val="100"/>
          <w:kern w:val="2"/>
          <w:position w:val="0"/>
          <w:sz w:val="24"/>
          <w:szCs w:val="24"/>
          <w14:textFill>
            <w14:solidFill>
              <w14:schemeClr w14:val="tx1"/>
            </w14:solidFill>
          </w14:textFill>
        </w:rPr>
        <w:t>9.2.6生态环境现状评价结论</w:t>
      </w:r>
      <w:bookmarkEnd w:id="1176"/>
      <w:bookmarkEnd w:id="1177"/>
      <w:bookmarkEnd w:id="1178"/>
      <w:bookmarkEnd w:id="1179"/>
      <w:bookmarkEnd w:id="1180"/>
    </w:p>
    <w:p w14:paraId="3C422C26">
      <w:pPr>
        <w:pStyle w:val="156"/>
        <w:widowControl w:val="0"/>
        <w:spacing w:line="440" w:lineRule="exact"/>
        <w:ind w:firstLine="473"/>
        <w:jc w:val="both"/>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本项目评价范围内生态系统类型主要为草地及农田生态系统。本项目评价范围内土地利用类型以草地及耕地为主，工程所在区域内主要土壤类型以草甸土为主，工程所在区域人类活动频繁，野生动物较少，区域生态环境总体质量较好</w:t>
      </w:r>
      <w:r>
        <w:rPr>
          <w:rFonts w:ascii="Times New Roman" w:hAnsi="Times New Roman" w:cs="Times New Roman" w:eastAsiaTheme="minorEastAsia"/>
          <w:caps w:val="0"/>
          <w:smallCaps w:val="0"/>
          <w:color w:val="000000" w:themeColor="text1"/>
          <w:spacing w:val="0"/>
          <w:w w:val="100"/>
          <w:position w:val="0"/>
          <w14:textFill>
            <w14:solidFill>
              <w14:schemeClr w14:val="tx1"/>
            </w14:solidFill>
          </w14:textFill>
        </w:rPr>
        <w:t>。</w:t>
      </w:r>
    </w:p>
    <w:p w14:paraId="653CD84E">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181" w:name="_Toc186444418"/>
      <w:bookmarkStart w:id="1182" w:name="_Toc219900418"/>
      <w:bookmarkStart w:id="1183" w:name="_Toc173163567"/>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9.3环境影响分析和污染防治措施可行性结论</w:t>
      </w:r>
      <w:bookmarkEnd w:id="1181"/>
      <w:bookmarkEnd w:id="1182"/>
      <w:bookmarkEnd w:id="1183"/>
    </w:p>
    <w:p w14:paraId="55E24BF6">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84" w:name="_Toc126863518"/>
      <w:bookmarkStart w:id="1185" w:name="_Toc127192467"/>
      <w:bookmarkStart w:id="1186" w:name="_Toc131167418"/>
      <w:bookmarkStart w:id="1187" w:name="_Toc186444419"/>
      <w:bookmarkStart w:id="1188" w:name="_Toc143099706"/>
      <w:r>
        <w:rPr>
          <w:rFonts w:eastAsiaTheme="minorEastAsia"/>
          <w:b/>
          <w:caps w:val="0"/>
          <w:smallCaps w:val="0"/>
          <w:color w:val="000000" w:themeColor="text1"/>
          <w:spacing w:val="0"/>
          <w:w w:val="100"/>
          <w:kern w:val="2"/>
          <w:position w:val="0"/>
          <w:sz w:val="24"/>
          <w:szCs w:val="24"/>
          <w14:textFill>
            <w14:solidFill>
              <w14:schemeClr w14:val="tx1"/>
            </w14:solidFill>
          </w14:textFill>
        </w:rPr>
        <w:t>9.3.1大气环境影响分析和污染防治措施可行性结论</w:t>
      </w:r>
      <w:bookmarkEnd w:id="1184"/>
      <w:bookmarkEnd w:id="1185"/>
      <w:bookmarkEnd w:id="1186"/>
      <w:bookmarkEnd w:id="1187"/>
      <w:bookmarkEnd w:id="1188"/>
    </w:p>
    <w:p w14:paraId="460116A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通过在施工期及退役期采用洒水抑尘、设置施工围挡、遮盖等措施后，施工期界外扬尘满足《大气污染物综合排放标准》（GB16297-1996）中无组织排放监控浓度限值</w:t>
      </w:r>
      <w:r>
        <w:rPr>
          <w:rFonts w:ascii="Times New Roman" w:hAnsi="Times New Roman" w:cs="Times New Roman" w:eastAsiaTheme="minorEastAsia"/>
          <w:bCs/>
          <w:caps w:val="0"/>
          <w:smallCaps w:val="0"/>
          <w:color w:val="000000" w:themeColor="text1"/>
          <w:spacing w:val="0"/>
          <w:w w:val="100"/>
          <w:kern w:val="21"/>
          <w:position w:val="0"/>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对周围大气影响较小，且环境影响施工结束后影响即消除；运营期采用密闭集输工艺输送原油、</w:t>
      </w:r>
      <w:r>
        <w:rPr>
          <w:rFonts w:hint="eastAsia" w:ascii="Times New Roman" w:hAnsi="Times New Roman" w:cs="Times New Roman" w:eastAsiaTheme="minorEastAsia"/>
          <w:caps w:val="0"/>
          <w:smallCaps w:val="0"/>
          <w:color w:val="000000" w:themeColor="text1"/>
          <w:spacing w:val="0"/>
          <w:w w:val="100"/>
          <w:kern w:val="21"/>
          <w:position w:val="0"/>
          <w:lang w:val="en-US" w:eastAsia="zh-CN"/>
          <w14:textFill>
            <w14:solidFill>
              <w14:schemeClr w14:val="tx1"/>
            </w14:solidFill>
          </w14:textFill>
        </w:rPr>
        <w:t>含油污水</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，正常运营期无废污染物排放，不会对周边大气敏感点产生影响。</w:t>
      </w:r>
    </w:p>
    <w:p w14:paraId="69545589">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89" w:name="_Toc131167419"/>
      <w:bookmarkStart w:id="1190" w:name="_Toc126863519"/>
      <w:bookmarkStart w:id="1191" w:name="_Toc143099707"/>
      <w:bookmarkStart w:id="1192" w:name="_Toc186444420"/>
      <w:bookmarkStart w:id="1193" w:name="_Toc127192468"/>
      <w:r>
        <w:rPr>
          <w:rFonts w:eastAsiaTheme="minorEastAsia"/>
          <w:b/>
          <w:caps w:val="0"/>
          <w:smallCaps w:val="0"/>
          <w:color w:val="000000" w:themeColor="text1"/>
          <w:spacing w:val="0"/>
          <w:w w:val="100"/>
          <w:kern w:val="2"/>
          <w:position w:val="0"/>
          <w:sz w:val="24"/>
          <w:szCs w:val="24"/>
          <w14:textFill>
            <w14:solidFill>
              <w14:schemeClr w14:val="tx1"/>
            </w14:solidFill>
          </w14:textFill>
        </w:rPr>
        <w:t>9.3.2水环境影响分析和污染防治措施可行性结论</w:t>
      </w:r>
      <w:bookmarkEnd w:id="1189"/>
      <w:bookmarkEnd w:id="1190"/>
      <w:bookmarkEnd w:id="1191"/>
      <w:bookmarkEnd w:id="1192"/>
      <w:bookmarkEnd w:id="1193"/>
    </w:p>
    <w:p w14:paraId="57C189E5">
      <w:pPr>
        <w:widowControl w:val="0"/>
        <w:spacing w:line="440" w:lineRule="exact"/>
        <w:ind w:firstLine="480" w:firstLineChars="200"/>
        <w:jc w:val="both"/>
        <w:rPr>
          <w:rFonts w:ascii="Times New Roman" w:hAnsi="Times New Roman" w:cs="Times New Roman" w:eastAsiaTheme="minorEastAsia"/>
          <w:bCs/>
          <w:color w:val="000000" w:themeColor="text1"/>
          <w:kern w:val="21"/>
          <w14:textFill>
            <w14:solidFill>
              <w14:schemeClr w14:val="tx1"/>
            </w14:solidFill>
          </w14:textFill>
        </w:rPr>
      </w:pPr>
      <w:r>
        <w:rPr>
          <w:rFonts w:ascii="Times New Roman" w:hAnsi="Times New Roman" w:cs="Times New Roman" w:eastAsiaTheme="minorEastAsia"/>
          <w:bCs/>
          <w:color w:val="000000" w:themeColor="text1"/>
          <w:kern w:val="21"/>
          <w14:textFill>
            <w14:solidFill>
              <w14:schemeClr w14:val="tx1"/>
            </w14:solidFill>
          </w14:textFill>
        </w:rPr>
        <w:t>本项目施工期新建管线试压废水、</w:t>
      </w:r>
      <w:r>
        <w:rPr>
          <w:rFonts w:hint="eastAsia" w:ascii="Times New Roman" w:hAnsi="Times New Roman" w:cs="Times New Roman" w:eastAsiaTheme="minorEastAsia"/>
          <w:bCs/>
          <w:color w:val="000000" w:themeColor="text1"/>
          <w:kern w:val="21"/>
          <w14:textFill>
            <w14:solidFill>
              <w14:schemeClr w14:val="tx1"/>
            </w14:solidFill>
          </w14:textFill>
        </w:rPr>
        <w:t>废弃管线清洗废水</w:t>
      </w:r>
      <w:r>
        <w:rPr>
          <w:rFonts w:ascii="Times New Roman" w:hAnsi="Times New Roman" w:cs="Times New Roman" w:eastAsiaTheme="minorEastAsia"/>
          <w:bCs/>
          <w:color w:val="000000" w:themeColor="text1"/>
          <w:kern w:val="21"/>
          <w14:textFill>
            <w14:solidFill>
              <w14:schemeClr w14:val="tx1"/>
            </w14:solidFill>
          </w14:textFill>
        </w:rPr>
        <w:t>由罐车拉运至</w:t>
      </w:r>
      <w:r>
        <w:rPr>
          <w:rFonts w:hint="eastAsia" w:ascii="Times New Roman" w:hAnsi="Times New Roman" w:cs="Times New Roman" w:eastAsiaTheme="minorEastAsia"/>
          <w:bCs/>
          <w:color w:val="000000" w:themeColor="text1"/>
          <w14:textFill>
            <w14:solidFill>
              <w14:schemeClr w14:val="tx1"/>
            </w14:solidFill>
          </w14:textFill>
        </w:rPr>
        <w:t>卫一联含油污水深度处理站</w:t>
      </w:r>
      <w:r>
        <w:rPr>
          <w:rFonts w:ascii="Times New Roman" w:hAnsi="Times New Roman" w:cs="Times New Roman" w:eastAsiaTheme="minorEastAsia"/>
          <w:bCs/>
          <w:color w:val="000000" w:themeColor="text1"/>
          <w:kern w:val="21"/>
          <w14:textFill>
            <w14:solidFill>
              <w14:schemeClr w14:val="tx1"/>
            </w14:solidFill>
          </w14:textFill>
        </w:rPr>
        <w:t>处理满足《大庆油田地面工程建设设计规定》（Q/SYDQ0639-2015）及《碎屑岩油藏注水水质指标技术要求及分析方法》（SY/T5329-2022）限值要求后回注油层，不外排。施工期施工人员产生的生活污水排入附近计量间或场站已建防渗旱厕，定期由</w:t>
      </w:r>
      <w:r>
        <w:rPr>
          <w:rFonts w:hint="eastAsia" w:ascii="Times New Roman" w:hAnsi="Times New Roman" w:eastAsiaTheme="minorEastAsia"/>
          <w:caps w:val="0"/>
          <w:smallCaps w:val="0"/>
          <w:color w:val="000000" w:themeColor="text1"/>
          <w:spacing w:val="0"/>
          <w:w w:val="100"/>
          <w:position w:val="0"/>
          <w:lang w:eastAsia="zh-CN"/>
          <w14:textFill>
            <w14:solidFill>
              <w14:schemeClr w14:val="tx1"/>
            </w14:solidFill>
          </w14:textFill>
        </w:rPr>
        <w:t>安达市同昌油田工程有限公司拉运至大庆市净源环保科技有限公司进行处理</w:t>
      </w:r>
      <w:r>
        <w:rPr>
          <w:rFonts w:ascii="Times New Roman" w:hAnsi="Times New Roman" w:cs="Times New Roman" w:eastAsiaTheme="minorEastAsia"/>
          <w:bCs/>
          <w:color w:val="000000" w:themeColor="text1"/>
          <w:kern w:val="21"/>
          <w14:textFill>
            <w14:solidFill>
              <w14:schemeClr w14:val="tx1"/>
            </w14:solidFill>
          </w14:textFill>
        </w:rPr>
        <w:t>。</w:t>
      </w:r>
    </w:p>
    <w:p w14:paraId="4677BE3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olor w:val="000000" w:themeColor="text1"/>
          <w:kern w:val="21"/>
          <w14:textFill>
            <w14:solidFill>
              <w14:schemeClr w14:val="tx1"/>
            </w14:solidFill>
          </w14:textFill>
        </w:rPr>
        <w:t>综上，本项目产生的废水均进行了妥善处理，不排入地表水体，不会对地表水环境产生影响</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w:t>
      </w:r>
    </w:p>
    <w:p w14:paraId="18D8DF0A">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94" w:name="_Toc186444421"/>
      <w:bookmarkStart w:id="1195" w:name="_Toc131167420"/>
      <w:bookmarkStart w:id="1196" w:name="_Toc143099708"/>
      <w:bookmarkStart w:id="1197" w:name="_Toc126863520"/>
      <w:bookmarkStart w:id="1198" w:name="_Toc127192469"/>
      <w:r>
        <w:rPr>
          <w:rFonts w:eastAsiaTheme="minorEastAsia"/>
          <w:b/>
          <w:caps w:val="0"/>
          <w:smallCaps w:val="0"/>
          <w:color w:val="000000" w:themeColor="text1"/>
          <w:spacing w:val="0"/>
          <w:w w:val="100"/>
          <w:kern w:val="2"/>
          <w:position w:val="0"/>
          <w:sz w:val="24"/>
          <w:szCs w:val="24"/>
          <w14:textFill>
            <w14:solidFill>
              <w14:schemeClr w14:val="tx1"/>
            </w14:solidFill>
          </w14:textFill>
        </w:rPr>
        <w:t>9.3.3地下水境影响分析和污染防治措施可行性结论</w:t>
      </w:r>
      <w:bookmarkEnd w:id="1194"/>
      <w:bookmarkEnd w:id="1195"/>
      <w:bookmarkEnd w:id="1196"/>
      <w:bookmarkEnd w:id="1197"/>
      <w:bookmarkEnd w:id="1198"/>
    </w:p>
    <w:p w14:paraId="76499FF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本工程在正常且各项环境保护措施落实到位情况下对地下水环境影响较小，但在事故状态下可能对地下水环境造成影响，但在各项地下水污染防控措施及应急措施落实到位的情况下，对地下水环境影响较小。</w:t>
      </w:r>
    </w:p>
    <w:p w14:paraId="05D14461">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199" w:name="_Toc143099709"/>
      <w:bookmarkStart w:id="1200" w:name="_Toc131167421"/>
      <w:bookmarkStart w:id="1201" w:name="_Toc127192470"/>
      <w:bookmarkStart w:id="1202" w:name="_Toc126863521"/>
      <w:bookmarkStart w:id="1203" w:name="_Toc186444422"/>
      <w:r>
        <w:rPr>
          <w:rFonts w:eastAsiaTheme="minorEastAsia"/>
          <w:b/>
          <w:caps w:val="0"/>
          <w:smallCaps w:val="0"/>
          <w:color w:val="000000" w:themeColor="text1"/>
          <w:spacing w:val="0"/>
          <w:w w:val="100"/>
          <w:kern w:val="2"/>
          <w:position w:val="0"/>
          <w:sz w:val="24"/>
          <w:szCs w:val="24"/>
          <w14:textFill>
            <w14:solidFill>
              <w14:schemeClr w14:val="tx1"/>
            </w14:solidFill>
          </w14:textFill>
        </w:rPr>
        <w:t>9.3.4声环境影响分析和污染防治措施可行性结论</w:t>
      </w:r>
      <w:bookmarkEnd w:id="1199"/>
      <w:bookmarkEnd w:id="1200"/>
      <w:bookmarkEnd w:id="1201"/>
      <w:bookmarkEnd w:id="1202"/>
      <w:bookmarkEnd w:id="1203"/>
    </w:p>
    <w:p w14:paraId="48BF600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项目选用低噪声设备，在采取适当的隔声、基础减振等降噪措施后，施工期场界噪声满足</w:t>
      </w:r>
      <w:r>
        <w:rPr>
          <w:rFonts w:hint="eastAsia"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《建筑施工噪声排放标准》（</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GB12523-2025）要求，对周围环境及环保目标影响很小。</w:t>
      </w:r>
    </w:p>
    <w:p w14:paraId="1E321EA6">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204" w:name="_Toc131167422"/>
      <w:bookmarkStart w:id="1205" w:name="_Toc127192471"/>
      <w:bookmarkStart w:id="1206" w:name="_Toc186444423"/>
      <w:bookmarkStart w:id="1207" w:name="_Toc143099710"/>
      <w:bookmarkStart w:id="1208" w:name="_Toc126863522"/>
      <w:r>
        <w:rPr>
          <w:rFonts w:eastAsiaTheme="minorEastAsia"/>
          <w:b/>
          <w:caps w:val="0"/>
          <w:smallCaps w:val="0"/>
          <w:color w:val="000000" w:themeColor="text1"/>
          <w:spacing w:val="0"/>
          <w:w w:val="100"/>
          <w:kern w:val="2"/>
          <w:position w:val="0"/>
          <w:sz w:val="24"/>
          <w:szCs w:val="24"/>
          <w14:textFill>
            <w14:solidFill>
              <w14:schemeClr w14:val="tx1"/>
            </w14:solidFill>
          </w14:textFill>
        </w:rPr>
        <w:t>9.3.5固体废物环境影响分析和污染防治措施可行性结论</w:t>
      </w:r>
      <w:bookmarkEnd w:id="1204"/>
      <w:bookmarkEnd w:id="1205"/>
      <w:bookmarkEnd w:id="1206"/>
      <w:bookmarkEnd w:id="1207"/>
      <w:bookmarkEnd w:id="1208"/>
    </w:p>
    <w:p w14:paraId="43B76E9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14:textFill>
            <w14:solidFill>
              <w14:schemeClr w14:val="tx1"/>
            </w14:solidFill>
          </w14:textFill>
        </w:rPr>
        <w:t>本工程对施工期、退役期产生的各类固体废弃物均进行了合理的处置，能够实现固废的减量化、资源化和无害化，对环境影响较小。</w:t>
      </w:r>
    </w:p>
    <w:p w14:paraId="0FC05224">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209" w:name="_Toc143099711"/>
      <w:bookmarkStart w:id="1210" w:name="_Toc126863523"/>
      <w:bookmarkStart w:id="1211" w:name="_Toc127192472"/>
      <w:bookmarkStart w:id="1212" w:name="_Toc186444424"/>
      <w:bookmarkStart w:id="1213" w:name="_Toc131167423"/>
      <w:r>
        <w:rPr>
          <w:rFonts w:eastAsiaTheme="minorEastAsia"/>
          <w:b/>
          <w:caps w:val="0"/>
          <w:smallCaps w:val="0"/>
          <w:color w:val="000000" w:themeColor="text1"/>
          <w:spacing w:val="0"/>
          <w:w w:val="100"/>
          <w:kern w:val="2"/>
          <w:position w:val="0"/>
          <w:sz w:val="24"/>
          <w:szCs w:val="24"/>
          <w14:textFill>
            <w14:solidFill>
              <w14:schemeClr w14:val="tx1"/>
            </w14:solidFill>
          </w14:textFill>
        </w:rPr>
        <w:t>9.3.6生态环境影响分析和生态保护减缓措施可行性结论</w:t>
      </w:r>
      <w:bookmarkEnd w:id="1209"/>
      <w:bookmarkEnd w:id="1210"/>
      <w:bookmarkEnd w:id="1211"/>
      <w:bookmarkEnd w:id="1212"/>
      <w:bookmarkEnd w:id="1213"/>
    </w:p>
    <w:p w14:paraId="36A1F74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olor w:val="000000" w:themeColor="text1"/>
          <w:kern w:val="21"/>
          <w14:textFill>
            <w14:solidFill>
              <w14:schemeClr w14:val="tx1"/>
            </w14:solidFill>
          </w14:textFill>
        </w:rPr>
        <w:t>本项目管道对土地的侵占，对植被的破坏，将使油田开发区内的第一生产者的生物量有一定程度的下降。通过选择适当时机施工，并在建设过程中采取必要的生态保护措施，可最大程度减小该项目建设对生态环境的不利影响，使生态环境在尽可能短的时间内得到恢复</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w:t>
      </w:r>
    </w:p>
    <w:p w14:paraId="1121E41D">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214" w:name="_Toc186444425"/>
      <w:bookmarkStart w:id="1215" w:name="_Toc131167424"/>
      <w:bookmarkStart w:id="1216" w:name="_Toc143099712"/>
      <w:bookmarkStart w:id="1217" w:name="_Toc127192473"/>
      <w:bookmarkStart w:id="1218" w:name="_Toc126863524"/>
      <w:r>
        <w:rPr>
          <w:rFonts w:eastAsiaTheme="minorEastAsia"/>
          <w:b/>
          <w:caps w:val="0"/>
          <w:smallCaps w:val="0"/>
          <w:color w:val="000000" w:themeColor="text1"/>
          <w:spacing w:val="0"/>
          <w:w w:val="100"/>
          <w:kern w:val="2"/>
          <w:position w:val="0"/>
          <w:sz w:val="24"/>
          <w:szCs w:val="24"/>
          <w14:textFill>
            <w14:solidFill>
              <w14:schemeClr w14:val="tx1"/>
            </w14:solidFill>
          </w14:textFill>
        </w:rPr>
        <w:t>9.3.7土壤环境影响分析和保护措施可行性结论</w:t>
      </w:r>
      <w:bookmarkEnd w:id="1214"/>
      <w:bookmarkEnd w:id="1215"/>
      <w:bookmarkEnd w:id="1216"/>
      <w:bookmarkEnd w:id="1217"/>
      <w:bookmarkEnd w:id="1218"/>
    </w:p>
    <w:p w14:paraId="4784378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所在地土壤环境现状较好，根据土壤环境影响分析结果，正常工况下本工程对土壤环境的影响较小，非正常工况如管道泄漏等，可能会对土壤造成影响，但在各项土壤防控措施及应急措施落实到位的情况下，对土壤环境影响较小。</w:t>
      </w:r>
    </w:p>
    <w:p w14:paraId="1204EA92">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14:textFill>
            <w14:solidFill>
              <w14:schemeClr w14:val="tx1"/>
            </w14:solidFill>
          </w14:textFill>
        </w:rPr>
      </w:pPr>
      <w:bookmarkStart w:id="1219" w:name="_Toc126863525"/>
      <w:bookmarkStart w:id="1220" w:name="_Toc127192474"/>
      <w:bookmarkStart w:id="1221" w:name="_Toc143099713"/>
      <w:bookmarkStart w:id="1222" w:name="_Toc186444426"/>
      <w:bookmarkStart w:id="1223" w:name="_Toc131167425"/>
      <w:r>
        <w:rPr>
          <w:rFonts w:eastAsiaTheme="minorEastAsia"/>
          <w:b/>
          <w:caps w:val="0"/>
          <w:smallCaps w:val="0"/>
          <w:color w:val="000000" w:themeColor="text1"/>
          <w:spacing w:val="0"/>
          <w:w w:val="100"/>
          <w:kern w:val="2"/>
          <w:position w:val="0"/>
          <w:sz w:val="24"/>
          <w:szCs w:val="24"/>
          <w14:textFill>
            <w14:solidFill>
              <w14:schemeClr w14:val="tx1"/>
            </w14:solidFill>
          </w14:textFill>
        </w:rPr>
        <w:t>9.3.8环境风险分析可行性结论</w:t>
      </w:r>
      <w:bookmarkEnd w:id="1219"/>
      <w:bookmarkEnd w:id="1220"/>
      <w:bookmarkEnd w:id="1221"/>
      <w:bookmarkEnd w:id="1222"/>
      <w:bookmarkEnd w:id="1223"/>
    </w:p>
    <w:p w14:paraId="3C512AA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14:textFill>
            <w14:solidFill>
              <w14:schemeClr w14:val="tx1"/>
            </w14:solidFill>
          </w14:textFill>
        </w:rPr>
        <w:t>通过对本工程产能建设工程的环境风险分析可知，本工程的主要环境风险是泄漏，对区域内的地下水环境、地表水环境、土壤环境和空气环境有潜在危害性。在工程采取一系列风险防范措施、应急措施和建立环境风险防控体系后，事故影响可控，可以降低事故的发生率和事故情况下对周围环境的影响。但建设单位应加强员工的环保教育和培训，完善项目的事故应急预案，增加事故应急监测及事故评估等规定内容并定期演习，避免重大污染事故的发生。</w:t>
      </w:r>
    </w:p>
    <w:p w14:paraId="7934DC33">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224" w:name="_Toc219900419"/>
      <w:bookmarkStart w:id="1225" w:name="_Toc186444427"/>
      <w:bookmarkStart w:id="1226" w:name="_Toc173163568"/>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9.4公众意见采纳情况</w:t>
      </w:r>
      <w:bookmarkEnd w:id="1224"/>
      <w:bookmarkEnd w:id="1225"/>
      <w:bookmarkEnd w:id="1226"/>
    </w:p>
    <w:p w14:paraId="17A63458">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本项目首次环境影响评价信息公开之日为2025年8月5日（黑龙江环保技术服务网</w:t>
      </w:r>
      <w:r>
        <w:rPr>
          <w:rFonts w:ascii="Times New Roman" w:hAnsi="Times New Roman" w:eastAsiaTheme="minorEastAsia"/>
          <w:caps w:val="0"/>
          <w:smallCaps w:val="0"/>
          <w:snapToGrid w:val="0"/>
          <w:color w:val="000000" w:themeColor="text1"/>
          <w:spacing w:val="0"/>
          <w:w w:val="100"/>
          <w:position w:val="0"/>
          <w:lang w:bidi="zh-CN"/>
          <w14:textFill>
            <w14:solidFill>
              <w14:schemeClr w14:val="tx1"/>
            </w14:solidFill>
          </w14:textFill>
        </w:rPr>
        <w:t>http://www.hljhbjsfw.cn/NewsDetail.aspx?ID=859</w:t>
      </w: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w:t>
      </w:r>
    </w:p>
    <w:p w14:paraId="32525D8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征求意见稿公示日期为2026年4月8日~21日（黑龙江环保技术服务网http://www.hljhbjsfw.cn/NewsDetail.aspx?id=926）；</w:t>
      </w:r>
    </w:p>
    <w:p w14:paraId="2E4FB5FB">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报纸第一次公告日期为2026年4月16日（大庆油田报），报纸第二次公告日期为2026年4月17日（大庆油田报）；</w:t>
      </w:r>
    </w:p>
    <w:p w14:paraId="348F730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现场张贴公示日期为2026年4月8日~21日，公示地点为评价范围内村屯。</w:t>
      </w:r>
    </w:p>
    <w:p w14:paraId="086D916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报批前公示日期为2026年4月22日（黑龙江环保技术服务网http://www.hljhbjsfw.cn/NewsDetail.aspx?ID=940）。</w:t>
      </w:r>
    </w:p>
    <w:p w14:paraId="5325CAF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至信息公告的截止日期没有收到相关反馈信息。</w:t>
      </w:r>
    </w:p>
    <w:p w14:paraId="3F8E9E46">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网络公示起到了应有的告知作用。在现场公示期间，对居民进行了必要的讲解和说明，让附近居民充分了解本项目的各项情况。选择了黑龙江环保技术服务网和《大庆油田报》进行公示，起到了网络和报纸传播较广，受众广泛的作用。在网上两次公示过程中、公示期间及问卷调查过程中没有接到任何人反映意见或建议的电话和邮件、传真等。</w:t>
      </w:r>
    </w:p>
    <w:p w14:paraId="5F03071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建设单位的公参调查结果表明，</w:t>
      </w:r>
      <w:r>
        <w:rPr>
          <w:rFonts w:hint="eastAsia" w:ascii="Times New Roman" w:hAnsi="Times New Roman" w:cs="Times New Roman" w:eastAsiaTheme="minorEastAsia"/>
          <w:caps w:val="0"/>
          <w:smallCaps w:val="0"/>
          <w:color w:val="auto"/>
          <w:spacing w:val="0"/>
          <w:w w:val="100"/>
          <w:position w:val="0"/>
          <w:highlight w:val="none"/>
          <w:lang w:val="en-US" w:bidi="zh-CN"/>
        </w:rPr>
        <w:t>大庆油田第十一采油厂油系统管道安全隐患治理工程项目</w:t>
      </w: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的建设周围民众是支持的。建设单位认真执行环保“三同时”制度，加强环境管理，使环境的负效应降至最低。并对周围环境的影响减至最小程度，达到公众对项目建设的环境要求愿望。</w:t>
      </w:r>
    </w:p>
    <w:p w14:paraId="728574C9">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227" w:name="_Toc173163569"/>
      <w:bookmarkStart w:id="1228" w:name="_Toc219900420"/>
      <w:bookmarkStart w:id="1229" w:name="_Toc186444428"/>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9.5环境经济损益分析结论</w:t>
      </w:r>
      <w:bookmarkEnd w:id="1227"/>
      <w:bookmarkEnd w:id="1228"/>
      <w:bookmarkEnd w:id="1229"/>
    </w:p>
    <w:p w14:paraId="0DB80887">
      <w:pPr>
        <w:widowControl w:val="0"/>
        <w:spacing w:line="440" w:lineRule="exact"/>
        <w:ind w:firstLine="480" w:firstLineChars="200"/>
        <w:jc w:val="both"/>
        <w:rPr>
          <w:rFonts w:ascii="Times New Roman" w:hAnsi="Times New Roman" w:cs="Times New Roman" w:eastAsiaTheme="minorEastAsia"/>
          <w:color w:val="000000" w:themeColor="text1"/>
          <w:kern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本项目为大庆油田有限责任公司第</w:t>
      </w:r>
      <w:r>
        <w:rPr>
          <w:rFonts w:hint="eastAsia" w:ascii="Times New Roman" w:hAnsi="Times New Roman" w:cs="Times New Roman" w:eastAsiaTheme="minorEastAsia"/>
          <w:caps w:val="0"/>
          <w:smallCaps w:val="0"/>
          <w:color w:val="000000" w:themeColor="text1"/>
          <w:spacing w:val="0"/>
          <w:w w:val="100"/>
          <w:kern w:val="21"/>
          <w:position w:val="0"/>
          <w:lang w:val="en-US" w:eastAsia="zh-CN"/>
          <w14:textFill>
            <w14:solidFill>
              <w14:schemeClr w14:val="tx1"/>
            </w14:solidFill>
          </w14:textFill>
        </w:rPr>
        <w:t>十一</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采油厂</w:t>
      </w:r>
      <w:r>
        <w:rPr>
          <w:rFonts w:hint="eastAsia" w:ascii="Times New Roman" w:hAnsi="Times New Roman" w:cs="Times New Roman" w:eastAsiaTheme="minorEastAsia"/>
          <w:color w:val="000000" w:themeColor="text1"/>
          <w:kern w:val="21"/>
          <w14:textFill>
            <w14:solidFill>
              <w14:schemeClr w14:val="tx1"/>
            </w14:solidFill>
          </w14:textFill>
        </w:rPr>
        <w:t>对腐蚀老化的</w:t>
      </w:r>
      <w:r>
        <w:rPr>
          <w:rFonts w:ascii="Times New Roman" w:hAnsi="Times New Roman" w:cs="Times New Roman" w:eastAsiaTheme="minorEastAsia"/>
          <w:color w:val="000000" w:themeColor="text1"/>
          <w:kern w:val="21"/>
          <w14:textFill>
            <w14:solidFill>
              <w14:schemeClr w14:val="tx1"/>
            </w14:solidFill>
          </w14:textFill>
        </w:rPr>
        <w:t>管线进行</w:t>
      </w:r>
      <w:r>
        <w:rPr>
          <w:rFonts w:hint="eastAsia" w:ascii="Times New Roman" w:hAnsi="Times New Roman" w:cs="Times New Roman" w:eastAsiaTheme="minorEastAsia"/>
          <w:color w:val="000000" w:themeColor="text1"/>
          <w:kern w:val="21"/>
          <w14:textFill>
            <w14:solidFill>
              <w14:schemeClr w14:val="tx1"/>
            </w14:solidFill>
          </w14:textFill>
        </w:rPr>
        <w:t>更换</w:t>
      </w:r>
      <w:r>
        <w:rPr>
          <w:rFonts w:ascii="Times New Roman" w:hAnsi="Times New Roman" w:cs="Times New Roman" w:eastAsiaTheme="minorEastAsia"/>
          <w:color w:val="000000" w:themeColor="text1"/>
          <w:kern w:val="21"/>
          <w14:textFill>
            <w14:solidFill>
              <w14:schemeClr w14:val="tx1"/>
            </w14:solidFill>
          </w14:textFill>
        </w:rPr>
        <w:t>，有效的解决了管线漏失给区域内环境带来的环境风险隐患，项目实施后有效的解决了存在的一系列安全问题，具有良好的社会效益和环境效益。本项目实施后满足</w:t>
      </w:r>
      <w:r>
        <w:rPr>
          <w:rFonts w:hint="eastAsia" w:ascii="Times New Roman" w:hAnsi="Times New Roman" w:cs="Times New Roman"/>
          <w:kern w:val="21"/>
          <w:lang w:val="en-US" w:eastAsia="zh-CN"/>
        </w:rPr>
        <w:t>第十一采油厂</w:t>
      </w:r>
      <w:r>
        <w:rPr>
          <w:rFonts w:ascii="Times New Roman" w:hAnsi="Times New Roman" w:cs="Times New Roman" w:eastAsiaTheme="minorEastAsia"/>
          <w:color w:val="000000" w:themeColor="text1"/>
          <w:kern w:val="21"/>
          <w14:textFill>
            <w14:solidFill>
              <w14:schemeClr w14:val="tx1"/>
            </w14:solidFill>
          </w14:textFill>
        </w:rPr>
        <w:t>稳产的需要，对促进企业发展而促进当地经济发展的效益明显。因此，从各方面讲，本项目的开发建设将带来较大的社会、经济、环境效益。</w:t>
      </w:r>
    </w:p>
    <w:p w14:paraId="07A33F9B">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230" w:name="_Toc173163570"/>
      <w:bookmarkStart w:id="1231" w:name="_Toc186444429"/>
      <w:bookmarkStart w:id="1232" w:name="_Toc219900421"/>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9.6环境管理与监测计划结论</w:t>
      </w:r>
      <w:bookmarkEnd w:id="1230"/>
      <w:bookmarkEnd w:id="1231"/>
      <w:bookmarkEnd w:id="1232"/>
    </w:p>
    <w:p w14:paraId="5C097C4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工程投产运行后油田环境管理工作由第</w:t>
      </w:r>
      <w:r>
        <w:rPr>
          <w:rFonts w:hint="eastAsia" w:ascii="Times New Roman" w:hAnsi="Times New Roman" w:cs="Times New Roman" w:eastAsiaTheme="minorEastAsia"/>
          <w:caps w:val="0"/>
          <w:smallCaps w:val="0"/>
          <w:color w:val="000000" w:themeColor="text1"/>
          <w:spacing w:val="0"/>
          <w:w w:val="100"/>
          <w:kern w:val="21"/>
          <w:position w:val="0"/>
          <w:lang w:val="en-US" w:eastAsia="zh-CN"/>
          <w14:textFill>
            <w14:solidFill>
              <w14:schemeClr w14:val="tx1"/>
            </w14:solidFill>
          </w14:textFill>
        </w:rPr>
        <w:t>十一</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采油厂安全环保部负责，在油田生产运行期，环境管理除抓好环保设施的运行、维护等工作外，工作重点应针对集输管线破裂后含油污水泄漏等事故的预防和处理上。施工期的环境监测可包括对作业场所的控制监测和事故发生后的影响监测，主要监测对象为植被。运行期根据《排污单位自行监测技术指南 陆上石油天然气开采工业》（HJ 1248-2022）和油田运行期环境污染的特点，环境监测计划主要针对油田污染物排放、油田开发区生态恢复情况、事故而制定。</w:t>
      </w:r>
    </w:p>
    <w:p w14:paraId="5A66C944">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pPr>
      <w:bookmarkStart w:id="1233" w:name="_Toc186444430"/>
      <w:bookmarkStart w:id="1234" w:name="_Toc173163571"/>
      <w:bookmarkStart w:id="1235" w:name="_Toc219900422"/>
      <w:r>
        <w:rPr>
          <w:rFonts w:ascii="Times New Roman" w:hAnsi="Times New Roman" w:eastAsiaTheme="minorEastAsia"/>
          <w:b/>
          <w:caps w:val="0"/>
          <w:smallCaps w:val="0"/>
          <w:snapToGrid w:val="0"/>
          <w:color w:val="000000" w:themeColor="text1"/>
          <w:spacing w:val="0"/>
          <w:w w:val="100"/>
          <w:position w:val="0"/>
          <w14:textFill>
            <w14:solidFill>
              <w14:schemeClr w14:val="tx1"/>
            </w14:solidFill>
          </w14:textFill>
        </w:rPr>
        <w:t>9.7综合评价结论</w:t>
      </w:r>
      <w:bookmarkEnd w:id="1233"/>
      <w:bookmarkEnd w:id="1234"/>
      <w:bookmarkEnd w:id="1235"/>
    </w:p>
    <w:p w14:paraId="1096F8B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综上所述，</w:t>
      </w:r>
      <w:r>
        <w:rPr>
          <w:rFonts w:ascii="Times New Roman" w:hAnsi="Times New Roman" w:eastAsiaTheme="minorEastAsia"/>
          <w:caps w:val="0"/>
          <w:smallCaps w:val="0"/>
          <w:snapToGrid w:val="0"/>
          <w:color w:val="000000" w:themeColor="text1"/>
          <w:spacing w:val="0"/>
          <w:w w:val="100"/>
          <w:position w:val="0"/>
          <w:lang w:val="en-US" w:eastAsia="zh-CN"/>
          <w14:textFill>
            <w14:solidFill>
              <w14:schemeClr w14:val="tx1"/>
            </w14:solidFill>
          </w14:textFill>
        </w:rPr>
        <w:t>大庆油田第十一采油厂油系统管道安全隐</w:t>
      </w:r>
      <w:r>
        <w:rPr>
          <w:rFonts w:hint="default" w:ascii="Times New Roman" w:hAnsi="Times New Roman" w:eastAsiaTheme="minorEastAsia"/>
          <w:caps w:val="0"/>
          <w:smallCaps w:val="0"/>
          <w:snapToGrid w:val="0"/>
          <w:color w:val="000000" w:themeColor="text1"/>
          <w:spacing w:val="0"/>
          <w:w w:val="100"/>
          <w:position w:val="0"/>
          <w:lang w:val="en-US" w:eastAsia="zh-CN"/>
          <w14:textFill>
            <w14:solidFill>
              <w14:schemeClr w14:val="tx1"/>
            </w14:solidFill>
          </w14:textFill>
        </w:rPr>
        <w:t>患治理工程</w:t>
      </w:r>
      <w:r>
        <w:rPr>
          <w:rFonts w:ascii="Times New Roman" w:hAnsi="Times New Roman" w:eastAsiaTheme="minorEastAsia"/>
          <w:caps w:val="0"/>
          <w:smallCaps w:val="0"/>
          <w:snapToGrid w:val="0"/>
          <w:color w:val="000000" w:themeColor="text1"/>
          <w:spacing w:val="0"/>
          <w:w w:val="100"/>
          <w:position w:val="0"/>
          <w14:textFill>
            <w14:solidFill>
              <w14:schemeClr w14:val="tx1"/>
            </w14:solidFill>
          </w14:textFill>
        </w:rPr>
        <w:t>项目</w:t>
      </w:r>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符合国家产业政策，符合国家及地方相关政策规划，符合国家及地方相关环保政策要求。在建设和运营过程中认真落实各项污染防治措施、生态保护措施、风险防范措施及应急措施的前提下，各项污染物均能够做到达标排放，其生态环境影响可降至最低，环境风险受控。项目公示期间，无人对本项目提出意见，公众认同性较好。从环境保护角度看，本项目选址合理，建设是可行的。</w:t>
      </w:r>
    </w:p>
    <w:bookmarkEnd w:id="1139"/>
    <w:bookmarkEnd w:id="1140"/>
    <w:bookmarkEnd w:id="1141"/>
    <w:bookmarkEnd w:id="1142"/>
    <w:bookmarkEnd w:id="1146"/>
    <w:bookmarkEnd w:id="1150"/>
    <w:p w14:paraId="20554E0E">
      <w:pPr>
        <w:widowControl w:val="0"/>
        <w:adjustRightInd w:val="0"/>
        <w:snapToGrid w:val="0"/>
        <w:spacing w:line="440" w:lineRule="exact"/>
        <w:jc w:val="both"/>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bookmarkStart w:id="1236" w:name="_Toc30449_WPSOffice_Level1"/>
      <w:bookmarkStart w:id="1237" w:name="_Toc13789"/>
      <w:bookmarkStart w:id="1238" w:name="_Toc15833341"/>
      <w:bookmarkStart w:id="1239" w:name="_Toc18350"/>
      <w:bookmarkStart w:id="1240" w:name="_Toc6995250"/>
    </w:p>
    <w:p w14:paraId="6006CB9D">
      <w:pPr>
        <w:pStyle w:val="102"/>
        <w:rPr>
          <w:caps w:val="0"/>
          <w:smallCaps w:val="0"/>
          <w:color w:val="000000" w:themeColor="text1"/>
          <w:spacing w:val="0"/>
          <w:w w:val="100"/>
          <w:position w:val="0"/>
          <w14:textFill>
            <w14:solidFill>
              <w14:schemeClr w14:val="tx1"/>
            </w14:solidFill>
          </w14:textFill>
        </w:rPr>
      </w:pPr>
    </w:p>
    <w:p w14:paraId="3945FB60">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7296A8F7">
      <w:pPr>
        <w:pStyle w:val="102"/>
        <w:tabs>
          <w:tab w:val="left" w:pos="3281"/>
        </w:tabs>
        <w:jc w:val="left"/>
        <w:rPr>
          <w:caps w:val="0"/>
          <w:smallCaps w:val="0"/>
          <w:color w:val="000000" w:themeColor="text1"/>
          <w:spacing w:val="0"/>
          <w:w w:val="100"/>
          <w:position w:val="0"/>
          <w14:textFill>
            <w14:solidFill>
              <w14:schemeClr w14:val="tx1"/>
            </w14:solidFill>
          </w14:textFill>
        </w:rPr>
      </w:pPr>
      <w:r>
        <w:rPr>
          <w:caps w:val="0"/>
          <w:smallCaps w:val="0"/>
          <w:color w:val="000000" w:themeColor="text1"/>
          <w:spacing w:val="0"/>
          <w:w w:val="100"/>
          <w:position w:val="0"/>
          <w14:textFill>
            <w14:solidFill>
              <w14:schemeClr w14:val="tx1"/>
            </w14:solidFill>
          </w14:textFill>
        </w:rPr>
        <w:tab/>
      </w:r>
    </w:p>
    <w:p w14:paraId="5A8909E1">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085506CC">
      <w:pPr>
        <w:pStyle w:val="102"/>
        <w:rPr>
          <w:caps w:val="0"/>
          <w:smallCaps w:val="0"/>
          <w:color w:val="000000" w:themeColor="text1"/>
          <w:spacing w:val="0"/>
          <w:w w:val="100"/>
          <w:position w:val="0"/>
          <w14:textFill>
            <w14:solidFill>
              <w14:schemeClr w14:val="tx1"/>
            </w14:solidFill>
          </w14:textFill>
        </w:rPr>
      </w:pPr>
    </w:p>
    <w:p w14:paraId="1D65D690">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0FFF2B1D">
      <w:pPr>
        <w:pStyle w:val="102"/>
        <w:rPr>
          <w:caps w:val="0"/>
          <w:smallCaps w:val="0"/>
          <w:color w:val="000000" w:themeColor="text1"/>
          <w:spacing w:val="0"/>
          <w:w w:val="100"/>
          <w:position w:val="0"/>
          <w14:textFill>
            <w14:solidFill>
              <w14:schemeClr w14:val="tx1"/>
            </w14:solidFill>
          </w14:textFill>
        </w:rPr>
      </w:pPr>
    </w:p>
    <w:p w14:paraId="2472C437">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539AC48B">
      <w:pPr>
        <w:pStyle w:val="102"/>
        <w:rPr>
          <w:caps w:val="0"/>
          <w:smallCaps w:val="0"/>
          <w:color w:val="000000" w:themeColor="text1"/>
          <w:spacing w:val="0"/>
          <w:w w:val="100"/>
          <w:position w:val="0"/>
          <w14:textFill>
            <w14:solidFill>
              <w14:schemeClr w14:val="tx1"/>
            </w14:solidFill>
          </w14:textFill>
        </w:rPr>
      </w:pPr>
    </w:p>
    <w:p w14:paraId="16EA28A3">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23EC703B">
      <w:pPr>
        <w:pStyle w:val="102"/>
        <w:rPr>
          <w:caps w:val="0"/>
          <w:smallCaps w:val="0"/>
          <w:color w:val="000000" w:themeColor="text1"/>
          <w:spacing w:val="0"/>
          <w:w w:val="100"/>
          <w:position w:val="0"/>
          <w14:textFill>
            <w14:solidFill>
              <w14:schemeClr w14:val="tx1"/>
            </w14:solidFill>
          </w14:textFill>
        </w:rPr>
      </w:pPr>
    </w:p>
    <w:p w14:paraId="73375B63">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40D01026">
      <w:pPr>
        <w:pStyle w:val="102"/>
        <w:rPr>
          <w:caps w:val="0"/>
          <w:smallCaps w:val="0"/>
          <w:color w:val="000000" w:themeColor="text1"/>
          <w:spacing w:val="0"/>
          <w:w w:val="100"/>
          <w:position w:val="0"/>
          <w14:textFill>
            <w14:solidFill>
              <w14:schemeClr w14:val="tx1"/>
            </w14:solidFill>
          </w14:textFill>
        </w:rPr>
      </w:pPr>
    </w:p>
    <w:p w14:paraId="435052DD">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554F0E75">
      <w:pPr>
        <w:pStyle w:val="102"/>
        <w:rPr>
          <w:caps w:val="0"/>
          <w:smallCaps w:val="0"/>
          <w:color w:val="000000" w:themeColor="text1"/>
          <w:spacing w:val="0"/>
          <w:w w:val="100"/>
          <w:position w:val="0"/>
          <w14:textFill>
            <w14:solidFill>
              <w14:schemeClr w14:val="tx1"/>
            </w14:solidFill>
          </w14:textFill>
        </w:rPr>
      </w:pPr>
    </w:p>
    <w:p w14:paraId="656FCDE7">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03676989">
      <w:pPr>
        <w:pStyle w:val="102"/>
        <w:rPr>
          <w:caps w:val="0"/>
          <w:smallCaps w:val="0"/>
          <w:color w:val="000000" w:themeColor="text1"/>
          <w:spacing w:val="0"/>
          <w:w w:val="100"/>
          <w:position w:val="0"/>
          <w14:textFill>
            <w14:solidFill>
              <w14:schemeClr w14:val="tx1"/>
            </w14:solidFill>
          </w14:textFill>
        </w:rPr>
      </w:pPr>
    </w:p>
    <w:p w14:paraId="4B580305">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1F914A0D">
      <w:pPr>
        <w:pStyle w:val="102"/>
        <w:rPr>
          <w:caps w:val="0"/>
          <w:smallCaps w:val="0"/>
          <w:color w:val="000000" w:themeColor="text1"/>
          <w:spacing w:val="0"/>
          <w:w w:val="100"/>
          <w:position w:val="0"/>
          <w14:textFill>
            <w14:solidFill>
              <w14:schemeClr w14:val="tx1"/>
            </w14:solidFill>
          </w14:textFill>
        </w:rPr>
      </w:pPr>
    </w:p>
    <w:p w14:paraId="09011BC0">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5BCA293D">
      <w:pPr>
        <w:pStyle w:val="102"/>
        <w:rPr>
          <w:caps w:val="0"/>
          <w:smallCaps w:val="0"/>
          <w:color w:val="000000" w:themeColor="text1"/>
          <w:spacing w:val="0"/>
          <w:w w:val="100"/>
          <w:position w:val="0"/>
          <w14:textFill>
            <w14:solidFill>
              <w14:schemeClr w14:val="tx1"/>
            </w14:solidFill>
          </w14:textFill>
        </w:rPr>
      </w:pPr>
    </w:p>
    <w:p w14:paraId="332FBDDD">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5BA5BAD5">
      <w:pPr>
        <w:pStyle w:val="102"/>
        <w:rPr>
          <w:caps w:val="0"/>
          <w:smallCaps w:val="0"/>
          <w:color w:val="000000" w:themeColor="text1"/>
          <w:spacing w:val="0"/>
          <w:w w:val="100"/>
          <w:position w:val="0"/>
          <w14:textFill>
            <w14:solidFill>
              <w14:schemeClr w14:val="tx1"/>
            </w14:solidFill>
          </w14:textFill>
        </w:rPr>
      </w:pPr>
    </w:p>
    <w:p w14:paraId="48CF9C29">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7AAB3116">
      <w:pPr>
        <w:pStyle w:val="102"/>
        <w:rPr>
          <w:caps w:val="0"/>
          <w:smallCaps w:val="0"/>
          <w:color w:val="000000" w:themeColor="text1"/>
          <w:spacing w:val="0"/>
          <w:w w:val="100"/>
          <w:position w:val="0"/>
          <w14:textFill>
            <w14:solidFill>
              <w14:schemeClr w14:val="tx1"/>
            </w14:solidFill>
          </w14:textFill>
        </w:rPr>
      </w:pPr>
    </w:p>
    <w:p w14:paraId="0E92F71E">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0E335FCF">
      <w:pPr>
        <w:pStyle w:val="102"/>
        <w:rPr>
          <w:caps w:val="0"/>
          <w:smallCaps w:val="0"/>
          <w:color w:val="000000" w:themeColor="text1"/>
          <w:spacing w:val="0"/>
          <w:w w:val="100"/>
          <w:position w:val="0"/>
          <w14:textFill>
            <w14:solidFill>
              <w14:schemeClr w14:val="tx1"/>
            </w14:solidFill>
          </w14:textFill>
        </w:rPr>
      </w:pPr>
    </w:p>
    <w:p w14:paraId="7F3447C9">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010E7A50">
      <w:pPr>
        <w:pStyle w:val="102"/>
        <w:rPr>
          <w:caps w:val="0"/>
          <w:smallCaps w:val="0"/>
          <w:color w:val="000000" w:themeColor="text1"/>
          <w:spacing w:val="0"/>
          <w:w w:val="100"/>
          <w:position w:val="0"/>
          <w14:textFill>
            <w14:solidFill>
              <w14:schemeClr w14:val="tx1"/>
            </w14:solidFill>
          </w14:textFill>
        </w:rPr>
      </w:pPr>
    </w:p>
    <w:p w14:paraId="437D3C7D">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41D632B6">
      <w:pPr>
        <w:pStyle w:val="102"/>
        <w:rPr>
          <w:caps w:val="0"/>
          <w:smallCaps w:val="0"/>
          <w:color w:val="000000" w:themeColor="text1"/>
          <w:spacing w:val="0"/>
          <w:w w:val="100"/>
          <w:position w:val="0"/>
          <w14:textFill>
            <w14:solidFill>
              <w14:schemeClr w14:val="tx1"/>
            </w14:solidFill>
          </w14:textFill>
        </w:rPr>
      </w:pPr>
    </w:p>
    <w:p w14:paraId="2A321D6A">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75018049">
      <w:pPr>
        <w:widowControl w:val="0"/>
        <w:spacing w:line="440" w:lineRule="exact"/>
        <w:jc w:val="both"/>
        <w:outlineLvl w:val="0"/>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sectPr>
          <w:footerReference r:id="rId13" w:type="default"/>
          <w:type w:val="nextColumn"/>
          <w:pgSz w:w="11906" w:h="16838"/>
          <w:pgMar w:top="1418" w:right="1418" w:bottom="1418" w:left="1418" w:header="851" w:footer="992" w:gutter="0"/>
          <w:cols w:space="720" w:num="1"/>
          <w:docGrid w:linePitch="312" w:charSpace="0"/>
        </w:sectPr>
      </w:pPr>
    </w:p>
    <w:p w14:paraId="3588F608">
      <w:pPr>
        <w:widowControl w:val="0"/>
        <w:spacing w:line="440" w:lineRule="exact"/>
        <w:jc w:val="both"/>
        <w:outlineLvl w:val="0"/>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bookmarkStart w:id="1241" w:name="_Toc219900423"/>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附表</w:t>
      </w:r>
      <w:bookmarkEnd w:id="1241"/>
    </w:p>
    <w:p w14:paraId="058DC67F">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bookmarkStart w:id="1242" w:name="_Toc173163573"/>
      <w:bookmarkStart w:id="1243" w:name="_Toc186444432"/>
      <w:bookmarkStart w:id="1244" w:name="_Toc219900424"/>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附表1：建设项目大气环境影响评价自查表</w:t>
      </w:r>
      <w:bookmarkEnd w:id="1242"/>
      <w:bookmarkEnd w:id="1243"/>
      <w:bookmarkEnd w:id="1244"/>
    </w:p>
    <w:tbl>
      <w:tblPr>
        <w:tblStyle w:val="8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581"/>
        <w:gridCol w:w="1150"/>
        <w:gridCol w:w="417"/>
        <w:gridCol w:w="206"/>
        <w:gridCol w:w="202"/>
        <w:gridCol w:w="194"/>
        <w:gridCol w:w="390"/>
        <w:gridCol w:w="473"/>
        <w:gridCol w:w="443"/>
        <w:gridCol w:w="155"/>
        <w:gridCol w:w="64"/>
        <w:gridCol w:w="584"/>
        <w:gridCol w:w="172"/>
        <w:gridCol w:w="75"/>
        <w:gridCol w:w="203"/>
        <w:gridCol w:w="240"/>
        <w:gridCol w:w="127"/>
        <w:gridCol w:w="645"/>
        <w:gridCol w:w="650"/>
      </w:tblGrid>
      <w:tr w14:paraId="5A17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1" w:type="dxa"/>
            <w:gridSpan w:val="2"/>
            <w:vAlign w:val="center"/>
          </w:tcPr>
          <w:p w14:paraId="4625F30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工作内容</w:t>
            </w:r>
          </w:p>
        </w:tc>
        <w:tc>
          <w:tcPr>
            <w:tcW w:w="6390" w:type="dxa"/>
            <w:gridSpan w:val="18"/>
            <w:vAlign w:val="center"/>
          </w:tcPr>
          <w:p w14:paraId="5EFF639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自查项目</w:t>
            </w:r>
          </w:p>
        </w:tc>
      </w:tr>
      <w:tr w14:paraId="705B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58467EB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评价等级与范围</w:t>
            </w:r>
          </w:p>
        </w:tc>
        <w:tc>
          <w:tcPr>
            <w:tcW w:w="1581" w:type="dxa"/>
            <w:vAlign w:val="center"/>
          </w:tcPr>
          <w:p w14:paraId="54248EF9">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评价等级</w:t>
            </w:r>
          </w:p>
        </w:tc>
        <w:tc>
          <w:tcPr>
            <w:tcW w:w="2169" w:type="dxa"/>
            <w:gridSpan w:val="5"/>
            <w:vAlign w:val="center"/>
          </w:tcPr>
          <w:p w14:paraId="0042296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一级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356" w:type="dxa"/>
            <w:gridSpan w:val="8"/>
            <w:vAlign w:val="center"/>
          </w:tcPr>
          <w:p w14:paraId="7BF7942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二级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865" w:type="dxa"/>
            <w:gridSpan w:val="5"/>
            <w:vAlign w:val="center"/>
          </w:tcPr>
          <w:p w14:paraId="4729B29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三级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635C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129CCC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2FB9650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评价范围</w:t>
            </w:r>
          </w:p>
        </w:tc>
        <w:tc>
          <w:tcPr>
            <w:tcW w:w="2169" w:type="dxa"/>
            <w:gridSpan w:val="5"/>
            <w:vAlign w:val="center"/>
          </w:tcPr>
          <w:p w14:paraId="508E821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边长=50km</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356" w:type="dxa"/>
            <w:gridSpan w:val="8"/>
            <w:vAlign w:val="center"/>
          </w:tcPr>
          <w:p w14:paraId="344A931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边长5~50km</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865" w:type="dxa"/>
            <w:gridSpan w:val="5"/>
            <w:vAlign w:val="center"/>
          </w:tcPr>
          <w:p w14:paraId="0C53C7F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边长&lt;5km</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67F0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67499AD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评价因子</w:t>
            </w:r>
          </w:p>
        </w:tc>
        <w:tc>
          <w:tcPr>
            <w:tcW w:w="1581" w:type="dxa"/>
            <w:vAlign w:val="center"/>
          </w:tcPr>
          <w:p w14:paraId="6EBC57F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X</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排放</w:t>
            </w:r>
          </w:p>
        </w:tc>
        <w:tc>
          <w:tcPr>
            <w:tcW w:w="2169" w:type="dxa"/>
            <w:gridSpan w:val="5"/>
            <w:vAlign w:val="center"/>
          </w:tcPr>
          <w:p w14:paraId="3631B82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hint="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2000t/a</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356" w:type="dxa"/>
            <w:gridSpan w:val="8"/>
            <w:vAlign w:val="center"/>
          </w:tcPr>
          <w:p w14:paraId="443670D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500~2000t/a</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865" w:type="dxa"/>
            <w:gridSpan w:val="5"/>
            <w:vAlign w:val="center"/>
          </w:tcPr>
          <w:p w14:paraId="4418C6C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&lt;500t/a</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1AD1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18AC269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3DE9807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评价因子</w:t>
            </w:r>
          </w:p>
        </w:tc>
        <w:tc>
          <w:tcPr>
            <w:tcW w:w="4525" w:type="dxa"/>
            <w:gridSpan w:val="13"/>
            <w:vAlign w:val="center"/>
          </w:tcPr>
          <w:p w14:paraId="498B212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基本污染物：PM</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sz w:val="21"/>
                <w:szCs w:val="21"/>
                <w14:textFill>
                  <w14:solidFill>
                    <w14:schemeClr w14:val="tx1"/>
                  </w14:solidFill>
                </w14:textFill>
              </w:rPr>
              <w:t>PM</w:t>
            </w:r>
            <w:r>
              <w:rPr>
                <w:rFonts w:ascii="Times New Roman" w:hAnsi="Times New Roman" w:cs="Times New Roman" w:eastAsiaTheme="minorEastAsia"/>
                <w:bCs/>
                <w:caps w:val="0"/>
                <w:smallCaps w:val="0"/>
                <w:color w:val="000000" w:themeColor="text1"/>
                <w:spacing w:val="0"/>
                <w:w w:val="100"/>
                <w:kern w:val="21"/>
                <w:position w:val="0"/>
                <w:sz w:val="21"/>
                <w:szCs w:val="21"/>
                <w:vertAlign w:val="subscript"/>
                <w14:textFill>
                  <w14:solidFill>
                    <w14:schemeClr w14:val="tx1"/>
                  </w14:solidFill>
                </w14:textFill>
              </w:rPr>
              <w:t>2.5</w:t>
            </w:r>
            <w:r>
              <w:rPr>
                <w:rFonts w:ascii="Times New Roman" w:hAnsi="Times New Roman" w:cs="Times New Roman" w:eastAsiaTheme="minorEastAsia"/>
                <w:bCs/>
                <w:caps w:val="0"/>
                <w:smallCaps w:val="0"/>
                <w:color w:val="000000" w:themeColor="text1"/>
                <w:spacing w:val="0"/>
                <w:w w:val="100"/>
                <w:kern w:val="21"/>
                <w:position w:val="0"/>
                <w:sz w:val="21"/>
                <w:szCs w:val="21"/>
                <w14:textFill>
                  <w14:solidFill>
                    <w14:schemeClr w14:val="tx1"/>
                  </w14:solidFill>
                </w14:textFill>
              </w:rPr>
              <w:t>、CO、O</w:t>
            </w:r>
            <w:r>
              <w:rPr>
                <w:rFonts w:ascii="Times New Roman" w:hAnsi="Times New Roman" w:cs="Times New Roman" w:eastAsiaTheme="minorEastAsia"/>
                <w:bCs/>
                <w:caps w:val="0"/>
                <w:smallCaps w:val="0"/>
                <w:color w:val="000000" w:themeColor="text1"/>
                <w:spacing w:val="0"/>
                <w:w w:val="100"/>
                <w:kern w:val="21"/>
                <w:position w:val="0"/>
                <w:sz w:val="21"/>
                <w:szCs w:val="21"/>
                <w:vertAlign w:val="subscript"/>
                <w14:textFill>
                  <w14:solidFill>
                    <w14:schemeClr w14:val="tx1"/>
                  </w14:solidFill>
                </w14:textFill>
              </w:rPr>
              <w:t>3</w:t>
            </w:r>
          </w:p>
          <w:p w14:paraId="3237D50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其他污染物：</w:t>
            </w:r>
            <w:r>
              <w:rPr>
                <w:rFonts w:ascii="Times New Roman" w:hAnsi="Times New Roman" w:cs="Times New Roman" w:eastAsiaTheme="minorEastAsia"/>
                <w:bCs/>
                <w:caps w:val="0"/>
                <w:smallCaps w:val="0"/>
                <w:color w:val="000000" w:themeColor="text1"/>
                <w:spacing w:val="0"/>
                <w:w w:val="100"/>
                <w:kern w:val="21"/>
                <w:position w:val="0"/>
                <w:sz w:val="21"/>
                <w:szCs w:val="21"/>
                <w14:textFill>
                  <w14:solidFill>
                    <w14:schemeClr w14:val="tx1"/>
                  </w14:solidFill>
                </w14:textFill>
              </w:rPr>
              <w:t>TSP、</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非甲烷总烃</w:t>
            </w:r>
          </w:p>
        </w:tc>
        <w:tc>
          <w:tcPr>
            <w:tcW w:w="1865" w:type="dxa"/>
            <w:gridSpan w:val="5"/>
            <w:vAlign w:val="center"/>
          </w:tcPr>
          <w:p w14:paraId="155ED7D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包括二次PM</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p w14:paraId="2A572A0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不包括二次PM</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060A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Align w:val="center"/>
          </w:tcPr>
          <w:p w14:paraId="3C663A1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评价标准</w:t>
            </w:r>
          </w:p>
        </w:tc>
        <w:tc>
          <w:tcPr>
            <w:tcW w:w="1581" w:type="dxa"/>
            <w:vAlign w:val="center"/>
          </w:tcPr>
          <w:p w14:paraId="2BED94A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评价标准</w:t>
            </w:r>
          </w:p>
        </w:tc>
        <w:tc>
          <w:tcPr>
            <w:tcW w:w="2169" w:type="dxa"/>
            <w:gridSpan w:val="5"/>
            <w:vAlign w:val="center"/>
          </w:tcPr>
          <w:p w14:paraId="04632AF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国家标准</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461" w:type="dxa"/>
            <w:gridSpan w:val="4"/>
            <w:vAlign w:val="center"/>
          </w:tcPr>
          <w:p w14:paraId="4692F31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地方标准</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65" w:type="dxa"/>
            <w:gridSpan w:val="7"/>
            <w:vAlign w:val="center"/>
          </w:tcPr>
          <w:p w14:paraId="12E63CB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附录D</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295" w:type="dxa"/>
            <w:gridSpan w:val="2"/>
            <w:vAlign w:val="center"/>
          </w:tcPr>
          <w:p w14:paraId="1B77BAA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其他标准</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7A48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5F48C46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现状评价</w:t>
            </w:r>
          </w:p>
        </w:tc>
        <w:tc>
          <w:tcPr>
            <w:tcW w:w="1581" w:type="dxa"/>
            <w:vAlign w:val="center"/>
          </w:tcPr>
          <w:p w14:paraId="2691180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环境功能区</w:t>
            </w:r>
          </w:p>
        </w:tc>
        <w:tc>
          <w:tcPr>
            <w:tcW w:w="2169" w:type="dxa"/>
            <w:gridSpan w:val="5"/>
            <w:vAlign w:val="center"/>
          </w:tcPr>
          <w:p w14:paraId="559C2BA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一类区</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356" w:type="dxa"/>
            <w:gridSpan w:val="8"/>
            <w:vAlign w:val="center"/>
          </w:tcPr>
          <w:p w14:paraId="1104E1C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二类区</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865" w:type="dxa"/>
            <w:gridSpan w:val="5"/>
            <w:vAlign w:val="center"/>
          </w:tcPr>
          <w:p w14:paraId="0709A45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一类区和二类区</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0402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1E56313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54571C2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评价基准年</w:t>
            </w:r>
          </w:p>
        </w:tc>
        <w:tc>
          <w:tcPr>
            <w:tcW w:w="6390" w:type="dxa"/>
            <w:gridSpan w:val="18"/>
            <w:vAlign w:val="center"/>
          </w:tcPr>
          <w:p w14:paraId="708AE26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（2024）年</w:t>
            </w:r>
          </w:p>
        </w:tc>
      </w:tr>
      <w:tr w14:paraId="11E7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047C6B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5DD3FA2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环境空气质量</w:t>
            </w:r>
          </w:p>
          <w:p w14:paraId="0DFF5FA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现状调查数据来源</w:t>
            </w:r>
          </w:p>
        </w:tc>
        <w:tc>
          <w:tcPr>
            <w:tcW w:w="2169" w:type="dxa"/>
            <w:gridSpan w:val="5"/>
            <w:vAlign w:val="center"/>
          </w:tcPr>
          <w:p w14:paraId="5F99F6C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长期例行监测数据</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356" w:type="dxa"/>
            <w:gridSpan w:val="8"/>
            <w:vAlign w:val="center"/>
          </w:tcPr>
          <w:p w14:paraId="0AF666D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主管部门发布的数据</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865" w:type="dxa"/>
            <w:gridSpan w:val="5"/>
            <w:vAlign w:val="center"/>
          </w:tcPr>
          <w:p w14:paraId="131CD29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现状补充监测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0CC8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0DCB7AC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1C7DAD8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现状评价</w:t>
            </w:r>
          </w:p>
        </w:tc>
        <w:tc>
          <w:tcPr>
            <w:tcW w:w="3694" w:type="dxa"/>
            <w:gridSpan w:val="10"/>
            <w:vAlign w:val="center"/>
          </w:tcPr>
          <w:p w14:paraId="507FB2A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达标区</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696" w:type="dxa"/>
            <w:gridSpan w:val="8"/>
            <w:vAlign w:val="center"/>
          </w:tcPr>
          <w:p w14:paraId="7C59F70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不达标区</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0341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Align w:val="center"/>
          </w:tcPr>
          <w:p w14:paraId="15CB45C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污染源</w:t>
            </w:r>
          </w:p>
          <w:p w14:paraId="422D5C7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调查</w:t>
            </w:r>
          </w:p>
        </w:tc>
        <w:tc>
          <w:tcPr>
            <w:tcW w:w="1581" w:type="dxa"/>
            <w:vAlign w:val="center"/>
          </w:tcPr>
          <w:p w14:paraId="1502A67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调查内容</w:t>
            </w:r>
          </w:p>
        </w:tc>
        <w:tc>
          <w:tcPr>
            <w:tcW w:w="2559" w:type="dxa"/>
            <w:gridSpan w:val="6"/>
            <w:vAlign w:val="center"/>
          </w:tcPr>
          <w:p w14:paraId="6C430F8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建设项目正常排放源</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p w14:paraId="69BF54E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建设项目非正常排放源</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p w14:paraId="51460E2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现有污染源</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135" w:type="dxa"/>
            <w:gridSpan w:val="4"/>
            <w:vAlign w:val="center"/>
          </w:tcPr>
          <w:p w14:paraId="42C251F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拟替代的污染源</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01" w:type="dxa"/>
            <w:gridSpan w:val="6"/>
            <w:vAlign w:val="center"/>
          </w:tcPr>
          <w:p w14:paraId="0647417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其他在建、拟建项目污染源</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295" w:type="dxa"/>
            <w:gridSpan w:val="2"/>
            <w:vAlign w:val="center"/>
          </w:tcPr>
          <w:p w14:paraId="3926424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区域污染源</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1D90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60F7653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大气环境影响预测与评价</w:t>
            </w:r>
          </w:p>
        </w:tc>
        <w:tc>
          <w:tcPr>
            <w:tcW w:w="1581" w:type="dxa"/>
            <w:vAlign w:val="center"/>
          </w:tcPr>
          <w:p w14:paraId="6ABB3F8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预测模型</w:t>
            </w:r>
          </w:p>
        </w:tc>
        <w:tc>
          <w:tcPr>
            <w:tcW w:w="1150" w:type="dxa"/>
            <w:vAlign w:val="center"/>
          </w:tcPr>
          <w:p w14:paraId="7638FEE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AERMOD</w:t>
            </w:r>
          </w:p>
          <w:p w14:paraId="40EAFDF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825" w:type="dxa"/>
            <w:gridSpan w:val="3"/>
            <w:vAlign w:val="center"/>
          </w:tcPr>
          <w:p w14:paraId="064C873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ADMS</w:t>
            </w:r>
          </w:p>
          <w:p w14:paraId="72A4116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0" w:type="dxa"/>
            <w:gridSpan w:val="4"/>
            <w:vAlign w:val="center"/>
          </w:tcPr>
          <w:p w14:paraId="31B34E6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AUSTAL2000</w:t>
            </w:r>
          </w:p>
          <w:p w14:paraId="6E024FD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975" w:type="dxa"/>
            <w:gridSpan w:val="4"/>
            <w:vAlign w:val="center"/>
          </w:tcPr>
          <w:p w14:paraId="39D7861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EDMS</w:t>
            </w:r>
          </w:p>
          <w:p w14:paraId="70E1AC7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290" w:type="dxa"/>
            <w:gridSpan w:val="5"/>
            <w:vAlign w:val="center"/>
          </w:tcPr>
          <w:p w14:paraId="2AFA1B3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CALPUFF</w:t>
            </w:r>
          </w:p>
          <w:p w14:paraId="20B065C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650" w:type="dxa"/>
            <w:vAlign w:val="center"/>
          </w:tcPr>
          <w:p w14:paraId="6DDFA63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其他</w:t>
            </w:r>
          </w:p>
          <w:p w14:paraId="1B8F5BA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7A705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2855F77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134AC06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预测范围</w:t>
            </w:r>
          </w:p>
        </w:tc>
        <w:tc>
          <w:tcPr>
            <w:tcW w:w="2169" w:type="dxa"/>
            <w:gridSpan w:val="5"/>
            <w:vAlign w:val="center"/>
          </w:tcPr>
          <w:p w14:paraId="7813072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边长</w:t>
            </w:r>
            <w:r>
              <w:rPr>
                <w:rFonts w:hint="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50km</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281" w:type="dxa"/>
            <w:gridSpan w:val="7"/>
            <w:vAlign w:val="center"/>
          </w:tcPr>
          <w:p w14:paraId="40E2DF9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边长5~50km</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940" w:type="dxa"/>
            <w:gridSpan w:val="6"/>
            <w:vAlign w:val="center"/>
          </w:tcPr>
          <w:p w14:paraId="5761053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边长&lt;5km</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51C8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EDA2E6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2A35CE6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预测因子</w:t>
            </w:r>
          </w:p>
        </w:tc>
        <w:tc>
          <w:tcPr>
            <w:tcW w:w="3032" w:type="dxa"/>
            <w:gridSpan w:val="7"/>
            <w:vAlign w:val="center"/>
          </w:tcPr>
          <w:p w14:paraId="11F92DE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预测因子（）</w:t>
            </w:r>
          </w:p>
        </w:tc>
        <w:tc>
          <w:tcPr>
            <w:tcW w:w="3358" w:type="dxa"/>
            <w:gridSpan w:val="11"/>
            <w:vAlign w:val="center"/>
          </w:tcPr>
          <w:p w14:paraId="4B4F599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包括二次PM</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p w14:paraId="1365441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不包括二次PM</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0936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E217BB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19F5749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正常排放短期浓度贡献值</w:t>
            </w:r>
          </w:p>
        </w:tc>
        <w:tc>
          <w:tcPr>
            <w:tcW w:w="3032" w:type="dxa"/>
            <w:gridSpan w:val="7"/>
            <w:vAlign w:val="center"/>
          </w:tcPr>
          <w:p w14:paraId="2395EAD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最大占标率</w:t>
            </w:r>
            <w:r>
              <w:rPr>
                <w:rFonts w:hint="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100%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3358" w:type="dxa"/>
            <w:gridSpan w:val="11"/>
            <w:vAlign w:val="center"/>
          </w:tcPr>
          <w:p w14:paraId="7EFE2CD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建设项目</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最大占标率&gt;100%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55F2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4ED9749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Merge w:val="restart"/>
            <w:vAlign w:val="center"/>
          </w:tcPr>
          <w:p w14:paraId="4A8DB6C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正常排放年均浓度贡献值</w:t>
            </w:r>
          </w:p>
        </w:tc>
        <w:tc>
          <w:tcPr>
            <w:tcW w:w="1773" w:type="dxa"/>
            <w:gridSpan w:val="3"/>
            <w:vAlign w:val="center"/>
          </w:tcPr>
          <w:p w14:paraId="63ED5C1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一类区</w:t>
            </w:r>
          </w:p>
        </w:tc>
        <w:tc>
          <w:tcPr>
            <w:tcW w:w="2505" w:type="dxa"/>
            <w:gridSpan w:val="8"/>
            <w:vAlign w:val="center"/>
          </w:tcPr>
          <w:p w14:paraId="79C7E56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最大占标率</w:t>
            </w:r>
            <w:r>
              <w:rPr>
                <w:rFonts w:hint="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112" w:type="dxa"/>
            <w:gridSpan w:val="7"/>
            <w:vAlign w:val="center"/>
          </w:tcPr>
          <w:p w14:paraId="3413B4A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最大占标率＞10%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709D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E86934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Merge w:val="continue"/>
            <w:vAlign w:val="center"/>
          </w:tcPr>
          <w:p w14:paraId="0281CE5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773" w:type="dxa"/>
            <w:gridSpan w:val="3"/>
            <w:vAlign w:val="center"/>
          </w:tcPr>
          <w:p w14:paraId="548E323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二类区</w:t>
            </w:r>
          </w:p>
        </w:tc>
        <w:tc>
          <w:tcPr>
            <w:tcW w:w="2505" w:type="dxa"/>
            <w:gridSpan w:val="8"/>
            <w:vAlign w:val="center"/>
          </w:tcPr>
          <w:p w14:paraId="3955C0C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最大占标率</w:t>
            </w:r>
            <w:r>
              <w:rPr>
                <w:rFonts w:hint="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30%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2112" w:type="dxa"/>
            <w:gridSpan w:val="7"/>
            <w:vAlign w:val="center"/>
          </w:tcPr>
          <w:p w14:paraId="0ED8D94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最大占标率＞30%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3921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CCE50E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6F5C7E3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非正常排放1h浓度贡献值</w:t>
            </w:r>
          </w:p>
        </w:tc>
        <w:tc>
          <w:tcPr>
            <w:tcW w:w="2169" w:type="dxa"/>
            <w:gridSpan w:val="5"/>
            <w:vAlign w:val="center"/>
          </w:tcPr>
          <w:p w14:paraId="7894387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非正常持续时长（）h</w:t>
            </w:r>
          </w:p>
        </w:tc>
        <w:tc>
          <w:tcPr>
            <w:tcW w:w="2356" w:type="dxa"/>
            <w:gridSpan w:val="8"/>
            <w:vAlign w:val="center"/>
          </w:tcPr>
          <w:p w14:paraId="0A281E0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非正常</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占标率</w:t>
            </w:r>
            <w:r>
              <w:rPr>
                <w:rFonts w:hint="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100%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865" w:type="dxa"/>
            <w:gridSpan w:val="5"/>
            <w:vAlign w:val="center"/>
          </w:tcPr>
          <w:p w14:paraId="740CE00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非正常</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占标率&gt;100%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2316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0A207A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2ADB0B4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保证率日平均浓度和年评价浓度叠加值</w:t>
            </w:r>
          </w:p>
        </w:tc>
        <w:tc>
          <w:tcPr>
            <w:tcW w:w="3032" w:type="dxa"/>
            <w:gridSpan w:val="7"/>
            <w:vAlign w:val="center"/>
          </w:tcPr>
          <w:p w14:paraId="07B9613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叠加</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达标</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3358" w:type="dxa"/>
            <w:gridSpan w:val="11"/>
            <w:vAlign w:val="center"/>
          </w:tcPr>
          <w:p w14:paraId="0C382109">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叠加</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不达标</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27D6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6C4A44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0758C45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区域环境质量的整体变化情况</w:t>
            </w:r>
          </w:p>
        </w:tc>
        <w:tc>
          <w:tcPr>
            <w:tcW w:w="3032" w:type="dxa"/>
            <w:gridSpan w:val="7"/>
            <w:vAlign w:val="center"/>
          </w:tcPr>
          <w:p w14:paraId="74A479F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k</w:t>
            </w:r>
            <w:r>
              <w:rPr>
                <w:rFonts w:hint="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-20%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3358" w:type="dxa"/>
            <w:gridSpan w:val="11"/>
            <w:vAlign w:val="center"/>
          </w:tcPr>
          <w:p w14:paraId="4E6228F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K&gt;-20%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2A1B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7156A88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环境监测计划</w:t>
            </w:r>
          </w:p>
        </w:tc>
        <w:tc>
          <w:tcPr>
            <w:tcW w:w="1581" w:type="dxa"/>
            <w:vAlign w:val="center"/>
          </w:tcPr>
          <w:p w14:paraId="2CAA018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污染源监测</w:t>
            </w:r>
          </w:p>
        </w:tc>
        <w:tc>
          <w:tcPr>
            <w:tcW w:w="3032" w:type="dxa"/>
            <w:gridSpan w:val="7"/>
            <w:vAlign w:val="center"/>
          </w:tcPr>
          <w:p w14:paraId="28D07CA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监测因子：（）</w:t>
            </w:r>
          </w:p>
        </w:tc>
        <w:tc>
          <w:tcPr>
            <w:tcW w:w="1936" w:type="dxa"/>
            <w:gridSpan w:val="8"/>
            <w:vAlign w:val="center"/>
          </w:tcPr>
          <w:p w14:paraId="13CBE55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有组织废气监测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p w14:paraId="79F416D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无组织废气监测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22" w:type="dxa"/>
            <w:gridSpan w:val="3"/>
            <w:vAlign w:val="center"/>
          </w:tcPr>
          <w:p w14:paraId="7C94C15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无监测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53DB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58DCE4E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7FA7A96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环境质量监测</w:t>
            </w:r>
          </w:p>
        </w:tc>
        <w:tc>
          <w:tcPr>
            <w:tcW w:w="3032" w:type="dxa"/>
            <w:gridSpan w:val="7"/>
            <w:vAlign w:val="center"/>
          </w:tcPr>
          <w:p w14:paraId="0A51F9A9">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监测因子：（）</w:t>
            </w:r>
          </w:p>
        </w:tc>
        <w:tc>
          <w:tcPr>
            <w:tcW w:w="1936" w:type="dxa"/>
            <w:gridSpan w:val="8"/>
            <w:vAlign w:val="center"/>
          </w:tcPr>
          <w:p w14:paraId="3B07878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监测点位数（）</w:t>
            </w:r>
          </w:p>
        </w:tc>
        <w:tc>
          <w:tcPr>
            <w:tcW w:w="1422" w:type="dxa"/>
            <w:gridSpan w:val="3"/>
            <w:vAlign w:val="center"/>
          </w:tcPr>
          <w:p w14:paraId="724A079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无监测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0608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237BF17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环评结论</w:t>
            </w:r>
          </w:p>
        </w:tc>
        <w:tc>
          <w:tcPr>
            <w:tcW w:w="1581" w:type="dxa"/>
            <w:vAlign w:val="center"/>
          </w:tcPr>
          <w:p w14:paraId="5A108DC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环境影响</w:t>
            </w:r>
          </w:p>
        </w:tc>
        <w:tc>
          <w:tcPr>
            <w:tcW w:w="6390" w:type="dxa"/>
            <w:gridSpan w:val="18"/>
            <w:vAlign w:val="center"/>
          </w:tcPr>
          <w:p w14:paraId="1BF7A72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可以接受</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不可以接受</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7D1B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4D31CE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149126D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大气防护距离</w:t>
            </w:r>
          </w:p>
        </w:tc>
        <w:tc>
          <w:tcPr>
            <w:tcW w:w="6390" w:type="dxa"/>
            <w:gridSpan w:val="18"/>
            <w:vAlign w:val="center"/>
          </w:tcPr>
          <w:p w14:paraId="38A0D2C9">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距（）厂界最远（）m</w:t>
            </w:r>
          </w:p>
        </w:tc>
      </w:tr>
      <w:tr w14:paraId="4D62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586DFA2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81" w:type="dxa"/>
            <w:vAlign w:val="center"/>
          </w:tcPr>
          <w:p w14:paraId="06B0A7F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污染源</w:t>
            </w:r>
          </w:p>
          <w:p w14:paraId="1CDA5D0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年排放量</w:t>
            </w:r>
          </w:p>
        </w:tc>
        <w:tc>
          <w:tcPr>
            <w:tcW w:w="1567" w:type="dxa"/>
            <w:gridSpan w:val="2"/>
            <w:vAlign w:val="center"/>
          </w:tcPr>
          <w:p w14:paraId="156B107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x</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：（）t/a</w:t>
            </w:r>
          </w:p>
        </w:tc>
        <w:tc>
          <w:tcPr>
            <w:tcW w:w="1465" w:type="dxa"/>
            <w:gridSpan w:val="5"/>
            <w:vAlign w:val="center"/>
          </w:tcPr>
          <w:p w14:paraId="76EC72B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：（）t/a</w:t>
            </w:r>
          </w:p>
        </w:tc>
        <w:tc>
          <w:tcPr>
            <w:tcW w:w="1696" w:type="dxa"/>
            <w:gridSpan w:val="7"/>
            <w:vAlign w:val="center"/>
          </w:tcPr>
          <w:p w14:paraId="360BE8E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颗粒物：（）t/a</w:t>
            </w:r>
          </w:p>
        </w:tc>
        <w:tc>
          <w:tcPr>
            <w:tcW w:w="1662" w:type="dxa"/>
            <w:gridSpan w:val="4"/>
            <w:vAlign w:val="center"/>
          </w:tcPr>
          <w:p w14:paraId="33E4AEA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NMHC：（）t/a</w:t>
            </w:r>
          </w:p>
        </w:tc>
      </w:tr>
      <w:tr w14:paraId="394D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gridSpan w:val="20"/>
            <w:vAlign w:val="center"/>
          </w:tcPr>
          <w:p w14:paraId="08D4AC77">
            <w:pPr>
              <w:widowControl w:val="0"/>
              <w:spacing w:line="280" w:lineRule="exact"/>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注：“</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”为勾选项，填“√”；“（）”为内容填写项</w:t>
            </w:r>
          </w:p>
        </w:tc>
      </w:tr>
    </w:tbl>
    <w:p w14:paraId="5CFADE0C">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sectPr>
          <w:pgSz w:w="11906" w:h="16838"/>
          <w:pgMar w:top="1418" w:right="1418" w:bottom="1418" w:left="1418" w:header="851" w:footer="992" w:gutter="0"/>
          <w:cols w:space="720" w:num="1"/>
          <w:docGrid w:linePitch="312" w:charSpace="0"/>
        </w:sectPr>
      </w:pPr>
      <w:bookmarkStart w:id="1245" w:name="_Toc173163574"/>
      <w:bookmarkStart w:id="1246" w:name="_Toc186444433"/>
    </w:p>
    <w:p w14:paraId="15F52524">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bookmarkStart w:id="1247" w:name="_Toc219900425"/>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附表2：建设项目环境风险评价自查表</w:t>
      </w:r>
      <w:bookmarkEnd w:id="1245"/>
      <w:bookmarkEnd w:id="1246"/>
      <w:bookmarkEnd w:id="1247"/>
    </w:p>
    <w:tbl>
      <w:tblPr>
        <w:tblStyle w:val="80"/>
        <w:tblW w:w="9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8"/>
        <w:gridCol w:w="1212"/>
        <w:gridCol w:w="1076"/>
        <w:gridCol w:w="431"/>
        <w:gridCol w:w="634"/>
        <w:gridCol w:w="855"/>
        <w:gridCol w:w="1315"/>
        <w:gridCol w:w="667"/>
        <w:gridCol w:w="808"/>
        <w:gridCol w:w="1505"/>
      </w:tblGrid>
      <w:tr w14:paraId="71E90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31C3A95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工作内容</w:t>
            </w:r>
          </w:p>
        </w:tc>
        <w:tc>
          <w:tcPr>
            <w:tcW w:w="7291" w:type="dxa"/>
            <w:gridSpan w:val="8"/>
            <w:tcBorders>
              <w:top w:val="single" w:color="auto" w:sz="4" w:space="0"/>
              <w:left w:val="single" w:color="auto" w:sz="4" w:space="0"/>
              <w:bottom w:val="single" w:color="auto" w:sz="4" w:space="0"/>
              <w:right w:val="single" w:color="auto" w:sz="4" w:space="0"/>
            </w:tcBorders>
            <w:vAlign w:val="center"/>
          </w:tcPr>
          <w:p w14:paraId="6F8380E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完成情况</w:t>
            </w:r>
          </w:p>
        </w:tc>
      </w:tr>
      <w:tr w14:paraId="2F1C7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23B582B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风险调查</w:t>
            </w:r>
          </w:p>
        </w:tc>
        <w:tc>
          <w:tcPr>
            <w:tcW w:w="1212" w:type="dxa"/>
            <w:vMerge w:val="restart"/>
            <w:tcBorders>
              <w:top w:val="single" w:color="auto" w:sz="4" w:space="0"/>
              <w:left w:val="single" w:color="auto" w:sz="4" w:space="0"/>
              <w:right w:val="single" w:color="auto" w:sz="4" w:space="0"/>
            </w:tcBorders>
            <w:vAlign w:val="center"/>
          </w:tcPr>
          <w:p w14:paraId="4A3220E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危险物质</w:t>
            </w:r>
          </w:p>
        </w:tc>
        <w:tc>
          <w:tcPr>
            <w:tcW w:w="1076" w:type="dxa"/>
            <w:tcBorders>
              <w:top w:val="single" w:color="auto" w:sz="4" w:space="0"/>
              <w:left w:val="single" w:color="auto" w:sz="4" w:space="0"/>
              <w:bottom w:val="single" w:color="auto" w:sz="4" w:space="0"/>
              <w:right w:val="single" w:color="auto" w:sz="4" w:space="0"/>
            </w:tcBorders>
            <w:vAlign w:val="center"/>
          </w:tcPr>
          <w:p w14:paraId="4E2A226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名称</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2738846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原油</w:t>
            </w:r>
          </w:p>
        </w:tc>
        <w:tc>
          <w:tcPr>
            <w:tcW w:w="1315" w:type="dxa"/>
            <w:tcBorders>
              <w:top w:val="single" w:color="auto" w:sz="4" w:space="0"/>
              <w:left w:val="single" w:color="auto" w:sz="4" w:space="0"/>
              <w:bottom w:val="single" w:color="auto" w:sz="4" w:space="0"/>
              <w:right w:val="single" w:color="auto" w:sz="4" w:space="0"/>
            </w:tcBorders>
            <w:vAlign w:val="center"/>
          </w:tcPr>
          <w:p w14:paraId="7D88462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5A4B6D6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05" w:type="dxa"/>
            <w:tcBorders>
              <w:top w:val="single" w:color="auto" w:sz="4" w:space="0"/>
              <w:left w:val="single" w:color="auto" w:sz="4" w:space="0"/>
              <w:bottom w:val="single" w:color="auto" w:sz="4" w:space="0"/>
              <w:right w:val="single" w:color="auto" w:sz="4" w:space="0"/>
            </w:tcBorders>
            <w:vAlign w:val="center"/>
          </w:tcPr>
          <w:p w14:paraId="6176118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59AE4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85A229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bottom w:val="single" w:color="auto" w:sz="4" w:space="0"/>
              <w:right w:val="single" w:color="auto" w:sz="4" w:space="0"/>
            </w:tcBorders>
            <w:vAlign w:val="center"/>
          </w:tcPr>
          <w:p w14:paraId="0BA3EBB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vAlign w:val="center"/>
          </w:tcPr>
          <w:p w14:paraId="2BFDFB7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存在总量</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57EA418">
            <w:pPr>
              <w:widowControl w:val="0"/>
              <w:spacing w:line="32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lang w:val="en-US" w:eastAsia="zh-CN"/>
                <w14:textFill>
                  <w14:solidFill>
                    <w14:schemeClr w14:val="tx1"/>
                  </w14:solidFill>
                </w14:textFill>
              </w:rPr>
              <w:t>320.668t</w:t>
            </w:r>
          </w:p>
        </w:tc>
        <w:tc>
          <w:tcPr>
            <w:tcW w:w="1315" w:type="dxa"/>
            <w:tcBorders>
              <w:top w:val="single" w:color="auto" w:sz="4" w:space="0"/>
              <w:left w:val="single" w:color="auto" w:sz="4" w:space="0"/>
              <w:bottom w:val="single" w:color="auto" w:sz="4" w:space="0"/>
              <w:right w:val="single" w:color="auto" w:sz="4" w:space="0"/>
            </w:tcBorders>
            <w:vAlign w:val="center"/>
          </w:tcPr>
          <w:p w14:paraId="14898FF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36D2889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05" w:type="dxa"/>
            <w:tcBorders>
              <w:top w:val="single" w:color="auto" w:sz="4" w:space="0"/>
              <w:left w:val="single" w:color="auto" w:sz="4" w:space="0"/>
              <w:bottom w:val="single" w:color="auto" w:sz="4" w:space="0"/>
              <w:right w:val="single" w:color="auto" w:sz="4" w:space="0"/>
            </w:tcBorders>
            <w:vAlign w:val="center"/>
          </w:tcPr>
          <w:p w14:paraId="4332755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6855F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45BB81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restart"/>
            <w:tcBorders>
              <w:left w:val="single" w:color="auto" w:sz="4" w:space="0"/>
              <w:right w:val="single" w:color="auto" w:sz="4" w:space="0"/>
            </w:tcBorders>
            <w:vAlign w:val="center"/>
          </w:tcPr>
          <w:p w14:paraId="4736ACF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w:t>
            </w:r>
          </w:p>
          <w:p w14:paraId="090A163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敏感性</w:t>
            </w:r>
          </w:p>
        </w:tc>
        <w:tc>
          <w:tcPr>
            <w:tcW w:w="1076" w:type="dxa"/>
            <w:vMerge w:val="restart"/>
            <w:tcBorders>
              <w:top w:val="single" w:color="auto" w:sz="4" w:space="0"/>
              <w:left w:val="single" w:color="auto" w:sz="4" w:space="0"/>
              <w:right w:val="single" w:color="auto" w:sz="4" w:space="0"/>
            </w:tcBorders>
            <w:vAlign w:val="center"/>
          </w:tcPr>
          <w:p w14:paraId="7857F5F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大气</w:t>
            </w:r>
          </w:p>
        </w:tc>
        <w:tc>
          <w:tcPr>
            <w:tcW w:w="3235" w:type="dxa"/>
            <w:gridSpan w:val="4"/>
            <w:tcBorders>
              <w:top w:val="single" w:color="auto" w:sz="4" w:space="0"/>
              <w:left w:val="single" w:color="auto" w:sz="4" w:space="0"/>
              <w:bottom w:val="single" w:color="auto" w:sz="4" w:space="0"/>
              <w:right w:val="single" w:color="auto" w:sz="4" w:space="0"/>
            </w:tcBorders>
            <w:vAlign w:val="center"/>
          </w:tcPr>
          <w:p w14:paraId="7C2DFE0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500m范围内人口数</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人</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194E5A3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5km范围内人口数</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人</w:t>
            </w:r>
          </w:p>
        </w:tc>
      </w:tr>
      <w:tr w14:paraId="638BF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254069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5EC1CCE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076" w:type="dxa"/>
            <w:vMerge w:val="continue"/>
            <w:tcBorders>
              <w:left w:val="single" w:color="auto" w:sz="4" w:space="0"/>
              <w:bottom w:val="single" w:color="auto" w:sz="4" w:space="0"/>
              <w:right w:val="single" w:color="auto" w:sz="4" w:space="0"/>
            </w:tcBorders>
            <w:vAlign w:val="center"/>
          </w:tcPr>
          <w:p w14:paraId="241F935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4710" w:type="dxa"/>
            <w:gridSpan w:val="6"/>
            <w:tcBorders>
              <w:top w:val="single" w:color="auto" w:sz="4" w:space="0"/>
              <w:left w:val="single" w:color="auto" w:sz="4" w:space="0"/>
              <w:bottom w:val="single" w:color="auto" w:sz="4" w:space="0"/>
              <w:right w:val="single" w:color="auto" w:sz="4" w:space="0"/>
            </w:tcBorders>
            <w:vAlign w:val="center"/>
          </w:tcPr>
          <w:p w14:paraId="19F8696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每公里管段周边200m范围内人口数（最大）</w:t>
            </w:r>
          </w:p>
        </w:tc>
        <w:tc>
          <w:tcPr>
            <w:tcW w:w="1505" w:type="dxa"/>
            <w:tcBorders>
              <w:top w:val="single" w:color="auto" w:sz="4" w:space="0"/>
              <w:left w:val="single" w:color="auto" w:sz="4" w:space="0"/>
              <w:bottom w:val="single" w:color="auto" w:sz="4" w:space="0"/>
              <w:right w:val="single" w:color="auto" w:sz="4" w:space="0"/>
            </w:tcBorders>
            <w:vAlign w:val="center"/>
          </w:tcPr>
          <w:p w14:paraId="652A26E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人</w:t>
            </w:r>
          </w:p>
        </w:tc>
      </w:tr>
      <w:tr w14:paraId="2F934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3F95664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49793B2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076" w:type="dxa"/>
            <w:vMerge w:val="restart"/>
            <w:tcBorders>
              <w:top w:val="single" w:color="auto" w:sz="4" w:space="0"/>
              <w:left w:val="single" w:color="auto" w:sz="4" w:space="0"/>
              <w:right w:val="single" w:color="auto" w:sz="4" w:space="0"/>
            </w:tcBorders>
            <w:vAlign w:val="center"/>
          </w:tcPr>
          <w:p w14:paraId="008A7ED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地表水</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6CE953A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地表水功能敏感性</w:t>
            </w:r>
          </w:p>
        </w:tc>
        <w:tc>
          <w:tcPr>
            <w:tcW w:w="1315" w:type="dxa"/>
            <w:tcBorders>
              <w:top w:val="single" w:color="auto" w:sz="4" w:space="0"/>
              <w:left w:val="single" w:color="auto" w:sz="4" w:space="0"/>
              <w:bottom w:val="single" w:color="auto" w:sz="4" w:space="0"/>
              <w:right w:val="single" w:color="auto" w:sz="4" w:space="0"/>
            </w:tcBorders>
            <w:vAlign w:val="center"/>
          </w:tcPr>
          <w:p w14:paraId="66F6004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F1</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03866B1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F2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1157317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F3</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2BBED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2C762E7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09776A0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076" w:type="dxa"/>
            <w:vMerge w:val="continue"/>
            <w:tcBorders>
              <w:left w:val="single" w:color="auto" w:sz="4" w:space="0"/>
              <w:bottom w:val="single" w:color="auto" w:sz="4" w:space="0"/>
              <w:right w:val="single" w:color="auto" w:sz="4" w:space="0"/>
            </w:tcBorders>
            <w:vAlign w:val="center"/>
          </w:tcPr>
          <w:p w14:paraId="287F64D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17FAC0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环境敏感目标分级</w:t>
            </w:r>
          </w:p>
        </w:tc>
        <w:tc>
          <w:tcPr>
            <w:tcW w:w="1315" w:type="dxa"/>
            <w:tcBorders>
              <w:top w:val="single" w:color="auto" w:sz="4" w:space="0"/>
              <w:left w:val="single" w:color="auto" w:sz="4" w:space="0"/>
              <w:bottom w:val="single" w:color="auto" w:sz="4" w:space="0"/>
              <w:right w:val="single" w:color="auto" w:sz="4" w:space="0"/>
            </w:tcBorders>
            <w:vAlign w:val="center"/>
          </w:tcPr>
          <w:p w14:paraId="5530753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S1</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36BA0C5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S2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A0A1D5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S3</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3DEEF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119AF1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6E7B7AF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076" w:type="dxa"/>
            <w:vMerge w:val="restart"/>
            <w:tcBorders>
              <w:top w:val="single" w:color="auto" w:sz="4" w:space="0"/>
              <w:left w:val="single" w:color="auto" w:sz="4" w:space="0"/>
              <w:right w:val="single" w:color="auto" w:sz="4" w:space="0"/>
            </w:tcBorders>
            <w:vAlign w:val="center"/>
          </w:tcPr>
          <w:p w14:paraId="2C9FADE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地下水</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1CC5BDA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地下水功能敏感性</w:t>
            </w:r>
          </w:p>
        </w:tc>
        <w:tc>
          <w:tcPr>
            <w:tcW w:w="1315" w:type="dxa"/>
            <w:tcBorders>
              <w:top w:val="single" w:color="auto" w:sz="4" w:space="0"/>
              <w:left w:val="single" w:color="auto" w:sz="4" w:space="0"/>
              <w:bottom w:val="single" w:color="auto" w:sz="4" w:space="0"/>
              <w:right w:val="single" w:color="auto" w:sz="4" w:space="0"/>
            </w:tcBorders>
            <w:vAlign w:val="center"/>
          </w:tcPr>
          <w:p w14:paraId="0A1D6AB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G1</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7530D82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G2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2BDC676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G3</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5EDA8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7283FF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3C0FFAC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076" w:type="dxa"/>
            <w:vMerge w:val="continue"/>
            <w:tcBorders>
              <w:left w:val="single" w:color="auto" w:sz="4" w:space="0"/>
              <w:bottom w:val="single" w:color="auto" w:sz="4" w:space="0"/>
              <w:right w:val="single" w:color="auto" w:sz="4" w:space="0"/>
            </w:tcBorders>
            <w:vAlign w:val="center"/>
          </w:tcPr>
          <w:p w14:paraId="71B0EE6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2F04831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包气带防污性能</w:t>
            </w:r>
          </w:p>
        </w:tc>
        <w:tc>
          <w:tcPr>
            <w:tcW w:w="1315" w:type="dxa"/>
            <w:tcBorders>
              <w:top w:val="single" w:color="auto" w:sz="4" w:space="0"/>
              <w:left w:val="single" w:color="auto" w:sz="4" w:space="0"/>
              <w:bottom w:val="single" w:color="auto" w:sz="4" w:space="0"/>
              <w:right w:val="single" w:color="auto" w:sz="4" w:space="0"/>
            </w:tcBorders>
            <w:vAlign w:val="center"/>
          </w:tcPr>
          <w:p w14:paraId="7753CBC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D1</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0123306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D2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5385FF1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D3</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1C7CA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restart"/>
            <w:tcBorders>
              <w:top w:val="single" w:color="auto" w:sz="4" w:space="0"/>
              <w:left w:val="single" w:color="auto" w:sz="4" w:space="0"/>
              <w:right w:val="single" w:color="auto" w:sz="4" w:space="0"/>
            </w:tcBorders>
            <w:vAlign w:val="center"/>
          </w:tcPr>
          <w:p w14:paraId="45CB25B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物质及工艺系数危险性</w:t>
            </w:r>
          </w:p>
        </w:tc>
        <w:tc>
          <w:tcPr>
            <w:tcW w:w="1076" w:type="dxa"/>
            <w:tcBorders>
              <w:top w:val="single" w:color="auto" w:sz="4" w:space="0"/>
              <w:left w:val="single" w:color="auto" w:sz="4" w:space="0"/>
              <w:bottom w:val="single" w:color="auto" w:sz="4" w:space="0"/>
              <w:right w:val="single" w:color="auto" w:sz="4" w:space="0"/>
            </w:tcBorders>
            <w:vAlign w:val="center"/>
          </w:tcPr>
          <w:p w14:paraId="23DA683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Q值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F48E6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Q＜1</w:t>
            </w: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sym w:font="Wingdings" w:char="00FE"/>
            </w:r>
          </w:p>
        </w:tc>
        <w:tc>
          <w:tcPr>
            <w:tcW w:w="1315" w:type="dxa"/>
            <w:tcBorders>
              <w:top w:val="single" w:color="auto" w:sz="4" w:space="0"/>
              <w:left w:val="single" w:color="auto" w:sz="4" w:space="0"/>
              <w:bottom w:val="single" w:color="auto" w:sz="4" w:space="0"/>
              <w:right w:val="single" w:color="auto" w:sz="4" w:space="0"/>
            </w:tcBorders>
            <w:vAlign w:val="center"/>
          </w:tcPr>
          <w:p w14:paraId="1493482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1≤Q＜10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0AF0C9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10≤Q＜100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109A45F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Q＞100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61E35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continue"/>
            <w:tcBorders>
              <w:left w:val="single" w:color="auto" w:sz="4" w:space="0"/>
              <w:right w:val="single" w:color="auto" w:sz="4" w:space="0"/>
            </w:tcBorders>
            <w:vAlign w:val="center"/>
          </w:tcPr>
          <w:p w14:paraId="7C902C7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vAlign w:val="center"/>
          </w:tcPr>
          <w:p w14:paraId="41259F9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M值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468BDFC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M1</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7D9D0EE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M2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0CE6A96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M3</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FB8C49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M4</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3488F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continue"/>
            <w:tcBorders>
              <w:left w:val="single" w:color="auto" w:sz="4" w:space="0"/>
              <w:bottom w:val="single" w:color="auto" w:sz="4" w:space="0"/>
              <w:right w:val="single" w:color="auto" w:sz="4" w:space="0"/>
            </w:tcBorders>
            <w:vAlign w:val="center"/>
          </w:tcPr>
          <w:p w14:paraId="1A50D3F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vAlign w:val="center"/>
          </w:tcPr>
          <w:p w14:paraId="630A726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P值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3FF5D4E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P1</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424E82A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P2</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578EC3F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P3</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5F806A5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P4</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4D245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3F7DDB3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环境风险潜势</w:t>
            </w:r>
          </w:p>
        </w:tc>
        <w:tc>
          <w:tcPr>
            <w:tcW w:w="1507" w:type="dxa"/>
            <w:gridSpan w:val="2"/>
            <w:tcBorders>
              <w:top w:val="single" w:color="auto" w:sz="4" w:space="0"/>
              <w:left w:val="single" w:color="auto" w:sz="4" w:space="0"/>
              <w:bottom w:val="single" w:color="auto" w:sz="4" w:space="0"/>
              <w:right w:val="single" w:color="auto" w:sz="4" w:space="0"/>
            </w:tcBorders>
            <w:vAlign w:val="center"/>
          </w:tcPr>
          <w:p w14:paraId="24736D6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Ⅳ</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89" w:type="dxa"/>
            <w:gridSpan w:val="2"/>
            <w:tcBorders>
              <w:top w:val="single" w:color="auto" w:sz="4" w:space="0"/>
              <w:left w:val="single" w:color="auto" w:sz="4" w:space="0"/>
              <w:bottom w:val="single" w:color="auto" w:sz="4" w:space="0"/>
              <w:right w:val="single" w:color="auto" w:sz="4" w:space="0"/>
            </w:tcBorders>
            <w:vAlign w:val="center"/>
          </w:tcPr>
          <w:p w14:paraId="596C367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Ⅳ</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58FAA47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Ⅲ</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23917E2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Ⅱ</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6EB24F8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Ⅰ</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6AC7E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55277A8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评价等级</w:t>
            </w:r>
          </w:p>
        </w:tc>
        <w:tc>
          <w:tcPr>
            <w:tcW w:w="2996" w:type="dxa"/>
            <w:gridSpan w:val="4"/>
            <w:tcBorders>
              <w:top w:val="single" w:color="auto" w:sz="4" w:space="0"/>
              <w:left w:val="single" w:color="auto" w:sz="4" w:space="0"/>
              <w:bottom w:val="single" w:color="auto" w:sz="4" w:space="0"/>
              <w:right w:val="single" w:color="auto" w:sz="4" w:space="0"/>
            </w:tcBorders>
            <w:vAlign w:val="center"/>
          </w:tcPr>
          <w:p w14:paraId="387CFE6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一级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05679A9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二级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7135C0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三级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692BCF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简单分析</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1E7A7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4DF2AED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风险识别</w:t>
            </w:r>
          </w:p>
        </w:tc>
        <w:tc>
          <w:tcPr>
            <w:tcW w:w="1212" w:type="dxa"/>
            <w:tcBorders>
              <w:top w:val="single" w:color="auto" w:sz="4" w:space="0"/>
              <w:left w:val="single" w:color="auto" w:sz="4" w:space="0"/>
              <w:bottom w:val="single" w:color="auto" w:sz="4" w:space="0"/>
              <w:right w:val="single" w:color="auto" w:sz="4" w:space="0"/>
            </w:tcBorders>
            <w:vAlign w:val="center"/>
          </w:tcPr>
          <w:p w14:paraId="3331420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物质</w:t>
            </w:r>
          </w:p>
          <w:p w14:paraId="7FFCC79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危险性</w:t>
            </w:r>
          </w:p>
        </w:tc>
        <w:tc>
          <w:tcPr>
            <w:tcW w:w="4311" w:type="dxa"/>
            <w:gridSpan w:val="5"/>
            <w:tcBorders>
              <w:top w:val="single" w:color="auto" w:sz="4" w:space="0"/>
              <w:left w:val="single" w:color="auto" w:sz="4" w:space="0"/>
              <w:bottom w:val="single" w:color="auto" w:sz="4" w:space="0"/>
              <w:right w:val="single" w:color="auto" w:sz="4" w:space="0"/>
            </w:tcBorders>
            <w:vAlign w:val="center"/>
          </w:tcPr>
          <w:p w14:paraId="42DBAA2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有毒有害</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3D033B3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易燃易爆</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7527B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46F4F4F7">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tcBorders>
              <w:top w:val="single" w:color="auto" w:sz="4" w:space="0"/>
              <w:left w:val="single" w:color="auto" w:sz="4" w:space="0"/>
              <w:bottom w:val="single" w:color="auto" w:sz="4" w:space="0"/>
              <w:right w:val="single" w:color="auto" w:sz="4" w:space="0"/>
            </w:tcBorders>
            <w:vAlign w:val="center"/>
          </w:tcPr>
          <w:p w14:paraId="79FE891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环境</w:t>
            </w:r>
          </w:p>
          <w:p w14:paraId="1C05F79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风险类型</w:t>
            </w:r>
          </w:p>
        </w:tc>
        <w:tc>
          <w:tcPr>
            <w:tcW w:w="4311" w:type="dxa"/>
            <w:gridSpan w:val="5"/>
            <w:tcBorders>
              <w:top w:val="single" w:color="auto" w:sz="4" w:space="0"/>
              <w:left w:val="single" w:color="auto" w:sz="4" w:space="0"/>
              <w:bottom w:val="single" w:color="auto" w:sz="4" w:space="0"/>
              <w:right w:val="single" w:color="auto" w:sz="4" w:space="0"/>
            </w:tcBorders>
            <w:vAlign w:val="center"/>
          </w:tcPr>
          <w:p w14:paraId="77294EF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泄漏</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21F1DB5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火灾、爆炸引发伴生/次生污染物排放</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6A012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15AD2F5">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tcBorders>
              <w:top w:val="single" w:color="auto" w:sz="4" w:space="0"/>
              <w:left w:val="single" w:color="auto" w:sz="4" w:space="0"/>
              <w:bottom w:val="single" w:color="auto" w:sz="4" w:space="0"/>
              <w:right w:val="single" w:color="auto" w:sz="4" w:space="0"/>
            </w:tcBorders>
            <w:vAlign w:val="center"/>
          </w:tcPr>
          <w:p w14:paraId="7B3067E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影响途径</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2846A6A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大气</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2837" w:type="dxa"/>
            <w:gridSpan w:val="3"/>
            <w:tcBorders>
              <w:top w:val="single" w:color="auto" w:sz="4" w:space="0"/>
              <w:left w:val="single" w:color="auto" w:sz="4" w:space="0"/>
              <w:bottom w:val="single" w:color="auto" w:sz="4" w:space="0"/>
              <w:right w:val="single" w:color="auto" w:sz="4" w:space="0"/>
            </w:tcBorders>
            <w:vAlign w:val="center"/>
          </w:tcPr>
          <w:p w14:paraId="6D6970D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地表水</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2313" w:type="dxa"/>
            <w:gridSpan w:val="2"/>
            <w:tcBorders>
              <w:top w:val="single" w:color="auto" w:sz="4" w:space="0"/>
              <w:left w:val="single" w:color="auto" w:sz="4" w:space="0"/>
              <w:bottom w:val="single" w:color="auto" w:sz="4" w:space="0"/>
              <w:right w:val="single" w:color="auto" w:sz="4" w:space="0"/>
            </w:tcBorders>
            <w:vAlign w:val="center"/>
          </w:tcPr>
          <w:p w14:paraId="75951AF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地下水</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2DBBD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187AA5E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事故情形分析</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77EEF4D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源强设定方法</w:t>
            </w:r>
          </w:p>
        </w:tc>
        <w:tc>
          <w:tcPr>
            <w:tcW w:w="2170" w:type="dxa"/>
            <w:gridSpan w:val="2"/>
            <w:tcBorders>
              <w:top w:val="single" w:color="auto" w:sz="4" w:space="0"/>
              <w:left w:val="single" w:color="auto" w:sz="4" w:space="0"/>
              <w:bottom w:val="single" w:color="auto" w:sz="4" w:space="0"/>
              <w:right w:val="single" w:color="auto" w:sz="4" w:space="0"/>
            </w:tcBorders>
            <w:vAlign w:val="center"/>
          </w:tcPr>
          <w:p w14:paraId="0B8D0D9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计算法</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45C0E52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经验估算法</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71159C0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其他估算法</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7169B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14DDCCA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风险预测与评价</w:t>
            </w:r>
          </w:p>
        </w:tc>
        <w:tc>
          <w:tcPr>
            <w:tcW w:w="1212" w:type="dxa"/>
            <w:vMerge w:val="restart"/>
            <w:tcBorders>
              <w:top w:val="single" w:color="auto" w:sz="4" w:space="0"/>
              <w:left w:val="single" w:color="auto" w:sz="4" w:space="0"/>
              <w:right w:val="single" w:color="auto" w:sz="4" w:space="0"/>
            </w:tcBorders>
            <w:vAlign w:val="center"/>
          </w:tcPr>
          <w:p w14:paraId="5A99EA1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大气</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789C621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预测模型</w:t>
            </w:r>
          </w:p>
        </w:tc>
        <w:tc>
          <w:tcPr>
            <w:tcW w:w="2170" w:type="dxa"/>
            <w:gridSpan w:val="2"/>
            <w:tcBorders>
              <w:top w:val="single" w:color="auto" w:sz="4" w:space="0"/>
              <w:left w:val="single" w:color="auto" w:sz="4" w:space="0"/>
              <w:bottom w:val="single" w:color="auto" w:sz="4" w:space="0"/>
              <w:right w:val="single" w:color="auto" w:sz="4" w:space="0"/>
            </w:tcBorders>
            <w:vAlign w:val="center"/>
          </w:tcPr>
          <w:p w14:paraId="5D7DA0D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SLAB</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1966E56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AFTOX</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2FBE443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其他</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r>
      <w:tr w14:paraId="693C9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7735F84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516A756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2141" w:type="dxa"/>
            <w:gridSpan w:val="3"/>
            <w:vMerge w:val="restart"/>
            <w:tcBorders>
              <w:top w:val="single" w:color="auto" w:sz="4" w:space="0"/>
              <w:left w:val="single" w:color="auto" w:sz="4" w:space="0"/>
              <w:right w:val="single" w:color="auto" w:sz="4" w:space="0"/>
            </w:tcBorders>
            <w:vAlign w:val="center"/>
          </w:tcPr>
          <w:p w14:paraId="1284579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预测结果</w:t>
            </w:r>
          </w:p>
        </w:tc>
        <w:tc>
          <w:tcPr>
            <w:tcW w:w="5150" w:type="dxa"/>
            <w:gridSpan w:val="5"/>
            <w:tcBorders>
              <w:top w:val="single" w:color="auto" w:sz="4" w:space="0"/>
              <w:left w:val="single" w:color="auto" w:sz="4" w:space="0"/>
              <w:bottom w:val="single" w:color="auto" w:sz="4" w:space="0"/>
              <w:right w:val="single" w:color="auto" w:sz="4" w:space="0"/>
            </w:tcBorders>
            <w:vAlign w:val="center"/>
          </w:tcPr>
          <w:p w14:paraId="208A352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大气毒性终点浓度-1 最大影响范围</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m</w:t>
            </w:r>
          </w:p>
        </w:tc>
      </w:tr>
      <w:tr w14:paraId="3FA3A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0B26E73">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bottom w:val="single" w:color="auto" w:sz="4" w:space="0"/>
              <w:right w:val="single" w:color="auto" w:sz="4" w:space="0"/>
            </w:tcBorders>
            <w:vAlign w:val="center"/>
          </w:tcPr>
          <w:p w14:paraId="7990A2D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2141" w:type="dxa"/>
            <w:gridSpan w:val="3"/>
            <w:vMerge w:val="continue"/>
            <w:tcBorders>
              <w:left w:val="single" w:color="auto" w:sz="4" w:space="0"/>
              <w:bottom w:val="single" w:color="auto" w:sz="4" w:space="0"/>
              <w:right w:val="single" w:color="auto" w:sz="4" w:space="0"/>
            </w:tcBorders>
            <w:vAlign w:val="center"/>
          </w:tcPr>
          <w:p w14:paraId="1FFEEDE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5150" w:type="dxa"/>
            <w:gridSpan w:val="5"/>
            <w:tcBorders>
              <w:top w:val="single" w:color="auto" w:sz="4" w:space="0"/>
              <w:left w:val="single" w:color="auto" w:sz="4" w:space="0"/>
              <w:bottom w:val="single" w:color="auto" w:sz="4" w:space="0"/>
              <w:right w:val="single" w:color="auto" w:sz="4" w:space="0"/>
            </w:tcBorders>
            <w:vAlign w:val="center"/>
          </w:tcPr>
          <w:p w14:paraId="28A9E30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大气毒性终点浓度-2 最大影响范围</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m</w:t>
            </w:r>
          </w:p>
        </w:tc>
      </w:tr>
      <w:tr w14:paraId="3B272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EAE17D0">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tcBorders>
              <w:left w:val="single" w:color="auto" w:sz="4" w:space="0"/>
              <w:bottom w:val="single" w:color="auto" w:sz="4" w:space="0"/>
              <w:right w:val="single" w:color="auto" w:sz="4" w:space="0"/>
            </w:tcBorders>
            <w:vAlign w:val="center"/>
          </w:tcPr>
          <w:p w14:paraId="0271C28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地表水</w:t>
            </w:r>
          </w:p>
        </w:tc>
        <w:tc>
          <w:tcPr>
            <w:tcW w:w="7291" w:type="dxa"/>
            <w:gridSpan w:val="8"/>
            <w:tcBorders>
              <w:left w:val="single" w:color="auto" w:sz="4" w:space="0"/>
              <w:bottom w:val="single" w:color="auto" w:sz="4" w:space="0"/>
              <w:right w:val="single" w:color="auto" w:sz="4" w:space="0"/>
            </w:tcBorders>
            <w:vAlign w:val="center"/>
          </w:tcPr>
          <w:p w14:paraId="38A737C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最近敏感目标</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，到达时间</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h</w:t>
            </w:r>
          </w:p>
        </w:tc>
      </w:tr>
      <w:tr w14:paraId="6F691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7E71803A">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restart"/>
            <w:tcBorders>
              <w:left w:val="single" w:color="auto" w:sz="4" w:space="0"/>
              <w:right w:val="single" w:color="auto" w:sz="4" w:space="0"/>
            </w:tcBorders>
            <w:vAlign w:val="center"/>
          </w:tcPr>
          <w:p w14:paraId="07CA7F2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地下水</w:t>
            </w:r>
          </w:p>
        </w:tc>
        <w:tc>
          <w:tcPr>
            <w:tcW w:w="7291" w:type="dxa"/>
            <w:gridSpan w:val="8"/>
            <w:tcBorders>
              <w:left w:val="single" w:color="auto" w:sz="4" w:space="0"/>
              <w:bottom w:val="single" w:color="auto" w:sz="4" w:space="0"/>
              <w:right w:val="single" w:color="auto" w:sz="4" w:space="0"/>
            </w:tcBorders>
            <w:vAlign w:val="center"/>
          </w:tcPr>
          <w:p w14:paraId="0E2E60D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下游厂区边界到达时间</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d</w:t>
            </w:r>
          </w:p>
        </w:tc>
      </w:tr>
      <w:tr w14:paraId="3FF14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480C6E7B">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212" w:type="dxa"/>
            <w:vMerge w:val="continue"/>
            <w:tcBorders>
              <w:left w:val="single" w:color="auto" w:sz="4" w:space="0"/>
              <w:bottom w:val="single" w:color="auto" w:sz="4" w:space="0"/>
              <w:right w:val="single" w:color="auto" w:sz="4" w:space="0"/>
            </w:tcBorders>
            <w:vAlign w:val="center"/>
          </w:tcPr>
          <w:p w14:paraId="57A698E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7291" w:type="dxa"/>
            <w:gridSpan w:val="8"/>
            <w:tcBorders>
              <w:top w:val="single" w:color="auto" w:sz="4" w:space="0"/>
              <w:left w:val="single" w:color="auto" w:sz="4" w:space="0"/>
              <w:bottom w:val="single" w:color="auto" w:sz="4" w:space="0"/>
              <w:right w:val="single" w:color="auto" w:sz="4" w:space="0"/>
            </w:tcBorders>
            <w:vAlign w:val="center"/>
          </w:tcPr>
          <w:p w14:paraId="7F0CEA0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最近环境敏感目标</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，到达时间</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d</w:t>
            </w:r>
          </w:p>
        </w:tc>
      </w:tr>
      <w:tr w14:paraId="169F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right w:val="single" w:color="auto" w:sz="4" w:space="0"/>
            </w:tcBorders>
            <w:vAlign w:val="center"/>
          </w:tcPr>
          <w:p w14:paraId="027469C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重点风险</w:t>
            </w:r>
          </w:p>
          <w:p w14:paraId="08C87EA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防范措施</w:t>
            </w:r>
          </w:p>
        </w:tc>
        <w:tc>
          <w:tcPr>
            <w:tcW w:w="7291" w:type="dxa"/>
            <w:gridSpan w:val="8"/>
            <w:tcBorders>
              <w:top w:val="single" w:color="auto" w:sz="4" w:space="0"/>
              <w:left w:val="single" w:color="auto" w:sz="4" w:space="0"/>
              <w:right w:val="single" w:color="auto" w:sz="4" w:space="0"/>
            </w:tcBorders>
            <w:vAlign w:val="center"/>
          </w:tcPr>
          <w:p w14:paraId="13323539">
            <w:pPr>
              <w:widowControl w:val="0"/>
              <w:spacing w:line="320" w:lineRule="exac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14:textFill>
                  <w14:solidFill>
                    <w14:schemeClr w14:val="tx1"/>
                  </w14:solidFill>
                </w14:textFill>
              </w:rPr>
              <w:t>管道密闭输送、防腐、试压等，运行期制定操作规程、巡线、检测、应急等管理措施</w:t>
            </w:r>
          </w:p>
        </w:tc>
      </w:tr>
      <w:tr w14:paraId="09F6E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right w:val="single" w:color="auto" w:sz="4" w:space="0"/>
            </w:tcBorders>
            <w:vAlign w:val="center"/>
          </w:tcPr>
          <w:p w14:paraId="4C329AD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评价结论与建议</w:t>
            </w:r>
          </w:p>
        </w:tc>
        <w:tc>
          <w:tcPr>
            <w:tcW w:w="7291" w:type="dxa"/>
            <w:gridSpan w:val="8"/>
            <w:tcBorders>
              <w:top w:val="single" w:color="auto" w:sz="4" w:space="0"/>
              <w:left w:val="single" w:color="auto" w:sz="4" w:space="0"/>
              <w:right w:val="single" w:color="auto" w:sz="4" w:space="0"/>
            </w:tcBorders>
            <w:vAlign w:val="center"/>
          </w:tcPr>
          <w:p w14:paraId="6A3B7604">
            <w:pPr>
              <w:widowControl w:val="0"/>
              <w:spacing w:line="320" w:lineRule="exac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14:textFill>
                  <w14:solidFill>
                    <w14:schemeClr w14:val="tx1"/>
                  </w14:solidFill>
                </w14:textFill>
              </w:rPr>
              <w:t>本工程的主要环境风险是泄漏</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，对区域内的大气环境、地表水环境、地下水环境和土壤植被危害性不大。在工程采取一系列风险防范措施和应急措施后，可以控制和降低工程发生事故情况下对周围环境的影响。</w:t>
            </w:r>
          </w:p>
        </w:tc>
      </w:tr>
      <w:tr w14:paraId="24FDC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71" w:type="dxa"/>
            <w:gridSpan w:val="10"/>
            <w:tcBorders>
              <w:top w:val="single" w:color="auto" w:sz="4" w:space="0"/>
              <w:left w:val="single" w:color="auto" w:sz="4" w:space="0"/>
              <w:bottom w:val="single" w:color="auto" w:sz="4" w:space="0"/>
              <w:right w:val="single" w:color="auto" w:sz="4" w:space="0"/>
            </w:tcBorders>
            <w:vAlign w:val="center"/>
          </w:tcPr>
          <w:p w14:paraId="60503A01">
            <w:pPr>
              <w:widowControl w:val="0"/>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注：“</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”为勾选项， “</w:t>
            </w:r>
            <w:r>
              <w:rPr>
                <w:rFonts w:ascii="Times New Roman" w:hAnsi="Times New Roman" w:cs="Times New Roman" w:eastAsiaTheme="minorEastAsia"/>
                <w:caps w:val="0"/>
                <w:smallCaps w:val="0"/>
                <w:color w:val="000000" w:themeColor="text1"/>
                <w:spacing w:val="0"/>
                <w:w w:val="100"/>
                <w:kern w:val="21"/>
                <w:position w:val="0"/>
                <w:sz w:val="21"/>
                <w:szCs w:val="21"/>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”为内容填写项</w:t>
            </w:r>
          </w:p>
        </w:tc>
      </w:tr>
    </w:tbl>
    <w:p w14:paraId="55D746E2">
      <w:pPr>
        <w:widowControl w:val="0"/>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p>
    <w:p w14:paraId="4A7100D9">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62A9BF35">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7CA25B8F">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3840B50E">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37DEBF3B">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04E8A288">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2E4A37A5">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bookmarkStart w:id="1248" w:name="_Toc219900426"/>
      <w:bookmarkStart w:id="1249" w:name="_Toc173163575"/>
      <w:bookmarkStart w:id="1250" w:name="_Toc186444434"/>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附表3：建设项目土壤环境影响评价自查表</w:t>
      </w:r>
      <w:bookmarkEnd w:id="1248"/>
      <w:bookmarkEnd w:id="1249"/>
      <w:bookmarkEnd w:id="1250"/>
    </w:p>
    <w:tbl>
      <w:tblPr>
        <w:tblStyle w:val="8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529"/>
        <w:gridCol w:w="1134"/>
        <w:gridCol w:w="334"/>
        <w:gridCol w:w="1317"/>
        <w:gridCol w:w="1316"/>
        <w:gridCol w:w="577"/>
        <w:gridCol w:w="1275"/>
        <w:gridCol w:w="1138"/>
      </w:tblGrid>
      <w:tr w14:paraId="669C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14:paraId="77A3DE0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工作内容</w:t>
            </w:r>
          </w:p>
        </w:tc>
        <w:tc>
          <w:tcPr>
            <w:tcW w:w="5953" w:type="dxa"/>
            <w:gridSpan w:val="6"/>
            <w:vAlign w:val="center"/>
          </w:tcPr>
          <w:p w14:paraId="3860FE7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完成情况</w:t>
            </w:r>
          </w:p>
        </w:tc>
        <w:tc>
          <w:tcPr>
            <w:tcW w:w="1138" w:type="dxa"/>
            <w:vAlign w:val="center"/>
          </w:tcPr>
          <w:p w14:paraId="6B0A8FE7">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备注</w:t>
            </w:r>
          </w:p>
        </w:tc>
      </w:tr>
      <w:tr w14:paraId="2B06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52F22C6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影</w:t>
            </w:r>
          </w:p>
          <w:p w14:paraId="3B7DF86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响</w:t>
            </w:r>
          </w:p>
          <w:p w14:paraId="0141A5E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识</w:t>
            </w:r>
          </w:p>
          <w:p w14:paraId="03A51B37">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别</w:t>
            </w:r>
          </w:p>
        </w:tc>
        <w:tc>
          <w:tcPr>
            <w:tcW w:w="1529" w:type="dxa"/>
            <w:vAlign w:val="center"/>
          </w:tcPr>
          <w:p w14:paraId="650CE4A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影响类型</w:t>
            </w:r>
          </w:p>
        </w:tc>
        <w:tc>
          <w:tcPr>
            <w:tcW w:w="5953" w:type="dxa"/>
            <w:gridSpan w:val="6"/>
            <w:vAlign w:val="center"/>
          </w:tcPr>
          <w:p w14:paraId="130CDC0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污染影响型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；生态影响型□；两种兼有□</w:t>
            </w:r>
          </w:p>
        </w:tc>
        <w:tc>
          <w:tcPr>
            <w:tcW w:w="1138" w:type="dxa"/>
            <w:vAlign w:val="center"/>
          </w:tcPr>
          <w:p w14:paraId="6EC0F55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085F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17913F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6668D2F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土地利用类型</w:t>
            </w:r>
          </w:p>
        </w:tc>
        <w:tc>
          <w:tcPr>
            <w:tcW w:w="5953" w:type="dxa"/>
            <w:gridSpan w:val="6"/>
            <w:vAlign w:val="center"/>
          </w:tcPr>
          <w:p w14:paraId="7C41B25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建设用地</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；农用地</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；未利用地□</w:t>
            </w:r>
          </w:p>
        </w:tc>
        <w:tc>
          <w:tcPr>
            <w:tcW w:w="1138" w:type="dxa"/>
            <w:vAlign w:val="center"/>
          </w:tcPr>
          <w:p w14:paraId="5D099B3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土地利用类型图件附图</w:t>
            </w:r>
            <w:r>
              <w:rPr>
                <w:rFonts w:hint="eastAsia"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5</w:t>
            </w:r>
          </w:p>
        </w:tc>
      </w:tr>
      <w:tr w14:paraId="722F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733EBF63">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7AD5B88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占地规模</w:t>
            </w:r>
          </w:p>
        </w:tc>
        <w:tc>
          <w:tcPr>
            <w:tcW w:w="5953" w:type="dxa"/>
            <w:gridSpan w:val="6"/>
            <w:vAlign w:val="center"/>
          </w:tcPr>
          <w:p w14:paraId="1A805D0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sz w:val="21"/>
                <w:szCs w:val="21"/>
                <w14:textFill>
                  <w14:solidFill>
                    <w14:schemeClr w14:val="tx1"/>
                  </w14:solidFill>
                </w14:textFill>
              </w:rPr>
              <w:t>1.13</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）hm</w:t>
            </w:r>
            <w:r>
              <w:rPr>
                <w:rFonts w:ascii="Times New Roman" w:hAnsi="Times New Roman" w:cs="Times New Roman" w:eastAsiaTheme="minorEastAsia"/>
                <w:caps w:val="0"/>
                <w:smallCaps w:val="0"/>
                <w:color w:val="000000" w:themeColor="text1"/>
                <w:spacing w:val="0"/>
                <w:w w:val="100"/>
                <w:kern w:val="21"/>
                <w:position w:val="0"/>
                <w:sz w:val="21"/>
                <w:szCs w:val="21"/>
                <w:vertAlign w:val="superscript"/>
                <w14:textFill>
                  <w14:solidFill>
                    <w14:schemeClr w14:val="tx1"/>
                  </w14:solidFill>
                </w14:textFill>
              </w:rPr>
              <w:t>2</w:t>
            </w:r>
          </w:p>
        </w:tc>
        <w:tc>
          <w:tcPr>
            <w:tcW w:w="1138" w:type="dxa"/>
            <w:vAlign w:val="center"/>
          </w:tcPr>
          <w:p w14:paraId="6189A603">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0607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10C35C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30910197">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敏感目标信息</w:t>
            </w:r>
          </w:p>
        </w:tc>
        <w:tc>
          <w:tcPr>
            <w:tcW w:w="5953" w:type="dxa"/>
            <w:gridSpan w:val="6"/>
            <w:vAlign w:val="center"/>
          </w:tcPr>
          <w:p w14:paraId="34E5FDB7">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敏感目标（）、方位（）、距离（）</w:t>
            </w:r>
          </w:p>
        </w:tc>
        <w:tc>
          <w:tcPr>
            <w:tcW w:w="1138" w:type="dxa"/>
            <w:vAlign w:val="center"/>
          </w:tcPr>
          <w:p w14:paraId="573AACD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3448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6A72D3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12BE03B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影响途径</w:t>
            </w:r>
          </w:p>
        </w:tc>
        <w:tc>
          <w:tcPr>
            <w:tcW w:w="5953" w:type="dxa"/>
            <w:gridSpan w:val="6"/>
            <w:vAlign w:val="center"/>
          </w:tcPr>
          <w:p w14:paraId="3A9BDEE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大气沉降□；地面漫流□；垂直入渗</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；地下水位□；其他</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A8"/>
            </w:r>
          </w:p>
        </w:tc>
        <w:tc>
          <w:tcPr>
            <w:tcW w:w="1138" w:type="dxa"/>
            <w:vAlign w:val="center"/>
          </w:tcPr>
          <w:p w14:paraId="7580FD3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2B6C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368ED3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06489B31">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全部污染物</w:t>
            </w:r>
          </w:p>
        </w:tc>
        <w:tc>
          <w:tcPr>
            <w:tcW w:w="5953" w:type="dxa"/>
            <w:gridSpan w:val="6"/>
            <w:vAlign w:val="center"/>
          </w:tcPr>
          <w:p w14:paraId="646D8A6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pH、石油烃、六价铬、Pb、Hg、Cr、As等</w:t>
            </w:r>
          </w:p>
        </w:tc>
        <w:tc>
          <w:tcPr>
            <w:tcW w:w="1138" w:type="dxa"/>
            <w:vAlign w:val="center"/>
          </w:tcPr>
          <w:p w14:paraId="1E8B366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2F48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56ADCB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0F594AC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特征因子</w:t>
            </w:r>
          </w:p>
        </w:tc>
        <w:tc>
          <w:tcPr>
            <w:tcW w:w="5953" w:type="dxa"/>
            <w:gridSpan w:val="6"/>
            <w:vAlign w:val="center"/>
          </w:tcPr>
          <w:p w14:paraId="622016A5">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p>
        </w:tc>
        <w:tc>
          <w:tcPr>
            <w:tcW w:w="1138" w:type="dxa"/>
            <w:vAlign w:val="center"/>
          </w:tcPr>
          <w:p w14:paraId="041531B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0D23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06C126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0F7E446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所属土壤环境影响评价项目类别</w:t>
            </w:r>
          </w:p>
        </w:tc>
        <w:tc>
          <w:tcPr>
            <w:tcW w:w="5953" w:type="dxa"/>
            <w:gridSpan w:val="6"/>
            <w:vAlign w:val="center"/>
          </w:tcPr>
          <w:p w14:paraId="171EBF72">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Ⅰ</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类□；</w:t>
            </w: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Ⅱ</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类</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Ⅲ</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类□；</w:t>
            </w:r>
            <w:r>
              <w:rPr>
                <w:rFonts w:ascii="Times New Roman" w:hAnsi="Times New Roman" w:cs="Times New Roman"/>
                <w:caps w:val="0"/>
                <w:smallCaps w:val="0"/>
                <w:color w:val="000000" w:themeColor="text1"/>
                <w:spacing w:val="0"/>
                <w:w w:val="100"/>
                <w:kern w:val="21"/>
                <w:position w:val="0"/>
                <w:sz w:val="21"/>
                <w:szCs w:val="21"/>
                <w14:textFill>
                  <w14:solidFill>
                    <w14:schemeClr w14:val="tx1"/>
                  </w14:solidFill>
                </w14:textFill>
              </w:rPr>
              <w:t>Ⅳ</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类</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138" w:type="dxa"/>
            <w:vAlign w:val="center"/>
          </w:tcPr>
          <w:p w14:paraId="34444E5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5382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76B2783">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24AC34A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敏感程度</w:t>
            </w:r>
          </w:p>
        </w:tc>
        <w:tc>
          <w:tcPr>
            <w:tcW w:w="5953" w:type="dxa"/>
            <w:gridSpan w:val="6"/>
            <w:vAlign w:val="center"/>
          </w:tcPr>
          <w:p w14:paraId="47E044C4">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敏感□；较敏感</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；不敏感□</w:t>
            </w:r>
          </w:p>
        </w:tc>
        <w:tc>
          <w:tcPr>
            <w:tcW w:w="1138" w:type="dxa"/>
            <w:vAlign w:val="center"/>
          </w:tcPr>
          <w:p w14:paraId="1B5BA1F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504F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14:paraId="530140B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评价工作等级</w:t>
            </w:r>
          </w:p>
        </w:tc>
        <w:tc>
          <w:tcPr>
            <w:tcW w:w="5953" w:type="dxa"/>
            <w:gridSpan w:val="6"/>
            <w:vAlign w:val="center"/>
          </w:tcPr>
          <w:p w14:paraId="4D8A01DE">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一级□；二级□；三级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138" w:type="dxa"/>
            <w:vAlign w:val="center"/>
          </w:tcPr>
          <w:p w14:paraId="17ACEF6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7C3A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160447B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w:t>
            </w:r>
          </w:p>
          <w:p w14:paraId="28A902C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状</w:t>
            </w:r>
          </w:p>
          <w:p w14:paraId="79CDECE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调</w:t>
            </w:r>
          </w:p>
          <w:p w14:paraId="1026980F">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查内容</w:t>
            </w:r>
          </w:p>
        </w:tc>
        <w:tc>
          <w:tcPr>
            <w:tcW w:w="1529" w:type="dxa"/>
            <w:vAlign w:val="center"/>
          </w:tcPr>
          <w:p w14:paraId="71C3BF9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资料收集</w:t>
            </w:r>
          </w:p>
        </w:tc>
        <w:tc>
          <w:tcPr>
            <w:tcW w:w="5953" w:type="dxa"/>
            <w:gridSpan w:val="6"/>
            <w:vAlign w:val="center"/>
          </w:tcPr>
          <w:p w14:paraId="243E44C8">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a）</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；b）</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；d）</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138" w:type="dxa"/>
            <w:vAlign w:val="center"/>
          </w:tcPr>
          <w:p w14:paraId="63E9715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5B10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B16E9E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1FE726D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理化特性</w:t>
            </w:r>
          </w:p>
        </w:tc>
        <w:tc>
          <w:tcPr>
            <w:tcW w:w="5953" w:type="dxa"/>
            <w:gridSpan w:val="6"/>
            <w:vAlign w:val="center"/>
          </w:tcPr>
          <w:p w14:paraId="0B5C251D">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p>
        </w:tc>
        <w:tc>
          <w:tcPr>
            <w:tcW w:w="1138" w:type="dxa"/>
            <w:vAlign w:val="center"/>
          </w:tcPr>
          <w:p w14:paraId="0AC6952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见4.3.5</w:t>
            </w:r>
          </w:p>
        </w:tc>
      </w:tr>
      <w:tr w14:paraId="4C7D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379CA2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Merge w:val="restart"/>
            <w:vAlign w:val="center"/>
          </w:tcPr>
          <w:p w14:paraId="356978F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现状监测点位</w:t>
            </w:r>
          </w:p>
        </w:tc>
        <w:tc>
          <w:tcPr>
            <w:tcW w:w="1468" w:type="dxa"/>
            <w:gridSpan w:val="2"/>
            <w:vAlign w:val="center"/>
          </w:tcPr>
          <w:p w14:paraId="1DE05E9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317" w:type="dxa"/>
            <w:vAlign w:val="center"/>
          </w:tcPr>
          <w:p w14:paraId="668896E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占地范围内</w:t>
            </w:r>
          </w:p>
        </w:tc>
        <w:tc>
          <w:tcPr>
            <w:tcW w:w="1316" w:type="dxa"/>
            <w:vAlign w:val="center"/>
          </w:tcPr>
          <w:p w14:paraId="72AC7A5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占地范围外</w:t>
            </w:r>
          </w:p>
        </w:tc>
        <w:tc>
          <w:tcPr>
            <w:tcW w:w="1852" w:type="dxa"/>
            <w:gridSpan w:val="2"/>
            <w:vAlign w:val="center"/>
          </w:tcPr>
          <w:p w14:paraId="27AA125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深度</w:t>
            </w:r>
          </w:p>
        </w:tc>
        <w:tc>
          <w:tcPr>
            <w:tcW w:w="1138" w:type="dxa"/>
            <w:vMerge w:val="restart"/>
            <w:vAlign w:val="center"/>
          </w:tcPr>
          <w:p w14:paraId="4CB3674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点位布置图见附图</w:t>
            </w:r>
            <w:r>
              <w:rPr>
                <w:rFonts w:hint="eastAsia"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6</w:t>
            </w:r>
          </w:p>
        </w:tc>
      </w:tr>
      <w:tr w14:paraId="0774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93D0DC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Merge w:val="continue"/>
            <w:vAlign w:val="center"/>
          </w:tcPr>
          <w:p w14:paraId="4E5F474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468" w:type="dxa"/>
            <w:gridSpan w:val="2"/>
            <w:vAlign w:val="center"/>
          </w:tcPr>
          <w:p w14:paraId="741F4C5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表层样点数</w:t>
            </w:r>
          </w:p>
        </w:tc>
        <w:tc>
          <w:tcPr>
            <w:tcW w:w="1317" w:type="dxa"/>
            <w:vAlign w:val="center"/>
          </w:tcPr>
          <w:p w14:paraId="647DD08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3</w:t>
            </w:r>
          </w:p>
        </w:tc>
        <w:tc>
          <w:tcPr>
            <w:tcW w:w="1316" w:type="dxa"/>
            <w:vAlign w:val="center"/>
          </w:tcPr>
          <w:p w14:paraId="64C1B0C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5</w:t>
            </w:r>
          </w:p>
        </w:tc>
        <w:tc>
          <w:tcPr>
            <w:tcW w:w="1852" w:type="dxa"/>
            <w:gridSpan w:val="2"/>
            <w:vAlign w:val="center"/>
          </w:tcPr>
          <w:p w14:paraId="2AA35D1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0-20cm</w:t>
            </w:r>
          </w:p>
        </w:tc>
        <w:tc>
          <w:tcPr>
            <w:tcW w:w="1138" w:type="dxa"/>
            <w:vMerge w:val="continue"/>
            <w:vAlign w:val="center"/>
          </w:tcPr>
          <w:p w14:paraId="10AA2061">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73F6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BF1E8E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Merge w:val="continue"/>
            <w:vAlign w:val="center"/>
          </w:tcPr>
          <w:p w14:paraId="177F0711">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468" w:type="dxa"/>
            <w:gridSpan w:val="2"/>
            <w:vAlign w:val="center"/>
          </w:tcPr>
          <w:p w14:paraId="1C5FC0A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柱状样点数</w:t>
            </w:r>
          </w:p>
        </w:tc>
        <w:tc>
          <w:tcPr>
            <w:tcW w:w="1317" w:type="dxa"/>
            <w:vAlign w:val="center"/>
          </w:tcPr>
          <w:p w14:paraId="16B27E6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0</w:t>
            </w:r>
          </w:p>
        </w:tc>
        <w:tc>
          <w:tcPr>
            <w:tcW w:w="1316" w:type="dxa"/>
            <w:vAlign w:val="center"/>
          </w:tcPr>
          <w:p w14:paraId="2802B1F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0</w:t>
            </w:r>
          </w:p>
        </w:tc>
        <w:tc>
          <w:tcPr>
            <w:tcW w:w="1852" w:type="dxa"/>
            <w:gridSpan w:val="2"/>
            <w:vAlign w:val="center"/>
          </w:tcPr>
          <w:p w14:paraId="6108E09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p>
        </w:tc>
        <w:tc>
          <w:tcPr>
            <w:tcW w:w="1138" w:type="dxa"/>
            <w:vMerge w:val="continue"/>
            <w:vAlign w:val="center"/>
          </w:tcPr>
          <w:p w14:paraId="08D4FB91">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1497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322E09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5BC6CDB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现状监测因子</w:t>
            </w:r>
          </w:p>
        </w:tc>
        <w:tc>
          <w:tcPr>
            <w:tcW w:w="5953" w:type="dxa"/>
            <w:gridSpan w:val="6"/>
            <w:vAlign w:val="center"/>
          </w:tcPr>
          <w:p w14:paraId="799EC66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50项（包括建设用地土壤基本项目45项，其他项目石油烃（C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）及pH值、石油类、石油烃（C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）、水溶性盐总量）及农用地土壤监测项目（pH、镉、汞、砷、铅、铬、铜、镍、锌、石油烃（C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）、石油类、石油烃（C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）、水溶性盐总量）</w:t>
            </w:r>
          </w:p>
        </w:tc>
        <w:tc>
          <w:tcPr>
            <w:tcW w:w="1138" w:type="dxa"/>
            <w:vAlign w:val="center"/>
          </w:tcPr>
          <w:p w14:paraId="253F5F20">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1197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045E750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现状评价</w:t>
            </w:r>
          </w:p>
        </w:tc>
        <w:tc>
          <w:tcPr>
            <w:tcW w:w="1529" w:type="dxa"/>
            <w:vAlign w:val="center"/>
          </w:tcPr>
          <w:p w14:paraId="11FB2FE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评价因子</w:t>
            </w:r>
          </w:p>
        </w:tc>
        <w:tc>
          <w:tcPr>
            <w:tcW w:w="5953" w:type="dxa"/>
            <w:gridSpan w:val="6"/>
            <w:vAlign w:val="center"/>
          </w:tcPr>
          <w:p w14:paraId="50F75EB0">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50项（包括建设用地土壤基本项目45项，其他项目石油烃（C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）及pH值、石油类、石油烃（C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）、水溶性盐总量）及农用地土壤监测项目（pH、镉、汞、砷、铅、铬、铜、镍、锌、石油烃（C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）、石油类、石油烃（C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）、水溶性盐总量）</w:t>
            </w:r>
          </w:p>
        </w:tc>
        <w:tc>
          <w:tcPr>
            <w:tcW w:w="1138" w:type="dxa"/>
            <w:vAlign w:val="center"/>
          </w:tcPr>
          <w:p w14:paraId="2643AD70">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3BF9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A1990B0">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7002B08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评价标准</w:t>
            </w:r>
          </w:p>
        </w:tc>
        <w:tc>
          <w:tcPr>
            <w:tcW w:w="5953" w:type="dxa"/>
            <w:gridSpan w:val="6"/>
            <w:vAlign w:val="center"/>
          </w:tcPr>
          <w:p w14:paraId="68CA525E">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GB 15618</w:t>
            </w:r>
            <w:r>
              <w:rPr>
                <w:rFonts w:ascii="Segoe UI Symbol" w:hAnsi="Segoe UI Symbol" w:cs="Segoe UI Symbol"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；GB 36600</w:t>
            </w:r>
            <w:r>
              <w:rPr>
                <w:rFonts w:ascii="Segoe UI Symbol" w:hAnsi="Segoe UI Symbol" w:cs="Segoe UI Symbol"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；表D.1□；表D.2□；其他（）</w:t>
            </w:r>
          </w:p>
        </w:tc>
        <w:tc>
          <w:tcPr>
            <w:tcW w:w="1138" w:type="dxa"/>
            <w:vAlign w:val="center"/>
          </w:tcPr>
          <w:p w14:paraId="7F44A70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5C67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51" w:type="dxa"/>
            <w:vMerge w:val="continue"/>
            <w:vAlign w:val="center"/>
          </w:tcPr>
          <w:p w14:paraId="1A974E9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1F318AE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现状评价结论</w:t>
            </w:r>
          </w:p>
        </w:tc>
        <w:tc>
          <w:tcPr>
            <w:tcW w:w="5953" w:type="dxa"/>
            <w:gridSpan w:val="6"/>
            <w:vAlign w:val="center"/>
          </w:tcPr>
          <w:p w14:paraId="42096D73">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区块内现有井场及场站土壤满足《土壤环境质量 建设用地土壤污染风险管控标准（试行）》（GB36600-2018）中第二类用地筛选值，管线临时占地内及周边农用地土壤满足《土壤环境质量 农用地土壤污染风险管控标准（试行）》（GB15618-2018）中农用地土壤风险筛选值。</w:t>
            </w:r>
          </w:p>
        </w:tc>
        <w:tc>
          <w:tcPr>
            <w:tcW w:w="1138" w:type="dxa"/>
            <w:vAlign w:val="center"/>
          </w:tcPr>
          <w:p w14:paraId="0615928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7C45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682B158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影</w:t>
            </w:r>
          </w:p>
          <w:p w14:paraId="47EAB1E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响</w:t>
            </w:r>
          </w:p>
          <w:p w14:paraId="31B4E44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w:t>
            </w:r>
          </w:p>
          <w:p w14:paraId="54ABC3B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测</w:t>
            </w:r>
          </w:p>
        </w:tc>
        <w:tc>
          <w:tcPr>
            <w:tcW w:w="1529" w:type="dxa"/>
            <w:vAlign w:val="center"/>
          </w:tcPr>
          <w:p w14:paraId="6D6DC30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预测因子</w:t>
            </w:r>
          </w:p>
        </w:tc>
        <w:tc>
          <w:tcPr>
            <w:tcW w:w="5953" w:type="dxa"/>
            <w:gridSpan w:val="6"/>
            <w:vAlign w:val="center"/>
          </w:tcPr>
          <w:p w14:paraId="0772DCF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p>
        </w:tc>
        <w:tc>
          <w:tcPr>
            <w:tcW w:w="1138" w:type="dxa"/>
            <w:vAlign w:val="center"/>
          </w:tcPr>
          <w:p w14:paraId="646A257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720A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FCCF4E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2C703C0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预测方法</w:t>
            </w:r>
          </w:p>
        </w:tc>
        <w:tc>
          <w:tcPr>
            <w:tcW w:w="5953" w:type="dxa"/>
            <w:gridSpan w:val="6"/>
            <w:vAlign w:val="center"/>
          </w:tcPr>
          <w:p w14:paraId="70EEB87C">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附录E□；附录F□；其他（类比法）</w:t>
            </w:r>
          </w:p>
        </w:tc>
        <w:tc>
          <w:tcPr>
            <w:tcW w:w="1138" w:type="dxa"/>
            <w:vAlign w:val="center"/>
          </w:tcPr>
          <w:p w14:paraId="5536302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5EFB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EA1CFA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3247CCB3">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预测分析内容</w:t>
            </w:r>
          </w:p>
        </w:tc>
        <w:tc>
          <w:tcPr>
            <w:tcW w:w="5953" w:type="dxa"/>
            <w:gridSpan w:val="6"/>
            <w:vAlign w:val="center"/>
          </w:tcPr>
          <w:p w14:paraId="1852958C">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影响范围（）影响程度（项目对周围土壤环境影响较小）</w:t>
            </w:r>
          </w:p>
        </w:tc>
        <w:tc>
          <w:tcPr>
            <w:tcW w:w="1138" w:type="dxa"/>
            <w:vAlign w:val="center"/>
          </w:tcPr>
          <w:p w14:paraId="20D402AF">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6C28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E96E6B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436D551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预测结论</w:t>
            </w:r>
          </w:p>
        </w:tc>
        <w:tc>
          <w:tcPr>
            <w:tcW w:w="5953" w:type="dxa"/>
            <w:gridSpan w:val="6"/>
            <w:vAlign w:val="center"/>
          </w:tcPr>
          <w:p w14:paraId="315FCBA5">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达标结论：a）</w:t>
            </w:r>
            <w:r>
              <w:rPr>
                <w:rFonts w:ascii="Segoe UI Symbol" w:hAnsi="Segoe UI Symbol" w:cs="Segoe UI Symbol"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；b）□；c）□</w:t>
            </w:r>
          </w:p>
          <w:p w14:paraId="704CAA5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不达标结论：a）□；b）□</w:t>
            </w:r>
          </w:p>
        </w:tc>
        <w:tc>
          <w:tcPr>
            <w:tcW w:w="1138" w:type="dxa"/>
            <w:vAlign w:val="center"/>
          </w:tcPr>
          <w:p w14:paraId="06C0D68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5371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74DC06F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防</w:t>
            </w:r>
          </w:p>
          <w:p w14:paraId="47848AF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治</w:t>
            </w:r>
          </w:p>
          <w:p w14:paraId="344CB4E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措</w:t>
            </w:r>
          </w:p>
          <w:p w14:paraId="32D488D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施</w:t>
            </w:r>
          </w:p>
        </w:tc>
        <w:tc>
          <w:tcPr>
            <w:tcW w:w="1529" w:type="dxa"/>
            <w:vAlign w:val="center"/>
          </w:tcPr>
          <w:p w14:paraId="6300E3E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防控措施</w:t>
            </w:r>
          </w:p>
        </w:tc>
        <w:tc>
          <w:tcPr>
            <w:tcW w:w="5953" w:type="dxa"/>
            <w:gridSpan w:val="6"/>
            <w:vAlign w:val="center"/>
          </w:tcPr>
          <w:p w14:paraId="3DE1A342">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土壤环境质量现状保障</w:t>
            </w:r>
            <w:r>
              <w:rPr>
                <w:rFonts w:ascii="Segoe UI Symbol" w:hAnsi="Segoe UI Symbol" w:cs="Segoe UI Symbol"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；源头控制</w:t>
            </w:r>
            <w:r>
              <w:rPr>
                <w:rFonts w:ascii="Segoe UI Symbol" w:hAnsi="Segoe UI Symbol" w:cs="Segoe UI Symbol"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；过程防控</w:t>
            </w:r>
            <w:r>
              <w:rPr>
                <w:rFonts w:ascii="Segoe UI Symbol" w:hAnsi="Segoe UI Symbol" w:cs="Segoe UI Symbol"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；其他（跟踪监测）</w:t>
            </w:r>
          </w:p>
        </w:tc>
        <w:tc>
          <w:tcPr>
            <w:tcW w:w="1138" w:type="dxa"/>
            <w:vAlign w:val="center"/>
          </w:tcPr>
          <w:p w14:paraId="6134AB5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71FB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CC1792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Merge w:val="restart"/>
            <w:vAlign w:val="center"/>
          </w:tcPr>
          <w:p w14:paraId="5E51D2A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跟踪监测</w:t>
            </w:r>
          </w:p>
        </w:tc>
        <w:tc>
          <w:tcPr>
            <w:tcW w:w="1134" w:type="dxa"/>
            <w:vAlign w:val="center"/>
          </w:tcPr>
          <w:p w14:paraId="55DF0CC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监测点数</w:t>
            </w:r>
          </w:p>
        </w:tc>
        <w:tc>
          <w:tcPr>
            <w:tcW w:w="3544" w:type="dxa"/>
            <w:gridSpan w:val="4"/>
            <w:vAlign w:val="center"/>
          </w:tcPr>
          <w:p w14:paraId="4C2E8E7F">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监测指标</w:t>
            </w:r>
          </w:p>
        </w:tc>
        <w:tc>
          <w:tcPr>
            <w:tcW w:w="1275" w:type="dxa"/>
            <w:vAlign w:val="center"/>
          </w:tcPr>
          <w:p w14:paraId="673CDFFF">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监测频次</w:t>
            </w:r>
          </w:p>
        </w:tc>
        <w:tc>
          <w:tcPr>
            <w:tcW w:w="1138" w:type="dxa"/>
            <w:vAlign w:val="center"/>
          </w:tcPr>
          <w:p w14:paraId="374D03D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14D0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29D051C6">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Merge w:val="continue"/>
            <w:vAlign w:val="center"/>
          </w:tcPr>
          <w:p w14:paraId="0AF9F40D">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134" w:type="dxa"/>
            <w:vAlign w:val="center"/>
          </w:tcPr>
          <w:p w14:paraId="57164857">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2</w:t>
            </w:r>
          </w:p>
        </w:tc>
        <w:tc>
          <w:tcPr>
            <w:tcW w:w="3544" w:type="dxa"/>
            <w:gridSpan w:val="4"/>
            <w:vAlign w:val="center"/>
          </w:tcPr>
          <w:p w14:paraId="0BA80DD0">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pH、石油类、石油烃（C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）、汞、砷、六价铬</w:t>
            </w:r>
          </w:p>
        </w:tc>
        <w:tc>
          <w:tcPr>
            <w:tcW w:w="1275" w:type="dxa"/>
            <w:vAlign w:val="center"/>
          </w:tcPr>
          <w:p w14:paraId="4CE18AA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1次/年</w:t>
            </w:r>
          </w:p>
        </w:tc>
        <w:tc>
          <w:tcPr>
            <w:tcW w:w="1138" w:type="dxa"/>
            <w:vAlign w:val="center"/>
          </w:tcPr>
          <w:p w14:paraId="6C6B9B0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243F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2D5B2D9E">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c>
          <w:tcPr>
            <w:tcW w:w="1529" w:type="dxa"/>
            <w:vAlign w:val="center"/>
          </w:tcPr>
          <w:p w14:paraId="6C2B95D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信息公开指标</w:t>
            </w:r>
          </w:p>
        </w:tc>
        <w:tc>
          <w:tcPr>
            <w:tcW w:w="5953" w:type="dxa"/>
            <w:gridSpan w:val="6"/>
            <w:vAlign w:val="center"/>
          </w:tcPr>
          <w:p w14:paraId="0CA6C12D">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监测点位和监测值</w:t>
            </w:r>
          </w:p>
        </w:tc>
        <w:tc>
          <w:tcPr>
            <w:tcW w:w="1138" w:type="dxa"/>
            <w:vAlign w:val="center"/>
          </w:tcPr>
          <w:p w14:paraId="2FC3B29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1907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14:paraId="4CF514C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评价结论</w:t>
            </w:r>
          </w:p>
        </w:tc>
        <w:tc>
          <w:tcPr>
            <w:tcW w:w="5953" w:type="dxa"/>
            <w:gridSpan w:val="6"/>
            <w:vAlign w:val="center"/>
          </w:tcPr>
          <w:p w14:paraId="286197D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采取环评提出的措施，影响可接受</w:t>
            </w:r>
          </w:p>
        </w:tc>
        <w:tc>
          <w:tcPr>
            <w:tcW w:w="1138" w:type="dxa"/>
            <w:vAlign w:val="center"/>
          </w:tcPr>
          <w:p w14:paraId="3591560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p>
        </w:tc>
      </w:tr>
      <w:tr w14:paraId="6B1D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071" w:type="dxa"/>
            <w:gridSpan w:val="9"/>
            <w:vAlign w:val="center"/>
          </w:tcPr>
          <w:p w14:paraId="7DEA7CA2">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注1：“□”为勾选项，可√；“（ ）”为内容填写项；“备注”为其他补充内容。</w:t>
            </w:r>
          </w:p>
          <w:p w14:paraId="63B5C158">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注2：需要分别开展土壤环境影响评级工作的，分别填写自查表。</w:t>
            </w:r>
          </w:p>
        </w:tc>
      </w:tr>
    </w:tbl>
    <w:p w14:paraId="56215777">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sectPr>
          <w:pgSz w:w="11906" w:h="16838"/>
          <w:pgMar w:top="1418" w:right="1418" w:bottom="1418" w:left="1418" w:header="851" w:footer="992" w:gutter="0"/>
          <w:cols w:space="720" w:num="1"/>
          <w:docGrid w:linePitch="312" w:charSpace="0"/>
        </w:sectPr>
      </w:pPr>
      <w:bookmarkStart w:id="1251" w:name="_Toc186444435"/>
      <w:bookmarkStart w:id="1252" w:name="_Toc173163576"/>
    </w:p>
    <w:p w14:paraId="57B3548F">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bookmarkStart w:id="1253" w:name="_Toc219900427"/>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附表4：地表水自查表</w:t>
      </w:r>
      <w:bookmarkEnd w:id="1251"/>
      <w:bookmarkEnd w:id="1252"/>
      <w:bookmarkEnd w:id="1253"/>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923"/>
        <w:gridCol w:w="1391"/>
        <w:gridCol w:w="617"/>
        <w:gridCol w:w="123"/>
        <w:gridCol w:w="496"/>
        <w:gridCol w:w="310"/>
        <w:gridCol w:w="1083"/>
        <w:gridCol w:w="617"/>
        <w:gridCol w:w="306"/>
        <w:gridCol w:w="310"/>
        <w:gridCol w:w="927"/>
        <w:gridCol w:w="165"/>
        <w:gridCol w:w="299"/>
        <w:gridCol w:w="1291"/>
      </w:tblGrid>
      <w:tr w14:paraId="7426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Align w:val="center"/>
          </w:tcPr>
          <w:p w14:paraId="7824868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工作内容</w:t>
            </w:r>
          </w:p>
        </w:tc>
        <w:tc>
          <w:tcPr>
            <w:tcW w:w="4272" w:type="pct"/>
            <w:gridSpan w:val="13"/>
            <w:vAlign w:val="center"/>
          </w:tcPr>
          <w:p w14:paraId="0E8B35B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自查项目</w:t>
            </w:r>
          </w:p>
        </w:tc>
      </w:tr>
      <w:tr w14:paraId="10C6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5EF320A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影</w:t>
            </w:r>
          </w:p>
          <w:p w14:paraId="340DD03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响</w:t>
            </w:r>
          </w:p>
          <w:p w14:paraId="3B3BBCD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识</w:t>
            </w:r>
          </w:p>
          <w:p w14:paraId="46FFA12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别</w:t>
            </w:r>
          </w:p>
        </w:tc>
        <w:tc>
          <w:tcPr>
            <w:tcW w:w="497" w:type="pct"/>
            <w:vAlign w:val="center"/>
          </w:tcPr>
          <w:p w14:paraId="3925CC2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影响类型</w:t>
            </w:r>
          </w:p>
        </w:tc>
        <w:tc>
          <w:tcPr>
            <w:tcW w:w="4272" w:type="pct"/>
            <w:gridSpan w:val="13"/>
            <w:vAlign w:val="center"/>
          </w:tcPr>
          <w:p w14:paraId="36DE4A3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水污染影响型√；水文要素影响型 □</w:t>
            </w:r>
          </w:p>
        </w:tc>
      </w:tr>
      <w:tr w14:paraId="04EF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EB680C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2218152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水环境保护目标</w:t>
            </w:r>
          </w:p>
        </w:tc>
        <w:tc>
          <w:tcPr>
            <w:tcW w:w="4272" w:type="pct"/>
            <w:gridSpan w:val="13"/>
            <w:vAlign w:val="center"/>
          </w:tcPr>
          <w:p w14:paraId="38F7D0A9">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饮用水水源保护区 □；饮用水取水口 □；涉水的自然保护区 □；重要湿地 □；重点保护与珍稀水生生物的栖息地 □；重要水生生物的自然产卵场及索饵场、越冬场和洄游通道、天然渔场等渔业水体 □；涉水的风景名胜区 □；其他 √</w:t>
            </w:r>
          </w:p>
        </w:tc>
      </w:tr>
      <w:tr w14:paraId="2E20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80749F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restart"/>
            <w:vAlign w:val="center"/>
          </w:tcPr>
          <w:p w14:paraId="167FF79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影响途径</w:t>
            </w:r>
          </w:p>
        </w:tc>
        <w:tc>
          <w:tcPr>
            <w:tcW w:w="2163" w:type="pct"/>
            <w:gridSpan w:val="6"/>
            <w:vAlign w:val="center"/>
          </w:tcPr>
          <w:p w14:paraId="2D248F6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水污染影响型</w:t>
            </w:r>
          </w:p>
        </w:tc>
        <w:tc>
          <w:tcPr>
            <w:tcW w:w="2109" w:type="pct"/>
            <w:gridSpan w:val="7"/>
            <w:vAlign w:val="center"/>
          </w:tcPr>
          <w:p w14:paraId="4DF8E72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水文要素影响型</w:t>
            </w:r>
          </w:p>
        </w:tc>
      </w:tr>
      <w:tr w14:paraId="79A3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08C871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7C0EBC7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2163" w:type="pct"/>
            <w:gridSpan w:val="6"/>
            <w:vAlign w:val="center"/>
          </w:tcPr>
          <w:p w14:paraId="038B6DD6">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直接排放 □；间接排放 □；其他√</w:t>
            </w:r>
          </w:p>
        </w:tc>
        <w:tc>
          <w:tcPr>
            <w:tcW w:w="2109" w:type="pct"/>
            <w:gridSpan w:val="7"/>
            <w:vAlign w:val="center"/>
          </w:tcPr>
          <w:p w14:paraId="7398573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水温 □；径流 □；水域面积 □</w:t>
            </w:r>
          </w:p>
        </w:tc>
      </w:tr>
      <w:tr w14:paraId="1DEF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C751DC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24C406C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影响因子</w:t>
            </w:r>
          </w:p>
        </w:tc>
        <w:tc>
          <w:tcPr>
            <w:tcW w:w="2163" w:type="pct"/>
            <w:gridSpan w:val="6"/>
            <w:vAlign w:val="center"/>
          </w:tcPr>
          <w:p w14:paraId="03230E3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持久性污染物 □；有毒有害污染物 □；非持久性污染物 □；pH 值 □；热污染 □；富营养化 □；其他 √</w:t>
            </w:r>
          </w:p>
        </w:tc>
        <w:tc>
          <w:tcPr>
            <w:tcW w:w="2109" w:type="pct"/>
            <w:gridSpan w:val="7"/>
            <w:vAlign w:val="center"/>
          </w:tcPr>
          <w:p w14:paraId="216A187A">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水温 □；水位（水深） □；流速□；流量 □；其他 □</w:t>
            </w:r>
          </w:p>
        </w:tc>
      </w:tr>
      <w:tr w14:paraId="08C2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Merge w:val="restart"/>
            <w:vAlign w:val="center"/>
          </w:tcPr>
          <w:p w14:paraId="4830BA3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评价等级</w:t>
            </w:r>
          </w:p>
        </w:tc>
        <w:tc>
          <w:tcPr>
            <w:tcW w:w="2163" w:type="pct"/>
            <w:gridSpan w:val="6"/>
            <w:vAlign w:val="center"/>
          </w:tcPr>
          <w:p w14:paraId="2E1D53C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水污染影响型</w:t>
            </w:r>
          </w:p>
        </w:tc>
        <w:tc>
          <w:tcPr>
            <w:tcW w:w="2109" w:type="pct"/>
            <w:gridSpan w:val="7"/>
            <w:vAlign w:val="center"/>
          </w:tcPr>
          <w:p w14:paraId="3A6CDA1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水文要素影响型</w:t>
            </w:r>
          </w:p>
        </w:tc>
      </w:tr>
      <w:tr w14:paraId="0146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Merge w:val="continue"/>
            <w:vAlign w:val="center"/>
          </w:tcPr>
          <w:p w14:paraId="56850FB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2163" w:type="pct"/>
            <w:gridSpan w:val="6"/>
            <w:vAlign w:val="center"/>
          </w:tcPr>
          <w:p w14:paraId="27E89E56">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一级 □；二级 □；三级 A □；三级 B √</w:t>
            </w:r>
          </w:p>
        </w:tc>
        <w:tc>
          <w:tcPr>
            <w:tcW w:w="2109" w:type="pct"/>
            <w:gridSpan w:val="7"/>
            <w:vAlign w:val="center"/>
          </w:tcPr>
          <w:p w14:paraId="46E32AA5">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一级 □；二级 □；三级 □</w:t>
            </w:r>
          </w:p>
        </w:tc>
      </w:tr>
      <w:tr w14:paraId="68F4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048E58C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现</w:t>
            </w:r>
          </w:p>
          <w:p w14:paraId="6B0637F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状</w:t>
            </w:r>
          </w:p>
          <w:p w14:paraId="1725A45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调</w:t>
            </w:r>
          </w:p>
          <w:p w14:paraId="4E6CAEC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查</w:t>
            </w:r>
          </w:p>
        </w:tc>
        <w:tc>
          <w:tcPr>
            <w:tcW w:w="497" w:type="pct"/>
            <w:vMerge w:val="restart"/>
            <w:vAlign w:val="center"/>
          </w:tcPr>
          <w:p w14:paraId="2B6E5E7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区域污染源</w:t>
            </w:r>
          </w:p>
        </w:tc>
        <w:tc>
          <w:tcPr>
            <w:tcW w:w="2163" w:type="pct"/>
            <w:gridSpan w:val="6"/>
            <w:vAlign w:val="center"/>
          </w:tcPr>
          <w:p w14:paraId="43A807D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调查项目</w:t>
            </w:r>
          </w:p>
        </w:tc>
        <w:tc>
          <w:tcPr>
            <w:tcW w:w="2109" w:type="pct"/>
            <w:gridSpan w:val="7"/>
            <w:vAlign w:val="center"/>
          </w:tcPr>
          <w:p w14:paraId="1DB0DE7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数据来源</w:t>
            </w:r>
          </w:p>
        </w:tc>
      </w:tr>
      <w:tr w14:paraId="7369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2B1CF3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4548357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1147" w:type="pct"/>
            <w:gridSpan w:val="3"/>
            <w:vAlign w:val="center"/>
          </w:tcPr>
          <w:p w14:paraId="12B044E1">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已建 □；在建 □；</w:t>
            </w:r>
          </w:p>
          <w:p w14:paraId="017C1503">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拟建 □；其他 □</w:t>
            </w:r>
          </w:p>
        </w:tc>
        <w:tc>
          <w:tcPr>
            <w:tcW w:w="1017" w:type="pct"/>
            <w:gridSpan w:val="3"/>
            <w:vAlign w:val="center"/>
          </w:tcPr>
          <w:p w14:paraId="5D0ED060">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拟替代的污染源 □</w:t>
            </w:r>
          </w:p>
        </w:tc>
        <w:tc>
          <w:tcPr>
            <w:tcW w:w="2109" w:type="pct"/>
            <w:gridSpan w:val="7"/>
            <w:vAlign w:val="center"/>
          </w:tcPr>
          <w:p w14:paraId="51173111">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排污许可证 □；环评 □；环保验收 □；既有实测 □；现场监测 □；入河排放口数据 □；其他 □</w:t>
            </w:r>
          </w:p>
        </w:tc>
      </w:tr>
      <w:tr w14:paraId="17CD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D63F4E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restart"/>
            <w:vAlign w:val="center"/>
          </w:tcPr>
          <w:p w14:paraId="590DFC1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受影响水体水环境质量</w:t>
            </w:r>
          </w:p>
        </w:tc>
        <w:tc>
          <w:tcPr>
            <w:tcW w:w="2163" w:type="pct"/>
            <w:gridSpan w:val="6"/>
            <w:vAlign w:val="center"/>
          </w:tcPr>
          <w:p w14:paraId="7000812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调查时期</w:t>
            </w:r>
          </w:p>
        </w:tc>
        <w:tc>
          <w:tcPr>
            <w:tcW w:w="2109" w:type="pct"/>
            <w:gridSpan w:val="7"/>
            <w:vAlign w:val="center"/>
          </w:tcPr>
          <w:p w14:paraId="1CD7110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数据来源</w:t>
            </w:r>
          </w:p>
        </w:tc>
      </w:tr>
      <w:tr w14:paraId="55CC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D5ABF3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1799426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2163" w:type="pct"/>
            <w:gridSpan w:val="6"/>
            <w:vAlign w:val="center"/>
          </w:tcPr>
          <w:p w14:paraId="58424C7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丰水期 □；平水期 □；枯水期□；冰封期□</w:t>
            </w:r>
          </w:p>
          <w:p w14:paraId="67B7F8A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春季√；夏季 □；秋季 □；冬季□</w:t>
            </w:r>
          </w:p>
        </w:tc>
        <w:tc>
          <w:tcPr>
            <w:tcW w:w="2109" w:type="pct"/>
            <w:gridSpan w:val="7"/>
            <w:vAlign w:val="center"/>
          </w:tcPr>
          <w:p w14:paraId="57A798BD">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生态环境保护主管部门 □；补充监测 □；其他 □</w:t>
            </w:r>
          </w:p>
        </w:tc>
      </w:tr>
      <w:tr w14:paraId="1CF8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C26C6A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338F493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区域水资源开发利用状况</w:t>
            </w:r>
          </w:p>
        </w:tc>
        <w:tc>
          <w:tcPr>
            <w:tcW w:w="4272" w:type="pct"/>
            <w:gridSpan w:val="13"/>
            <w:vAlign w:val="center"/>
          </w:tcPr>
          <w:p w14:paraId="2B462AE5">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未开发 □；开发量 40%以下 □；开发量 40%以上 □</w:t>
            </w:r>
          </w:p>
        </w:tc>
      </w:tr>
      <w:tr w14:paraId="249A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C6130B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restart"/>
            <w:vAlign w:val="center"/>
          </w:tcPr>
          <w:p w14:paraId="576E2E8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水文情势调查</w:t>
            </w:r>
          </w:p>
        </w:tc>
        <w:tc>
          <w:tcPr>
            <w:tcW w:w="2163" w:type="pct"/>
            <w:gridSpan w:val="6"/>
            <w:vAlign w:val="center"/>
          </w:tcPr>
          <w:p w14:paraId="4DEBCA0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调查时期  </w:t>
            </w:r>
          </w:p>
        </w:tc>
        <w:tc>
          <w:tcPr>
            <w:tcW w:w="2109" w:type="pct"/>
            <w:gridSpan w:val="7"/>
            <w:vAlign w:val="center"/>
          </w:tcPr>
          <w:p w14:paraId="2CB9760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数据来源</w:t>
            </w:r>
          </w:p>
        </w:tc>
      </w:tr>
      <w:tr w14:paraId="7F9A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EB8E5F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2A16B53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2163" w:type="pct"/>
            <w:gridSpan w:val="6"/>
            <w:vAlign w:val="center"/>
          </w:tcPr>
          <w:p w14:paraId="7E76352D">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丰水期 □；平水期 □；枯水期 □；冰封期 □</w:t>
            </w:r>
          </w:p>
          <w:p w14:paraId="3D82776D">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春季 □；夏季 □；秋季 □；冬季□</w:t>
            </w:r>
          </w:p>
        </w:tc>
        <w:tc>
          <w:tcPr>
            <w:tcW w:w="2109" w:type="pct"/>
            <w:gridSpan w:val="7"/>
            <w:vAlign w:val="center"/>
          </w:tcPr>
          <w:p w14:paraId="4F7DB15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水行政主管部门 □；补充监测 □；其他 □</w:t>
            </w:r>
          </w:p>
        </w:tc>
      </w:tr>
      <w:tr w14:paraId="3033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6170FF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restart"/>
            <w:vAlign w:val="center"/>
          </w:tcPr>
          <w:p w14:paraId="7FAE37A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补充监测</w:t>
            </w:r>
          </w:p>
        </w:tc>
        <w:tc>
          <w:tcPr>
            <w:tcW w:w="2163" w:type="pct"/>
            <w:gridSpan w:val="6"/>
            <w:vAlign w:val="center"/>
          </w:tcPr>
          <w:p w14:paraId="36C51A4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监测时期</w:t>
            </w:r>
          </w:p>
        </w:tc>
        <w:tc>
          <w:tcPr>
            <w:tcW w:w="1252" w:type="pct"/>
            <w:gridSpan w:val="5"/>
            <w:vAlign w:val="center"/>
          </w:tcPr>
          <w:p w14:paraId="7D0FCBC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监测因子</w:t>
            </w:r>
          </w:p>
        </w:tc>
        <w:tc>
          <w:tcPr>
            <w:tcW w:w="857" w:type="pct"/>
            <w:gridSpan w:val="2"/>
            <w:vAlign w:val="center"/>
          </w:tcPr>
          <w:p w14:paraId="02B8E7C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监测断面或点位</w:t>
            </w:r>
          </w:p>
        </w:tc>
      </w:tr>
      <w:tr w14:paraId="768D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F797CE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1D589AF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2163" w:type="pct"/>
            <w:gridSpan w:val="6"/>
            <w:vAlign w:val="center"/>
          </w:tcPr>
          <w:p w14:paraId="5D2E36D2">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丰水期 □；平水期 □；枯水期 □；冰封期□</w:t>
            </w:r>
          </w:p>
          <w:p w14:paraId="6625158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春季 □；夏季 □；秋季 □；冬季□</w:t>
            </w:r>
          </w:p>
        </w:tc>
        <w:tc>
          <w:tcPr>
            <w:tcW w:w="1252" w:type="pct"/>
            <w:gridSpan w:val="5"/>
            <w:vAlign w:val="center"/>
          </w:tcPr>
          <w:p w14:paraId="0B22CB3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w:t>
            </w:r>
          </w:p>
        </w:tc>
        <w:tc>
          <w:tcPr>
            <w:tcW w:w="857" w:type="pct"/>
            <w:gridSpan w:val="2"/>
            <w:vAlign w:val="center"/>
          </w:tcPr>
          <w:p w14:paraId="06D4E4C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监测断面或点位个数（）个</w:t>
            </w:r>
          </w:p>
        </w:tc>
      </w:tr>
      <w:tr w14:paraId="1215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6ED6235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现</w:t>
            </w:r>
          </w:p>
          <w:p w14:paraId="2516801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状</w:t>
            </w:r>
          </w:p>
          <w:p w14:paraId="5FCF0B5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w:t>
            </w:r>
          </w:p>
          <w:p w14:paraId="4CDC0E4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价</w:t>
            </w:r>
          </w:p>
        </w:tc>
        <w:tc>
          <w:tcPr>
            <w:tcW w:w="497" w:type="pct"/>
            <w:vAlign w:val="center"/>
          </w:tcPr>
          <w:p w14:paraId="09CBCD6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评价范围</w:t>
            </w:r>
          </w:p>
        </w:tc>
        <w:tc>
          <w:tcPr>
            <w:tcW w:w="4272" w:type="pct"/>
            <w:gridSpan w:val="13"/>
            <w:vAlign w:val="center"/>
          </w:tcPr>
          <w:p w14:paraId="7E13F628">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河流：长度（ ）km；湖库、河口及近岸海域：面积（ ）km</w:t>
            </w:r>
            <w:r>
              <w:rPr>
                <w:rFonts w:ascii="Times New Roman" w:hAnsi="Times New Roman" w:cs="Times New Roman" w:eastAsiaTheme="minorEastAsia"/>
                <w:caps w:val="0"/>
                <w:smallCaps w:val="0"/>
                <w:color w:val="000000" w:themeColor="text1"/>
                <w:spacing w:val="0"/>
                <w:w w:val="100"/>
                <w:position w:val="0"/>
                <w:sz w:val="18"/>
                <w:szCs w:val="18"/>
                <w:vertAlign w:val="superscript"/>
                <w14:textFill>
                  <w14:solidFill>
                    <w14:schemeClr w14:val="tx1"/>
                  </w14:solidFill>
                </w14:textFill>
              </w:rPr>
              <w:t>2</w:t>
            </w:r>
          </w:p>
        </w:tc>
      </w:tr>
      <w:tr w14:paraId="7826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02D3CF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697455B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评价因子</w:t>
            </w:r>
          </w:p>
        </w:tc>
        <w:tc>
          <w:tcPr>
            <w:tcW w:w="4272" w:type="pct"/>
            <w:gridSpan w:val="13"/>
            <w:vAlign w:val="center"/>
          </w:tcPr>
          <w:p w14:paraId="5411C30F">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w:t>
            </w:r>
          </w:p>
        </w:tc>
      </w:tr>
      <w:tr w14:paraId="7DF5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34A8CD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6A0AEB3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评价标准</w:t>
            </w:r>
          </w:p>
        </w:tc>
        <w:tc>
          <w:tcPr>
            <w:tcW w:w="4272" w:type="pct"/>
            <w:gridSpan w:val="13"/>
            <w:vAlign w:val="center"/>
          </w:tcPr>
          <w:p w14:paraId="27A248D0">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河流、湖库、河口：Ⅰ类 □；Ⅱ类 □；Ⅲ类 □；Ⅳ类 □；Ⅴ类 □</w:t>
            </w:r>
          </w:p>
          <w:p w14:paraId="723E92FB">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近岸海域：第一类 □；第二类 □；第三类 □；第四类 □</w:t>
            </w:r>
          </w:p>
          <w:p w14:paraId="6F74ED3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规划年评价标准（ ）</w:t>
            </w:r>
          </w:p>
        </w:tc>
      </w:tr>
      <w:tr w14:paraId="4929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C07685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0E4EF37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评价时期</w:t>
            </w:r>
          </w:p>
        </w:tc>
        <w:tc>
          <w:tcPr>
            <w:tcW w:w="4272" w:type="pct"/>
            <w:gridSpan w:val="13"/>
            <w:vAlign w:val="center"/>
          </w:tcPr>
          <w:p w14:paraId="2616B91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丰水期 □；平水期 □；枯水期 □；冰封期 □</w:t>
            </w:r>
          </w:p>
          <w:p w14:paraId="6AECB69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春季 □；夏季 □；秋季；□冬季 □</w:t>
            </w:r>
          </w:p>
        </w:tc>
      </w:tr>
      <w:tr w14:paraId="4799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38B6E1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21263D8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评价结论</w:t>
            </w:r>
          </w:p>
        </w:tc>
        <w:tc>
          <w:tcPr>
            <w:tcW w:w="3577" w:type="pct"/>
            <w:gridSpan w:val="12"/>
            <w:vAlign w:val="center"/>
          </w:tcPr>
          <w:p w14:paraId="7688A885">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水环境功能区或水功能区、近岸海域环境功能区水质达标状况□：达标 □；不达标 □</w:t>
            </w:r>
          </w:p>
          <w:p w14:paraId="62AEBFB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水环境控制单元或断面水质达标状况 □：达标 □；不达标 □</w:t>
            </w:r>
          </w:p>
          <w:p w14:paraId="164A2DD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水环境保护目标质量状况 □：达标 □；不达标 □</w:t>
            </w:r>
          </w:p>
          <w:p w14:paraId="48AB0A8F">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对照断面、控制断面等代表性断面的水质状况 □：达标 □；不达标□</w:t>
            </w:r>
          </w:p>
          <w:p w14:paraId="25402A5D">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底泥污染评价 □</w:t>
            </w:r>
          </w:p>
          <w:p w14:paraId="0274734A">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水资源与开发利用程度及其水文情势评价 □</w:t>
            </w:r>
          </w:p>
          <w:p w14:paraId="73D01A9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水环境质量回顾评价 □</w:t>
            </w:r>
          </w:p>
          <w:p w14:paraId="097513AB">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流域（区域）水资源（包括水能资源）与开发利用总体状况、生态流量管理要求与现状满足程度、建设项目占用水域空间的水流状况与河湖演变状况 □</w:t>
            </w:r>
          </w:p>
        </w:tc>
        <w:tc>
          <w:tcPr>
            <w:tcW w:w="695" w:type="pct"/>
            <w:vAlign w:val="center"/>
          </w:tcPr>
          <w:p w14:paraId="0D0DDC4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达标区□</w:t>
            </w:r>
          </w:p>
          <w:p w14:paraId="59B7643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不达标区□</w:t>
            </w:r>
          </w:p>
        </w:tc>
      </w:tr>
      <w:tr w14:paraId="71D6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5617D12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影</w:t>
            </w:r>
          </w:p>
          <w:p w14:paraId="4910DDA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响</w:t>
            </w:r>
          </w:p>
          <w:p w14:paraId="11D6C29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预</w:t>
            </w:r>
          </w:p>
          <w:p w14:paraId="6649FE2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测</w:t>
            </w:r>
          </w:p>
        </w:tc>
        <w:tc>
          <w:tcPr>
            <w:tcW w:w="497" w:type="pct"/>
            <w:vAlign w:val="center"/>
          </w:tcPr>
          <w:p w14:paraId="4953131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预测范围</w:t>
            </w:r>
          </w:p>
        </w:tc>
        <w:tc>
          <w:tcPr>
            <w:tcW w:w="4272" w:type="pct"/>
            <w:gridSpan w:val="13"/>
            <w:vAlign w:val="center"/>
          </w:tcPr>
          <w:p w14:paraId="5AA7B7C6">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河流：长度（ ）km；湖库、河口及近岸海域：面积（ ）km</w:t>
            </w:r>
            <w:r>
              <w:rPr>
                <w:rFonts w:ascii="Times New Roman" w:hAnsi="Times New Roman" w:cs="Times New Roman" w:eastAsiaTheme="minorEastAsia"/>
                <w:caps w:val="0"/>
                <w:smallCaps w:val="0"/>
                <w:color w:val="000000" w:themeColor="text1"/>
                <w:spacing w:val="0"/>
                <w:w w:val="100"/>
                <w:position w:val="0"/>
                <w:sz w:val="18"/>
                <w:szCs w:val="18"/>
                <w:vertAlign w:val="superscript"/>
                <w14:textFill>
                  <w14:solidFill>
                    <w14:schemeClr w14:val="tx1"/>
                  </w14:solidFill>
                </w14:textFill>
              </w:rPr>
              <w:t>2</w:t>
            </w:r>
          </w:p>
        </w:tc>
      </w:tr>
      <w:tr w14:paraId="01FD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3B26B2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4EA7DBE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预测因子</w:t>
            </w:r>
          </w:p>
        </w:tc>
        <w:tc>
          <w:tcPr>
            <w:tcW w:w="4272" w:type="pct"/>
            <w:gridSpan w:val="13"/>
            <w:vAlign w:val="center"/>
          </w:tcPr>
          <w:p w14:paraId="575A9956">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w:t>
            </w:r>
          </w:p>
        </w:tc>
      </w:tr>
      <w:tr w14:paraId="1EDC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F83677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4F368D3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预测时期</w:t>
            </w:r>
          </w:p>
        </w:tc>
        <w:tc>
          <w:tcPr>
            <w:tcW w:w="4272" w:type="pct"/>
            <w:gridSpan w:val="13"/>
            <w:vAlign w:val="center"/>
          </w:tcPr>
          <w:p w14:paraId="4DA32742">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丰水期 □；平水期 □；枯水期 □；冰封期 □</w:t>
            </w:r>
          </w:p>
          <w:p w14:paraId="1116081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春季 □；夏季 □；秋季 □；冬季 □</w:t>
            </w:r>
          </w:p>
          <w:p w14:paraId="4E2B0509">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设计水文条件 □</w:t>
            </w:r>
          </w:p>
        </w:tc>
      </w:tr>
      <w:tr w14:paraId="396C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6D02FD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617C8AB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预测情景</w:t>
            </w:r>
          </w:p>
        </w:tc>
        <w:tc>
          <w:tcPr>
            <w:tcW w:w="4272" w:type="pct"/>
            <w:gridSpan w:val="13"/>
            <w:vAlign w:val="center"/>
          </w:tcPr>
          <w:p w14:paraId="5500CAD3">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建设期 □；生产运行期 □；服务期满后 □</w:t>
            </w:r>
          </w:p>
          <w:p w14:paraId="3A6B558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正常工况 □；非正常工况 □</w:t>
            </w:r>
          </w:p>
          <w:p w14:paraId="619D822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污染控制和减缓措施方案 □</w:t>
            </w:r>
          </w:p>
          <w:p w14:paraId="1218241F">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区（流）域环境质量改善目标要求情景 □</w:t>
            </w:r>
          </w:p>
        </w:tc>
      </w:tr>
      <w:tr w14:paraId="3CAA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D5575B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476B350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预测方法</w:t>
            </w:r>
          </w:p>
        </w:tc>
        <w:tc>
          <w:tcPr>
            <w:tcW w:w="4272" w:type="pct"/>
            <w:gridSpan w:val="13"/>
            <w:vAlign w:val="center"/>
          </w:tcPr>
          <w:p w14:paraId="58786B91">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数值解 □：解析解 □；其他 □</w:t>
            </w:r>
          </w:p>
          <w:p w14:paraId="66C6D44A">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导则推荐模式 □：其他 □</w:t>
            </w:r>
          </w:p>
        </w:tc>
      </w:tr>
      <w:tr w14:paraId="033E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4D7172A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影</w:t>
            </w:r>
          </w:p>
          <w:p w14:paraId="663AFFC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响</w:t>
            </w:r>
          </w:p>
          <w:p w14:paraId="5C38998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w:t>
            </w:r>
          </w:p>
          <w:p w14:paraId="3C5C092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价</w:t>
            </w:r>
          </w:p>
        </w:tc>
        <w:tc>
          <w:tcPr>
            <w:tcW w:w="497" w:type="pct"/>
            <w:vAlign w:val="center"/>
          </w:tcPr>
          <w:p w14:paraId="792AA3C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水污染控制和水环境影响减缓措施有效性评价</w:t>
            </w:r>
          </w:p>
        </w:tc>
        <w:tc>
          <w:tcPr>
            <w:tcW w:w="4272" w:type="pct"/>
            <w:gridSpan w:val="13"/>
            <w:vAlign w:val="center"/>
          </w:tcPr>
          <w:p w14:paraId="6412B55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区（流）域水环境质量改善目标 □；替代削减源 □</w:t>
            </w:r>
          </w:p>
        </w:tc>
      </w:tr>
      <w:tr w14:paraId="34DC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3E53AF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6A1392D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水环境影响评价</w:t>
            </w:r>
          </w:p>
        </w:tc>
        <w:tc>
          <w:tcPr>
            <w:tcW w:w="4272" w:type="pct"/>
            <w:gridSpan w:val="13"/>
            <w:vAlign w:val="center"/>
          </w:tcPr>
          <w:p w14:paraId="77A8693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排放口混合区外满足水环境管理要求 □</w:t>
            </w:r>
          </w:p>
          <w:p w14:paraId="6501D75B">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水环境功能区或水功能区、近岸海域环境功能区水质达标 □</w:t>
            </w:r>
          </w:p>
          <w:p w14:paraId="3BDE23AE">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满足水环境保护目标水域水环境质量要求 □</w:t>
            </w:r>
          </w:p>
          <w:p w14:paraId="3C4F7618">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水环境控制单元或断面水质达标 □</w:t>
            </w:r>
          </w:p>
          <w:p w14:paraId="3806064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满足重点水污染物排放总量控制指标要求，重点行业建设项目， 主要污染物排放满足等量或减量替代要求□</w:t>
            </w:r>
          </w:p>
          <w:p w14:paraId="5D46B173">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满足区（流）域水环境质量改善目标要求 □</w:t>
            </w:r>
          </w:p>
          <w:p w14:paraId="389CDF3F">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水文要素影响型建设项目同时应包括水文情势变化评价、主要水文特征值影响评价、生态流量符合性评价 □</w:t>
            </w:r>
          </w:p>
          <w:p w14:paraId="75C40D40">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对于新设或调整入河（湖库、近岸海域）排放口的建设项目，应包括排放口设置的环境合理性评价 □</w:t>
            </w:r>
          </w:p>
          <w:p w14:paraId="2AEE1E5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满足生态保护红线、水环境质量底线、资源利用上线和环境准入清单管理要求 □</w:t>
            </w:r>
          </w:p>
        </w:tc>
      </w:tr>
      <w:tr w14:paraId="1A51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83D8D7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restart"/>
            <w:vAlign w:val="center"/>
          </w:tcPr>
          <w:p w14:paraId="2F886C1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污染源排放量核算</w:t>
            </w:r>
          </w:p>
        </w:tc>
        <w:tc>
          <w:tcPr>
            <w:tcW w:w="1414" w:type="pct"/>
            <w:gridSpan w:val="4"/>
            <w:vAlign w:val="center"/>
          </w:tcPr>
          <w:p w14:paraId="0B6355F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污染物名称</w:t>
            </w:r>
          </w:p>
        </w:tc>
        <w:tc>
          <w:tcPr>
            <w:tcW w:w="1414" w:type="pct"/>
            <w:gridSpan w:val="5"/>
            <w:vAlign w:val="center"/>
          </w:tcPr>
          <w:p w14:paraId="5F31E64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排放量/（t/a）</w:t>
            </w:r>
          </w:p>
        </w:tc>
        <w:tc>
          <w:tcPr>
            <w:tcW w:w="1444" w:type="pct"/>
            <w:gridSpan w:val="4"/>
            <w:vAlign w:val="center"/>
          </w:tcPr>
          <w:p w14:paraId="21D1711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排放浓度/（mg/L）</w:t>
            </w:r>
          </w:p>
        </w:tc>
      </w:tr>
      <w:tr w14:paraId="71E2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BEAA03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72AD96F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1414" w:type="pct"/>
            <w:gridSpan w:val="4"/>
            <w:vAlign w:val="center"/>
          </w:tcPr>
          <w:p w14:paraId="76D0501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w:t>
            </w:r>
          </w:p>
        </w:tc>
        <w:tc>
          <w:tcPr>
            <w:tcW w:w="1414" w:type="pct"/>
            <w:gridSpan w:val="5"/>
            <w:vAlign w:val="center"/>
          </w:tcPr>
          <w:p w14:paraId="181F747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w:t>
            </w:r>
          </w:p>
        </w:tc>
        <w:tc>
          <w:tcPr>
            <w:tcW w:w="1444" w:type="pct"/>
            <w:gridSpan w:val="4"/>
            <w:vAlign w:val="center"/>
          </w:tcPr>
          <w:p w14:paraId="7DF2AE8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w:t>
            </w:r>
          </w:p>
        </w:tc>
      </w:tr>
      <w:tr w14:paraId="15E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5C1886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restart"/>
            <w:vAlign w:val="center"/>
          </w:tcPr>
          <w:p w14:paraId="50F9F91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替代源排放情况</w:t>
            </w:r>
          </w:p>
        </w:tc>
        <w:tc>
          <w:tcPr>
            <w:tcW w:w="749" w:type="pct"/>
            <w:vAlign w:val="center"/>
          </w:tcPr>
          <w:p w14:paraId="5FF1916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污染源名称</w:t>
            </w:r>
          </w:p>
        </w:tc>
        <w:tc>
          <w:tcPr>
            <w:tcW w:w="832" w:type="pct"/>
            <w:gridSpan w:val="4"/>
            <w:vAlign w:val="center"/>
          </w:tcPr>
          <w:p w14:paraId="3C2021E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排污许可证编号</w:t>
            </w:r>
          </w:p>
        </w:tc>
        <w:tc>
          <w:tcPr>
            <w:tcW w:w="915" w:type="pct"/>
            <w:gridSpan w:val="2"/>
            <w:vAlign w:val="center"/>
          </w:tcPr>
          <w:p w14:paraId="1305BEC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污染物名称</w:t>
            </w:r>
          </w:p>
        </w:tc>
        <w:tc>
          <w:tcPr>
            <w:tcW w:w="831" w:type="pct"/>
            <w:gridSpan w:val="3"/>
            <w:vAlign w:val="center"/>
          </w:tcPr>
          <w:p w14:paraId="7B917E9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排放量/（t/a）</w:t>
            </w:r>
          </w:p>
        </w:tc>
        <w:tc>
          <w:tcPr>
            <w:tcW w:w="945" w:type="pct"/>
            <w:gridSpan w:val="3"/>
            <w:vAlign w:val="center"/>
          </w:tcPr>
          <w:p w14:paraId="1F99B1A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排放浓度/（mg/L）</w:t>
            </w:r>
          </w:p>
        </w:tc>
      </w:tr>
      <w:tr w14:paraId="0F0D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51B6D0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72A8E05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749" w:type="pct"/>
            <w:vAlign w:val="center"/>
          </w:tcPr>
          <w:p w14:paraId="5A4275E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c>
          <w:tcPr>
            <w:tcW w:w="832" w:type="pct"/>
            <w:gridSpan w:val="4"/>
            <w:vAlign w:val="center"/>
          </w:tcPr>
          <w:p w14:paraId="5A07F4F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c>
          <w:tcPr>
            <w:tcW w:w="915" w:type="pct"/>
            <w:gridSpan w:val="2"/>
            <w:vAlign w:val="center"/>
          </w:tcPr>
          <w:p w14:paraId="26265CE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c>
          <w:tcPr>
            <w:tcW w:w="831" w:type="pct"/>
            <w:gridSpan w:val="3"/>
            <w:vAlign w:val="center"/>
          </w:tcPr>
          <w:p w14:paraId="1EEDED8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c>
          <w:tcPr>
            <w:tcW w:w="945" w:type="pct"/>
            <w:gridSpan w:val="3"/>
            <w:vAlign w:val="center"/>
          </w:tcPr>
          <w:p w14:paraId="2F826DF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r>
      <w:tr w14:paraId="7614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53208B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386F2C1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生态流量确定</w:t>
            </w:r>
          </w:p>
        </w:tc>
        <w:tc>
          <w:tcPr>
            <w:tcW w:w="4272" w:type="pct"/>
            <w:gridSpan w:val="13"/>
            <w:vAlign w:val="center"/>
          </w:tcPr>
          <w:p w14:paraId="202E2D00">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生态流量：一般水期（ ）m</w:t>
            </w:r>
            <w:r>
              <w:rPr>
                <w:rFonts w:ascii="Times New Roman" w:hAnsi="Times New Roman" w:cs="Times New Roman" w:eastAsiaTheme="minorEastAsia"/>
                <w:caps w:val="0"/>
                <w:smallCaps w:val="0"/>
                <w:color w:val="000000" w:themeColor="text1"/>
                <w:spacing w:val="0"/>
                <w:w w:val="100"/>
                <w:position w:val="0"/>
                <w:sz w:val="18"/>
                <w:szCs w:val="18"/>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/s；鱼类繁殖期（ ）m</w:t>
            </w:r>
            <w:r>
              <w:rPr>
                <w:rFonts w:ascii="Times New Roman" w:hAnsi="Times New Roman" w:cs="Times New Roman" w:eastAsiaTheme="minorEastAsia"/>
                <w:caps w:val="0"/>
                <w:smallCaps w:val="0"/>
                <w:color w:val="000000" w:themeColor="text1"/>
                <w:spacing w:val="0"/>
                <w:w w:val="100"/>
                <w:position w:val="0"/>
                <w:sz w:val="18"/>
                <w:szCs w:val="18"/>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/s；其他（ ）m</w:t>
            </w:r>
            <w:r>
              <w:rPr>
                <w:rFonts w:ascii="Times New Roman" w:hAnsi="Times New Roman" w:cs="Times New Roman" w:eastAsiaTheme="minorEastAsia"/>
                <w:caps w:val="0"/>
                <w:smallCaps w:val="0"/>
                <w:color w:val="000000" w:themeColor="text1"/>
                <w:spacing w:val="0"/>
                <w:w w:val="100"/>
                <w:position w:val="0"/>
                <w:sz w:val="18"/>
                <w:szCs w:val="18"/>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/s</w:t>
            </w:r>
          </w:p>
          <w:p w14:paraId="126A2502">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生态水位：一般水期（ ）m；鱼类繁殖期（ ）m；其他（ ）m</w:t>
            </w:r>
          </w:p>
        </w:tc>
      </w:tr>
      <w:tr w14:paraId="7901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52A5EEB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防</w:t>
            </w:r>
          </w:p>
          <w:p w14:paraId="17312D3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治</w:t>
            </w:r>
          </w:p>
          <w:p w14:paraId="013805A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措</w:t>
            </w:r>
          </w:p>
          <w:p w14:paraId="30C6B82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施</w:t>
            </w:r>
          </w:p>
        </w:tc>
        <w:tc>
          <w:tcPr>
            <w:tcW w:w="497" w:type="pct"/>
            <w:vAlign w:val="center"/>
          </w:tcPr>
          <w:p w14:paraId="3978F45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环保措施</w:t>
            </w:r>
          </w:p>
        </w:tc>
        <w:tc>
          <w:tcPr>
            <w:tcW w:w="4272" w:type="pct"/>
            <w:gridSpan w:val="13"/>
            <w:vAlign w:val="center"/>
          </w:tcPr>
          <w:p w14:paraId="284E5CBE">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污水处理设施 □；水文减缓设施 □；生态流量保障设施 □；区域削减 □；依托其他工程措施 √；其他 □</w:t>
            </w:r>
          </w:p>
        </w:tc>
      </w:tr>
      <w:tr w14:paraId="1D57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CB382D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restart"/>
            <w:vAlign w:val="center"/>
          </w:tcPr>
          <w:p w14:paraId="2BE63E5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监测计划</w:t>
            </w:r>
          </w:p>
        </w:tc>
        <w:tc>
          <w:tcPr>
            <w:tcW w:w="1081" w:type="pct"/>
            <w:gridSpan w:val="2"/>
            <w:vAlign w:val="center"/>
          </w:tcPr>
          <w:p w14:paraId="5831165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1580" w:type="pct"/>
            <w:gridSpan w:val="6"/>
            <w:vAlign w:val="center"/>
          </w:tcPr>
          <w:p w14:paraId="36C8834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环境质量</w:t>
            </w:r>
          </w:p>
        </w:tc>
        <w:tc>
          <w:tcPr>
            <w:tcW w:w="1611" w:type="pct"/>
            <w:gridSpan w:val="5"/>
            <w:vAlign w:val="center"/>
          </w:tcPr>
          <w:p w14:paraId="664DF9A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污染源</w:t>
            </w:r>
          </w:p>
        </w:tc>
      </w:tr>
      <w:tr w14:paraId="790D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1411A5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541F59F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1081" w:type="pct"/>
            <w:gridSpan w:val="2"/>
            <w:vAlign w:val="center"/>
          </w:tcPr>
          <w:p w14:paraId="691B7CB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监测方式</w:t>
            </w:r>
          </w:p>
        </w:tc>
        <w:tc>
          <w:tcPr>
            <w:tcW w:w="1580" w:type="pct"/>
            <w:gridSpan w:val="6"/>
            <w:vAlign w:val="center"/>
          </w:tcPr>
          <w:p w14:paraId="0D6BAC9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手动 □；自动 □；无监测 √</w:t>
            </w:r>
          </w:p>
        </w:tc>
        <w:tc>
          <w:tcPr>
            <w:tcW w:w="1611" w:type="pct"/>
            <w:gridSpan w:val="5"/>
            <w:vAlign w:val="center"/>
          </w:tcPr>
          <w:p w14:paraId="6D6406D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手动 □；自动 □；无监测 √</w:t>
            </w:r>
          </w:p>
        </w:tc>
      </w:tr>
      <w:tr w14:paraId="0849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2E6268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6C34C2A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1081" w:type="pct"/>
            <w:gridSpan w:val="2"/>
            <w:vAlign w:val="center"/>
          </w:tcPr>
          <w:p w14:paraId="36D7C95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监测点位</w:t>
            </w:r>
          </w:p>
        </w:tc>
        <w:tc>
          <w:tcPr>
            <w:tcW w:w="1580" w:type="pct"/>
            <w:gridSpan w:val="6"/>
            <w:vAlign w:val="center"/>
          </w:tcPr>
          <w:p w14:paraId="30B9C1C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c>
          <w:tcPr>
            <w:tcW w:w="1611" w:type="pct"/>
            <w:gridSpan w:val="5"/>
            <w:vAlign w:val="center"/>
          </w:tcPr>
          <w:p w14:paraId="2832D5B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r>
      <w:tr w14:paraId="41CD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62F0E2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Merge w:val="continue"/>
            <w:vAlign w:val="center"/>
          </w:tcPr>
          <w:p w14:paraId="3E21587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1081" w:type="pct"/>
            <w:gridSpan w:val="2"/>
            <w:vAlign w:val="center"/>
          </w:tcPr>
          <w:p w14:paraId="76D8BC1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监测因子</w:t>
            </w:r>
          </w:p>
        </w:tc>
        <w:tc>
          <w:tcPr>
            <w:tcW w:w="1580" w:type="pct"/>
            <w:gridSpan w:val="6"/>
            <w:vAlign w:val="center"/>
          </w:tcPr>
          <w:p w14:paraId="3380DCD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c>
          <w:tcPr>
            <w:tcW w:w="1611" w:type="pct"/>
            <w:gridSpan w:val="5"/>
            <w:vAlign w:val="center"/>
          </w:tcPr>
          <w:p w14:paraId="3C30B30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 xml:space="preserve">（ ）  </w:t>
            </w:r>
          </w:p>
        </w:tc>
      </w:tr>
      <w:tr w14:paraId="4B4F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5B5857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p>
        </w:tc>
        <w:tc>
          <w:tcPr>
            <w:tcW w:w="497" w:type="pct"/>
            <w:vAlign w:val="center"/>
          </w:tcPr>
          <w:p w14:paraId="32D65C7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污染物排放清单</w:t>
            </w:r>
          </w:p>
        </w:tc>
        <w:tc>
          <w:tcPr>
            <w:tcW w:w="4272" w:type="pct"/>
            <w:gridSpan w:val="13"/>
            <w:vAlign w:val="center"/>
          </w:tcPr>
          <w:p w14:paraId="448B07AB">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w:t>
            </w:r>
          </w:p>
        </w:tc>
      </w:tr>
      <w:tr w14:paraId="043F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Align w:val="center"/>
          </w:tcPr>
          <w:p w14:paraId="12E57E1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评价结论</w:t>
            </w:r>
          </w:p>
        </w:tc>
        <w:tc>
          <w:tcPr>
            <w:tcW w:w="4272" w:type="pct"/>
            <w:gridSpan w:val="13"/>
            <w:vAlign w:val="center"/>
          </w:tcPr>
          <w:p w14:paraId="0CD6B152">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可以接受 √；不可以接受 □</w:t>
            </w:r>
          </w:p>
        </w:tc>
      </w:tr>
      <w:tr w14:paraId="4E0D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5"/>
            <w:vAlign w:val="center"/>
          </w:tcPr>
          <w:p w14:paraId="0C11437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14:textFill>
                  <w14:solidFill>
                    <w14:schemeClr w14:val="tx1"/>
                  </w14:solidFill>
                </w14:textFill>
              </w:rPr>
              <w:t>注：“□”为勾选项，可√；“（ ）”为内容填写项；“备注”为其他补充内容。</w:t>
            </w:r>
          </w:p>
        </w:tc>
      </w:tr>
    </w:tbl>
    <w:p w14:paraId="254A3F49">
      <w:pPr>
        <w:pStyle w:val="102"/>
        <w:jc w:val="left"/>
        <w:rPr>
          <w:caps w:val="0"/>
          <w:smallCaps w:val="0"/>
          <w:color w:val="000000" w:themeColor="text1"/>
          <w:spacing w:val="0"/>
          <w:w w:val="100"/>
          <w:position w:val="0"/>
          <w14:textFill>
            <w14:solidFill>
              <w14:schemeClr w14:val="tx1"/>
            </w14:solidFill>
          </w14:textFill>
        </w:rPr>
      </w:pPr>
    </w:p>
    <w:p w14:paraId="2D0C2106">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2BE4BB3F">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sectPr>
          <w:pgSz w:w="11906" w:h="16838"/>
          <w:pgMar w:top="1418" w:right="1418" w:bottom="1418" w:left="1418" w:header="851" w:footer="992" w:gutter="0"/>
          <w:cols w:space="720" w:num="1"/>
          <w:docGrid w:linePitch="312" w:charSpace="0"/>
        </w:sectPr>
      </w:pPr>
      <w:bookmarkStart w:id="1254" w:name="_Toc173163577"/>
      <w:bookmarkStart w:id="1255" w:name="_Toc186444436"/>
    </w:p>
    <w:p w14:paraId="64E588C6">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bookmarkStart w:id="1256" w:name="_Toc219900428"/>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附表5：生态影响评价自查表</w:t>
      </w:r>
      <w:bookmarkEnd w:id="1254"/>
      <w:bookmarkEnd w:id="1255"/>
      <w:bookmarkEnd w:id="1256"/>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01"/>
        <w:gridCol w:w="6230"/>
      </w:tblGrid>
      <w:tr w14:paraId="3167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776A6E3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工作内容</w:t>
            </w:r>
          </w:p>
        </w:tc>
        <w:tc>
          <w:tcPr>
            <w:tcW w:w="6230" w:type="dxa"/>
            <w:vAlign w:val="center"/>
          </w:tcPr>
          <w:p w14:paraId="3A10DE8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自查项目</w:t>
            </w:r>
          </w:p>
        </w:tc>
      </w:tr>
      <w:tr w14:paraId="220E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3C62AB4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生态影响识别</w:t>
            </w:r>
          </w:p>
        </w:tc>
        <w:tc>
          <w:tcPr>
            <w:tcW w:w="1701" w:type="dxa"/>
            <w:vAlign w:val="center"/>
          </w:tcPr>
          <w:p w14:paraId="7543C6F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生态保护目标</w:t>
            </w:r>
          </w:p>
        </w:tc>
        <w:tc>
          <w:tcPr>
            <w:tcW w:w="6230" w:type="dxa"/>
            <w:vAlign w:val="center"/>
          </w:tcPr>
          <w:p w14:paraId="690F6A92">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重要物种□；国家公园□；自然保护区□；自然公园□；世界自然遗产□；生态保护红线□；重要生境□；其他具有重要生态功能、对保护生物多样性具有重要意义的区域□；其他</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6FDB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76E93E8C">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701" w:type="dxa"/>
            <w:vAlign w:val="center"/>
          </w:tcPr>
          <w:p w14:paraId="472674A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影响方式</w:t>
            </w:r>
          </w:p>
        </w:tc>
        <w:tc>
          <w:tcPr>
            <w:tcW w:w="6230" w:type="dxa"/>
            <w:vAlign w:val="center"/>
          </w:tcPr>
          <w:p w14:paraId="73C084E1">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工程占用</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；施工活动干扰</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；改变环境条件□；其他□</w:t>
            </w:r>
          </w:p>
        </w:tc>
      </w:tr>
      <w:tr w14:paraId="2626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74E1994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701" w:type="dxa"/>
            <w:vAlign w:val="center"/>
          </w:tcPr>
          <w:p w14:paraId="320A4E9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评价因子</w:t>
            </w:r>
          </w:p>
        </w:tc>
        <w:tc>
          <w:tcPr>
            <w:tcW w:w="6230" w:type="dxa"/>
            <w:vAlign w:val="center"/>
          </w:tcPr>
          <w:p w14:paraId="20A0CBEA">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物种</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（分布范围、种群数量、种群结构、行为）</w:t>
            </w:r>
          </w:p>
          <w:p w14:paraId="45BA060A">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生境</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（生境面积、质量、连通性）</w:t>
            </w:r>
          </w:p>
          <w:p w14:paraId="682916D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生物群落</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（物种组成、群落结构）</w:t>
            </w:r>
          </w:p>
          <w:p w14:paraId="18576403">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生态系统</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（植被覆盖度、生产力、生物量、生态系统功能）</w:t>
            </w:r>
          </w:p>
          <w:p w14:paraId="2AA7BA5B">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生物多样性</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（物种丰富度、均匀度、优势度）</w:t>
            </w:r>
          </w:p>
          <w:p w14:paraId="07C171C9">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生态敏感区□（ ）</w:t>
            </w:r>
          </w:p>
          <w:p w14:paraId="7D4A47C2">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自然景观□（ ）</w:t>
            </w:r>
          </w:p>
          <w:p w14:paraId="27A6311B">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自然遗迹□（ ）</w:t>
            </w:r>
          </w:p>
          <w:p w14:paraId="6C0675E1">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其他□（ ）</w:t>
            </w:r>
          </w:p>
        </w:tc>
      </w:tr>
      <w:tr w14:paraId="529C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5AA91E1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评价等级</w:t>
            </w:r>
          </w:p>
        </w:tc>
        <w:tc>
          <w:tcPr>
            <w:tcW w:w="6230" w:type="dxa"/>
            <w:vAlign w:val="center"/>
          </w:tcPr>
          <w:p w14:paraId="1C73365E">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一级□ 二级□ 三级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生态影响简单分析□</w:t>
            </w:r>
          </w:p>
        </w:tc>
      </w:tr>
      <w:tr w14:paraId="4DD2B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036250C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评价范围</w:t>
            </w:r>
          </w:p>
        </w:tc>
        <w:tc>
          <w:tcPr>
            <w:tcW w:w="6230" w:type="dxa"/>
            <w:vAlign w:val="center"/>
          </w:tcPr>
          <w:p w14:paraId="23EB4547">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陆域面积：（ ）km</w:t>
            </w:r>
            <w:r>
              <w:rPr>
                <w:rFonts w:ascii="Times New Roman" w:hAnsi="Times New Roman" w:cs="Times New Roman" w:eastAsiaTheme="minorEastAsia"/>
                <w:caps w:val="0"/>
                <w:smallCaps w:val="0"/>
                <w:color w:val="000000" w:themeColor="text1"/>
                <w:spacing w:val="0"/>
                <w:w w:val="100"/>
                <w:position w:val="0"/>
                <w:sz w:val="21"/>
                <w:szCs w:val="21"/>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；水域面积：（ ）km</w:t>
            </w:r>
            <w:r>
              <w:rPr>
                <w:rFonts w:ascii="Times New Roman" w:hAnsi="Times New Roman" w:cs="Times New Roman" w:eastAsiaTheme="minorEastAsia"/>
                <w:caps w:val="0"/>
                <w:smallCaps w:val="0"/>
                <w:color w:val="000000" w:themeColor="text1"/>
                <w:spacing w:val="0"/>
                <w:w w:val="100"/>
                <w:position w:val="0"/>
                <w:sz w:val="21"/>
                <w:szCs w:val="21"/>
                <w:vertAlign w:val="superscript"/>
                <w14:textFill>
                  <w14:solidFill>
                    <w14:schemeClr w14:val="tx1"/>
                  </w14:solidFill>
                </w14:textFill>
              </w:rPr>
              <w:t>2</w:t>
            </w:r>
          </w:p>
        </w:tc>
      </w:tr>
      <w:tr w14:paraId="5F16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40A109A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生态现状调查与评价</w:t>
            </w:r>
          </w:p>
        </w:tc>
        <w:tc>
          <w:tcPr>
            <w:tcW w:w="1701" w:type="dxa"/>
            <w:vAlign w:val="center"/>
          </w:tcPr>
          <w:p w14:paraId="55F8CE0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调查方法</w:t>
            </w:r>
          </w:p>
        </w:tc>
        <w:tc>
          <w:tcPr>
            <w:tcW w:w="6230" w:type="dxa"/>
            <w:vAlign w:val="center"/>
          </w:tcPr>
          <w:p w14:paraId="5860BAB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资料收集</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；遥感调查</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；调查样方、样线□；调查点位、断面□；专家和公众咨询法□；其他□</w:t>
            </w:r>
          </w:p>
        </w:tc>
      </w:tr>
      <w:tr w14:paraId="3F6B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0B6D414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701" w:type="dxa"/>
            <w:vAlign w:val="center"/>
          </w:tcPr>
          <w:p w14:paraId="1FD2296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调查时间</w:t>
            </w:r>
          </w:p>
        </w:tc>
        <w:tc>
          <w:tcPr>
            <w:tcW w:w="6230" w:type="dxa"/>
            <w:vAlign w:val="center"/>
          </w:tcPr>
          <w:p w14:paraId="10D919F9">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春季□；夏季</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；秋季□；冬季□</w:t>
            </w:r>
          </w:p>
          <w:p w14:paraId="09846CC3">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丰水期□；枯水期□；平水期□</w:t>
            </w:r>
          </w:p>
        </w:tc>
      </w:tr>
      <w:tr w14:paraId="17D1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594F1A4E">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701" w:type="dxa"/>
            <w:vAlign w:val="center"/>
          </w:tcPr>
          <w:p w14:paraId="39146BA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所在区域的生态问题</w:t>
            </w:r>
          </w:p>
        </w:tc>
        <w:tc>
          <w:tcPr>
            <w:tcW w:w="6230" w:type="dxa"/>
            <w:vAlign w:val="center"/>
          </w:tcPr>
          <w:p w14:paraId="23B6DBC4">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水土流失□；沙漠化□；石漠化□；盐渍化□；生物入侵□；污染危害□；其他□</w:t>
            </w:r>
          </w:p>
        </w:tc>
      </w:tr>
      <w:tr w14:paraId="7145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5DA4B8C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701" w:type="dxa"/>
            <w:vAlign w:val="center"/>
          </w:tcPr>
          <w:p w14:paraId="0B890F15">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评价内容</w:t>
            </w:r>
          </w:p>
        </w:tc>
        <w:tc>
          <w:tcPr>
            <w:tcW w:w="6230" w:type="dxa"/>
            <w:vAlign w:val="center"/>
          </w:tcPr>
          <w:p w14:paraId="1D86845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植被/植物群落</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；土地利用</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；生态系统</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；生物多样性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；重要物种□；生态敏感区□；其他□</w:t>
            </w:r>
          </w:p>
        </w:tc>
      </w:tr>
      <w:tr w14:paraId="29DD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5776A21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生态影响预测与评价</w:t>
            </w:r>
          </w:p>
        </w:tc>
        <w:tc>
          <w:tcPr>
            <w:tcW w:w="1701" w:type="dxa"/>
            <w:vAlign w:val="center"/>
          </w:tcPr>
          <w:p w14:paraId="3176DA95">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评价方法</w:t>
            </w:r>
          </w:p>
        </w:tc>
        <w:tc>
          <w:tcPr>
            <w:tcW w:w="6230" w:type="dxa"/>
            <w:vAlign w:val="center"/>
          </w:tcPr>
          <w:p w14:paraId="081AB4BB">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定性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；定性和定量□</w:t>
            </w:r>
          </w:p>
        </w:tc>
      </w:tr>
      <w:tr w14:paraId="28F9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483FC96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701" w:type="dxa"/>
            <w:vAlign w:val="center"/>
          </w:tcPr>
          <w:p w14:paraId="28C2940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评价内容</w:t>
            </w:r>
          </w:p>
        </w:tc>
        <w:tc>
          <w:tcPr>
            <w:tcW w:w="6230" w:type="dxa"/>
            <w:vAlign w:val="center"/>
          </w:tcPr>
          <w:p w14:paraId="01DFD925">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植被/植物群落</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；土地利用</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；生态系统</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；生物多样性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；重要物种□；生态敏感区□；生物入侵风险□；其他□</w:t>
            </w:r>
          </w:p>
        </w:tc>
      </w:tr>
      <w:tr w14:paraId="122A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45F992CB">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生态保护对策措施</w:t>
            </w:r>
          </w:p>
        </w:tc>
        <w:tc>
          <w:tcPr>
            <w:tcW w:w="1701" w:type="dxa"/>
            <w:vAlign w:val="center"/>
          </w:tcPr>
          <w:p w14:paraId="34E25F9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对策措施</w:t>
            </w:r>
          </w:p>
        </w:tc>
        <w:tc>
          <w:tcPr>
            <w:tcW w:w="6230" w:type="dxa"/>
            <w:vAlign w:val="center"/>
          </w:tcPr>
          <w:p w14:paraId="39EACBE9">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避让□；减缓</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；生态修复</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；生态补偿</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；科研□；其他□</w:t>
            </w:r>
          </w:p>
        </w:tc>
      </w:tr>
      <w:tr w14:paraId="21ED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1842AB2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701" w:type="dxa"/>
            <w:vAlign w:val="center"/>
          </w:tcPr>
          <w:p w14:paraId="3877FDF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生态监测计划</w:t>
            </w:r>
          </w:p>
        </w:tc>
        <w:tc>
          <w:tcPr>
            <w:tcW w:w="6230" w:type="dxa"/>
            <w:vAlign w:val="center"/>
          </w:tcPr>
          <w:p w14:paraId="088927C8">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全生命周期</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；长期跟踪□；常规□；无□</w:t>
            </w:r>
          </w:p>
        </w:tc>
      </w:tr>
      <w:tr w14:paraId="1729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6C65373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701" w:type="dxa"/>
            <w:vAlign w:val="center"/>
          </w:tcPr>
          <w:p w14:paraId="1D1FCBE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环境管理</w:t>
            </w:r>
          </w:p>
        </w:tc>
        <w:tc>
          <w:tcPr>
            <w:tcW w:w="6230" w:type="dxa"/>
            <w:vAlign w:val="center"/>
          </w:tcPr>
          <w:p w14:paraId="266F0CB4">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环境监理</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；环境影响后评价□；其他</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sym w:font="Wingdings" w:char="00FE"/>
            </w:r>
          </w:p>
        </w:tc>
      </w:tr>
      <w:tr w14:paraId="62F5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Align w:val="center"/>
          </w:tcPr>
          <w:p w14:paraId="47974F6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评价结论</w:t>
            </w:r>
          </w:p>
        </w:tc>
        <w:tc>
          <w:tcPr>
            <w:tcW w:w="1701" w:type="dxa"/>
            <w:vAlign w:val="center"/>
          </w:tcPr>
          <w:p w14:paraId="6AA6753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生态影响</w:t>
            </w:r>
          </w:p>
        </w:tc>
        <w:tc>
          <w:tcPr>
            <w:tcW w:w="6230" w:type="dxa"/>
            <w:vAlign w:val="center"/>
          </w:tcPr>
          <w:p w14:paraId="6F6EE42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可行</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；不可行□</w:t>
            </w:r>
          </w:p>
        </w:tc>
      </w:tr>
      <w:tr w14:paraId="2E44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3"/>
            <w:vAlign w:val="center"/>
          </w:tcPr>
          <w:p w14:paraId="17BAD3EA">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注： “□” 为勾选项 ，可√ ；“（ ）” 为内容填写项。</w:t>
            </w:r>
          </w:p>
        </w:tc>
      </w:tr>
    </w:tbl>
    <w:p w14:paraId="7F49848B">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592C3E2F">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2D2630FD">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359B26F2">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407539E4">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7A97DE56">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0D0BCEFC">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40AEC4A2">
      <w:pPr>
        <w:pStyle w:val="874"/>
        <w:rPr>
          <w:rFonts w:hint="default" w:ascii="Times New Roman" w:hAnsi="Times New Roman"/>
          <w:caps w:val="0"/>
          <w:smallCaps w:val="0"/>
          <w:color w:val="000000" w:themeColor="text1"/>
          <w:spacing w:val="0"/>
          <w:w w:val="100"/>
          <w:position w:val="0"/>
          <w14:textFill>
            <w14:solidFill>
              <w14:schemeClr w14:val="tx1"/>
            </w14:solidFill>
          </w14:textFill>
        </w:rPr>
      </w:pPr>
    </w:p>
    <w:p w14:paraId="13322AFD">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pPr>
      <w:bookmarkStart w:id="1257" w:name="_Toc173163578"/>
      <w:bookmarkStart w:id="1258" w:name="_Toc186444437"/>
      <w:bookmarkStart w:id="1259" w:name="_Toc219900429"/>
      <w:r>
        <w:rPr>
          <w:rFonts w:ascii="Times New Roman" w:hAnsi="Times New Roman" w:cs="Times New Roman" w:eastAsiaTheme="minorEastAsia"/>
          <w:caps w:val="0"/>
          <w:smallCaps w:val="0"/>
          <w:color w:val="000000" w:themeColor="text1"/>
          <w:spacing w:val="0"/>
          <w:w w:val="100"/>
          <w:kern w:val="21"/>
          <w:position w:val="0"/>
          <w14:textFill>
            <w14:solidFill>
              <w14:schemeClr w14:val="tx1"/>
            </w14:solidFill>
          </w14:textFill>
        </w:rPr>
        <w:t>附表6：声环境影响评价自查表</w:t>
      </w:r>
      <w:bookmarkEnd w:id="1257"/>
      <w:bookmarkEnd w:id="1258"/>
      <w:bookmarkEnd w:id="1259"/>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2"/>
        <w:gridCol w:w="1132"/>
        <w:gridCol w:w="1132"/>
        <w:gridCol w:w="568"/>
        <w:gridCol w:w="284"/>
        <w:gridCol w:w="280"/>
        <w:gridCol w:w="1133"/>
        <w:gridCol w:w="1133"/>
        <w:gridCol w:w="572"/>
        <w:gridCol w:w="561"/>
        <w:gridCol w:w="1133"/>
      </w:tblGrid>
      <w:tr w14:paraId="2120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4" w:type="dxa"/>
            <w:gridSpan w:val="2"/>
            <w:vAlign w:val="center"/>
          </w:tcPr>
          <w:p w14:paraId="1E8F034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工作内容</w:t>
            </w:r>
          </w:p>
        </w:tc>
        <w:tc>
          <w:tcPr>
            <w:tcW w:w="6796" w:type="dxa"/>
            <w:gridSpan w:val="9"/>
            <w:vAlign w:val="center"/>
          </w:tcPr>
          <w:p w14:paraId="7071F61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自查项目</w:t>
            </w:r>
          </w:p>
        </w:tc>
      </w:tr>
      <w:tr w14:paraId="5801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0DE6ED0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评价等级与范围</w:t>
            </w:r>
          </w:p>
        </w:tc>
        <w:tc>
          <w:tcPr>
            <w:tcW w:w="1132" w:type="dxa"/>
            <w:vAlign w:val="center"/>
          </w:tcPr>
          <w:p w14:paraId="55F1D3E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评价等级</w:t>
            </w:r>
          </w:p>
        </w:tc>
        <w:tc>
          <w:tcPr>
            <w:tcW w:w="6796" w:type="dxa"/>
            <w:gridSpan w:val="9"/>
            <w:vAlign w:val="center"/>
          </w:tcPr>
          <w:p w14:paraId="0355F1DE">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一级□ 二级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三级□</w:t>
            </w:r>
          </w:p>
        </w:tc>
      </w:tr>
      <w:tr w14:paraId="0B12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62D2773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6A48885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评价范围</w:t>
            </w:r>
          </w:p>
        </w:tc>
        <w:tc>
          <w:tcPr>
            <w:tcW w:w="6796" w:type="dxa"/>
            <w:gridSpan w:val="9"/>
            <w:vAlign w:val="center"/>
          </w:tcPr>
          <w:p w14:paraId="4E856923">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200 m</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大于 200 m□ 小于 200 m□</w:t>
            </w:r>
          </w:p>
        </w:tc>
      </w:tr>
      <w:tr w14:paraId="7C3B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0D5ABA4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评价因子</w:t>
            </w:r>
          </w:p>
        </w:tc>
        <w:tc>
          <w:tcPr>
            <w:tcW w:w="1132" w:type="dxa"/>
            <w:vAlign w:val="center"/>
          </w:tcPr>
          <w:p w14:paraId="6A67FE2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评价因子</w:t>
            </w:r>
          </w:p>
        </w:tc>
        <w:tc>
          <w:tcPr>
            <w:tcW w:w="6796" w:type="dxa"/>
            <w:gridSpan w:val="9"/>
            <w:vAlign w:val="center"/>
          </w:tcPr>
          <w:p w14:paraId="3A8BF555">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等效连续A声级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最大A声级□ 计权等效连续感觉噪声级□</w:t>
            </w:r>
          </w:p>
        </w:tc>
      </w:tr>
      <w:tr w14:paraId="4992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5060864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评价标准</w:t>
            </w:r>
          </w:p>
        </w:tc>
        <w:tc>
          <w:tcPr>
            <w:tcW w:w="1132" w:type="dxa"/>
            <w:vAlign w:val="center"/>
          </w:tcPr>
          <w:p w14:paraId="0A1B259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评价标准</w:t>
            </w:r>
          </w:p>
        </w:tc>
        <w:tc>
          <w:tcPr>
            <w:tcW w:w="6796" w:type="dxa"/>
            <w:gridSpan w:val="9"/>
            <w:vAlign w:val="center"/>
          </w:tcPr>
          <w:p w14:paraId="4DE88AF1">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国家标准</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地方标准□ 国外标准□</w:t>
            </w:r>
          </w:p>
        </w:tc>
      </w:tr>
      <w:tr w14:paraId="3F88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3185DC1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现状评价</w:t>
            </w:r>
          </w:p>
        </w:tc>
        <w:tc>
          <w:tcPr>
            <w:tcW w:w="1132" w:type="dxa"/>
            <w:vAlign w:val="center"/>
          </w:tcPr>
          <w:p w14:paraId="36234DD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环境功能区</w:t>
            </w:r>
          </w:p>
        </w:tc>
        <w:tc>
          <w:tcPr>
            <w:tcW w:w="1132" w:type="dxa"/>
            <w:vAlign w:val="center"/>
          </w:tcPr>
          <w:p w14:paraId="2520EB2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0 类区□</w:t>
            </w:r>
          </w:p>
        </w:tc>
        <w:tc>
          <w:tcPr>
            <w:tcW w:w="1132" w:type="dxa"/>
            <w:gridSpan w:val="3"/>
            <w:vAlign w:val="center"/>
          </w:tcPr>
          <w:p w14:paraId="40063F5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1 类区</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p>
        </w:tc>
        <w:tc>
          <w:tcPr>
            <w:tcW w:w="1133" w:type="dxa"/>
            <w:vAlign w:val="center"/>
          </w:tcPr>
          <w:p w14:paraId="00DD8EE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2 类区</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133" w:type="dxa"/>
            <w:vAlign w:val="center"/>
          </w:tcPr>
          <w:p w14:paraId="791B0DB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3 类区□</w:t>
            </w:r>
          </w:p>
        </w:tc>
        <w:tc>
          <w:tcPr>
            <w:tcW w:w="1133" w:type="dxa"/>
            <w:gridSpan w:val="2"/>
            <w:vAlign w:val="center"/>
          </w:tcPr>
          <w:p w14:paraId="1754D2D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4a 类区□</w:t>
            </w:r>
          </w:p>
        </w:tc>
        <w:tc>
          <w:tcPr>
            <w:tcW w:w="1133" w:type="dxa"/>
            <w:vAlign w:val="center"/>
          </w:tcPr>
          <w:p w14:paraId="0E4795D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4b 类区□</w:t>
            </w:r>
          </w:p>
        </w:tc>
      </w:tr>
      <w:tr w14:paraId="3682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5203788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1553F93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评价年度</w:t>
            </w:r>
          </w:p>
        </w:tc>
        <w:tc>
          <w:tcPr>
            <w:tcW w:w="1700" w:type="dxa"/>
            <w:gridSpan w:val="2"/>
            <w:vAlign w:val="center"/>
          </w:tcPr>
          <w:p w14:paraId="213570E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初期□</w:t>
            </w:r>
          </w:p>
        </w:tc>
        <w:tc>
          <w:tcPr>
            <w:tcW w:w="1697" w:type="dxa"/>
            <w:gridSpan w:val="3"/>
            <w:vAlign w:val="center"/>
          </w:tcPr>
          <w:p w14:paraId="588CB8E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近期</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c>
          <w:tcPr>
            <w:tcW w:w="1705" w:type="dxa"/>
            <w:gridSpan w:val="2"/>
            <w:vAlign w:val="center"/>
          </w:tcPr>
          <w:p w14:paraId="6E3AE955">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中期□</w:t>
            </w:r>
          </w:p>
        </w:tc>
        <w:tc>
          <w:tcPr>
            <w:tcW w:w="1694" w:type="dxa"/>
            <w:gridSpan w:val="2"/>
            <w:vAlign w:val="center"/>
          </w:tcPr>
          <w:p w14:paraId="62A6336C">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远期□</w:t>
            </w:r>
          </w:p>
        </w:tc>
      </w:tr>
      <w:tr w14:paraId="0165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28125F8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4541FF5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现状调查方法</w:t>
            </w:r>
          </w:p>
        </w:tc>
        <w:tc>
          <w:tcPr>
            <w:tcW w:w="6796" w:type="dxa"/>
            <w:gridSpan w:val="9"/>
            <w:vAlign w:val="center"/>
          </w:tcPr>
          <w:p w14:paraId="1CA2287F">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现场实测法</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现场实测加模型计算法□ 收集资料□</w:t>
            </w:r>
          </w:p>
        </w:tc>
      </w:tr>
      <w:tr w14:paraId="00D4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06D3DD2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640BF64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现状评价</w:t>
            </w:r>
          </w:p>
        </w:tc>
        <w:tc>
          <w:tcPr>
            <w:tcW w:w="1984" w:type="dxa"/>
            <w:gridSpan w:val="3"/>
            <w:vAlign w:val="center"/>
          </w:tcPr>
          <w:p w14:paraId="05990C47">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达标百分比</w:t>
            </w:r>
          </w:p>
        </w:tc>
        <w:tc>
          <w:tcPr>
            <w:tcW w:w="4812" w:type="dxa"/>
            <w:gridSpan w:val="6"/>
            <w:vAlign w:val="center"/>
          </w:tcPr>
          <w:p w14:paraId="5EA74937">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100%</w:t>
            </w:r>
          </w:p>
        </w:tc>
      </w:tr>
      <w:tr w14:paraId="4C72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4B0461E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噪声源调查</w:t>
            </w:r>
          </w:p>
        </w:tc>
        <w:tc>
          <w:tcPr>
            <w:tcW w:w="1132" w:type="dxa"/>
            <w:vAlign w:val="center"/>
          </w:tcPr>
          <w:p w14:paraId="2D4202E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噪声源调查方法</w:t>
            </w:r>
          </w:p>
        </w:tc>
        <w:tc>
          <w:tcPr>
            <w:tcW w:w="6796" w:type="dxa"/>
            <w:gridSpan w:val="9"/>
            <w:vAlign w:val="center"/>
          </w:tcPr>
          <w:p w14:paraId="20666E95">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现场实测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已有资料</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研究成果</w:t>
            </w:r>
            <w:bookmarkStart w:id="1260" w:name="OLE_LINK29"/>
            <w:bookmarkStart w:id="1261" w:name="OLE_LINK26"/>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w:t>
            </w:r>
            <w:bookmarkEnd w:id="1260"/>
            <w:bookmarkEnd w:id="1261"/>
          </w:p>
        </w:tc>
      </w:tr>
      <w:tr w14:paraId="2CBD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74C3C85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声环境影响预测与评价</w:t>
            </w:r>
          </w:p>
        </w:tc>
        <w:tc>
          <w:tcPr>
            <w:tcW w:w="1132" w:type="dxa"/>
            <w:vAlign w:val="center"/>
          </w:tcPr>
          <w:p w14:paraId="41490DAB">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预测模型</w:t>
            </w:r>
          </w:p>
        </w:tc>
        <w:tc>
          <w:tcPr>
            <w:tcW w:w="6796" w:type="dxa"/>
            <w:gridSpan w:val="9"/>
            <w:vAlign w:val="center"/>
          </w:tcPr>
          <w:p w14:paraId="40C2176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导则推荐模型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其他□</w:t>
            </w:r>
            <w:r>
              <w:rPr>
                <w:rFonts w:ascii="Times New Roman" w:hAnsi="Times New Roman" w:cs="Times New Roman" w:eastAsiaTheme="minorEastAsia"/>
                <w:caps w:val="0"/>
                <w:smallCaps w:val="0"/>
                <w:color w:val="000000" w:themeColor="text1"/>
                <w:spacing w:val="0"/>
                <w:w w:val="100"/>
                <w:position w:val="0"/>
                <w:sz w:val="21"/>
                <w:szCs w:val="21"/>
                <w:u w:val="single"/>
                <w14:textFill>
                  <w14:solidFill>
                    <w14:schemeClr w14:val="tx1"/>
                  </w14:solidFill>
                </w14:textFill>
              </w:rPr>
              <w:t xml:space="preserve">    </w:t>
            </w:r>
          </w:p>
        </w:tc>
      </w:tr>
      <w:tr w14:paraId="5CA3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2EE8DFD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39856D0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预测范围</w:t>
            </w:r>
          </w:p>
        </w:tc>
        <w:tc>
          <w:tcPr>
            <w:tcW w:w="6796" w:type="dxa"/>
            <w:gridSpan w:val="9"/>
            <w:vAlign w:val="center"/>
          </w:tcPr>
          <w:p w14:paraId="65F37452">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200 m</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大于 200 m□ 小于 200 m□</w:t>
            </w:r>
          </w:p>
        </w:tc>
      </w:tr>
      <w:tr w14:paraId="5B74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2D5CA9B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02897AF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预测因子</w:t>
            </w:r>
          </w:p>
        </w:tc>
        <w:tc>
          <w:tcPr>
            <w:tcW w:w="6796" w:type="dxa"/>
            <w:gridSpan w:val="9"/>
            <w:vAlign w:val="center"/>
          </w:tcPr>
          <w:p w14:paraId="4D011B4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等效连续 A 声级</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最大 A 声级□ 计权等效连续感觉噪声级□</w:t>
            </w:r>
          </w:p>
        </w:tc>
      </w:tr>
      <w:tr w14:paraId="5661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103C49B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025EA74B">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厂界噪声贡献值</w:t>
            </w:r>
          </w:p>
        </w:tc>
        <w:tc>
          <w:tcPr>
            <w:tcW w:w="6796" w:type="dxa"/>
            <w:gridSpan w:val="9"/>
            <w:vAlign w:val="center"/>
          </w:tcPr>
          <w:p w14:paraId="4158FCB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达标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不达标□</w:t>
            </w:r>
          </w:p>
        </w:tc>
      </w:tr>
      <w:tr w14:paraId="2FE3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116C4B6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10165D8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声环境保护目标处噪声值</w:t>
            </w:r>
          </w:p>
        </w:tc>
        <w:tc>
          <w:tcPr>
            <w:tcW w:w="6796" w:type="dxa"/>
            <w:gridSpan w:val="9"/>
            <w:vAlign w:val="center"/>
          </w:tcPr>
          <w:p w14:paraId="5944A55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达标 </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不达标□</w:t>
            </w:r>
          </w:p>
        </w:tc>
      </w:tr>
      <w:tr w14:paraId="5093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72ED31FC">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环境监测计划</w:t>
            </w:r>
          </w:p>
        </w:tc>
        <w:tc>
          <w:tcPr>
            <w:tcW w:w="1132" w:type="dxa"/>
            <w:vAlign w:val="center"/>
          </w:tcPr>
          <w:p w14:paraId="4F8A404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排放监测</w:t>
            </w:r>
          </w:p>
        </w:tc>
        <w:tc>
          <w:tcPr>
            <w:tcW w:w="6796" w:type="dxa"/>
            <w:gridSpan w:val="9"/>
            <w:vAlign w:val="center"/>
          </w:tcPr>
          <w:p w14:paraId="098F752C">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厂界监测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固定位置监测</w:t>
            </w:r>
            <w:bookmarkStart w:id="1262" w:name="OLE_LINK36"/>
            <w:bookmarkStart w:id="1263" w:name="OLE_LINK37"/>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w:t>
            </w:r>
            <w:bookmarkEnd w:id="1262"/>
            <w:bookmarkEnd w:id="1263"/>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自动监测□ 手动监测□ 无监测</w:t>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sym w:font="Wingdings" w:char="00FE"/>
            </w:r>
          </w:p>
        </w:tc>
      </w:tr>
      <w:tr w14:paraId="5FBF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64381C7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p>
        </w:tc>
        <w:tc>
          <w:tcPr>
            <w:tcW w:w="1132" w:type="dxa"/>
            <w:vAlign w:val="center"/>
          </w:tcPr>
          <w:p w14:paraId="2F40689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声环境保护目标处噪声监测</w:t>
            </w:r>
          </w:p>
        </w:tc>
        <w:tc>
          <w:tcPr>
            <w:tcW w:w="2264" w:type="dxa"/>
            <w:gridSpan w:val="4"/>
            <w:vAlign w:val="center"/>
          </w:tcPr>
          <w:p w14:paraId="322EBB7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监测因子：（ ）</w:t>
            </w:r>
          </w:p>
        </w:tc>
        <w:tc>
          <w:tcPr>
            <w:tcW w:w="2266" w:type="dxa"/>
            <w:gridSpan w:val="2"/>
            <w:vAlign w:val="center"/>
          </w:tcPr>
          <w:p w14:paraId="5D47F51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监测点位数（ ）</w:t>
            </w:r>
          </w:p>
        </w:tc>
        <w:tc>
          <w:tcPr>
            <w:tcW w:w="2266" w:type="dxa"/>
            <w:gridSpan w:val="3"/>
            <w:vAlign w:val="center"/>
          </w:tcPr>
          <w:p w14:paraId="24E2B5B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无监测</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p>
        </w:tc>
      </w:tr>
      <w:tr w14:paraId="2834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1BB66E9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评价结论</w:t>
            </w:r>
          </w:p>
        </w:tc>
        <w:tc>
          <w:tcPr>
            <w:tcW w:w="1132" w:type="dxa"/>
            <w:vAlign w:val="center"/>
          </w:tcPr>
          <w:p w14:paraId="427D6B6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环境影响</w:t>
            </w:r>
          </w:p>
        </w:tc>
        <w:tc>
          <w:tcPr>
            <w:tcW w:w="6796" w:type="dxa"/>
            <w:gridSpan w:val="9"/>
            <w:vAlign w:val="center"/>
          </w:tcPr>
          <w:p w14:paraId="5DFE61B7">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可行</w:t>
            </w:r>
            <w:r>
              <w:rPr>
                <w:rFonts w:ascii="Times New Roman" w:hAnsi="Times New Roman" w:cs="Times New Roman" w:eastAsiaTheme="minorEastAsia"/>
                <w:caps w:val="0"/>
                <w:smallCaps w:val="0"/>
                <w:color w:val="000000" w:themeColor="text1"/>
                <w:spacing w:val="0"/>
                <w:w w:val="100"/>
                <w:kern w:val="21"/>
                <w:position w:val="0"/>
                <w:sz w:val="21"/>
                <w:szCs w:val="21"/>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 xml:space="preserve"> 不可行□</w:t>
            </w:r>
          </w:p>
        </w:tc>
      </w:tr>
      <w:tr w14:paraId="4F97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11"/>
            <w:vAlign w:val="center"/>
          </w:tcPr>
          <w:p w14:paraId="4356647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14:textFill>
                  <w14:solidFill>
                    <w14:schemeClr w14:val="tx1"/>
                  </w14:solidFill>
                </w14:textFill>
              </w:rPr>
              <w:t>注：“□” 为勾选项 ，可√ ；“（ ）” 为内容填写项。</w:t>
            </w:r>
          </w:p>
        </w:tc>
      </w:tr>
    </w:tbl>
    <w:p w14:paraId="33D18AA0">
      <w:pPr>
        <w:widowControl w:val="0"/>
        <w:spacing w:line="440" w:lineRule="exact"/>
        <w:jc w:val="both"/>
        <w:outlineLvl w:val="0"/>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27010028">
      <w:pPr>
        <w:pStyle w:val="102"/>
        <w:rPr>
          <w:caps w:val="0"/>
          <w:smallCaps w:val="0"/>
          <w:color w:val="000000" w:themeColor="text1"/>
          <w:spacing w:val="0"/>
          <w:w w:val="100"/>
          <w:position w:val="0"/>
          <w14:textFill>
            <w14:solidFill>
              <w14:schemeClr w14:val="tx1"/>
            </w14:solidFill>
          </w14:textFill>
        </w:rPr>
      </w:pPr>
    </w:p>
    <w:p w14:paraId="3F479CC0">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19D72349">
      <w:pPr>
        <w:pStyle w:val="102"/>
        <w:rPr>
          <w:caps w:val="0"/>
          <w:smallCaps w:val="0"/>
          <w:color w:val="000000" w:themeColor="text1"/>
          <w:spacing w:val="0"/>
          <w:w w:val="100"/>
          <w:position w:val="0"/>
          <w14:textFill>
            <w14:solidFill>
              <w14:schemeClr w14:val="tx1"/>
            </w14:solidFill>
          </w14:textFill>
        </w:rPr>
      </w:pPr>
    </w:p>
    <w:p w14:paraId="26FD26EB">
      <w:pPr>
        <w:rPr>
          <w:rFonts w:ascii="Times New Roman" w:hAnsi="Times New Roman" w:cs="Times New Roman"/>
          <w:caps w:val="0"/>
          <w:smallCaps w:val="0"/>
          <w:color w:val="000000" w:themeColor="text1"/>
          <w:spacing w:val="0"/>
          <w:w w:val="100"/>
          <w:position w:val="0"/>
          <w14:textFill>
            <w14:solidFill>
              <w14:schemeClr w14:val="tx1"/>
            </w14:solidFill>
          </w14:textFill>
        </w:rPr>
      </w:pPr>
    </w:p>
    <w:p w14:paraId="25FE4E74">
      <w:pPr>
        <w:pStyle w:val="102"/>
        <w:rPr>
          <w:caps w:val="0"/>
          <w:smallCaps w:val="0"/>
          <w:color w:val="000000" w:themeColor="text1"/>
          <w:spacing w:val="0"/>
          <w:w w:val="100"/>
          <w:position w:val="0"/>
          <w14:textFill>
            <w14:solidFill>
              <w14:schemeClr w14:val="tx1"/>
            </w14:solidFill>
          </w14:textFill>
        </w:rPr>
      </w:pPr>
    </w:p>
    <w:bookmarkEnd w:id="1236"/>
    <w:bookmarkEnd w:id="1237"/>
    <w:bookmarkEnd w:id="1238"/>
    <w:bookmarkEnd w:id="1239"/>
    <w:bookmarkEnd w:id="1240"/>
    <w:p w14:paraId="48B32AD9">
      <w:pPr>
        <w:rPr>
          <w:rFonts w:ascii="Times New Roman" w:hAnsi="Times New Roman" w:cs="Times New Roman"/>
          <w:caps w:val="0"/>
          <w:smallCaps w:val="0"/>
          <w:color w:val="000000" w:themeColor="text1"/>
          <w:spacing w:val="0"/>
          <w:w w:val="100"/>
          <w:position w:val="0"/>
          <w14:textFill>
            <w14:solidFill>
              <w14:schemeClr w14:val="tx1"/>
            </w14:solidFill>
          </w14:textFill>
        </w:rPr>
      </w:pPr>
    </w:p>
    <w:sectPr>
      <w:pgSz w:w="11906" w:h="16838"/>
      <w:pgMar w:top="1418" w:right="1418"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Georgia">
    <w:panose1 w:val="02040502050405020303"/>
    <w:charset w:val="00"/>
    <w:family w:val="roman"/>
    <w:pitch w:val="default"/>
    <w:sig w:usb0="00000287" w:usb1="00000000" w:usb2="00000000" w:usb3="00000000" w:csb0="2000009F" w:csb1="00000000"/>
  </w:font>
  <w:font w:name="方正宋三简体">
    <w:altName w:val="宋体"/>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隶书">
    <w:altName w:val="微软雅黑"/>
    <w:panose1 w:val="0201050906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ngsanaUPC">
    <w:altName w:val="Segoe Print"/>
    <w:panose1 w:val="00000000000000000000"/>
    <w:charset w:val="00"/>
    <w:family w:val="roman"/>
    <w:pitch w:val="default"/>
    <w:sig w:usb0="00000000" w:usb1="00000000" w:usb2="00000000" w:usb3="00000000" w:csb0="00010001" w:csb1="00000000"/>
  </w:font>
  <w:font w:name="Segoe Print">
    <w:panose1 w:val="02000600000000000000"/>
    <w:charset w:val="00"/>
    <w:family w:val="auto"/>
    <w:pitch w:val="default"/>
    <w:sig w:usb0="0000028F" w:usb1="00000000" w:usb2="00000000" w:usb3="00000000" w:csb0="2000009F" w:csb1="47010000"/>
  </w:font>
  <w:font w:name="Arail">
    <w:altName w:val="仿宋"/>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汉鼎简书宋">
    <w:altName w:val="宋体"/>
    <w:panose1 w:val="00000000000000000000"/>
    <w:charset w:val="86"/>
    <w:family w:val="modern"/>
    <w:pitch w:val="default"/>
    <w:sig w:usb0="00000000" w:usb1="00000000" w:usb2="00000010" w:usb3="00000000" w:csb0="00040000" w:csb1="00000000"/>
  </w:font>
  <w:font w:name="BankGothic Lt BT">
    <w:altName w:val="MS UI Gothic"/>
    <w:panose1 w:val="00000000000000000000"/>
    <w:charset w:val="00"/>
    <w:family w:val="swiss"/>
    <w:pitch w:val="default"/>
    <w:sig w:usb0="00000000" w:usb1="00000000" w:usb2="00000000" w:usb3="00000000" w:csb0="0000001B" w:csb1="00000000"/>
  </w:font>
  <w:font w:name="MS UI Gothic">
    <w:panose1 w:val="020B0600070205080204"/>
    <w:charset w:val="80"/>
    <w:family w:val="auto"/>
    <w:pitch w:val="default"/>
    <w:sig w:usb0="E00002FF" w:usb1="6AC7FDFB" w:usb2="08000012" w:usb3="00000000" w:csb0="4002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华文楷体">
    <w:altName w:val="宋体"/>
    <w:panose1 w:val="02010600040101010101"/>
    <w:charset w:val="86"/>
    <w:family w:val="auto"/>
    <w:pitch w:val="default"/>
    <w:sig w:usb0="00000000" w:usb1="00000000" w:usb2="00000010" w:usb3="00000000" w:csb0="0004009F" w:csb1="00000000"/>
  </w:font>
  <w:font w:name="华文中宋">
    <w:altName w:val="宋体"/>
    <w:panose1 w:val="02010600040101010101"/>
    <w:charset w:val="86"/>
    <w:family w:val="auto"/>
    <w:pitch w:val="default"/>
    <w:sig w:usb0="00000000" w:usb1="00000000" w:usb2="00000010" w:usb3="00000000" w:csb0="0004009F" w:csb1="00000000"/>
  </w:font>
  <w:font w:name="Arial Black">
    <w:panose1 w:val="020B0A04020102020204"/>
    <w:charset w:val="00"/>
    <w:family w:val="swiss"/>
    <w:pitch w:val="default"/>
    <w:sig w:usb0="A00002AF" w:usb1="400078FB" w:usb2="00000000" w:usb3="00000000" w:csb0="6000009F" w:csb1="DFD70000"/>
  </w:font>
  <w:font w:name="经典叠圆体简">
    <w:altName w:val="宋体"/>
    <w:panose1 w:val="00000000000000000000"/>
    <w:charset w:val="86"/>
    <w:family w:val="modern"/>
    <w:pitch w:val="default"/>
    <w:sig w:usb0="00000000" w:usb1="00000000" w:usb2="0000001E" w:usb3="00000000" w:csb0="00040000" w:csb1="00000000"/>
  </w:font>
  <w:font w:name="幼圆">
    <w:altName w:val="宋体"/>
    <w:panose1 w:val="02010509060101010101"/>
    <w:charset w:val="86"/>
    <w:family w:val="modern"/>
    <w:pitch w:val="default"/>
    <w:sig w:usb0="00000000" w:usb1="00000000" w:usb2="00000010" w:usb3="00000000" w:csb0="00040000" w:csb1="00000000"/>
  </w:font>
  <w:font w:name="方正仿宋简体">
    <w:altName w:val="微软雅黑"/>
    <w:panose1 w:val="00000000000000000000"/>
    <w:charset w:val="86"/>
    <w:family w:val="auto"/>
    <w:pitch w:val="default"/>
    <w:sig w:usb0="00000000" w:usb1="00000000" w:usb2="00000012"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
    <w:altName w:val="CG Times"/>
    <w:panose1 w:val="02020603050405020304"/>
    <w:charset w:val="00"/>
    <w:family w:val="roman"/>
    <w:pitch w:val="default"/>
    <w:sig w:usb0="00000000" w:usb1="00000000" w:usb2="00000000" w:usb3="00000000" w:csb0="00000001" w:csb1="00000000"/>
  </w:font>
  <w:font w:name="CG Times">
    <w:panose1 w:val="02020603050405020304"/>
    <w:charset w:val="00"/>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10" w:usb3="00000000" w:csb0="0004009F" w:csb1="00000000"/>
  </w:font>
  <w:font w:name="????">
    <w:altName w:val="Malgun Gothic"/>
    <w:panose1 w:val="00000000000000000000"/>
    <w:charset w:val="81"/>
    <w:family w:val="auto"/>
    <w:pitch w:val="default"/>
    <w:sig w:usb0="00000000" w:usb1="00000000" w:usb2="00000010" w:usb3="00000000" w:csb0="00080000" w:csb1="00000000"/>
  </w:font>
  <w:font w:name="TimesNewRomanPSMT">
    <w:altName w:val="等线"/>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方正黑体简体">
    <w:altName w:val="微软雅黑"/>
    <w:panose1 w:val="00000000000000000000"/>
    <w:charset w:val="86"/>
    <w:family w:val="auto"/>
    <w:pitch w:val="default"/>
    <w:sig w:usb0="00000000" w:usb1="00000000" w:usb2="00000012" w:usb3="00000000" w:csb0="00040001" w:csb1="00000000"/>
  </w:font>
  <w:font w:name="方正书宋简体">
    <w:altName w:val="宋体"/>
    <w:panose1 w:val="00000000000000000000"/>
    <w:charset w:val="86"/>
    <w:family w:val="auto"/>
    <w:pitch w:val="default"/>
    <w:sig w:usb0="00000000" w:usb1="00000000" w:usb2="00000012" w:usb3="00000000" w:csb0="00040001" w:csb1="00000000"/>
  </w:font>
  <w:font w:name="等线 Light">
    <w:panose1 w:val="02010600030101010101"/>
    <w:charset w:val="86"/>
    <w:family w:val="auto"/>
    <w:pitch w:val="default"/>
    <w:sig w:usb0="A00002BF" w:usb1="38CF7CFA" w:usb2="00000016" w:usb3="00000000" w:csb0="0004000F" w:csb1="00000000"/>
  </w:font>
  <w:font w:name="方正楷体简体">
    <w:altName w:val="宋体"/>
    <w:panose1 w:val="00000000000000000000"/>
    <w:charset w:val="86"/>
    <w:family w:val="auto"/>
    <w:pitch w:val="default"/>
    <w:sig w:usb0="00000000" w:usb1="00000000" w:usb2="00000012" w:usb3="00000000" w:csb0="00040001" w:csb1="00000000"/>
  </w:font>
  <w:font w:name="方正综艺简体">
    <w:altName w:val="微软雅黑"/>
    <w:panose1 w:val="00000000000000000000"/>
    <w:charset w:val="86"/>
    <w:family w:val="auto"/>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AA4B2">
    <w:pPr>
      <w:pStyle w:val="50"/>
      <w:tabs>
        <w:tab w:val="left" w:pos="3960"/>
        <w:tab w:val="center" w:pos="4333"/>
        <w:tab w:val="left" w:pos="5049"/>
      </w:tabs>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52537176"/>
    </w:sdtPr>
    <w:sdtContent>
      <w:p w14:paraId="2DF6ABFA">
        <w:pPr>
          <w:pStyle w:val="50"/>
          <w:jc w:val="center"/>
        </w:pPr>
        <w:r>
          <w:fldChar w:fldCharType="begin"/>
        </w:r>
        <w:r>
          <w:instrText xml:space="preserve">PAGE   \* MERGEFORMAT</w:instrText>
        </w:r>
        <w:r>
          <w:fldChar w:fldCharType="separate"/>
        </w:r>
        <w:r>
          <w:rPr>
            <w:lang w:val="zh-CN"/>
          </w:rPr>
          <w:t>2</w:t>
        </w:r>
        <w:r>
          <w:fldChar w:fldCharType="end"/>
        </w:r>
      </w:p>
    </w:sdtContent>
  </w:sdt>
  <w:p w14:paraId="6A59E403">
    <w:pPr>
      <w:pStyle w:val="50"/>
      <w:tabs>
        <w:tab w:val="left" w:pos="3960"/>
        <w:tab w:val="center" w:pos="4333"/>
        <w:tab w:val="left" w:pos="5049"/>
      </w:tabs>
      <w:rPr>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42513">
    <w:pPr>
      <w:pStyle w:val="50"/>
      <w:tabs>
        <w:tab w:val="left" w:pos="3960"/>
        <w:tab w:val="center" w:pos="4333"/>
        <w:tab w:val="left" w:pos="5049"/>
      </w:tabs>
      <w:rPr>
        <w:b/>
      </w:rPr>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16205" cy="139700"/>
              <wp:effectExtent l="0" t="0" r="17145" b="12700"/>
              <wp:wrapNone/>
              <wp:docPr id="535" name="文本框 535"/>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a:noFill/>
                      </a:ln>
                    </wps:spPr>
                    <wps:txbx>
                      <w:txbxContent>
                        <w:p w14:paraId="519BDF5F">
                          <w:pPr>
                            <w:pStyle w:val="50"/>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82816;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GLpYU0AAAAAMBAAAPAAAAAAAAAAEAIAAAACIAAABkcnMvZG93bnJldi54&#10;bWxQSwECFAAUAAAACACHTuJA6ZP838kBAACPAwAADgAAAAAAAAABACAAAAAfAQAAZHJzL2Uyb0Rv&#10;Yy54bWxQSwUGAAAAAAYABgBZAQAAWgUAAAAA&#10;">
              <v:fill on="f" focussize="0,0"/>
              <v:stroke on="f"/>
              <v:imagedata o:title=""/>
              <o:lock v:ext="edit" aspectratio="f"/>
              <v:textbox inset="0mm,0mm,0mm,0mm" style="mso-fit-shape-to-text:t;">
                <w:txbxContent>
                  <w:p w14:paraId="519BDF5F">
                    <w:pPr>
                      <w:pStyle w:val="5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EAFAF">
    <w:pPr>
      <w:pStyle w:val="50"/>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73990" cy="139700"/>
              <wp:effectExtent l="1270" t="0" r="0" b="3810"/>
              <wp:wrapNone/>
              <wp:docPr id="5" name="文本框 1031"/>
              <wp:cNvGraphicFramePr/>
              <a:graphic xmlns:a="http://schemas.openxmlformats.org/drawingml/2006/main">
                <a:graphicData uri="http://schemas.microsoft.com/office/word/2010/wordprocessingShape">
                  <wps:wsp>
                    <wps:cNvSpPr txBox="1">
                      <a:spLocks noChangeArrowheads="1"/>
                    </wps:cNvSpPr>
                    <wps:spPr bwMode="auto">
                      <a:xfrm>
                        <a:off x="0" y="0"/>
                        <a:ext cx="173990" cy="139700"/>
                      </a:xfrm>
                      <a:prstGeom prst="rect">
                        <a:avLst/>
                      </a:prstGeom>
                      <a:noFill/>
                      <a:ln>
                        <a:noFill/>
                      </a:ln>
                    </wps:spPr>
                    <wps:txbx>
                      <w:txbxContent>
                        <w:p w14:paraId="7D4A0F1A">
                          <w:pPr>
                            <w:pStyle w:val="50"/>
                          </w:pPr>
                          <w:r>
                            <w:fldChar w:fldCharType="begin"/>
                          </w:r>
                          <w:r>
                            <w:instrText xml:space="preserve"> PAGE  \* MERGEFORMAT </w:instrText>
                          </w:r>
                          <w:r>
                            <w:fldChar w:fldCharType="separate"/>
                          </w:r>
                          <w:r>
                            <w:t>219</w:t>
                          </w:r>
                          <w:r>
                            <w:fldChar w:fldCharType="end"/>
                          </w:r>
                        </w:p>
                      </w:txbxContent>
                    </wps:txbx>
                    <wps:bodyPr rot="0" vert="horz" wrap="none" lIns="0" tIns="0" rIns="0" bIns="0" anchor="t" anchorCtr="0" upright="1">
                      <a:spAutoFit/>
                    </wps:bodyPr>
                  </wps:wsp>
                </a:graphicData>
              </a:graphic>
            </wp:anchor>
          </w:drawing>
        </mc:Choice>
        <mc:Fallback>
          <w:pict>
            <v:shape id="文本框 1031" o:spid="_x0000_s1026" o:spt="202" type="#_x0000_t202" style="position:absolute;left:0pt;margin-top:0pt;height:11pt;width:13.7pt;mso-position-horizontal:center;mso-position-horizontal-relative:margin;mso-wrap-style:none;z-index:251681792;mso-width-relative:page;mso-height-relative:page;" filled="f" stroked="f" coordsize="21600,21600" o:gfxdata="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GO1q0AAAAAMBAAAPAAAAAAAAAAEAIAAAACIAAABkcnMv&#10;ZG93bnJldi54bWxQSwECFAAUAAAACACHTuJAvXEOSAsCAAAFBAAADgAAAAAAAAABACAAAAAfAQAA&#10;ZHJzL2Uyb0RvYy54bWxQSwUGAAAAAAYABgBZAQAAnAUAAAAA&#10;">
              <v:fill on="f" focussize="0,0"/>
              <v:stroke on="f"/>
              <v:imagedata o:title=""/>
              <o:lock v:ext="edit" aspectratio="f"/>
              <v:textbox inset="0mm,0mm,0mm,0mm" style="mso-fit-shape-to-text:t;">
                <w:txbxContent>
                  <w:p w14:paraId="7D4A0F1A">
                    <w:pPr>
                      <w:pStyle w:val="50"/>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F93F4">
    <w:pPr>
      <w:spacing w:after="42" w:line="72" w:lineRule="exact"/>
      <w:ind w:firstLine="122"/>
    </w:pPr>
    <w:r>
      <w:rPr>
        <w:position w:val="-1"/>
      </w:rPr>
      <mc:AlternateContent>
        <mc:Choice Requires="wps">
          <w:drawing>
            <wp:inline distT="0" distB="0" distL="114300" distR="114300">
              <wp:extent cx="5761355" cy="46355"/>
              <wp:effectExtent l="0" t="0" r="10795" b="10795"/>
              <wp:docPr id="20" name="任意多边形 20"/>
              <wp:cNvGraphicFramePr/>
              <a:graphic xmlns:a="http://schemas.openxmlformats.org/drawingml/2006/main">
                <a:graphicData uri="http://schemas.microsoft.com/office/word/2010/wordprocessingShape">
                  <wps:wsp>
                    <wps:cNvSpPr/>
                    <wps:spPr>
                      <a:xfrm>
                        <a:off x="0" y="0"/>
                        <a:ext cx="5761355" cy="46355"/>
                      </a:xfrm>
                      <a:custGeom>
                        <a:avLst/>
                        <a:gdLst/>
                        <a:ahLst/>
                        <a:cxnLst/>
                        <a:pathLst>
                          <a:path w="9072" h="73">
                            <a:moveTo>
                              <a:pt x="0" y="0"/>
                            </a:moveTo>
                            <a:lnTo>
                              <a:pt x="9072" y="0"/>
                            </a:lnTo>
                            <a:lnTo>
                              <a:pt x="9072" y="43"/>
                            </a:lnTo>
                            <a:lnTo>
                              <a:pt x="0" y="43"/>
                            </a:lnTo>
                            <a:lnTo>
                              <a:pt x="0" y="0"/>
                            </a:lnTo>
                            <a:close/>
                          </a:path>
                          <a:path w="9072" h="73">
                            <a:moveTo>
                              <a:pt x="0" y="57"/>
                            </a:moveTo>
                            <a:lnTo>
                              <a:pt x="9072" y="57"/>
                            </a:lnTo>
                            <a:lnTo>
                              <a:pt x="9072" y="72"/>
                            </a:lnTo>
                            <a:lnTo>
                              <a:pt x="0" y="72"/>
                            </a:lnTo>
                            <a:lnTo>
                              <a:pt x="0" y="57"/>
                            </a:lnTo>
                            <a:close/>
                          </a:path>
                        </a:pathLst>
                      </a:custGeom>
                      <a:solidFill>
                        <a:srgbClr val="000000"/>
                      </a:solidFill>
                      <a:ln>
                        <a:noFill/>
                      </a:ln>
                    </wps:spPr>
                    <wps:bodyPr upright="1"/>
                  </wps:wsp>
                </a:graphicData>
              </a:graphic>
            </wp:inline>
          </w:drawing>
        </mc:Choice>
        <mc:Fallback>
          <w:pict>
            <v:shape id="_x0000_s1026" o:spid="_x0000_s1026" o:spt="100" style="height:3.65pt;width:453.65pt;" fillcolor="#000000" filled="t" stroked="f" coordsize="9072,73" o:gfxdata="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WyBWTSAAAAAwEAAA8AAAAAAAAAAQAgAAAAIgAAAGRycy9kb3ducmV2LnhtbFBL&#10;AQIUABQAAAAIAIdO4kC6C/8INQIAAGwFAAAOAAAAAAAAAAEAIAAAACEBAABkcnMvZTJvRG9jLnht&#10;bFBLBQYAAAAABgAGAFkBAADIBQAAAAA=&#10;" path="m0,0l9072,0,9072,43,0,43,0,0xem0,57l9072,57,9072,72,0,72,0,57xe">
              <v:fill on="t" focussize="0,0"/>
              <v:stroke on="f"/>
              <v:imagedata o:title=""/>
              <o:lock v:ext="edit" aspectratio="f"/>
              <w10:wrap type="none"/>
              <w10:anchorlock/>
            </v:shape>
          </w:pict>
        </mc:Fallback>
      </mc:AlternateContent>
    </w:r>
  </w:p>
  <w:p w14:paraId="10FB6A32">
    <w:pPr>
      <w:spacing w:line="208" w:lineRule="auto"/>
      <w:ind w:left="126"/>
      <w:rPr>
        <w:rFonts w:ascii="Tahoma" w:hAnsi="Tahoma" w:eastAsia="Tahoma" w:cs="Tahoma"/>
        <w:sz w:val="18"/>
        <w:szCs w:val="18"/>
      </w:rPr>
    </w:pPr>
    <w:r>
      <w:rPr>
        <w:rFonts w:ascii="黑体" w:hAnsi="黑体" w:eastAsia="黑体" w:cs="黑体"/>
        <w:spacing w:val="7"/>
        <w:sz w:val="14"/>
        <w:szCs w:val="14"/>
      </w:rPr>
      <w:t>黑龙江省合壹环保科技有限公司</w:t>
    </w:r>
    <w:r>
      <w:rPr>
        <w:rFonts w:ascii="黑体" w:hAnsi="黑体" w:eastAsia="黑体" w:cs="黑体"/>
        <w:spacing w:val="1"/>
        <w:sz w:val="14"/>
        <w:szCs w:val="14"/>
      </w:rPr>
      <w:t xml:space="preserve">                                 </w:t>
    </w:r>
    <w:r>
      <w:rPr>
        <w:rFonts w:ascii="Tahoma" w:hAnsi="Tahoma" w:eastAsia="Tahoma" w:cs="Tahoma"/>
        <w:spacing w:val="7"/>
        <w:position w:val="-3"/>
        <w:sz w:val="18"/>
        <w:szCs w:val="18"/>
      </w:rPr>
      <w:t>97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8B2F">
    <w:pPr>
      <w:pStyle w:val="50"/>
      <w:jc w:val="center"/>
    </w:pPr>
    <w:r>
      <w:fldChar w:fldCharType="begin"/>
    </w:r>
    <w:r>
      <w:instrText xml:space="preserve">PAGE   \* MERGEFORMAT</w:instrText>
    </w:r>
    <w:r>
      <w:fldChar w:fldCharType="separate"/>
    </w:r>
    <w:r>
      <w:rPr>
        <w:lang w:val="zh-CN"/>
      </w:rPr>
      <w:t>243</w:t>
    </w:r>
    <w:r>
      <w:rPr>
        <w:lang w:val="zh-C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4BC9D">
    <w:pPr>
      <w:pStyle w:val="50"/>
      <w:jc w:val="center"/>
    </w:pPr>
    <w:r>
      <w:fldChar w:fldCharType="begin"/>
    </w:r>
    <w:r>
      <w:instrText xml:space="preserve">PAGE   \* MERGEFORMAT</w:instrText>
    </w:r>
    <w:r>
      <w:fldChar w:fldCharType="separate"/>
    </w:r>
    <w:r>
      <w:rPr>
        <w:lang w:val="zh-CN"/>
      </w:rPr>
      <w:t>239</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5FE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98DBC">
    <w:pPr>
      <w:spacing w:before="53" w:line="222" w:lineRule="auto"/>
      <w:ind w:left="2571"/>
      <w:rPr>
        <w:rFonts w:ascii="仿宋" w:hAnsi="仿宋" w:eastAsia="仿宋" w:cs="仿宋"/>
        <w:sz w:val="18"/>
        <w:szCs w:val="18"/>
      </w:rPr>
    </w:pPr>
    <w:r>
      <w:rPr>
        <w:rFonts w:ascii="仿宋" w:hAnsi="仿宋" w:eastAsia="仿宋" w:cs="仿宋"/>
        <w:b/>
        <w:bCs/>
        <w:i/>
        <w:iCs/>
        <w:spacing w:val="1"/>
        <w:sz w:val="18"/>
        <w:szCs w:val="18"/>
      </w:rPr>
      <w:t>第八采油厂2025年管网改造工程项目环境影响报告书</w:t>
    </w:r>
  </w:p>
  <w:p w14:paraId="7EF067B7">
    <w:pPr>
      <w:spacing w:before="7" w:line="62" w:lineRule="exact"/>
      <w:ind w:firstLine="122"/>
    </w:pPr>
    <w:r>
      <w:rPr>
        <w:position w:val="-2"/>
      </w:rPr>
      <mc:AlternateContent>
        <mc:Choice Requires="wps">
          <w:drawing>
            <wp:inline distT="0" distB="0" distL="114300" distR="114300">
              <wp:extent cx="5761355" cy="45720"/>
              <wp:effectExtent l="0" t="0" r="10795" b="11430"/>
              <wp:docPr id="17" name="任意多边形 17"/>
              <wp:cNvGraphicFramePr/>
              <a:graphic xmlns:a="http://schemas.openxmlformats.org/drawingml/2006/main">
                <a:graphicData uri="http://schemas.microsoft.com/office/word/2010/wordprocessingShape">
                  <wps:wsp>
                    <wps:cNvSpPr/>
                    <wps:spPr>
                      <a:xfrm>
                        <a:off x="0" y="0"/>
                        <a:ext cx="5761355" cy="45720"/>
                      </a:xfrm>
                      <a:custGeom>
                        <a:avLst/>
                        <a:gdLst/>
                        <a:ahLst/>
                        <a:cxnLst/>
                        <a:pathLst>
                          <a:path w="9072" h="71">
                            <a:moveTo>
                              <a:pt x="0" y="0"/>
                            </a:moveTo>
                            <a:lnTo>
                              <a:pt x="9072" y="0"/>
                            </a:lnTo>
                            <a:lnTo>
                              <a:pt x="9072" y="43"/>
                            </a:lnTo>
                            <a:lnTo>
                              <a:pt x="0" y="43"/>
                            </a:lnTo>
                            <a:lnTo>
                              <a:pt x="0" y="0"/>
                            </a:lnTo>
                            <a:close/>
                          </a:path>
                          <a:path w="9072" h="71">
                            <a:moveTo>
                              <a:pt x="0" y="57"/>
                            </a:moveTo>
                            <a:lnTo>
                              <a:pt x="9072" y="57"/>
                            </a:lnTo>
                            <a:lnTo>
                              <a:pt x="9072" y="71"/>
                            </a:lnTo>
                            <a:lnTo>
                              <a:pt x="0" y="71"/>
                            </a:lnTo>
                            <a:lnTo>
                              <a:pt x="0" y="57"/>
                            </a:lnTo>
                            <a:close/>
                          </a:path>
                        </a:pathLst>
                      </a:custGeom>
                      <a:solidFill>
                        <a:srgbClr val="000000"/>
                      </a:solidFill>
                      <a:ln>
                        <a:noFill/>
                      </a:ln>
                    </wps:spPr>
                    <wps:bodyPr upright="1"/>
                  </wps:wsp>
                </a:graphicData>
              </a:graphic>
            </wp:inline>
          </w:drawing>
        </mc:Choice>
        <mc:Fallback>
          <w:pict>
            <v:shape id="_x0000_s1026" o:spid="_x0000_s1026" o:spt="100" style="height:3.6pt;width:453.65pt;" fillcolor="#000000" filled="t" stroked="f" coordsize="9072,71" o:gfxdata="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2+vnzUAAAAAwEAAA8AAAAAAAAAAQAgAAAAIgAAAGRycy9kb3ducmV2LnhtbFBLAQIUABQA&#10;AAAIAIdO4kBg8+qwLQIAAGwFAAAOAAAAAAAAAAEAIAAAACMBAABkcnMvZTJvRG9jLnhtbFBLBQYA&#10;AAAABgAGAFkBAADCBQAAAAA=&#10;" path="m0,0l9072,0,9072,43,0,43,0,0xem0,57l9072,57,9072,71,0,71,0,57xe">
              <v:fill on="t" focussize="0,0"/>
              <v:stroke on="f"/>
              <v:imagedata o:title=""/>
              <o:lock v:ext="edit" aspectratio="f"/>
              <w10:wrap type="none"/>
              <w10:anchorlock/>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569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F0EF4"/>
  <w:p w14:paraId="2DDCFD1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EA3CF"/>
    <w:multiLevelType w:val="singleLevel"/>
    <w:tmpl w:val="B58EA3CF"/>
    <w:lvl w:ilvl="0" w:tentative="0">
      <w:start w:val="2"/>
      <w:numFmt w:val="decimal"/>
      <w:pStyle w:val="1701"/>
      <w:suff w:val="nothing"/>
      <w:lvlText w:val="（%1）"/>
      <w:lvlJc w:val="left"/>
    </w:lvl>
  </w:abstractNum>
  <w:abstractNum w:abstractNumId="1">
    <w:nsid w:val="16C123DC"/>
    <w:multiLevelType w:val="multilevel"/>
    <w:tmpl w:val="16C123DC"/>
    <w:lvl w:ilvl="0" w:tentative="0">
      <w:start w:val="1"/>
      <w:numFmt w:val="decimal"/>
      <w:pStyle w:val="2767"/>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BC3583F"/>
    <w:multiLevelType w:val="multilevel"/>
    <w:tmpl w:val="3BC3583F"/>
    <w:lvl w:ilvl="0" w:tentative="0">
      <w:start w:val="1"/>
      <w:numFmt w:val="decimal"/>
      <w:pStyle w:val="286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006C0E"/>
    <w:multiLevelType w:val="multilevel"/>
    <w:tmpl w:val="4F006C0E"/>
    <w:lvl w:ilvl="0" w:tentative="0">
      <w:start w:val="1"/>
      <w:numFmt w:val="decimal"/>
      <w:pStyle w:val="2763"/>
      <w:suff w:val="nothing"/>
      <w:lvlText w:val="附件%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99B31E6"/>
    <w:multiLevelType w:val="multilevel"/>
    <w:tmpl w:val="699B31E6"/>
    <w:lvl w:ilvl="0" w:tentative="0">
      <w:start w:val="1"/>
      <w:numFmt w:val="decimal"/>
      <w:pStyle w:val="2765"/>
      <w:suff w:val="nothing"/>
      <w:lvlText w:val="附图%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1B21497"/>
    <w:multiLevelType w:val="multilevel"/>
    <w:tmpl w:val="71B21497"/>
    <w:lvl w:ilvl="0" w:tentative="0">
      <w:start w:val="1"/>
      <w:numFmt w:val="decimal"/>
      <w:isLgl/>
      <w:suff w:val="nothing"/>
      <w:lvlText w:val="（%1）"/>
      <w:lvlJc w:val="left"/>
      <w:pPr>
        <w:ind w:left="0" w:firstLine="476"/>
      </w:pPr>
      <w:rPr>
        <w:rFonts w:hint="eastAsia" w:ascii="宋体" w:eastAsia="宋体"/>
      </w:rPr>
    </w:lvl>
    <w:lvl w:ilvl="1" w:tentative="0">
      <w:start w:val="1"/>
      <w:numFmt w:val="decimalEnclosedCircle"/>
      <w:pStyle w:val="2776"/>
      <w:isLgl/>
      <w:suff w:val="nothing"/>
      <w:lvlText w:val="%2）"/>
      <w:lvlJc w:val="left"/>
      <w:pPr>
        <w:ind w:left="0" w:firstLine="476"/>
      </w:pPr>
      <w:rPr>
        <w:rFonts w:hint="eastAsia" w:ascii="宋体" w:eastAsia="宋体"/>
      </w:rPr>
    </w:lvl>
    <w:lvl w:ilvl="2" w:tentative="0">
      <w:start w:val="1"/>
      <w:numFmt w:val="decimalEnclosedCircle"/>
      <w:pStyle w:val="2778"/>
      <w:suff w:val="nothing"/>
      <w:lvlText w:val="%3"/>
      <w:lvlJc w:val="left"/>
      <w:pPr>
        <w:ind w:left="0" w:firstLine="476"/>
      </w:pPr>
      <w:rPr>
        <w:rFonts w:hint="eastAsia" w:ascii="宋体" w:eastAsia="宋体"/>
      </w:rPr>
    </w:lvl>
    <w:lvl w:ilvl="3" w:tentative="0">
      <w:start w:val="1"/>
      <w:numFmt w:val="lowerLetter"/>
      <w:suff w:val="nothing"/>
      <w:lvlText w:val="%4."/>
      <w:lvlJc w:val="left"/>
      <w:pPr>
        <w:ind w:left="0" w:firstLine="476"/>
      </w:pPr>
      <w:rPr>
        <w:rFonts w:hint="eastAsia" w:ascii="宋体" w:eastAsia="宋体"/>
      </w:rPr>
    </w:lvl>
    <w:lvl w:ilvl="4" w:tentative="0">
      <w:start w:val="1"/>
      <w:numFmt w:val="upperRoman"/>
      <w:suff w:val="nothing"/>
      <w:lvlText w:val="%5."/>
      <w:lvlJc w:val="left"/>
      <w:pPr>
        <w:ind w:left="0" w:firstLine="476"/>
      </w:pPr>
      <w:rPr>
        <w:rFonts w:hint="eastAsia" w:ascii="宋体" w:eastAsia="宋体"/>
      </w:rPr>
    </w:lvl>
    <w:lvl w:ilvl="5" w:tentative="0">
      <w:start w:val="1"/>
      <w:numFmt w:val="lowerRoman"/>
      <w:suff w:val="nothing"/>
      <w:lvlText w:val="%6."/>
      <w:lvlJc w:val="left"/>
      <w:pPr>
        <w:ind w:left="0" w:firstLine="476"/>
      </w:pPr>
      <w:rPr>
        <w:rFonts w:hint="eastAsia" w:ascii="宋体" w:eastAsia="宋体"/>
      </w:rPr>
    </w:lvl>
    <w:lvl w:ilvl="6" w:tentative="0">
      <w:start w:val="1"/>
      <w:numFmt w:val="ordinal"/>
      <w:suff w:val="nothing"/>
      <w:lvlText w:val="%7."/>
      <w:lvlJc w:val="left"/>
      <w:pPr>
        <w:ind w:left="0" w:firstLine="476"/>
      </w:pPr>
      <w:rPr>
        <w:rFonts w:hint="eastAsia"/>
      </w:rPr>
    </w:lvl>
    <w:lvl w:ilvl="7" w:tentative="0">
      <w:start w:val="1"/>
      <w:numFmt w:val="none"/>
      <w:suff w:val="nothing"/>
      <w:lvlText w:val=""/>
      <w:lvlJc w:val="left"/>
      <w:pPr>
        <w:ind w:left="0" w:firstLine="476"/>
      </w:pPr>
      <w:rPr>
        <w:rFonts w:hint="eastAsia"/>
      </w:rPr>
    </w:lvl>
    <w:lvl w:ilvl="8" w:tentative="0">
      <w:start w:val="1"/>
      <w:numFmt w:val="none"/>
      <w:suff w:val="nothing"/>
      <w:lvlText w:val=""/>
      <w:lvlJc w:val="left"/>
      <w:pPr>
        <w:ind w:left="0" w:firstLine="476"/>
      </w:pPr>
      <w:rPr>
        <w:rFonts w:hint="eastAsia"/>
      </w:rPr>
    </w:lvl>
  </w:abstractNum>
  <w:abstractNum w:abstractNumId="6">
    <w:nsid w:val="7E752ED4"/>
    <w:multiLevelType w:val="multilevel"/>
    <w:tmpl w:val="7E752ED4"/>
    <w:lvl w:ilvl="0" w:tentative="0">
      <w:start w:val="1"/>
      <w:numFmt w:val="decimal"/>
      <w:pStyle w:val="2761"/>
      <w:suff w:val="nothing"/>
      <w:lvlText w:val="附表%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6"/>
  </w:num>
  <w:num w:numId="3">
    <w:abstractNumId w:val="3"/>
  </w:num>
  <w:num w:numId="4">
    <w:abstractNumId w:val="4"/>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0MThlYjBmOTMxNTI4NTJjZjhhZjEwMjhiMDZmNTIifQ=="/>
  </w:docVars>
  <w:rsids>
    <w:rsidRoot w:val="65467660"/>
    <w:rsid w:val="00000B80"/>
    <w:rsid w:val="00000ED7"/>
    <w:rsid w:val="000011ED"/>
    <w:rsid w:val="00001989"/>
    <w:rsid w:val="00003848"/>
    <w:rsid w:val="00004227"/>
    <w:rsid w:val="000044DB"/>
    <w:rsid w:val="000045D0"/>
    <w:rsid w:val="000053EA"/>
    <w:rsid w:val="00005614"/>
    <w:rsid w:val="00006111"/>
    <w:rsid w:val="00006384"/>
    <w:rsid w:val="00006459"/>
    <w:rsid w:val="00006A75"/>
    <w:rsid w:val="00007790"/>
    <w:rsid w:val="00007B14"/>
    <w:rsid w:val="000101E0"/>
    <w:rsid w:val="0001023E"/>
    <w:rsid w:val="00010886"/>
    <w:rsid w:val="00010D9B"/>
    <w:rsid w:val="00010DA3"/>
    <w:rsid w:val="00010E6B"/>
    <w:rsid w:val="00010EB9"/>
    <w:rsid w:val="00010F5D"/>
    <w:rsid w:val="0001108F"/>
    <w:rsid w:val="000111FB"/>
    <w:rsid w:val="0001298F"/>
    <w:rsid w:val="00012DE0"/>
    <w:rsid w:val="00012DF3"/>
    <w:rsid w:val="00013547"/>
    <w:rsid w:val="00014921"/>
    <w:rsid w:val="00014C8A"/>
    <w:rsid w:val="0001608C"/>
    <w:rsid w:val="00020006"/>
    <w:rsid w:val="0002002F"/>
    <w:rsid w:val="00020309"/>
    <w:rsid w:val="00020AF2"/>
    <w:rsid w:val="00020D0E"/>
    <w:rsid w:val="0002101F"/>
    <w:rsid w:val="0002135F"/>
    <w:rsid w:val="00021518"/>
    <w:rsid w:val="000217E4"/>
    <w:rsid w:val="000219B8"/>
    <w:rsid w:val="000227C8"/>
    <w:rsid w:val="00023160"/>
    <w:rsid w:val="000233EE"/>
    <w:rsid w:val="00023A3B"/>
    <w:rsid w:val="00023C5D"/>
    <w:rsid w:val="00024030"/>
    <w:rsid w:val="000242A6"/>
    <w:rsid w:val="0002446D"/>
    <w:rsid w:val="0002472B"/>
    <w:rsid w:val="00024917"/>
    <w:rsid w:val="00025166"/>
    <w:rsid w:val="0002597E"/>
    <w:rsid w:val="0002604F"/>
    <w:rsid w:val="00026578"/>
    <w:rsid w:val="00026AA5"/>
    <w:rsid w:val="00026C25"/>
    <w:rsid w:val="000274ED"/>
    <w:rsid w:val="0002781E"/>
    <w:rsid w:val="00027A67"/>
    <w:rsid w:val="00027C31"/>
    <w:rsid w:val="00027F8B"/>
    <w:rsid w:val="0003043E"/>
    <w:rsid w:val="0003049C"/>
    <w:rsid w:val="00030E5E"/>
    <w:rsid w:val="00031241"/>
    <w:rsid w:val="000312D4"/>
    <w:rsid w:val="00032109"/>
    <w:rsid w:val="00032812"/>
    <w:rsid w:val="00033CB4"/>
    <w:rsid w:val="00034609"/>
    <w:rsid w:val="000346E0"/>
    <w:rsid w:val="00034B6A"/>
    <w:rsid w:val="0003558F"/>
    <w:rsid w:val="00035641"/>
    <w:rsid w:val="00035747"/>
    <w:rsid w:val="000361C0"/>
    <w:rsid w:val="000379BD"/>
    <w:rsid w:val="00037B09"/>
    <w:rsid w:val="0004051C"/>
    <w:rsid w:val="00041CA0"/>
    <w:rsid w:val="00041D11"/>
    <w:rsid w:val="0004272A"/>
    <w:rsid w:val="00042CAD"/>
    <w:rsid w:val="00043E11"/>
    <w:rsid w:val="0004437E"/>
    <w:rsid w:val="00044B54"/>
    <w:rsid w:val="00044BE8"/>
    <w:rsid w:val="00044CD1"/>
    <w:rsid w:val="000455F6"/>
    <w:rsid w:val="00045997"/>
    <w:rsid w:val="00045AF3"/>
    <w:rsid w:val="00045B64"/>
    <w:rsid w:val="0004675F"/>
    <w:rsid w:val="00046760"/>
    <w:rsid w:val="00046A22"/>
    <w:rsid w:val="00046BCB"/>
    <w:rsid w:val="000470C8"/>
    <w:rsid w:val="00047575"/>
    <w:rsid w:val="00047A93"/>
    <w:rsid w:val="000502E1"/>
    <w:rsid w:val="00051120"/>
    <w:rsid w:val="000515E9"/>
    <w:rsid w:val="0005275E"/>
    <w:rsid w:val="000527BE"/>
    <w:rsid w:val="00052ABD"/>
    <w:rsid w:val="0005361B"/>
    <w:rsid w:val="00053808"/>
    <w:rsid w:val="00053AAD"/>
    <w:rsid w:val="00054AEB"/>
    <w:rsid w:val="00054D65"/>
    <w:rsid w:val="000551E0"/>
    <w:rsid w:val="00055B48"/>
    <w:rsid w:val="00055C40"/>
    <w:rsid w:val="00055EC0"/>
    <w:rsid w:val="0005672F"/>
    <w:rsid w:val="00056A49"/>
    <w:rsid w:val="00056C55"/>
    <w:rsid w:val="0005715A"/>
    <w:rsid w:val="00057DF3"/>
    <w:rsid w:val="00060156"/>
    <w:rsid w:val="000605CD"/>
    <w:rsid w:val="00060806"/>
    <w:rsid w:val="00060EA2"/>
    <w:rsid w:val="00061D2C"/>
    <w:rsid w:val="00062727"/>
    <w:rsid w:val="00063FA9"/>
    <w:rsid w:val="000650FD"/>
    <w:rsid w:val="0006581B"/>
    <w:rsid w:val="00065C71"/>
    <w:rsid w:val="00066089"/>
    <w:rsid w:val="00066797"/>
    <w:rsid w:val="000676CC"/>
    <w:rsid w:val="00067831"/>
    <w:rsid w:val="00070D64"/>
    <w:rsid w:val="0007170E"/>
    <w:rsid w:val="00071CC3"/>
    <w:rsid w:val="00072071"/>
    <w:rsid w:val="00072438"/>
    <w:rsid w:val="00072824"/>
    <w:rsid w:val="00072DA4"/>
    <w:rsid w:val="00073660"/>
    <w:rsid w:val="0007366E"/>
    <w:rsid w:val="00073D77"/>
    <w:rsid w:val="00074CA4"/>
    <w:rsid w:val="00074ECF"/>
    <w:rsid w:val="0007575B"/>
    <w:rsid w:val="00075A78"/>
    <w:rsid w:val="0007664C"/>
    <w:rsid w:val="00076B8A"/>
    <w:rsid w:val="000775F5"/>
    <w:rsid w:val="00077DDD"/>
    <w:rsid w:val="00080A30"/>
    <w:rsid w:val="00081515"/>
    <w:rsid w:val="000818F2"/>
    <w:rsid w:val="00082C18"/>
    <w:rsid w:val="00082D2D"/>
    <w:rsid w:val="0008383E"/>
    <w:rsid w:val="000845B2"/>
    <w:rsid w:val="000846E9"/>
    <w:rsid w:val="00084812"/>
    <w:rsid w:val="000860F4"/>
    <w:rsid w:val="00086EE4"/>
    <w:rsid w:val="00087BA4"/>
    <w:rsid w:val="00087C99"/>
    <w:rsid w:val="00087CDC"/>
    <w:rsid w:val="00090166"/>
    <w:rsid w:val="000904C1"/>
    <w:rsid w:val="00090659"/>
    <w:rsid w:val="000918D7"/>
    <w:rsid w:val="0009199D"/>
    <w:rsid w:val="00091B1B"/>
    <w:rsid w:val="00091D3C"/>
    <w:rsid w:val="0009202E"/>
    <w:rsid w:val="00092641"/>
    <w:rsid w:val="0009274C"/>
    <w:rsid w:val="00092944"/>
    <w:rsid w:val="00092956"/>
    <w:rsid w:val="00092F65"/>
    <w:rsid w:val="00093122"/>
    <w:rsid w:val="00093314"/>
    <w:rsid w:val="00093993"/>
    <w:rsid w:val="00093A91"/>
    <w:rsid w:val="00093F41"/>
    <w:rsid w:val="00094084"/>
    <w:rsid w:val="00094232"/>
    <w:rsid w:val="000948A5"/>
    <w:rsid w:val="00095715"/>
    <w:rsid w:val="00095B22"/>
    <w:rsid w:val="00095E90"/>
    <w:rsid w:val="000969F4"/>
    <w:rsid w:val="00096C0E"/>
    <w:rsid w:val="000970D0"/>
    <w:rsid w:val="00097212"/>
    <w:rsid w:val="00097FB0"/>
    <w:rsid w:val="000A048C"/>
    <w:rsid w:val="000A0654"/>
    <w:rsid w:val="000A0670"/>
    <w:rsid w:val="000A0A86"/>
    <w:rsid w:val="000A0DC3"/>
    <w:rsid w:val="000A11BD"/>
    <w:rsid w:val="000A20C5"/>
    <w:rsid w:val="000A270A"/>
    <w:rsid w:val="000A28C8"/>
    <w:rsid w:val="000A29BC"/>
    <w:rsid w:val="000A29F3"/>
    <w:rsid w:val="000A2DCE"/>
    <w:rsid w:val="000A373B"/>
    <w:rsid w:val="000A3F41"/>
    <w:rsid w:val="000A408A"/>
    <w:rsid w:val="000A40AC"/>
    <w:rsid w:val="000A41B5"/>
    <w:rsid w:val="000A464B"/>
    <w:rsid w:val="000A5059"/>
    <w:rsid w:val="000A59D3"/>
    <w:rsid w:val="000A640D"/>
    <w:rsid w:val="000A6682"/>
    <w:rsid w:val="000A67AA"/>
    <w:rsid w:val="000A6AFC"/>
    <w:rsid w:val="000A6E4B"/>
    <w:rsid w:val="000A73AE"/>
    <w:rsid w:val="000B0106"/>
    <w:rsid w:val="000B09EC"/>
    <w:rsid w:val="000B13BD"/>
    <w:rsid w:val="000B14C5"/>
    <w:rsid w:val="000B1BC2"/>
    <w:rsid w:val="000B25F5"/>
    <w:rsid w:val="000B2B7B"/>
    <w:rsid w:val="000B2CDF"/>
    <w:rsid w:val="000B34AB"/>
    <w:rsid w:val="000B3567"/>
    <w:rsid w:val="000B3842"/>
    <w:rsid w:val="000B50AA"/>
    <w:rsid w:val="000B522E"/>
    <w:rsid w:val="000B58C2"/>
    <w:rsid w:val="000B5CA8"/>
    <w:rsid w:val="000B5ED0"/>
    <w:rsid w:val="000B6116"/>
    <w:rsid w:val="000B6781"/>
    <w:rsid w:val="000B71D5"/>
    <w:rsid w:val="000B7C3D"/>
    <w:rsid w:val="000B7E25"/>
    <w:rsid w:val="000C01A4"/>
    <w:rsid w:val="000C0E73"/>
    <w:rsid w:val="000C117F"/>
    <w:rsid w:val="000C14FE"/>
    <w:rsid w:val="000C194A"/>
    <w:rsid w:val="000C1BB5"/>
    <w:rsid w:val="000C1D7E"/>
    <w:rsid w:val="000C2AF2"/>
    <w:rsid w:val="000C2FFD"/>
    <w:rsid w:val="000C30A5"/>
    <w:rsid w:val="000C38EF"/>
    <w:rsid w:val="000C3CBC"/>
    <w:rsid w:val="000C43B2"/>
    <w:rsid w:val="000C453C"/>
    <w:rsid w:val="000C5BDD"/>
    <w:rsid w:val="000C646D"/>
    <w:rsid w:val="000C6A78"/>
    <w:rsid w:val="000C6EE0"/>
    <w:rsid w:val="000C79A0"/>
    <w:rsid w:val="000C7C9A"/>
    <w:rsid w:val="000C7E6E"/>
    <w:rsid w:val="000D0111"/>
    <w:rsid w:val="000D01F1"/>
    <w:rsid w:val="000D12F6"/>
    <w:rsid w:val="000D16AC"/>
    <w:rsid w:val="000D2939"/>
    <w:rsid w:val="000D2D75"/>
    <w:rsid w:val="000D342E"/>
    <w:rsid w:val="000D3518"/>
    <w:rsid w:val="000D37F4"/>
    <w:rsid w:val="000D5799"/>
    <w:rsid w:val="000D5E7A"/>
    <w:rsid w:val="000D7511"/>
    <w:rsid w:val="000D760F"/>
    <w:rsid w:val="000D7C5A"/>
    <w:rsid w:val="000E07F0"/>
    <w:rsid w:val="000E1333"/>
    <w:rsid w:val="000E13DD"/>
    <w:rsid w:val="000E16E1"/>
    <w:rsid w:val="000E1A68"/>
    <w:rsid w:val="000E1ED2"/>
    <w:rsid w:val="000E2287"/>
    <w:rsid w:val="000E2B63"/>
    <w:rsid w:val="000E2F19"/>
    <w:rsid w:val="000E32DF"/>
    <w:rsid w:val="000E36C2"/>
    <w:rsid w:val="000E36D3"/>
    <w:rsid w:val="000E3B9D"/>
    <w:rsid w:val="000E551D"/>
    <w:rsid w:val="000E5A8C"/>
    <w:rsid w:val="000E65AE"/>
    <w:rsid w:val="000E7464"/>
    <w:rsid w:val="000E75EE"/>
    <w:rsid w:val="000E7D98"/>
    <w:rsid w:val="000F0105"/>
    <w:rsid w:val="000F0267"/>
    <w:rsid w:val="000F06F0"/>
    <w:rsid w:val="000F0E5D"/>
    <w:rsid w:val="000F0ECC"/>
    <w:rsid w:val="000F170E"/>
    <w:rsid w:val="000F1711"/>
    <w:rsid w:val="000F172F"/>
    <w:rsid w:val="000F18B3"/>
    <w:rsid w:val="000F260F"/>
    <w:rsid w:val="000F2A95"/>
    <w:rsid w:val="000F2AAE"/>
    <w:rsid w:val="000F2C6B"/>
    <w:rsid w:val="000F2D31"/>
    <w:rsid w:val="000F32F6"/>
    <w:rsid w:val="000F36D5"/>
    <w:rsid w:val="000F3791"/>
    <w:rsid w:val="000F3DF9"/>
    <w:rsid w:val="000F4856"/>
    <w:rsid w:val="000F4FF1"/>
    <w:rsid w:val="000F549B"/>
    <w:rsid w:val="000F569F"/>
    <w:rsid w:val="000F59DE"/>
    <w:rsid w:val="000F6682"/>
    <w:rsid w:val="000F6C6C"/>
    <w:rsid w:val="000F6D13"/>
    <w:rsid w:val="000F72F6"/>
    <w:rsid w:val="000F74E0"/>
    <w:rsid w:val="000F7635"/>
    <w:rsid w:val="00101158"/>
    <w:rsid w:val="0010196C"/>
    <w:rsid w:val="00101E5C"/>
    <w:rsid w:val="001031D3"/>
    <w:rsid w:val="0010323D"/>
    <w:rsid w:val="001039B4"/>
    <w:rsid w:val="00103C05"/>
    <w:rsid w:val="00103C91"/>
    <w:rsid w:val="00103CE5"/>
    <w:rsid w:val="00105422"/>
    <w:rsid w:val="0010658C"/>
    <w:rsid w:val="001067C1"/>
    <w:rsid w:val="001067E7"/>
    <w:rsid w:val="0010682B"/>
    <w:rsid w:val="00106BA6"/>
    <w:rsid w:val="00106C15"/>
    <w:rsid w:val="001070D1"/>
    <w:rsid w:val="00107A5B"/>
    <w:rsid w:val="00107CF7"/>
    <w:rsid w:val="0011009F"/>
    <w:rsid w:val="001101AC"/>
    <w:rsid w:val="001105CD"/>
    <w:rsid w:val="0011063D"/>
    <w:rsid w:val="00110B02"/>
    <w:rsid w:val="00111F93"/>
    <w:rsid w:val="001121B1"/>
    <w:rsid w:val="00112688"/>
    <w:rsid w:val="00112690"/>
    <w:rsid w:val="00112763"/>
    <w:rsid w:val="00112C4B"/>
    <w:rsid w:val="0011342B"/>
    <w:rsid w:val="00113FE6"/>
    <w:rsid w:val="00114046"/>
    <w:rsid w:val="00114471"/>
    <w:rsid w:val="0011455A"/>
    <w:rsid w:val="00114D2C"/>
    <w:rsid w:val="0011558C"/>
    <w:rsid w:val="00115A15"/>
    <w:rsid w:val="00116098"/>
    <w:rsid w:val="0011627D"/>
    <w:rsid w:val="0011713A"/>
    <w:rsid w:val="00117756"/>
    <w:rsid w:val="00117CBB"/>
    <w:rsid w:val="001208E6"/>
    <w:rsid w:val="00121077"/>
    <w:rsid w:val="00121AC1"/>
    <w:rsid w:val="00121BDE"/>
    <w:rsid w:val="00121D75"/>
    <w:rsid w:val="001220E2"/>
    <w:rsid w:val="00123159"/>
    <w:rsid w:val="0012323A"/>
    <w:rsid w:val="00123545"/>
    <w:rsid w:val="001236BF"/>
    <w:rsid w:val="00123BD3"/>
    <w:rsid w:val="00123D63"/>
    <w:rsid w:val="00124640"/>
    <w:rsid w:val="00124A6F"/>
    <w:rsid w:val="001255B8"/>
    <w:rsid w:val="00125B4D"/>
    <w:rsid w:val="0012623F"/>
    <w:rsid w:val="00126602"/>
    <w:rsid w:val="00126E5E"/>
    <w:rsid w:val="00126F65"/>
    <w:rsid w:val="001273E1"/>
    <w:rsid w:val="00127A5C"/>
    <w:rsid w:val="00127AEF"/>
    <w:rsid w:val="001300BB"/>
    <w:rsid w:val="00130448"/>
    <w:rsid w:val="001306AC"/>
    <w:rsid w:val="00130A5A"/>
    <w:rsid w:val="00130A9A"/>
    <w:rsid w:val="001311DC"/>
    <w:rsid w:val="001316FC"/>
    <w:rsid w:val="00131828"/>
    <w:rsid w:val="00132C72"/>
    <w:rsid w:val="00134589"/>
    <w:rsid w:val="0013491F"/>
    <w:rsid w:val="00134B96"/>
    <w:rsid w:val="00134DF1"/>
    <w:rsid w:val="001359F8"/>
    <w:rsid w:val="00135C2F"/>
    <w:rsid w:val="00136250"/>
    <w:rsid w:val="00136271"/>
    <w:rsid w:val="001363F0"/>
    <w:rsid w:val="001368E5"/>
    <w:rsid w:val="00137328"/>
    <w:rsid w:val="001376EC"/>
    <w:rsid w:val="00137E75"/>
    <w:rsid w:val="0014005B"/>
    <w:rsid w:val="001401BB"/>
    <w:rsid w:val="001401C0"/>
    <w:rsid w:val="00141491"/>
    <w:rsid w:val="00142676"/>
    <w:rsid w:val="001427C0"/>
    <w:rsid w:val="00142B88"/>
    <w:rsid w:val="00142C16"/>
    <w:rsid w:val="00142C1C"/>
    <w:rsid w:val="00142CDA"/>
    <w:rsid w:val="00143207"/>
    <w:rsid w:val="0014515E"/>
    <w:rsid w:val="001451AE"/>
    <w:rsid w:val="00145BD4"/>
    <w:rsid w:val="00145BE9"/>
    <w:rsid w:val="00146D65"/>
    <w:rsid w:val="00146D6B"/>
    <w:rsid w:val="00146E9B"/>
    <w:rsid w:val="00147720"/>
    <w:rsid w:val="00147D13"/>
    <w:rsid w:val="001503A0"/>
    <w:rsid w:val="001503AA"/>
    <w:rsid w:val="0015073B"/>
    <w:rsid w:val="001516B8"/>
    <w:rsid w:val="001517AA"/>
    <w:rsid w:val="0015181B"/>
    <w:rsid w:val="00151B20"/>
    <w:rsid w:val="00153609"/>
    <w:rsid w:val="00153E48"/>
    <w:rsid w:val="00153ED9"/>
    <w:rsid w:val="00153FD1"/>
    <w:rsid w:val="001549E8"/>
    <w:rsid w:val="00154A83"/>
    <w:rsid w:val="00155369"/>
    <w:rsid w:val="001554A2"/>
    <w:rsid w:val="001556F5"/>
    <w:rsid w:val="00156584"/>
    <w:rsid w:val="00156918"/>
    <w:rsid w:val="0015762A"/>
    <w:rsid w:val="00157924"/>
    <w:rsid w:val="00157A3B"/>
    <w:rsid w:val="00157BA1"/>
    <w:rsid w:val="00157E5B"/>
    <w:rsid w:val="0016010B"/>
    <w:rsid w:val="001607F7"/>
    <w:rsid w:val="00161052"/>
    <w:rsid w:val="00161574"/>
    <w:rsid w:val="00161B84"/>
    <w:rsid w:val="00162AC6"/>
    <w:rsid w:val="00162D66"/>
    <w:rsid w:val="00162F6E"/>
    <w:rsid w:val="0016379B"/>
    <w:rsid w:val="001638AE"/>
    <w:rsid w:val="00164062"/>
    <w:rsid w:val="00164BEC"/>
    <w:rsid w:val="00165388"/>
    <w:rsid w:val="001653BC"/>
    <w:rsid w:val="0016613E"/>
    <w:rsid w:val="00166163"/>
    <w:rsid w:val="001668B0"/>
    <w:rsid w:val="00166D6B"/>
    <w:rsid w:val="00167009"/>
    <w:rsid w:val="0017025B"/>
    <w:rsid w:val="00170941"/>
    <w:rsid w:val="00170E73"/>
    <w:rsid w:val="001716B2"/>
    <w:rsid w:val="00171A21"/>
    <w:rsid w:val="00171C15"/>
    <w:rsid w:val="001724E4"/>
    <w:rsid w:val="001728D4"/>
    <w:rsid w:val="00172CE5"/>
    <w:rsid w:val="00173414"/>
    <w:rsid w:val="00173801"/>
    <w:rsid w:val="0017381A"/>
    <w:rsid w:val="0017444A"/>
    <w:rsid w:val="001746DA"/>
    <w:rsid w:val="00174A47"/>
    <w:rsid w:val="00174BFC"/>
    <w:rsid w:val="00174D6E"/>
    <w:rsid w:val="001751CC"/>
    <w:rsid w:val="00175BB1"/>
    <w:rsid w:val="00176565"/>
    <w:rsid w:val="00176D3E"/>
    <w:rsid w:val="001772DB"/>
    <w:rsid w:val="001779EE"/>
    <w:rsid w:val="00180202"/>
    <w:rsid w:val="001802BF"/>
    <w:rsid w:val="00180322"/>
    <w:rsid w:val="00180E98"/>
    <w:rsid w:val="001815E4"/>
    <w:rsid w:val="00181D29"/>
    <w:rsid w:val="00181FC1"/>
    <w:rsid w:val="001826BA"/>
    <w:rsid w:val="00182827"/>
    <w:rsid w:val="00182928"/>
    <w:rsid w:val="00182AC1"/>
    <w:rsid w:val="00182B4A"/>
    <w:rsid w:val="00182BC1"/>
    <w:rsid w:val="001842AD"/>
    <w:rsid w:val="00184708"/>
    <w:rsid w:val="00184A75"/>
    <w:rsid w:val="00184B75"/>
    <w:rsid w:val="00184C43"/>
    <w:rsid w:val="00184FFC"/>
    <w:rsid w:val="00185126"/>
    <w:rsid w:val="00185131"/>
    <w:rsid w:val="00185404"/>
    <w:rsid w:val="001854DD"/>
    <w:rsid w:val="00186442"/>
    <w:rsid w:val="00186EFB"/>
    <w:rsid w:val="0018700D"/>
    <w:rsid w:val="0018769A"/>
    <w:rsid w:val="00187B01"/>
    <w:rsid w:val="00187D1C"/>
    <w:rsid w:val="001903C4"/>
    <w:rsid w:val="00190477"/>
    <w:rsid w:val="00190924"/>
    <w:rsid w:val="00190B0D"/>
    <w:rsid w:val="00190CE4"/>
    <w:rsid w:val="00190FE5"/>
    <w:rsid w:val="00191B1E"/>
    <w:rsid w:val="00192392"/>
    <w:rsid w:val="00192C0A"/>
    <w:rsid w:val="00192EF0"/>
    <w:rsid w:val="001936A1"/>
    <w:rsid w:val="00193784"/>
    <w:rsid w:val="00193E00"/>
    <w:rsid w:val="00194143"/>
    <w:rsid w:val="00194742"/>
    <w:rsid w:val="0019547E"/>
    <w:rsid w:val="00195835"/>
    <w:rsid w:val="00195A11"/>
    <w:rsid w:val="00196556"/>
    <w:rsid w:val="0019703E"/>
    <w:rsid w:val="00197321"/>
    <w:rsid w:val="0019757E"/>
    <w:rsid w:val="00197B0C"/>
    <w:rsid w:val="00197FB3"/>
    <w:rsid w:val="00197FFD"/>
    <w:rsid w:val="001A0074"/>
    <w:rsid w:val="001A0097"/>
    <w:rsid w:val="001A07EA"/>
    <w:rsid w:val="001A0F75"/>
    <w:rsid w:val="001A15C0"/>
    <w:rsid w:val="001A24F7"/>
    <w:rsid w:val="001A2B44"/>
    <w:rsid w:val="001A2C67"/>
    <w:rsid w:val="001A42DB"/>
    <w:rsid w:val="001A445D"/>
    <w:rsid w:val="001A48E2"/>
    <w:rsid w:val="001A50E6"/>
    <w:rsid w:val="001A5399"/>
    <w:rsid w:val="001A54E9"/>
    <w:rsid w:val="001A6349"/>
    <w:rsid w:val="001A71CF"/>
    <w:rsid w:val="001A73E3"/>
    <w:rsid w:val="001A75D7"/>
    <w:rsid w:val="001A765F"/>
    <w:rsid w:val="001B01CB"/>
    <w:rsid w:val="001B09AC"/>
    <w:rsid w:val="001B148F"/>
    <w:rsid w:val="001B2419"/>
    <w:rsid w:val="001B2D4E"/>
    <w:rsid w:val="001B4165"/>
    <w:rsid w:val="001B4C9B"/>
    <w:rsid w:val="001B4E15"/>
    <w:rsid w:val="001B4FBF"/>
    <w:rsid w:val="001B5A98"/>
    <w:rsid w:val="001B5BB9"/>
    <w:rsid w:val="001B6646"/>
    <w:rsid w:val="001B6A63"/>
    <w:rsid w:val="001B6DA7"/>
    <w:rsid w:val="001B7292"/>
    <w:rsid w:val="001B773A"/>
    <w:rsid w:val="001B7CB7"/>
    <w:rsid w:val="001C294E"/>
    <w:rsid w:val="001C2986"/>
    <w:rsid w:val="001C2A31"/>
    <w:rsid w:val="001C3526"/>
    <w:rsid w:val="001C3939"/>
    <w:rsid w:val="001C4612"/>
    <w:rsid w:val="001C4E04"/>
    <w:rsid w:val="001C558C"/>
    <w:rsid w:val="001C5619"/>
    <w:rsid w:val="001C5778"/>
    <w:rsid w:val="001C5CBA"/>
    <w:rsid w:val="001C5DD8"/>
    <w:rsid w:val="001C6985"/>
    <w:rsid w:val="001C69FE"/>
    <w:rsid w:val="001C6C3B"/>
    <w:rsid w:val="001C7781"/>
    <w:rsid w:val="001C7DA7"/>
    <w:rsid w:val="001C7E9A"/>
    <w:rsid w:val="001D0346"/>
    <w:rsid w:val="001D048C"/>
    <w:rsid w:val="001D0959"/>
    <w:rsid w:val="001D12E4"/>
    <w:rsid w:val="001D189F"/>
    <w:rsid w:val="001D190E"/>
    <w:rsid w:val="001D25E6"/>
    <w:rsid w:val="001D2673"/>
    <w:rsid w:val="001D2B46"/>
    <w:rsid w:val="001D2CDC"/>
    <w:rsid w:val="001D2D3F"/>
    <w:rsid w:val="001D3031"/>
    <w:rsid w:val="001D33C4"/>
    <w:rsid w:val="001D378D"/>
    <w:rsid w:val="001D3C24"/>
    <w:rsid w:val="001D3ED2"/>
    <w:rsid w:val="001D40B3"/>
    <w:rsid w:val="001D4A20"/>
    <w:rsid w:val="001D55BA"/>
    <w:rsid w:val="001D574E"/>
    <w:rsid w:val="001D65F7"/>
    <w:rsid w:val="001D683D"/>
    <w:rsid w:val="001D7352"/>
    <w:rsid w:val="001D744F"/>
    <w:rsid w:val="001D781A"/>
    <w:rsid w:val="001E0095"/>
    <w:rsid w:val="001E0458"/>
    <w:rsid w:val="001E052A"/>
    <w:rsid w:val="001E0AC3"/>
    <w:rsid w:val="001E0C2D"/>
    <w:rsid w:val="001E0F61"/>
    <w:rsid w:val="001E18FA"/>
    <w:rsid w:val="001E19D1"/>
    <w:rsid w:val="001E2B27"/>
    <w:rsid w:val="001E35A1"/>
    <w:rsid w:val="001E38A4"/>
    <w:rsid w:val="001E3EDA"/>
    <w:rsid w:val="001E404C"/>
    <w:rsid w:val="001E4D43"/>
    <w:rsid w:val="001E56B6"/>
    <w:rsid w:val="001E6655"/>
    <w:rsid w:val="001E68B6"/>
    <w:rsid w:val="001E6CEE"/>
    <w:rsid w:val="001E7C94"/>
    <w:rsid w:val="001E7FC6"/>
    <w:rsid w:val="001F0558"/>
    <w:rsid w:val="001F0A9E"/>
    <w:rsid w:val="001F0F8F"/>
    <w:rsid w:val="001F1B3B"/>
    <w:rsid w:val="001F1C4C"/>
    <w:rsid w:val="001F23CA"/>
    <w:rsid w:val="001F27B2"/>
    <w:rsid w:val="001F3168"/>
    <w:rsid w:val="001F3769"/>
    <w:rsid w:val="001F3917"/>
    <w:rsid w:val="001F41EB"/>
    <w:rsid w:val="001F50BA"/>
    <w:rsid w:val="001F56C1"/>
    <w:rsid w:val="001F6012"/>
    <w:rsid w:val="001F6C6C"/>
    <w:rsid w:val="001F6D23"/>
    <w:rsid w:val="001F6F9F"/>
    <w:rsid w:val="001F6FC1"/>
    <w:rsid w:val="001F75EC"/>
    <w:rsid w:val="001F7824"/>
    <w:rsid w:val="001F790B"/>
    <w:rsid w:val="001F7921"/>
    <w:rsid w:val="00200032"/>
    <w:rsid w:val="002002D2"/>
    <w:rsid w:val="002008F8"/>
    <w:rsid w:val="00200DA9"/>
    <w:rsid w:val="00201098"/>
    <w:rsid w:val="002012BC"/>
    <w:rsid w:val="0020243E"/>
    <w:rsid w:val="00203267"/>
    <w:rsid w:val="00203575"/>
    <w:rsid w:val="002036A4"/>
    <w:rsid w:val="00203F8F"/>
    <w:rsid w:val="00204A62"/>
    <w:rsid w:val="00204AE0"/>
    <w:rsid w:val="00205589"/>
    <w:rsid w:val="002070DF"/>
    <w:rsid w:val="002078EA"/>
    <w:rsid w:val="00207F97"/>
    <w:rsid w:val="00210223"/>
    <w:rsid w:val="00210AE2"/>
    <w:rsid w:val="002118D8"/>
    <w:rsid w:val="002119BD"/>
    <w:rsid w:val="00211B9B"/>
    <w:rsid w:val="00211D4D"/>
    <w:rsid w:val="00212585"/>
    <w:rsid w:val="002129B5"/>
    <w:rsid w:val="00213039"/>
    <w:rsid w:val="00214958"/>
    <w:rsid w:val="00214F64"/>
    <w:rsid w:val="0021526D"/>
    <w:rsid w:val="00215347"/>
    <w:rsid w:val="002153BE"/>
    <w:rsid w:val="002153F2"/>
    <w:rsid w:val="00215737"/>
    <w:rsid w:val="00216551"/>
    <w:rsid w:val="002166C8"/>
    <w:rsid w:val="0021697C"/>
    <w:rsid w:val="00216B26"/>
    <w:rsid w:val="002176CF"/>
    <w:rsid w:val="00217748"/>
    <w:rsid w:val="0021798D"/>
    <w:rsid w:val="00217DF4"/>
    <w:rsid w:val="00220EC2"/>
    <w:rsid w:val="002220A5"/>
    <w:rsid w:val="002232C3"/>
    <w:rsid w:val="0022335E"/>
    <w:rsid w:val="00223876"/>
    <w:rsid w:val="00223F92"/>
    <w:rsid w:val="00224008"/>
    <w:rsid w:val="00224E57"/>
    <w:rsid w:val="002251CC"/>
    <w:rsid w:val="00225546"/>
    <w:rsid w:val="0022575E"/>
    <w:rsid w:val="00226333"/>
    <w:rsid w:val="00226363"/>
    <w:rsid w:val="0023004A"/>
    <w:rsid w:val="00230214"/>
    <w:rsid w:val="0023044E"/>
    <w:rsid w:val="002304E2"/>
    <w:rsid w:val="00230EAB"/>
    <w:rsid w:val="00231B48"/>
    <w:rsid w:val="00232525"/>
    <w:rsid w:val="00233637"/>
    <w:rsid w:val="002337E6"/>
    <w:rsid w:val="0023547A"/>
    <w:rsid w:val="00235AD6"/>
    <w:rsid w:val="00235D17"/>
    <w:rsid w:val="00235D31"/>
    <w:rsid w:val="002361B2"/>
    <w:rsid w:val="002367DA"/>
    <w:rsid w:val="002368B2"/>
    <w:rsid w:val="00236EF5"/>
    <w:rsid w:val="002370D1"/>
    <w:rsid w:val="0023748D"/>
    <w:rsid w:val="002375E7"/>
    <w:rsid w:val="00237737"/>
    <w:rsid w:val="00237A24"/>
    <w:rsid w:val="00237EEC"/>
    <w:rsid w:val="00240A1A"/>
    <w:rsid w:val="00240B60"/>
    <w:rsid w:val="00241671"/>
    <w:rsid w:val="00241AEF"/>
    <w:rsid w:val="00241C14"/>
    <w:rsid w:val="00241DB6"/>
    <w:rsid w:val="00241EC2"/>
    <w:rsid w:val="0024229C"/>
    <w:rsid w:val="002422AF"/>
    <w:rsid w:val="00242571"/>
    <w:rsid w:val="00242B36"/>
    <w:rsid w:val="00242B6E"/>
    <w:rsid w:val="00242F5A"/>
    <w:rsid w:val="002451AA"/>
    <w:rsid w:val="00246504"/>
    <w:rsid w:val="00246872"/>
    <w:rsid w:val="00246B5D"/>
    <w:rsid w:val="002476BA"/>
    <w:rsid w:val="00247B48"/>
    <w:rsid w:val="00250171"/>
    <w:rsid w:val="002503E4"/>
    <w:rsid w:val="00251521"/>
    <w:rsid w:val="00252136"/>
    <w:rsid w:val="00253BCD"/>
    <w:rsid w:val="00253CAC"/>
    <w:rsid w:val="00253DF7"/>
    <w:rsid w:val="002544AE"/>
    <w:rsid w:val="0025564D"/>
    <w:rsid w:val="0025590A"/>
    <w:rsid w:val="00255939"/>
    <w:rsid w:val="00256105"/>
    <w:rsid w:val="002564A9"/>
    <w:rsid w:val="00256758"/>
    <w:rsid w:val="00256A85"/>
    <w:rsid w:val="00257B03"/>
    <w:rsid w:val="00257ECA"/>
    <w:rsid w:val="00260833"/>
    <w:rsid w:val="00261063"/>
    <w:rsid w:val="00261198"/>
    <w:rsid w:val="00261392"/>
    <w:rsid w:val="002614F4"/>
    <w:rsid w:val="0026165A"/>
    <w:rsid w:val="00261BB6"/>
    <w:rsid w:val="0026225E"/>
    <w:rsid w:val="0026252E"/>
    <w:rsid w:val="00262753"/>
    <w:rsid w:val="00262903"/>
    <w:rsid w:val="00262CB4"/>
    <w:rsid w:val="00263294"/>
    <w:rsid w:val="00264218"/>
    <w:rsid w:val="002647D4"/>
    <w:rsid w:val="00266461"/>
    <w:rsid w:val="00266E5C"/>
    <w:rsid w:val="002670E7"/>
    <w:rsid w:val="00267283"/>
    <w:rsid w:val="00267420"/>
    <w:rsid w:val="00267BE7"/>
    <w:rsid w:val="00267E90"/>
    <w:rsid w:val="0027007E"/>
    <w:rsid w:val="00270AD8"/>
    <w:rsid w:val="00270D9B"/>
    <w:rsid w:val="002713BA"/>
    <w:rsid w:val="00271E90"/>
    <w:rsid w:val="002725A1"/>
    <w:rsid w:val="00272B62"/>
    <w:rsid w:val="0027340B"/>
    <w:rsid w:val="0027368D"/>
    <w:rsid w:val="002737A0"/>
    <w:rsid w:val="00273A86"/>
    <w:rsid w:val="00273B6F"/>
    <w:rsid w:val="0027449E"/>
    <w:rsid w:val="0027544A"/>
    <w:rsid w:val="00275658"/>
    <w:rsid w:val="0027587D"/>
    <w:rsid w:val="00276969"/>
    <w:rsid w:val="00276B2B"/>
    <w:rsid w:val="00276C86"/>
    <w:rsid w:val="002778BF"/>
    <w:rsid w:val="00277D70"/>
    <w:rsid w:val="00277DCE"/>
    <w:rsid w:val="00277F11"/>
    <w:rsid w:val="00280F85"/>
    <w:rsid w:val="002816A4"/>
    <w:rsid w:val="00281AD6"/>
    <w:rsid w:val="00281E0E"/>
    <w:rsid w:val="00282DF3"/>
    <w:rsid w:val="00283628"/>
    <w:rsid w:val="0028407D"/>
    <w:rsid w:val="0028433C"/>
    <w:rsid w:val="002852F2"/>
    <w:rsid w:val="00285B73"/>
    <w:rsid w:val="00285D91"/>
    <w:rsid w:val="00285E23"/>
    <w:rsid w:val="00285E59"/>
    <w:rsid w:val="0028608A"/>
    <w:rsid w:val="00286120"/>
    <w:rsid w:val="00287472"/>
    <w:rsid w:val="002878BF"/>
    <w:rsid w:val="00287CB2"/>
    <w:rsid w:val="00287D15"/>
    <w:rsid w:val="00287D17"/>
    <w:rsid w:val="00290448"/>
    <w:rsid w:val="002906AE"/>
    <w:rsid w:val="00291823"/>
    <w:rsid w:val="0029230C"/>
    <w:rsid w:val="002923E0"/>
    <w:rsid w:val="00292419"/>
    <w:rsid w:val="002945C6"/>
    <w:rsid w:val="0029480E"/>
    <w:rsid w:val="00294E89"/>
    <w:rsid w:val="002951A5"/>
    <w:rsid w:val="002954BC"/>
    <w:rsid w:val="002954F9"/>
    <w:rsid w:val="00295556"/>
    <w:rsid w:val="002955C4"/>
    <w:rsid w:val="00295B63"/>
    <w:rsid w:val="00295BC3"/>
    <w:rsid w:val="00295C74"/>
    <w:rsid w:val="00295FD3"/>
    <w:rsid w:val="00296717"/>
    <w:rsid w:val="00296861"/>
    <w:rsid w:val="00296A6C"/>
    <w:rsid w:val="00297313"/>
    <w:rsid w:val="00297605"/>
    <w:rsid w:val="002A06BE"/>
    <w:rsid w:val="002A0AE3"/>
    <w:rsid w:val="002A10BE"/>
    <w:rsid w:val="002A1691"/>
    <w:rsid w:val="002A1AD7"/>
    <w:rsid w:val="002A1DEC"/>
    <w:rsid w:val="002A37F2"/>
    <w:rsid w:val="002A4ADC"/>
    <w:rsid w:val="002A4B2C"/>
    <w:rsid w:val="002A4D3E"/>
    <w:rsid w:val="002A54F7"/>
    <w:rsid w:val="002A5781"/>
    <w:rsid w:val="002A79EF"/>
    <w:rsid w:val="002B1668"/>
    <w:rsid w:val="002B243C"/>
    <w:rsid w:val="002B25A7"/>
    <w:rsid w:val="002B2A00"/>
    <w:rsid w:val="002B453B"/>
    <w:rsid w:val="002B465D"/>
    <w:rsid w:val="002B79C4"/>
    <w:rsid w:val="002B7BDC"/>
    <w:rsid w:val="002B7D66"/>
    <w:rsid w:val="002C003E"/>
    <w:rsid w:val="002C0268"/>
    <w:rsid w:val="002C04F4"/>
    <w:rsid w:val="002C0C8F"/>
    <w:rsid w:val="002C10FE"/>
    <w:rsid w:val="002C1745"/>
    <w:rsid w:val="002C18B5"/>
    <w:rsid w:val="002C1A87"/>
    <w:rsid w:val="002C1A88"/>
    <w:rsid w:val="002C1AD4"/>
    <w:rsid w:val="002C1C23"/>
    <w:rsid w:val="002C254E"/>
    <w:rsid w:val="002C2562"/>
    <w:rsid w:val="002C2772"/>
    <w:rsid w:val="002C29C1"/>
    <w:rsid w:val="002C373E"/>
    <w:rsid w:val="002C3930"/>
    <w:rsid w:val="002C3C3C"/>
    <w:rsid w:val="002C451D"/>
    <w:rsid w:val="002C4794"/>
    <w:rsid w:val="002C47EE"/>
    <w:rsid w:val="002C482C"/>
    <w:rsid w:val="002C5509"/>
    <w:rsid w:val="002C5B78"/>
    <w:rsid w:val="002C5C18"/>
    <w:rsid w:val="002C5E19"/>
    <w:rsid w:val="002C5E49"/>
    <w:rsid w:val="002C6149"/>
    <w:rsid w:val="002C647B"/>
    <w:rsid w:val="002C659B"/>
    <w:rsid w:val="002C66E4"/>
    <w:rsid w:val="002C73C4"/>
    <w:rsid w:val="002C7578"/>
    <w:rsid w:val="002C779F"/>
    <w:rsid w:val="002D09B6"/>
    <w:rsid w:val="002D150D"/>
    <w:rsid w:val="002D1627"/>
    <w:rsid w:val="002D1A20"/>
    <w:rsid w:val="002D209B"/>
    <w:rsid w:val="002D2BD2"/>
    <w:rsid w:val="002D2E09"/>
    <w:rsid w:val="002D31CE"/>
    <w:rsid w:val="002D3751"/>
    <w:rsid w:val="002D3AB4"/>
    <w:rsid w:val="002D40B2"/>
    <w:rsid w:val="002D417B"/>
    <w:rsid w:val="002D45F2"/>
    <w:rsid w:val="002D4CF7"/>
    <w:rsid w:val="002D4DFA"/>
    <w:rsid w:val="002D624E"/>
    <w:rsid w:val="002D71E0"/>
    <w:rsid w:val="002D7ABF"/>
    <w:rsid w:val="002E0103"/>
    <w:rsid w:val="002E0121"/>
    <w:rsid w:val="002E0590"/>
    <w:rsid w:val="002E0A53"/>
    <w:rsid w:val="002E0D64"/>
    <w:rsid w:val="002E17EF"/>
    <w:rsid w:val="002E18DA"/>
    <w:rsid w:val="002E1BAE"/>
    <w:rsid w:val="002E36AB"/>
    <w:rsid w:val="002E3778"/>
    <w:rsid w:val="002E37E0"/>
    <w:rsid w:val="002E3D94"/>
    <w:rsid w:val="002E4382"/>
    <w:rsid w:val="002E462E"/>
    <w:rsid w:val="002E4643"/>
    <w:rsid w:val="002E4781"/>
    <w:rsid w:val="002E47BE"/>
    <w:rsid w:val="002E4CB3"/>
    <w:rsid w:val="002E4F24"/>
    <w:rsid w:val="002E5303"/>
    <w:rsid w:val="002E646F"/>
    <w:rsid w:val="002E66F3"/>
    <w:rsid w:val="002E78D5"/>
    <w:rsid w:val="002F0301"/>
    <w:rsid w:val="002F095C"/>
    <w:rsid w:val="002F0D06"/>
    <w:rsid w:val="002F1061"/>
    <w:rsid w:val="002F112C"/>
    <w:rsid w:val="002F1B3A"/>
    <w:rsid w:val="002F276C"/>
    <w:rsid w:val="002F2CFC"/>
    <w:rsid w:val="002F4574"/>
    <w:rsid w:val="002F5397"/>
    <w:rsid w:val="002F5809"/>
    <w:rsid w:val="002F5B1B"/>
    <w:rsid w:val="002F5E7C"/>
    <w:rsid w:val="002F7575"/>
    <w:rsid w:val="002F7D9A"/>
    <w:rsid w:val="002F7FC9"/>
    <w:rsid w:val="0030023F"/>
    <w:rsid w:val="00300468"/>
    <w:rsid w:val="0030112C"/>
    <w:rsid w:val="00301ED3"/>
    <w:rsid w:val="00302C38"/>
    <w:rsid w:val="00303304"/>
    <w:rsid w:val="00303E4D"/>
    <w:rsid w:val="00304794"/>
    <w:rsid w:val="00305524"/>
    <w:rsid w:val="003059E2"/>
    <w:rsid w:val="003061D3"/>
    <w:rsid w:val="0030641C"/>
    <w:rsid w:val="00306BDB"/>
    <w:rsid w:val="00307206"/>
    <w:rsid w:val="003073E0"/>
    <w:rsid w:val="0030748D"/>
    <w:rsid w:val="00307C02"/>
    <w:rsid w:val="00307CB2"/>
    <w:rsid w:val="00310067"/>
    <w:rsid w:val="00310CF7"/>
    <w:rsid w:val="00311233"/>
    <w:rsid w:val="00311CA2"/>
    <w:rsid w:val="00311DEA"/>
    <w:rsid w:val="00312322"/>
    <w:rsid w:val="003128C7"/>
    <w:rsid w:val="00314BEA"/>
    <w:rsid w:val="00314D1E"/>
    <w:rsid w:val="003153DF"/>
    <w:rsid w:val="00315813"/>
    <w:rsid w:val="00315A7A"/>
    <w:rsid w:val="00315C01"/>
    <w:rsid w:val="00317399"/>
    <w:rsid w:val="0031752C"/>
    <w:rsid w:val="003175F7"/>
    <w:rsid w:val="00317625"/>
    <w:rsid w:val="00320858"/>
    <w:rsid w:val="00320D47"/>
    <w:rsid w:val="00321012"/>
    <w:rsid w:val="00321A80"/>
    <w:rsid w:val="00321B85"/>
    <w:rsid w:val="00321E8E"/>
    <w:rsid w:val="003221FF"/>
    <w:rsid w:val="00322D3A"/>
    <w:rsid w:val="003238C1"/>
    <w:rsid w:val="00323BD9"/>
    <w:rsid w:val="00323F3E"/>
    <w:rsid w:val="0032519F"/>
    <w:rsid w:val="003252BD"/>
    <w:rsid w:val="0032572A"/>
    <w:rsid w:val="00325777"/>
    <w:rsid w:val="00325AAD"/>
    <w:rsid w:val="0032653D"/>
    <w:rsid w:val="00326A0F"/>
    <w:rsid w:val="00327705"/>
    <w:rsid w:val="003301EE"/>
    <w:rsid w:val="003304B9"/>
    <w:rsid w:val="0033134C"/>
    <w:rsid w:val="003319B6"/>
    <w:rsid w:val="00332741"/>
    <w:rsid w:val="00332C7A"/>
    <w:rsid w:val="0033304E"/>
    <w:rsid w:val="003340EE"/>
    <w:rsid w:val="00334165"/>
    <w:rsid w:val="00334E21"/>
    <w:rsid w:val="003356D7"/>
    <w:rsid w:val="003361E9"/>
    <w:rsid w:val="00336C65"/>
    <w:rsid w:val="00336DB6"/>
    <w:rsid w:val="00337195"/>
    <w:rsid w:val="00340612"/>
    <w:rsid w:val="003409D0"/>
    <w:rsid w:val="003409F8"/>
    <w:rsid w:val="003417DE"/>
    <w:rsid w:val="003420D2"/>
    <w:rsid w:val="00342574"/>
    <w:rsid w:val="0034294B"/>
    <w:rsid w:val="00342F91"/>
    <w:rsid w:val="0034338F"/>
    <w:rsid w:val="003436B0"/>
    <w:rsid w:val="003437DE"/>
    <w:rsid w:val="0034387F"/>
    <w:rsid w:val="00343BF6"/>
    <w:rsid w:val="003440CD"/>
    <w:rsid w:val="00344A8A"/>
    <w:rsid w:val="00344D58"/>
    <w:rsid w:val="00345BA4"/>
    <w:rsid w:val="00347089"/>
    <w:rsid w:val="00347B0E"/>
    <w:rsid w:val="00350379"/>
    <w:rsid w:val="00350897"/>
    <w:rsid w:val="00350B3F"/>
    <w:rsid w:val="00350CBC"/>
    <w:rsid w:val="00350E38"/>
    <w:rsid w:val="00351737"/>
    <w:rsid w:val="00351798"/>
    <w:rsid w:val="003517EF"/>
    <w:rsid w:val="00351C24"/>
    <w:rsid w:val="0035227B"/>
    <w:rsid w:val="00352723"/>
    <w:rsid w:val="00352A58"/>
    <w:rsid w:val="00352F08"/>
    <w:rsid w:val="003538A2"/>
    <w:rsid w:val="00354840"/>
    <w:rsid w:val="003548F5"/>
    <w:rsid w:val="00354E42"/>
    <w:rsid w:val="00354EC5"/>
    <w:rsid w:val="0035542F"/>
    <w:rsid w:val="003557A4"/>
    <w:rsid w:val="0035606C"/>
    <w:rsid w:val="003573A2"/>
    <w:rsid w:val="003602BF"/>
    <w:rsid w:val="0036037B"/>
    <w:rsid w:val="00360591"/>
    <w:rsid w:val="00360BAC"/>
    <w:rsid w:val="0036143A"/>
    <w:rsid w:val="0036364C"/>
    <w:rsid w:val="00363EE9"/>
    <w:rsid w:val="00364489"/>
    <w:rsid w:val="00364550"/>
    <w:rsid w:val="003647F9"/>
    <w:rsid w:val="003651EC"/>
    <w:rsid w:val="00365807"/>
    <w:rsid w:val="003664C8"/>
    <w:rsid w:val="00366893"/>
    <w:rsid w:val="0036723C"/>
    <w:rsid w:val="00370878"/>
    <w:rsid w:val="00370FC5"/>
    <w:rsid w:val="00371805"/>
    <w:rsid w:val="00371DB2"/>
    <w:rsid w:val="00371F21"/>
    <w:rsid w:val="0037276F"/>
    <w:rsid w:val="00373673"/>
    <w:rsid w:val="0037460C"/>
    <w:rsid w:val="00375156"/>
    <w:rsid w:val="003752DF"/>
    <w:rsid w:val="00375363"/>
    <w:rsid w:val="003754AB"/>
    <w:rsid w:val="00375593"/>
    <w:rsid w:val="00375721"/>
    <w:rsid w:val="003758C8"/>
    <w:rsid w:val="003759DF"/>
    <w:rsid w:val="00375A8C"/>
    <w:rsid w:val="00375B4D"/>
    <w:rsid w:val="00375DA8"/>
    <w:rsid w:val="00375E36"/>
    <w:rsid w:val="00375FCD"/>
    <w:rsid w:val="003761C3"/>
    <w:rsid w:val="00376496"/>
    <w:rsid w:val="00376AEE"/>
    <w:rsid w:val="00377B9D"/>
    <w:rsid w:val="00377CF6"/>
    <w:rsid w:val="00377DAC"/>
    <w:rsid w:val="003803E9"/>
    <w:rsid w:val="003807AC"/>
    <w:rsid w:val="00380E76"/>
    <w:rsid w:val="00381A3C"/>
    <w:rsid w:val="00382610"/>
    <w:rsid w:val="00383815"/>
    <w:rsid w:val="00383C00"/>
    <w:rsid w:val="0038435D"/>
    <w:rsid w:val="003849F7"/>
    <w:rsid w:val="00384A90"/>
    <w:rsid w:val="00384B4C"/>
    <w:rsid w:val="00384FD5"/>
    <w:rsid w:val="00385779"/>
    <w:rsid w:val="00385C48"/>
    <w:rsid w:val="00385CDC"/>
    <w:rsid w:val="003867CC"/>
    <w:rsid w:val="00386CAF"/>
    <w:rsid w:val="00386D2E"/>
    <w:rsid w:val="003875A6"/>
    <w:rsid w:val="00387A2B"/>
    <w:rsid w:val="00390883"/>
    <w:rsid w:val="00391A2F"/>
    <w:rsid w:val="003924BB"/>
    <w:rsid w:val="00392FBF"/>
    <w:rsid w:val="00393289"/>
    <w:rsid w:val="00393464"/>
    <w:rsid w:val="00393549"/>
    <w:rsid w:val="003936B3"/>
    <w:rsid w:val="00394435"/>
    <w:rsid w:val="00394494"/>
    <w:rsid w:val="00394936"/>
    <w:rsid w:val="00394DC3"/>
    <w:rsid w:val="00395AF4"/>
    <w:rsid w:val="00395C20"/>
    <w:rsid w:val="00395E31"/>
    <w:rsid w:val="003960E9"/>
    <w:rsid w:val="00396D81"/>
    <w:rsid w:val="00396D9F"/>
    <w:rsid w:val="003979C7"/>
    <w:rsid w:val="003A03FC"/>
    <w:rsid w:val="003A0487"/>
    <w:rsid w:val="003A05AA"/>
    <w:rsid w:val="003A0692"/>
    <w:rsid w:val="003A09DF"/>
    <w:rsid w:val="003A0BC6"/>
    <w:rsid w:val="003A0CD2"/>
    <w:rsid w:val="003A101A"/>
    <w:rsid w:val="003A10BE"/>
    <w:rsid w:val="003A135F"/>
    <w:rsid w:val="003A21F4"/>
    <w:rsid w:val="003A2407"/>
    <w:rsid w:val="003A2738"/>
    <w:rsid w:val="003A3836"/>
    <w:rsid w:val="003A5AB3"/>
    <w:rsid w:val="003A66D6"/>
    <w:rsid w:val="003A67B0"/>
    <w:rsid w:val="003A69CE"/>
    <w:rsid w:val="003A78A3"/>
    <w:rsid w:val="003A7A3C"/>
    <w:rsid w:val="003A7DAE"/>
    <w:rsid w:val="003B0248"/>
    <w:rsid w:val="003B0CC6"/>
    <w:rsid w:val="003B114B"/>
    <w:rsid w:val="003B2828"/>
    <w:rsid w:val="003B34B7"/>
    <w:rsid w:val="003B38CB"/>
    <w:rsid w:val="003B3BD1"/>
    <w:rsid w:val="003B3E25"/>
    <w:rsid w:val="003B435B"/>
    <w:rsid w:val="003B4452"/>
    <w:rsid w:val="003B450F"/>
    <w:rsid w:val="003B452E"/>
    <w:rsid w:val="003B4670"/>
    <w:rsid w:val="003B483C"/>
    <w:rsid w:val="003B4BDB"/>
    <w:rsid w:val="003B5444"/>
    <w:rsid w:val="003B6D6B"/>
    <w:rsid w:val="003B7769"/>
    <w:rsid w:val="003B7774"/>
    <w:rsid w:val="003B7EDC"/>
    <w:rsid w:val="003C0529"/>
    <w:rsid w:val="003C05E6"/>
    <w:rsid w:val="003C12D3"/>
    <w:rsid w:val="003C1BE6"/>
    <w:rsid w:val="003C2553"/>
    <w:rsid w:val="003C2AC0"/>
    <w:rsid w:val="003C2C4E"/>
    <w:rsid w:val="003C3804"/>
    <w:rsid w:val="003C47AB"/>
    <w:rsid w:val="003C4CD7"/>
    <w:rsid w:val="003C56D8"/>
    <w:rsid w:val="003C6664"/>
    <w:rsid w:val="003C77C6"/>
    <w:rsid w:val="003C7F83"/>
    <w:rsid w:val="003D0C99"/>
    <w:rsid w:val="003D1231"/>
    <w:rsid w:val="003D1B94"/>
    <w:rsid w:val="003D203D"/>
    <w:rsid w:val="003D28B1"/>
    <w:rsid w:val="003D3336"/>
    <w:rsid w:val="003D3CA0"/>
    <w:rsid w:val="003D3D21"/>
    <w:rsid w:val="003D535B"/>
    <w:rsid w:val="003D5369"/>
    <w:rsid w:val="003D5B60"/>
    <w:rsid w:val="003D5BFC"/>
    <w:rsid w:val="003D67B8"/>
    <w:rsid w:val="003D6E69"/>
    <w:rsid w:val="003D750F"/>
    <w:rsid w:val="003D75A8"/>
    <w:rsid w:val="003E08CB"/>
    <w:rsid w:val="003E1082"/>
    <w:rsid w:val="003E12BF"/>
    <w:rsid w:val="003E12DC"/>
    <w:rsid w:val="003E1D76"/>
    <w:rsid w:val="003E21B7"/>
    <w:rsid w:val="003E2599"/>
    <w:rsid w:val="003E27B0"/>
    <w:rsid w:val="003E28D4"/>
    <w:rsid w:val="003E2AEF"/>
    <w:rsid w:val="003E3944"/>
    <w:rsid w:val="003E3EAB"/>
    <w:rsid w:val="003E4008"/>
    <w:rsid w:val="003E4829"/>
    <w:rsid w:val="003E4C8A"/>
    <w:rsid w:val="003E586E"/>
    <w:rsid w:val="003E6D3E"/>
    <w:rsid w:val="003E7123"/>
    <w:rsid w:val="003E7A15"/>
    <w:rsid w:val="003E7A1C"/>
    <w:rsid w:val="003E7DD6"/>
    <w:rsid w:val="003F00D5"/>
    <w:rsid w:val="003F0771"/>
    <w:rsid w:val="003F1968"/>
    <w:rsid w:val="003F1F91"/>
    <w:rsid w:val="003F24E7"/>
    <w:rsid w:val="003F27DA"/>
    <w:rsid w:val="003F2A08"/>
    <w:rsid w:val="003F2A21"/>
    <w:rsid w:val="003F353C"/>
    <w:rsid w:val="003F35E6"/>
    <w:rsid w:val="003F4250"/>
    <w:rsid w:val="003F4439"/>
    <w:rsid w:val="003F4B9E"/>
    <w:rsid w:val="003F5581"/>
    <w:rsid w:val="003F576B"/>
    <w:rsid w:val="003F5BC2"/>
    <w:rsid w:val="003F6DD2"/>
    <w:rsid w:val="003F700C"/>
    <w:rsid w:val="003F7B8B"/>
    <w:rsid w:val="003F7E6B"/>
    <w:rsid w:val="00400300"/>
    <w:rsid w:val="00400457"/>
    <w:rsid w:val="004004A9"/>
    <w:rsid w:val="00400751"/>
    <w:rsid w:val="0040078A"/>
    <w:rsid w:val="00401198"/>
    <w:rsid w:val="00401615"/>
    <w:rsid w:val="004018FE"/>
    <w:rsid w:val="0040192A"/>
    <w:rsid w:val="004025F8"/>
    <w:rsid w:val="00403334"/>
    <w:rsid w:val="004035DC"/>
    <w:rsid w:val="004054B8"/>
    <w:rsid w:val="00405DB0"/>
    <w:rsid w:val="00406286"/>
    <w:rsid w:val="00406346"/>
    <w:rsid w:val="00406931"/>
    <w:rsid w:val="00406BA7"/>
    <w:rsid w:val="00406D7B"/>
    <w:rsid w:val="004105E6"/>
    <w:rsid w:val="00410E48"/>
    <w:rsid w:val="00411293"/>
    <w:rsid w:val="00411FF4"/>
    <w:rsid w:val="00412922"/>
    <w:rsid w:val="00412DCD"/>
    <w:rsid w:val="004131DD"/>
    <w:rsid w:val="00413481"/>
    <w:rsid w:val="00413AB2"/>
    <w:rsid w:val="00414186"/>
    <w:rsid w:val="0041472E"/>
    <w:rsid w:val="00415138"/>
    <w:rsid w:val="00416BDA"/>
    <w:rsid w:val="00417263"/>
    <w:rsid w:val="00417E2B"/>
    <w:rsid w:val="00417F03"/>
    <w:rsid w:val="00420091"/>
    <w:rsid w:val="0042038A"/>
    <w:rsid w:val="00420B9B"/>
    <w:rsid w:val="00420F65"/>
    <w:rsid w:val="0042112A"/>
    <w:rsid w:val="004217D6"/>
    <w:rsid w:val="00421CF4"/>
    <w:rsid w:val="00422088"/>
    <w:rsid w:val="0042252D"/>
    <w:rsid w:val="00422F7B"/>
    <w:rsid w:val="00422FE1"/>
    <w:rsid w:val="00423169"/>
    <w:rsid w:val="00424C65"/>
    <w:rsid w:val="00425775"/>
    <w:rsid w:val="00425BF8"/>
    <w:rsid w:val="0042695E"/>
    <w:rsid w:val="00426DE6"/>
    <w:rsid w:val="00426EA3"/>
    <w:rsid w:val="00427480"/>
    <w:rsid w:val="0042761B"/>
    <w:rsid w:val="00427A0C"/>
    <w:rsid w:val="00427D91"/>
    <w:rsid w:val="004300E2"/>
    <w:rsid w:val="004301D8"/>
    <w:rsid w:val="00430DC5"/>
    <w:rsid w:val="00431FFB"/>
    <w:rsid w:val="004324BB"/>
    <w:rsid w:val="004327A5"/>
    <w:rsid w:val="0043390F"/>
    <w:rsid w:val="00433CCC"/>
    <w:rsid w:val="004343DF"/>
    <w:rsid w:val="004345F1"/>
    <w:rsid w:val="004348D3"/>
    <w:rsid w:val="00435E3E"/>
    <w:rsid w:val="00435EA9"/>
    <w:rsid w:val="00436122"/>
    <w:rsid w:val="0043627A"/>
    <w:rsid w:val="00437691"/>
    <w:rsid w:val="00440442"/>
    <w:rsid w:val="00440684"/>
    <w:rsid w:val="00440BFE"/>
    <w:rsid w:val="004415DF"/>
    <w:rsid w:val="004420F8"/>
    <w:rsid w:val="00442588"/>
    <w:rsid w:val="00442743"/>
    <w:rsid w:val="00443B60"/>
    <w:rsid w:val="004442A6"/>
    <w:rsid w:val="004443CF"/>
    <w:rsid w:val="0044457A"/>
    <w:rsid w:val="004449B8"/>
    <w:rsid w:val="004453EB"/>
    <w:rsid w:val="004454AE"/>
    <w:rsid w:val="00445679"/>
    <w:rsid w:val="00446AF9"/>
    <w:rsid w:val="00446D9A"/>
    <w:rsid w:val="0044731F"/>
    <w:rsid w:val="0044738A"/>
    <w:rsid w:val="00447ACE"/>
    <w:rsid w:val="00447FA4"/>
    <w:rsid w:val="00450690"/>
    <w:rsid w:val="00450750"/>
    <w:rsid w:val="004520D1"/>
    <w:rsid w:val="00452443"/>
    <w:rsid w:val="00452624"/>
    <w:rsid w:val="0045299E"/>
    <w:rsid w:val="00452A1A"/>
    <w:rsid w:val="00453059"/>
    <w:rsid w:val="00453C81"/>
    <w:rsid w:val="00454065"/>
    <w:rsid w:val="0045422B"/>
    <w:rsid w:val="00454DB3"/>
    <w:rsid w:val="00455679"/>
    <w:rsid w:val="00455DFF"/>
    <w:rsid w:val="00456AF4"/>
    <w:rsid w:val="00456D39"/>
    <w:rsid w:val="004574C6"/>
    <w:rsid w:val="004605C6"/>
    <w:rsid w:val="00460D4A"/>
    <w:rsid w:val="00460EC3"/>
    <w:rsid w:val="004610F0"/>
    <w:rsid w:val="00461A40"/>
    <w:rsid w:val="00462A6B"/>
    <w:rsid w:val="00462F48"/>
    <w:rsid w:val="00463785"/>
    <w:rsid w:val="0046380C"/>
    <w:rsid w:val="00463A74"/>
    <w:rsid w:val="00463EFF"/>
    <w:rsid w:val="00464F76"/>
    <w:rsid w:val="004652CC"/>
    <w:rsid w:val="004652DF"/>
    <w:rsid w:val="00465A09"/>
    <w:rsid w:val="00465EC7"/>
    <w:rsid w:val="00466962"/>
    <w:rsid w:val="0046730E"/>
    <w:rsid w:val="004678AF"/>
    <w:rsid w:val="004679FC"/>
    <w:rsid w:val="004707B2"/>
    <w:rsid w:val="00470FF4"/>
    <w:rsid w:val="00471008"/>
    <w:rsid w:val="004718B8"/>
    <w:rsid w:val="004727BC"/>
    <w:rsid w:val="0047291A"/>
    <w:rsid w:val="00473938"/>
    <w:rsid w:val="00473E83"/>
    <w:rsid w:val="0047404E"/>
    <w:rsid w:val="00474472"/>
    <w:rsid w:val="00474480"/>
    <w:rsid w:val="00474AD3"/>
    <w:rsid w:val="00475C3A"/>
    <w:rsid w:val="00475DE2"/>
    <w:rsid w:val="00475F64"/>
    <w:rsid w:val="00476A9D"/>
    <w:rsid w:val="00476F5B"/>
    <w:rsid w:val="00477065"/>
    <w:rsid w:val="00477347"/>
    <w:rsid w:val="004801FB"/>
    <w:rsid w:val="0048046B"/>
    <w:rsid w:val="00480FE0"/>
    <w:rsid w:val="004817AC"/>
    <w:rsid w:val="00482062"/>
    <w:rsid w:val="00482562"/>
    <w:rsid w:val="00482EEF"/>
    <w:rsid w:val="00483055"/>
    <w:rsid w:val="00483547"/>
    <w:rsid w:val="00483D9E"/>
    <w:rsid w:val="004848E8"/>
    <w:rsid w:val="0048497C"/>
    <w:rsid w:val="00485230"/>
    <w:rsid w:val="004858EF"/>
    <w:rsid w:val="00485EE1"/>
    <w:rsid w:val="0048611D"/>
    <w:rsid w:val="00486526"/>
    <w:rsid w:val="004868B2"/>
    <w:rsid w:val="004873D3"/>
    <w:rsid w:val="00487497"/>
    <w:rsid w:val="00487848"/>
    <w:rsid w:val="0049041F"/>
    <w:rsid w:val="00490579"/>
    <w:rsid w:val="00490F39"/>
    <w:rsid w:val="004916D3"/>
    <w:rsid w:val="00491916"/>
    <w:rsid w:val="00491A85"/>
    <w:rsid w:val="00491ADC"/>
    <w:rsid w:val="00491D12"/>
    <w:rsid w:val="00491D70"/>
    <w:rsid w:val="0049229D"/>
    <w:rsid w:val="00493249"/>
    <w:rsid w:val="004934B7"/>
    <w:rsid w:val="0049391F"/>
    <w:rsid w:val="00493A75"/>
    <w:rsid w:val="0049405F"/>
    <w:rsid w:val="00495724"/>
    <w:rsid w:val="00495B73"/>
    <w:rsid w:val="004960FB"/>
    <w:rsid w:val="0049616E"/>
    <w:rsid w:val="004966A0"/>
    <w:rsid w:val="00496DA7"/>
    <w:rsid w:val="00496DA8"/>
    <w:rsid w:val="004971C3"/>
    <w:rsid w:val="004972C1"/>
    <w:rsid w:val="00497304"/>
    <w:rsid w:val="00497E06"/>
    <w:rsid w:val="004A0EFC"/>
    <w:rsid w:val="004A1DDD"/>
    <w:rsid w:val="004A20DC"/>
    <w:rsid w:val="004A2E7A"/>
    <w:rsid w:val="004A3B00"/>
    <w:rsid w:val="004A3B75"/>
    <w:rsid w:val="004A3CD9"/>
    <w:rsid w:val="004A3E6E"/>
    <w:rsid w:val="004A4037"/>
    <w:rsid w:val="004A4148"/>
    <w:rsid w:val="004A44C3"/>
    <w:rsid w:val="004A5694"/>
    <w:rsid w:val="004A5A38"/>
    <w:rsid w:val="004A5BE7"/>
    <w:rsid w:val="004A5E5B"/>
    <w:rsid w:val="004A645A"/>
    <w:rsid w:val="004A66DA"/>
    <w:rsid w:val="004A674D"/>
    <w:rsid w:val="004A7324"/>
    <w:rsid w:val="004A7BED"/>
    <w:rsid w:val="004B0EFF"/>
    <w:rsid w:val="004B1C4E"/>
    <w:rsid w:val="004B1FFE"/>
    <w:rsid w:val="004B2371"/>
    <w:rsid w:val="004B2F19"/>
    <w:rsid w:val="004B3767"/>
    <w:rsid w:val="004B38C9"/>
    <w:rsid w:val="004B3C12"/>
    <w:rsid w:val="004B3CAB"/>
    <w:rsid w:val="004B3E50"/>
    <w:rsid w:val="004B3F9C"/>
    <w:rsid w:val="004B4003"/>
    <w:rsid w:val="004B4323"/>
    <w:rsid w:val="004B490C"/>
    <w:rsid w:val="004B4CE5"/>
    <w:rsid w:val="004B4FA0"/>
    <w:rsid w:val="004B52C0"/>
    <w:rsid w:val="004B5C4A"/>
    <w:rsid w:val="004B6559"/>
    <w:rsid w:val="004B65B2"/>
    <w:rsid w:val="004B6BD9"/>
    <w:rsid w:val="004B6BE7"/>
    <w:rsid w:val="004B6E02"/>
    <w:rsid w:val="004B79CA"/>
    <w:rsid w:val="004C056A"/>
    <w:rsid w:val="004C0630"/>
    <w:rsid w:val="004C19BF"/>
    <w:rsid w:val="004C2D5B"/>
    <w:rsid w:val="004C3200"/>
    <w:rsid w:val="004C3676"/>
    <w:rsid w:val="004C44E0"/>
    <w:rsid w:val="004C487F"/>
    <w:rsid w:val="004C4C5F"/>
    <w:rsid w:val="004C57C8"/>
    <w:rsid w:val="004C616D"/>
    <w:rsid w:val="004C62ED"/>
    <w:rsid w:val="004C6CB6"/>
    <w:rsid w:val="004C6EBD"/>
    <w:rsid w:val="004C730F"/>
    <w:rsid w:val="004C733B"/>
    <w:rsid w:val="004C7DF3"/>
    <w:rsid w:val="004D004C"/>
    <w:rsid w:val="004D053E"/>
    <w:rsid w:val="004D1542"/>
    <w:rsid w:val="004D1D5C"/>
    <w:rsid w:val="004D1E52"/>
    <w:rsid w:val="004D1F1E"/>
    <w:rsid w:val="004D20AA"/>
    <w:rsid w:val="004D2393"/>
    <w:rsid w:val="004D23C3"/>
    <w:rsid w:val="004D2576"/>
    <w:rsid w:val="004D2C2C"/>
    <w:rsid w:val="004D38D7"/>
    <w:rsid w:val="004D3C9F"/>
    <w:rsid w:val="004D470C"/>
    <w:rsid w:val="004D48E6"/>
    <w:rsid w:val="004D4B40"/>
    <w:rsid w:val="004D4F12"/>
    <w:rsid w:val="004D530D"/>
    <w:rsid w:val="004D61CD"/>
    <w:rsid w:val="004D626F"/>
    <w:rsid w:val="004D63C5"/>
    <w:rsid w:val="004D7C81"/>
    <w:rsid w:val="004D7CFA"/>
    <w:rsid w:val="004E065F"/>
    <w:rsid w:val="004E0660"/>
    <w:rsid w:val="004E0A85"/>
    <w:rsid w:val="004E14D4"/>
    <w:rsid w:val="004E1A23"/>
    <w:rsid w:val="004E1F3B"/>
    <w:rsid w:val="004E2CCD"/>
    <w:rsid w:val="004E33D6"/>
    <w:rsid w:val="004E3D13"/>
    <w:rsid w:val="004E3D4D"/>
    <w:rsid w:val="004E3F8C"/>
    <w:rsid w:val="004E48F7"/>
    <w:rsid w:val="004E5092"/>
    <w:rsid w:val="004E52E1"/>
    <w:rsid w:val="004E53BA"/>
    <w:rsid w:val="004E5613"/>
    <w:rsid w:val="004E5918"/>
    <w:rsid w:val="004E5B5C"/>
    <w:rsid w:val="004E5C92"/>
    <w:rsid w:val="004E6738"/>
    <w:rsid w:val="004E717B"/>
    <w:rsid w:val="004F0FDA"/>
    <w:rsid w:val="004F1038"/>
    <w:rsid w:val="004F1C78"/>
    <w:rsid w:val="004F2A26"/>
    <w:rsid w:val="004F2B33"/>
    <w:rsid w:val="004F3EF9"/>
    <w:rsid w:val="004F4329"/>
    <w:rsid w:val="004F466D"/>
    <w:rsid w:val="004F4788"/>
    <w:rsid w:val="004F4A09"/>
    <w:rsid w:val="004F4B53"/>
    <w:rsid w:val="004F50BD"/>
    <w:rsid w:val="004F50D7"/>
    <w:rsid w:val="004F57E4"/>
    <w:rsid w:val="004F58D4"/>
    <w:rsid w:val="004F5B0C"/>
    <w:rsid w:val="004F5B61"/>
    <w:rsid w:val="004F6F27"/>
    <w:rsid w:val="004F7AF6"/>
    <w:rsid w:val="00500171"/>
    <w:rsid w:val="00500356"/>
    <w:rsid w:val="005004C7"/>
    <w:rsid w:val="00500A68"/>
    <w:rsid w:val="00501042"/>
    <w:rsid w:val="005010AD"/>
    <w:rsid w:val="00501317"/>
    <w:rsid w:val="005016FE"/>
    <w:rsid w:val="00501B0B"/>
    <w:rsid w:val="00501DB7"/>
    <w:rsid w:val="00502897"/>
    <w:rsid w:val="005029A4"/>
    <w:rsid w:val="00504D27"/>
    <w:rsid w:val="00504E3A"/>
    <w:rsid w:val="005052A2"/>
    <w:rsid w:val="005058D7"/>
    <w:rsid w:val="00506177"/>
    <w:rsid w:val="005070A8"/>
    <w:rsid w:val="00507933"/>
    <w:rsid w:val="00507A75"/>
    <w:rsid w:val="00507B89"/>
    <w:rsid w:val="00507DFC"/>
    <w:rsid w:val="005100D4"/>
    <w:rsid w:val="00510670"/>
    <w:rsid w:val="00510EA3"/>
    <w:rsid w:val="0051192A"/>
    <w:rsid w:val="00511BC8"/>
    <w:rsid w:val="00511C68"/>
    <w:rsid w:val="00511E35"/>
    <w:rsid w:val="005124EC"/>
    <w:rsid w:val="005126DE"/>
    <w:rsid w:val="00512A33"/>
    <w:rsid w:val="00512E9B"/>
    <w:rsid w:val="005131B1"/>
    <w:rsid w:val="0051342E"/>
    <w:rsid w:val="00514115"/>
    <w:rsid w:val="005144E0"/>
    <w:rsid w:val="005159A7"/>
    <w:rsid w:val="00516ABE"/>
    <w:rsid w:val="00516BC9"/>
    <w:rsid w:val="00516E6E"/>
    <w:rsid w:val="00517C65"/>
    <w:rsid w:val="00520809"/>
    <w:rsid w:val="00520F73"/>
    <w:rsid w:val="005217EC"/>
    <w:rsid w:val="005222DD"/>
    <w:rsid w:val="0052250D"/>
    <w:rsid w:val="005228FA"/>
    <w:rsid w:val="00522B88"/>
    <w:rsid w:val="00523024"/>
    <w:rsid w:val="0052395D"/>
    <w:rsid w:val="00524A45"/>
    <w:rsid w:val="00524E3E"/>
    <w:rsid w:val="0052514F"/>
    <w:rsid w:val="0052532E"/>
    <w:rsid w:val="005254BB"/>
    <w:rsid w:val="00525D55"/>
    <w:rsid w:val="00526147"/>
    <w:rsid w:val="005270A0"/>
    <w:rsid w:val="00527484"/>
    <w:rsid w:val="0052794D"/>
    <w:rsid w:val="00527C3D"/>
    <w:rsid w:val="00527F74"/>
    <w:rsid w:val="00530CD6"/>
    <w:rsid w:val="005312B5"/>
    <w:rsid w:val="005318AA"/>
    <w:rsid w:val="00531AEA"/>
    <w:rsid w:val="00531F6C"/>
    <w:rsid w:val="00531FD6"/>
    <w:rsid w:val="0053278E"/>
    <w:rsid w:val="00532A58"/>
    <w:rsid w:val="00532B4B"/>
    <w:rsid w:val="00532BBA"/>
    <w:rsid w:val="00533147"/>
    <w:rsid w:val="005331A0"/>
    <w:rsid w:val="00533695"/>
    <w:rsid w:val="005341E0"/>
    <w:rsid w:val="0053420E"/>
    <w:rsid w:val="0053449F"/>
    <w:rsid w:val="0053459D"/>
    <w:rsid w:val="005356F3"/>
    <w:rsid w:val="00535CA8"/>
    <w:rsid w:val="00536552"/>
    <w:rsid w:val="0053666E"/>
    <w:rsid w:val="00536876"/>
    <w:rsid w:val="0053746D"/>
    <w:rsid w:val="00537BAF"/>
    <w:rsid w:val="00537C63"/>
    <w:rsid w:val="005407C2"/>
    <w:rsid w:val="00540ACE"/>
    <w:rsid w:val="00540AD7"/>
    <w:rsid w:val="00540BBB"/>
    <w:rsid w:val="00541275"/>
    <w:rsid w:val="00541691"/>
    <w:rsid w:val="00543341"/>
    <w:rsid w:val="00544168"/>
    <w:rsid w:val="0054431E"/>
    <w:rsid w:val="0054459C"/>
    <w:rsid w:val="00545049"/>
    <w:rsid w:val="00545111"/>
    <w:rsid w:val="00545860"/>
    <w:rsid w:val="00545CB8"/>
    <w:rsid w:val="005464A6"/>
    <w:rsid w:val="00546846"/>
    <w:rsid w:val="00547592"/>
    <w:rsid w:val="00547F57"/>
    <w:rsid w:val="0055023F"/>
    <w:rsid w:val="00550C85"/>
    <w:rsid w:val="00550F27"/>
    <w:rsid w:val="005512CA"/>
    <w:rsid w:val="00551C08"/>
    <w:rsid w:val="00552356"/>
    <w:rsid w:val="005525AD"/>
    <w:rsid w:val="00552A7A"/>
    <w:rsid w:val="0055313A"/>
    <w:rsid w:val="005543AE"/>
    <w:rsid w:val="005543D4"/>
    <w:rsid w:val="005549EC"/>
    <w:rsid w:val="005553EE"/>
    <w:rsid w:val="00555CC6"/>
    <w:rsid w:val="00555E45"/>
    <w:rsid w:val="00555FEF"/>
    <w:rsid w:val="00556879"/>
    <w:rsid w:val="005568F6"/>
    <w:rsid w:val="00556C6F"/>
    <w:rsid w:val="005576C1"/>
    <w:rsid w:val="00557CD5"/>
    <w:rsid w:val="005612C8"/>
    <w:rsid w:val="00561799"/>
    <w:rsid w:val="00561C48"/>
    <w:rsid w:val="005621E0"/>
    <w:rsid w:val="005626D1"/>
    <w:rsid w:val="005638CE"/>
    <w:rsid w:val="005639EE"/>
    <w:rsid w:val="00563AE7"/>
    <w:rsid w:val="00563E4F"/>
    <w:rsid w:val="0056427F"/>
    <w:rsid w:val="005642CF"/>
    <w:rsid w:val="0056483E"/>
    <w:rsid w:val="0056541C"/>
    <w:rsid w:val="005664BC"/>
    <w:rsid w:val="005666F9"/>
    <w:rsid w:val="00567271"/>
    <w:rsid w:val="005676B4"/>
    <w:rsid w:val="0056790C"/>
    <w:rsid w:val="00567FC0"/>
    <w:rsid w:val="0057001E"/>
    <w:rsid w:val="005702E6"/>
    <w:rsid w:val="005714F3"/>
    <w:rsid w:val="00571C90"/>
    <w:rsid w:val="00571F72"/>
    <w:rsid w:val="00573346"/>
    <w:rsid w:val="00573456"/>
    <w:rsid w:val="00574ED6"/>
    <w:rsid w:val="005757DD"/>
    <w:rsid w:val="00575D76"/>
    <w:rsid w:val="00575ECF"/>
    <w:rsid w:val="005760C5"/>
    <w:rsid w:val="0057654A"/>
    <w:rsid w:val="00576915"/>
    <w:rsid w:val="00576E0F"/>
    <w:rsid w:val="00576FA2"/>
    <w:rsid w:val="005805B8"/>
    <w:rsid w:val="00580BD8"/>
    <w:rsid w:val="00580E51"/>
    <w:rsid w:val="0058105B"/>
    <w:rsid w:val="0058127E"/>
    <w:rsid w:val="00581F46"/>
    <w:rsid w:val="00582B75"/>
    <w:rsid w:val="0058317A"/>
    <w:rsid w:val="00583B95"/>
    <w:rsid w:val="005845CC"/>
    <w:rsid w:val="0058518C"/>
    <w:rsid w:val="005862A2"/>
    <w:rsid w:val="00586712"/>
    <w:rsid w:val="00586BCA"/>
    <w:rsid w:val="00587897"/>
    <w:rsid w:val="00587F9A"/>
    <w:rsid w:val="00590457"/>
    <w:rsid w:val="005908D2"/>
    <w:rsid w:val="00590DAF"/>
    <w:rsid w:val="0059149B"/>
    <w:rsid w:val="0059179E"/>
    <w:rsid w:val="00591878"/>
    <w:rsid w:val="00592090"/>
    <w:rsid w:val="0059237F"/>
    <w:rsid w:val="005927CB"/>
    <w:rsid w:val="005927E9"/>
    <w:rsid w:val="00592B14"/>
    <w:rsid w:val="00592D42"/>
    <w:rsid w:val="00592DF1"/>
    <w:rsid w:val="005932CC"/>
    <w:rsid w:val="00593CD6"/>
    <w:rsid w:val="00594E76"/>
    <w:rsid w:val="00594F2F"/>
    <w:rsid w:val="00595349"/>
    <w:rsid w:val="005959B6"/>
    <w:rsid w:val="00595BED"/>
    <w:rsid w:val="005961B7"/>
    <w:rsid w:val="005965E5"/>
    <w:rsid w:val="0059665A"/>
    <w:rsid w:val="00596736"/>
    <w:rsid w:val="005969EA"/>
    <w:rsid w:val="00596F9F"/>
    <w:rsid w:val="005970BC"/>
    <w:rsid w:val="005A000D"/>
    <w:rsid w:val="005A020B"/>
    <w:rsid w:val="005A0296"/>
    <w:rsid w:val="005A02F4"/>
    <w:rsid w:val="005A06E9"/>
    <w:rsid w:val="005A0B02"/>
    <w:rsid w:val="005A1C8C"/>
    <w:rsid w:val="005A223A"/>
    <w:rsid w:val="005A2333"/>
    <w:rsid w:val="005A4B5D"/>
    <w:rsid w:val="005A4F7D"/>
    <w:rsid w:val="005A5423"/>
    <w:rsid w:val="005A5CA6"/>
    <w:rsid w:val="005A5CA7"/>
    <w:rsid w:val="005A64D3"/>
    <w:rsid w:val="005A6BBA"/>
    <w:rsid w:val="005A6EF1"/>
    <w:rsid w:val="005A7C85"/>
    <w:rsid w:val="005B0260"/>
    <w:rsid w:val="005B04DC"/>
    <w:rsid w:val="005B1A5A"/>
    <w:rsid w:val="005B1F1A"/>
    <w:rsid w:val="005B1F5C"/>
    <w:rsid w:val="005B298B"/>
    <w:rsid w:val="005B3E56"/>
    <w:rsid w:val="005B49FD"/>
    <w:rsid w:val="005B4D46"/>
    <w:rsid w:val="005B6C89"/>
    <w:rsid w:val="005B6CCD"/>
    <w:rsid w:val="005B6E5B"/>
    <w:rsid w:val="005B7057"/>
    <w:rsid w:val="005B787D"/>
    <w:rsid w:val="005C0437"/>
    <w:rsid w:val="005C046E"/>
    <w:rsid w:val="005C0632"/>
    <w:rsid w:val="005C0C83"/>
    <w:rsid w:val="005C0CD4"/>
    <w:rsid w:val="005C138E"/>
    <w:rsid w:val="005C1CD9"/>
    <w:rsid w:val="005C20C4"/>
    <w:rsid w:val="005C23C3"/>
    <w:rsid w:val="005C28FC"/>
    <w:rsid w:val="005C3613"/>
    <w:rsid w:val="005C4900"/>
    <w:rsid w:val="005C53C1"/>
    <w:rsid w:val="005C63F0"/>
    <w:rsid w:val="005C66F2"/>
    <w:rsid w:val="005C6C75"/>
    <w:rsid w:val="005C6F78"/>
    <w:rsid w:val="005C737F"/>
    <w:rsid w:val="005C761D"/>
    <w:rsid w:val="005C78B6"/>
    <w:rsid w:val="005C7982"/>
    <w:rsid w:val="005D02E1"/>
    <w:rsid w:val="005D05BC"/>
    <w:rsid w:val="005D1288"/>
    <w:rsid w:val="005D135D"/>
    <w:rsid w:val="005D1E7E"/>
    <w:rsid w:val="005D2662"/>
    <w:rsid w:val="005D2707"/>
    <w:rsid w:val="005D40F1"/>
    <w:rsid w:val="005D4872"/>
    <w:rsid w:val="005D5542"/>
    <w:rsid w:val="005D5BE7"/>
    <w:rsid w:val="005D654D"/>
    <w:rsid w:val="005D75AE"/>
    <w:rsid w:val="005D784D"/>
    <w:rsid w:val="005E0296"/>
    <w:rsid w:val="005E071C"/>
    <w:rsid w:val="005E1004"/>
    <w:rsid w:val="005E136C"/>
    <w:rsid w:val="005E1635"/>
    <w:rsid w:val="005E2512"/>
    <w:rsid w:val="005E25A9"/>
    <w:rsid w:val="005E2768"/>
    <w:rsid w:val="005E2E84"/>
    <w:rsid w:val="005E471F"/>
    <w:rsid w:val="005E4D66"/>
    <w:rsid w:val="005E5819"/>
    <w:rsid w:val="005E5AAB"/>
    <w:rsid w:val="005E62AD"/>
    <w:rsid w:val="005E759D"/>
    <w:rsid w:val="005E7A5B"/>
    <w:rsid w:val="005E7AF5"/>
    <w:rsid w:val="005E7B23"/>
    <w:rsid w:val="005F0706"/>
    <w:rsid w:val="005F0883"/>
    <w:rsid w:val="005F0E8D"/>
    <w:rsid w:val="005F0E9E"/>
    <w:rsid w:val="005F13EB"/>
    <w:rsid w:val="005F1C84"/>
    <w:rsid w:val="005F24F1"/>
    <w:rsid w:val="005F2D2B"/>
    <w:rsid w:val="005F3E1D"/>
    <w:rsid w:val="005F4704"/>
    <w:rsid w:val="005F488D"/>
    <w:rsid w:val="005F4F85"/>
    <w:rsid w:val="005F523B"/>
    <w:rsid w:val="005F63B0"/>
    <w:rsid w:val="005F6767"/>
    <w:rsid w:val="005F6AA1"/>
    <w:rsid w:val="005F6FDB"/>
    <w:rsid w:val="005F76D7"/>
    <w:rsid w:val="005F771F"/>
    <w:rsid w:val="005F7B0E"/>
    <w:rsid w:val="0060117A"/>
    <w:rsid w:val="00601C5E"/>
    <w:rsid w:val="00601F4D"/>
    <w:rsid w:val="00602FAD"/>
    <w:rsid w:val="00603A3E"/>
    <w:rsid w:val="00603DB7"/>
    <w:rsid w:val="00604DC7"/>
    <w:rsid w:val="00605392"/>
    <w:rsid w:val="006059A4"/>
    <w:rsid w:val="00605AC9"/>
    <w:rsid w:val="00605E24"/>
    <w:rsid w:val="00606E8E"/>
    <w:rsid w:val="0060701A"/>
    <w:rsid w:val="0060780A"/>
    <w:rsid w:val="0061066F"/>
    <w:rsid w:val="0061070C"/>
    <w:rsid w:val="00610EC1"/>
    <w:rsid w:val="0061100C"/>
    <w:rsid w:val="00611787"/>
    <w:rsid w:val="00612E52"/>
    <w:rsid w:val="00612E62"/>
    <w:rsid w:val="006135A5"/>
    <w:rsid w:val="00613609"/>
    <w:rsid w:val="00613ADB"/>
    <w:rsid w:val="00613B86"/>
    <w:rsid w:val="006148B4"/>
    <w:rsid w:val="00614C39"/>
    <w:rsid w:val="0061566A"/>
    <w:rsid w:val="00615D91"/>
    <w:rsid w:val="00616479"/>
    <w:rsid w:val="006168D6"/>
    <w:rsid w:val="00617016"/>
    <w:rsid w:val="006170DE"/>
    <w:rsid w:val="0061788F"/>
    <w:rsid w:val="00620038"/>
    <w:rsid w:val="00620167"/>
    <w:rsid w:val="00620925"/>
    <w:rsid w:val="00621041"/>
    <w:rsid w:val="0062128A"/>
    <w:rsid w:val="0062132C"/>
    <w:rsid w:val="00621BDA"/>
    <w:rsid w:val="006230F3"/>
    <w:rsid w:val="00623137"/>
    <w:rsid w:val="00623510"/>
    <w:rsid w:val="00623C31"/>
    <w:rsid w:val="00623CCD"/>
    <w:rsid w:val="006240AD"/>
    <w:rsid w:val="006249E0"/>
    <w:rsid w:val="00624AA6"/>
    <w:rsid w:val="0062597D"/>
    <w:rsid w:val="00625F1D"/>
    <w:rsid w:val="006261D4"/>
    <w:rsid w:val="0062752A"/>
    <w:rsid w:val="0062778E"/>
    <w:rsid w:val="006301DD"/>
    <w:rsid w:val="00630481"/>
    <w:rsid w:val="006306E2"/>
    <w:rsid w:val="0063149B"/>
    <w:rsid w:val="006315FC"/>
    <w:rsid w:val="006317B5"/>
    <w:rsid w:val="006327A4"/>
    <w:rsid w:val="00632B52"/>
    <w:rsid w:val="00632CD4"/>
    <w:rsid w:val="00633048"/>
    <w:rsid w:val="006349F8"/>
    <w:rsid w:val="00635028"/>
    <w:rsid w:val="0063519E"/>
    <w:rsid w:val="00635330"/>
    <w:rsid w:val="00636296"/>
    <w:rsid w:val="00636437"/>
    <w:rsid w:val="006366C4"/>
    <w:rsid w:val="00636B9D"/>
    <w:rsid w:val="00637403"/>
    <w:rsid w:val="00637D42"/>
    <w:rsid w:val="00640180"/>
    <w:rsid w:val="00640212"/>
    <w:rsid w:val="00641365"/>
    <w:rsid w:val="00641911"/>
    <w:rsid w:val="00641A03"/>
    <w:rsid w:val="00641B69"/>
    <w:rsid w:val="00642633"/>
    <w:rsid w:val="006426F7"/>
    <w:rsid w:val="00642724"/>
    <w:rsid w:val="00642990"/>
    <w:rsid w:val="00642C3B"/>
    <w:rsid w:val="00643006"/>
    <w:rsid w:val="0064312A"/>
    <w:rsid w:val="006434D4"/>
    <w:rsid w:val="00644866"/>
    <w:rsid w:val="00644923"/>
    <w:rsid w:val="006449B8"/>
    <w:rsid w:val="00644B32"/>
    <w:rsid w:val="00645401"/>
    <w:rsid w:val="00645D9C"/>
    <w:rsid w:val="00645E3F"/>
    <w:rsid w:val="00646124"/>
    <w:rsid w:val="0064618A"/>
    <w:rsid w:val="006468A1"/>
    <w:rsid w:val="00646E49"/>
    <w:rsid w:val="00647CBC"/>
    <w:rsid w:val="00650593"/>
    <w:rsid w:val="00650FC7"/>
    <w:rsid w:val="00651175"/>
    <w:rsid w:val="00651947"/>
    <w:rsid w:val="0065390C"/>
    <w:rsid w:val="00654672"/>
    <w:rsid w:val="00654EF2"/>
    <w:rsid w:val="00655197"/>
    <w:rsid w:val="00655235"/>
    <w:rsid w:val="006554DC"/>
    <w:rsid w:val="0065573F"/>
    <w:rsid w:val="006557DD"/>
    <w:rsid w:val="00656039"/>
    <w:rsid w:val="00656C7A"/>
    <w:rsid w:val="00657C09"/>
    <w:rsid w:val="00660145"/>
    <w:rsid w:val="00661591"/>
    <w:rsid w:val="00661855"/>
    <w:rsid w:val="00661ADC"/>
    <w:rsid w:val="00662034"/>
    <w:rsid w:val="00662C7F"/>
    <w:rsid w:val="0066333A"/>
    <w:rsid w:val="00663549"/>
    <w:rsid w:val="00663B59"/>
    <w:rsid w:val="00664BEC"/>
    <w:rsid w:val="00665367"/>
    <w:rsid w:val="0066587B"/>
    <w:rsid w:val="006660F6"/>
    <w:rsid w:val="006662DC"/>
    <w:rsid w:val="00666678"/>
    <w:rsid w:val="006667CD"/>
    <w:rsid w:val="0066685E"/>
    <w:rsid w:val="0066797E"/>
    <w:rsid w:val="006700B3"/>
    <w:rsid w:val="006704E6"/>
    <w:rsid w:val="006709C5"/>
    <w:rsid w:val="00670E0F"/>
    <w:rsid w:val="00672029"/>
    <w:rsid w:val="00673024"/>
    <w:rsid w:val="006733A8"/>
    <w:rsid w:val="006733DA"/>
    <w:rsid w:val="00673485"/>
    <w:rsid w:val="00673662"/>
    <w:rsid w:val="00674427"/>
    <w:rsid w:val="006745A2"/>
    <w:rsid w:val="00675996"/>
    <w:rsid w:val="00675B1D"/>
    <w:rsid w:val="00675CB2"/>
    <w:rsid w:val="0067655A"/>
    <w:rsid w:val="00676809"/>
    <w:rsid w:val="006777A2"/>
    <w:rsid w:val="00677B85"/>
    <w:rsid w:val="00677EA7"/>
    <w:rsid w:val="00677ED0"/>
    <w:rsid w:val="00680E81"/>
    <w:rsid w:val="00680FCD"/>
    <w:rsid w:val="00680FF8"/>
    <w:rsid w:val="006810F0"/>
    <w:rsid w:val="00681675"/>
    <w:rsid w:val="0068182B"/>
    <w:rsid w:val="006820BD"/>
    <w:rsid w:val="0068276C"/>
    <w:rsid w:val="00682EE6"/>
    <w:rsid w:val="006830FA"/>
    <w:rsid w:val="0068341A"/>
    <w:rsid w:val="0068341F"/>
    <w:rsid w:val="00683561"/>
    <w:rsid w:val="006837AE"/>
    <w:rsid w:val="00684BD5"/>
    <w:rsid w:val="00685059"/>
    <w:rsid w:val="006860C2"/>
    <w:rsid w:val="00686D93"/>
    <w:rsid w:val="00687017"/>
    <w:rsid w:val="00687799"/>
    <w:rsid w:val="0068795A"/>
    <w:rsid w:val="0068796D"/>
    <w:rsid w:val="006879F3"/>
    <w:rsid w:val="00687CD1"/>
    <w:rsid w:val="00687D5C"/>
    <w:rsid w:val="006906ED"/>
    <w:rsid w:val="006907ED"/>
    <w:rsid w:val="0069099C"/>
    <w:rsid w:val="0069127B"/>
    <w:rsid w:val="00692265"/>
    <w:rsid w:val="006922E1"/>
    <w:rsid w:val="006926E8"/>
    <w:rsid w:val="00693255"/>
    <w:rsid w:val="006932B1"/>
    <w:rsid w:val="0069337F"/>
    <w:rsid w:val="006934BD"/>
    <w:rsid w:val="006935D2"/>
    <w:rsid w:val="0069373F"/>
    <w:rsid w:val="006937B1"/>
    <w:rsid w:val="0069383A"/>
    <w:rsid w:val="006941C0"/>
    <w:rsid w:val="00694282"/>
    <w:rsid w:val="006945BA"/>
    <w:rsid w:val="00694CB5"/>
    <w:rsid w:val="00694D25"/>
    <w:rsid w:val="006951D6"/>
    <w:rsid w:val="00695799"/>
    <w:rsid w:val="0069693B"/>
    <w:rsid w:val="00696DE5"/>
    <w:rsid w:val="006976D0"/>
    <w:rsid w:val="006978C8"/>
    <w:rsid w:val="00697A74"/>
    <w:rsid w:val="00697DF2"/>
    <w:rsid w:val="006A0495"/>
    <w:rsid w:val="006A04EC"/>
    <w:rsid w:val="006A064B"/>
    <w:rsid w:val="006A0C59"/>
    <w:rsid w:val="006A0CF3"/>
    <w:rsid w:val="006A1F97"/>
    <w:rsid w:val="006A229C"/>
    <w:rsid w:val="006A2538"/>
    <w:rsid w:val="006A2862"/>
    <w:rsid w:val="006A34DC"/>
    <w:rsid w:val="006A536C"/>
    <w:rsid w:val="006A5420"/>
    <w:rsid w:val="006A54BD"/>
    <w:rsid w:val="006A6178"/>
    <w:rsid w:val="006A6216"/>
    <w:rsid w:val="006A6C88"/>
    <w:rsid w:val="006A70FD"/>
    <w:rsid w:val="006A72F3"/>
    <w:rsid w:val="006A7D3C"/>
    <w:rsid w:val="006A7EE6"/>
    <w:rsid w:val="006A7FFA"/>
    <w:rsid w:val="006B1556"/>
    <w:rsid w:val="006B18B8"/>
    <w:rsid w:val="006B1B1A"/>
    <w:rsid w:val="006B1F2F"/>
    <w:rsid w:val="006B3469"/>
    <w:rsid w:val="006B3642"/>
    <w:rsid w:val="006B3F56"/>
    <w:rsid w:val="006B3F64"/>
    <w:rsid w:val="006B4316"/>
    <w:rsid w:val="006B494D"/>
    <w:rsid w:val="006B5735"/>
    <w:rsid w:val="006B5A10"/>
    <w:rsid w:val="006B6096"/>
    <w:rsid w:val="006B61A0"/>
    <w:rsid w:val="006B7441"/>
    <w:rsid w:val="006C0404"/>
    <w:rsid w:val="006C1204"/>
    <w:rsid w:val="006C1B78"/>
    <w:rsid w:val="006C28D2"/>
    <w:rsid w:val="006C2A23"/>
    <w:rsid w:val="006C2B35"/>
    <w:rsid w:val="006C2C35"/>
    <w:rsid w:val="006C3517"/>
    <w:rsid w:val="006C3E75"/>
    <w:rsid w:val="006C4171"/>
    <w:rsid w:val="006C4450"/>
    <w:rsid w:val="006C45BF"/>
    <w:rsid w:val="006C498B"/>
    <w:rsid w:val="006C4EEF"/>
    <w:rsid w:val="006C505A"/>
    <w:rsid w:val="006C5115"/>
    <w:rsid w:val="006C527A"/>
    <w:rsid w:val="006C62C1"/>
    <w:rsid w:val="006C6853"/>
    <w:rsid w:val="006C6E20"/>
    <w:rsid w:val="006C7094"/>
    <w:rsid w:val="006C744F"/>
    <w:rsid w:val="006D01AF"/>
    <w:rsid w:val="006D07CF"/>
    <w:rsid w:val="006D10B7"/>
    <w:rsid w:val="006D18C3"/>
    <w:rsid w:val="006D2591"/>
    <w:rsid w:val="006D2A65"/>
    <w:rsid w:val="006D309D"/>
    <w:rsid w:val="006D3A97"/>
    <w:rsid w:val="006D4194"/>
    <w:rsid w:val="006D4319"/>
    <w:rsid w:val="006D4DBA"/>
    <w:rsid w:val="006D5520"/>
    <w:rsid w:val="006D5B7F"/>
    <w:rsid w:val="006D6DCE"/>
    <w:rsid w:val="006D73EB"/>
    <w:rsid w:val="006D7478"/>
    <w:rsid w:val="006E0DCA"/>
    <w:rsid w:val="006E0E67"/>
    <w:rsid w:val="006E1B62"/>
    <w:rsid w:val="006E21F7"/>
    <w:rsid w:val="006E24EA"/>
    <w:rsid w:val="006E283E"/>
    <w:rsid w:val="006E29FF"/>
    <w:rsid w:val="006E300D"/>
    <w:rsid w:val="006E322C"/>
    <w:rsid w:val="006E41CA"/>
    <w:rsid w:val="006E479C"/>
    <w:rsid w:val="006E4848"/>
    <w:rsid w:val="006E4E2E"/>
    <w:rsid w:val="006E57FA"/>
    <w:rsid w:val="006E586C"/>
    <w:rsid w:val="006E6021"/>
    <w:rsid w:val="006E78E2"/>
    <w:rsid w:val="006E7BCA"/>
    <w:rsid w:val="006E7C42"/>
    <w:rsid w:val="006F0274"/>
    <w:rsid w:val="006F0354"/>
    <w:rsid w:val="006F0990"/>
    <w:rsid w:val="006F1686"/>
    <w:rsid w:val="006F18F7"/>
    <w:rsid w:val="006F1FDB"/>
    <w:rsid w:val="006F23B6"/>
    <w:rsid w:val="006F2FB1"/>
    <w:rsid w:val="006F3524"/>
    <w:rsid w:val="006F449E"/>
    <w:rsid w:val="006F4C4A"/>
    <w:rsid w:val="006F556D"/>
    <w:rsid w:val="006F5624"/>
    <w:rsid w:val="006F69E1"/>
    <w:rsid w:val="006F73A9"/>
    <w:rsid w:val="006F74A4"/>
    <w:rsid w:val="006F75A0"/>
    <w:rsid w:val="006F7E1D"/>
    <w:rsid w:val="0070095A"/>
    <w:rsid w:val="00701419"/>
    <w:rsid w:val="0070177D"/>
    <w:rsid w:val="007017F4"/>
    <w:rsid w:val="00701FC4"/>
    <w:rsid w:val="00702245"/>
    <w:rsid w:val="0070229E"/>
    <w:rsid w:val="00702D54"/>
    <w:rsid w:val="00702D92"/>
    <w:rsid w:val="00703F57"/>
    <w:rsid w:val="00704536"/>
    <w:rsid w:val="007049C0"/>
    <w:rsid w:val="00704CB2"/>
    <w:rsid w:val="00705124"/>
    <w:rsid w:val="00705190"/>
    <w:rsid w:val="0070523E"/>
    <w:rsid w:val="00705CD5"/>
    <w:rsid w:val="00706B70"/>
    <w:rsid w:val="00706DA1"/>
    <w:rsid w:val="00706ED2"/>
    <w:rsid w:val="00706FB9"/>
    <w:rsid w:val="00707010"/>
    <w:rsid w:val="00707FEA"/>
    <w:rsid w:val="007107CF"/>
    <w:rsid w:val="00710939"/>
    <w:rsid w:val="00710967"/>
    <w:rsid w:val="00710DDA"/>
    <w:rsid w:val="0071114C"/>
    <w:rsid w:val="00712698"/>
    <w:rsid w:val="0071298A"/>
    <w:rsid w:val="00712A73"/>
    <w:rsid w:val="00713D35"/>
    <w:rsid w:val="00714A6B"/>
    <w:rsid w:val="00714B61"/>
    <w:rsid w:val="007150E2"/>
    <w:rsid w:val="00715312"/>
    <w:rsid w:val="00716840"/>
    <w:rsid w:val="00716D4E"/>
    <w:rsid w:val="007176C0"/>
    <w:rsid w:val="007204C3"/>
    <w:rsid w:val="00720513"/>
    <w:rsid w:val="00720CD8"/>
    <w:rsid w:val="007211D3"/>
    <w:rsid w:val="00721FE3"/>
    <w:rsid w:val="0072212A"/>
    <w:rsid w:val="007223DB"/>
    <w:rsid w:val="0072254F"/>
    <w:rsid w:val="007228EE"/>
    <w:rsid w:val="007230D3"/>
    <w:rsid w:val="00723A9F"/>
    <w:rsid w:val="00723F52"/>
    <w:rsid w:val="00724FBF"/>
    <w:rsid w:val="00725587"/>
    <w:rsid w:val="007259BE"/>
    <w:rsid w:val="00725BA7"/>
    <w:rsid w:val="00725EC2"/>
    <w:rsid w:val="007265C4"/>
    <w:rsid w:val="00726F7F"/>
    <w:rsid w:val="00730156"/>
    <w:rsid w:val="0073022F"/>
    <w:rsid w:val="0073054C"/>
    <w:rsid w:val="007307A9"/>
    <w:rsid w:val="00731023"/>
    <w:rsid w:val="0073160B"/>
    <w:rsid w:val="0073174D"/>
    <w:rsid w:val="00731BA2"/>
    <w:rsid w:val="00731FBD"/>
    <w:rsid w:val="007321B9"/>
    <w:rsid w:val="007321FE"/>
    <w:rsid w:val="00732290"/>
    <w:rsid w:val="00732950"/>
    <w:rsid w:val="00732A2B"/>
    <w:rsid w:val="00733647"/>
    <w:rsid w:val="00734389"/>
    <w:rsid w:val="0073464F"/>
    <w:rsid w:val="00734D21"/>
    <w:rsid w:val="00734DFC"/>
    <w:rsid w:val="0073518F"/>
    <w:rsid w:val="0073520F"/>
    <w:rsid w:val="0073529A"/>
    <w:rsid w:val="00735756"/>
    <w:rsid w:val="00735827"/>
    <w:rsid w:val="00735969"/>
    <w:rsid w:val="00736772"/>
    <w:rsid w:val="007370A7"/>
    <w:rsid w:val="0073776C"/>
    <w:rsid w:val="00737A87"/>
    <w:rsid w:val="00737EBA"/>
    <w:rsid w:val="00741477"/>
    <w:rsid w:val="007414F6"/>
    <w:rsid w:val="00741604"/>
    <w:rsid w:val="007418E8"/>
    <w:rsid w:val="007419DC"/>
    <w:rsid w:val="00741B02"/>
    <w:rsid w:val="00742424"/>
    <w:rsid w:val="007429F6"/>
    <w:rsid w:val="00742B56"/>
    <w:rsid w:val="0074304A"/>
    <w:rsid w:val="0074378F"/>
    <w:rsid w:val="00743B1E"/>
    <w:rsid w:val="00744670"/>
    <w:rsid w:val="00744D56"/>
    <w:rsid w:val="00745140"/>
    <w:rsid w:val="007465F4"/>
    <w:rsid w:val="007471C0"/>
    <w:rsid w:val="00747793"/>
    <w:rsid w:val="00750279"/>
    <w:rsid w:val="007504BB"/>
    <w:rsid w:val="00750B7B"/>
    <w:rsid w:val="00750D4E"/>
    <w:rsid w:val="00750E91"/>
    <w:rsid w:val="007518C7"/>
    <w:rsid w:val="00751E89"/>
    <w:rsid w:val="007525D6"/>
    <w:rsid w:val="00752A87"/>
    <w:rsid w:val="00753710"/>
    <w:rsid w:val="0075414F"/>
    <w:rsid w:val="00754365"/>
    <w:rsid w:val="007545C0"/>
    <w:rsid w:val="00754BB5"/>
    <w:rsid w:val="00754CA9"/>
    <w:rsid w:val="007556D3"/>
    <w:rsid w:val="00755836"/>
    <w:rsid w:val="00756020"/>
    <w:rsid w:val="00757D3C"/>
    <w:rsid w:val="0076003A"/>
    <w:rsid w:val="007604A4"/>
    <w:rsid w:val="0076071B"/>
    <w:rsid w:val="007613A6"/>
    <w:rsid w:val="0076155E"/>
    <w:rsid w:val="007618EB"/>
    <w:rsid w:val="00762750"/>
    <w:rsid w:val="007639B9"/>
    <w:rsid w:val="00763B34"/>
    <w:rsid w:val="007646C9"/>
    <w:rsid w:val="007646D9"/>
    <w:rsid w:val="007656F7"/>
    <w:rsid w:val="00765D3F"/>
    <w:rsid w:val="0076616B"/>
    <w:rsid w:val="00766523"/>
    <w:rsid w:val="00766638"/>
    <w:rsid w:val="00766868"/>
    <w:rsid w:val="007668D0"/>
    <w:rsid w:val="00767049"/>
    <w:rsid w:val="0076749A"/>
    <w:rsid w:val="007676F1"/>
    <w:rsid w:val="00767FAB"/>
    <w:rsid w:val="00770575"/>
    <w:rsid w:val="0077087E"/>
    <w:rsid w:val="00770F6B"/>
    <w:rsid w:val="0077162D"/>
    <w:rsid w:val="00771EBA"/>
    <w:rsid w:val="0077341C"/>
    <w:rsid w:val="007735FB"/>
    <w:rsid w:val="00773609"/>
    <w:rsid w:val="00774027"/>
    <w:rsid w:val="007750D5"/>
    <w:rsid w:val="0077599F"/>
    <w:rsid w:val="00775B64"/>
    <w:rsid w:val="007766DA"/>
    <w:rsid w:val="00776C18"/>
    <w:rsid w:val="00776E2B"/>
    <w:rsid w:val="00777013"/>
    <w:rsid w:val="0077796B"/>
    <w:rsid w:val="00777ABC"/>
    <w:rsid w:val="00777F3C"/>
    <w:rsid w:val="007800BB"/>
    <w:rsid w:val="007810D0"/>
    <w:rsid w:val="00781462"/>
    <w:rsid w:val="00781538"/>
    <w:rsid w:val="0078165B"/>
    <w:rsid w:val="00781900"/>
    <w:rsid w:val="00781F79"/>
    <w:rsid w:val="00782554"/>
    <w:rsid w:val="007826F8"/>
    <w:rsid w:val="00782ABE"/>
    <w:rsid w:val="00782F32"/>
    <w:rsid w:val="00782F6A"/>
    <w:rsid w:val="00783120"/>
    <w:rsid w:val="00785018"/>
    <w:rsid w:val="00785214"/>
    <w:rsid w:val="00785754"/>
    <w:rsid w:val="00785875"/>
    <w:rsid w:val="00785D4C"/>
    <w:rsid w:val="00786E08"/>
    <w:rsid w:val="00786F6F"/>
    <w:rsid w:val="00790130"/>
    <w:rsid w:val="00790892"/>
    <w:rsid w:val="0079092A"/>
    <w:rsid w:val="007909E5"/>
    <w:rsid w:val="00791167"/>
    <w:rsid w:val="007915E6"/>
    <w:rsid w:val="00791C4A"/>
    <w:rsid w:val="00792056"/>
    <w:rsid w:val="0079206C"/>
    <w:rsid w:val="0079307A"/>
    <w:rsid w:val="00793746"/>
    <w:rsid w:val="00794288"/>
    <w:rsid w:val="007951BA"/>
    <w:rsid w:val="007952BF"/>
    <w:rsid w:val="00795453"/>
    <w:rsid w:val="007959DD"/>
    <w:rsid w:val="00795B38"/>
    <w:rsid w:val="00795DC5"/>
    <w:rsid w:val="00796142"/>
    <w:rsid w:val="00796A6D"/>
    <w:rsid w:val="00796ACC"/>
    <w:rsid w:val="00796B02"/>
    <w:rsid w:val="007A097C"/>
    <w:rsid w:val="007A0A83"/>
    <w:rsid w:val="007A16B9"/>
    <w:rsid w:val="007A18E9"/>
    <w:rsid w:val="007A1B9B"/>
    <w:rsid w:val="007A2109"/>
    <w:rsid w:val="007A303F"/>
    <w:rsid w:val="007A3C79"/>
    <w:rsid w:val="007A3D2E"/>
    <w:rsid w:val="007A4430"/>
    <w:rsid w:val="007A444F"/>
    <w:rsid w:val="007A585E"/>
    <w:rsid w:val="007A5B7F"/>
    <w:rsid w:val="007A6185"/>
    <w:rsid w:val="007A62B2"/>
    <w:rsid w:val="007A6D5D"/>
    <w:rsid w:val="007A6E3F"/>
    <w:rsid w:val="007A6E90"/>
    <w:rsid w:val="007A6FF4"/>
    <w:rsid w:val="007A74BD"/>
    <w:rsid w:val="007A77C6"/>
    <w:rsid w:val="007A7881"/>
    <w:rsid w:val="007A7910"/>
    <w:rsid w:val="007B0060"/>
    <w:rsid w:val="007B071B"/>
    <w:rsid w:val="007B086B"/>
    <w:rsid w:val="007B0AC0"/>
    <w:rsid w:val="007B0E1D"/>
    <w:rsid w:val="007B1298"/>
    <w:rsid w:val="007B1719"/>
    <w:rsid w:val="007B17CC"/>
    <w:rsid w:val="007B1885"/>
    <w:rsid w:val="007B2119"/>
    <w:rsid w:val="007B2127"/>
    <w:rsid w:val="007B281C"/>
    <w:rsid w:val="007B2DAB"/>
    <w:rsid w:val="007B3170"/>
    <w:rsid w:val="007B334A"/>
    <w:rsid w:val="007B3972"/>
    <w:rsid w:val="007B3F9F"/>
    <w:rsid w:val="007B5477"/>
    <w:rsid w:val="007B569C"/>
    <w:rsid w:val="007B5ADE"/>
    <w:rsid w:val="007B5DF8"/>
    <w:rsid w:val="007B683E"/>
    <w:rsid w:val="007B69B0"/>
    <w:rsid w:val="007B768D"/>
    <w:rsid w:val="007B7849"/>
    <w:rsid w:val="007B7E9B"/>
    <w:rsid w:val="007B7F7E"/>
    <w:rsid w:val="007C11C6"/>
    <w:rsid w:val="007C157B"/>
    <w:rsid w:val="007C18B2"/>
    <w:rsid w:val="007C2234"/>
    <w:rsid w:val="007C2DBD"/>
    <w:rsid w:val="007C35EC"/>
    <w:rsid w:val="007C3B89"/>
    <w:rsid w:val="007C55FB"/>
    <w:rsid w:val="007C605B"/>
    <w:rsid w:val="007C64E7"/>
    <w:rsid w:val="007C6EEA"/>
    <w:rsid w:val="007D07D7"/>
    <w:rsid w:val="007D0F06"/>
    <w:rsid w:val="007D12B5"/>
    <w:rsid w:val="007D12D0"/>
    <w:rsid w:val="007D2BD0"/>
    <w:rsid w:val="007D3AC9"/>
    <w:rsid w:val="007D3F6B"/>
    <w:rsid w:val="007D45B6"/>
    <w:rsid w:val="007D4646"/>
    <w:rsid w:val="007D46E4"/>
    <w:rsid w:val="007D471F"/>
    <w:rsid w:val="007D4EA9"/>
    <w:rsid w:val="007D4EC1"/>
    <w:rsid w:val="007D5008"/>
    <w:rsid w:val="007D530B"/>
    <w:rsid w:val="007D552B"/>
    <w:rsid w:val="007D69DB"/>
    <w:rsid w:val="007D6EFD"/>
    <w:rsid w:val="007D706D"/>
    <w:rsid w:val="007D7202"/>
    <w:rsid w:val="007D762F"/>
    <w:rsid w:val="007D7B22"/>
    <w:rsid w:val="007D7FD1"/>
    <w:rsid w:val="007E040D"/>
    <w:rsid w:val="007E0CC8"/>
    <w:rsid w:val="007E14CF"/>
    <w:rsid w:val="007E161F"/>
    <w:rsid w:val="007E1B12"/>
    <w:rsid w:val="007E1D2C"/>
    <w:rsid w:val="007E261F"/>
    <w:rsid w:val="007E2767"/>
    <w:rsid w:val="007E27B5"/>
    <w:rsid w:val="007E309E"/>
    <w:rsid w:val="007E31F8"/>
    <w:rsid w:val="007E3D9B"/>
    <w:rsid w:val="007E42FB"/>
    <w:rsid w:val="007E4A91"/>
    <w:rsid w:val="007E521A"/>
    <w:rsid w:val="007E5F64"/>
    <w:rsid w:val="007E612E"/>
    <w:rsid w:val="007E6AD8"/>
    <w:rsid w:val="007E6D47"/>
    <w:rsid w:val="007E7D2F"/>
    <w:rsid w:val="007E7E8C"/>
    <w:rsid w:val="007F03A0"/>
    <w:rsid w:val="007F0B1E"/>
    <w:rsid w:val="007F0E1D"/>
    <w:rsid w:val="007F120E"/>
    <w:rsid w:val="007F1671"/>
    <w:rsid w:val="007F2A63"/>
    <w:rsid w:val="007F2C87"/>
    <w:rsid w:val="007F325C"/>
    <w:rsid w:val="007F3827"/>
    <w:rsid w:val="007F3964"/>
    <w:rsid w:val="007F476D"/>
    <w:rsid w:val="007F58D1"/>
    <w:rsid w:val="007F5D33"/>
    <w:rsid w:val="007F5DD2"/>
    <w:rsid w:val="007F6AFD"/>
    <w:rsid w:val="007F70FF"/>
    <w:rsid w:val="007F7AB0"/>
    <w:rsid w:val="007F7BBD"/>
    <w:rsid w:val="0080155A"/>
    <w:rsid w:val="008015D3"/>
    <w:rsid w:val="00801983"/>
    <w:rsid w:val="00802404"/>
    <w:rsid w:val="00802641"/>
    <w:rsid w:val="00802846"/>
    <w:rsid w:val="00802BAB"/>
    <w:rsid w:val="00802E17"/>
    <w:rsid w:val="00802E39"/>
    <w:rsid w:val="00803349"/>
    <w:rsid w:val="00803EE6"/>
    <w:rsid w:val="008046C6"/>
    <w:rsid w:val="00804AE1"/>
    <w:rsid w:val="00804D8B"/>
    <w:rsid w:val="008050F9"/>
    <w:rsid w:val="008054AD"/>
    <w:rsid w:val="00805E3D"/>
    <w:rsid w:val="00806317"/>
    <w:rsid w:val="00806D97"/>
    <w:rsid w:val="00807A1A"/>
    <w:rsid w:val="008105F2"/>
    <w:rsid w:val="00811578"/>
    <w:rsid w:val="008116C7"/>
    <w:rsid w:val="0081170F"/>
    <w:rsid w:val="0081195A"/>
    <w:rsid w:val="008121DE"/>
    <w:rsid w:val="00813458"/>
    <w:rsid w:val="008139C7"/>
    <w:rsid w:val="008141F0"/>
    <w:rsid w:val="00814500"/>
    <w:rsid w:val="008145F7"/>
    <w:rsid w:val="00814624"/>
    <w:rsid w:val="00814754"/>
    <w:rsid w:val="00815358"/>
    <w:rsid w:val="008154EF"/>
    <w:rsid w:val="00815784"/>
    <w:rsid w:val="0081680B"/>
    <w:rsid w:val="00816F2C"/>
    <w:rsid w:val="00817B8D"/>
    <w:rsid w:val="00817F22"/>
    <w:rsid w:val="00817F37"/>
    <w:rsid w:val="00820329"/>
    <w:rsid w:val="0082063A"/>
    <w:rsid w:val="008219C9"/>
    <w:rsid w:val="00821F63"/>
    <w:rsid w:val="008222FC"/>
    <w:rsid w:val="008224BF"/>
    <w:rsid w:val="00822AC9"/>
    <w:rsid w:val="00822ADE"/>
    <w:rsid w:val="00822DF3"/>
    <w:rsid w:val="0082317D"/>
    <w:rsid w:val="008235B0"/>
    <w:rsid w:val="0082458C"/>
    <w:rsid w:val="00824AD3"/>
    <w:rsid w:val="00825F52"/>
    <w:rsid w:val="00826353"/>
    <w:rsid w:val="00826377"/>
    <w:rsid w:val="00826A92"/>
    <w:rsid w:val="00826AE5"/>
    <w:rsid w:val="00826E97"/>
    <w:rsid w:val="00827322"/>
    <w:rsid w:val="00827575"/>
    <w:rsid w:val="008275E7"/>
    <w:rsid w:val="00827D3D"/>
    <w:rsid w:val="00827E11"/>
    <w:rsid w:val="008303B7"/>
    <w:rsid w:val="0083186F"/>
    <w:rsid w:val="00831AC7"/>
    <w:rsid w:val="00831F19"/>
    <w:rsid w:val="00831F53"/>
    <w:rsid w:val="008324A9"/>
    <w:rsid w:val="00833209"/>
    <w:rsid w:val="0083397A"/>
    <w:rsid w:val="00833ADD"/>
    <w:rsid w:val="00834594"/>
    <w:rsid w:val="0083460B"/>
    <w:rsid w:val="00834BBD"/>
    <w:rsid w:val="00834FBF"/>
    <w:rsid w:val="0083569C"/>
    <w:rsid w:val="008356CF"/>
    <w:rsid w:val="008358B3"/>
    <w:rsid w:val="00835972"/>
    <w:rsid w:val="00835BD7"/>
    <w:rsid w:val="00835DD8"/>
    <w:rsid w:val="00836205"/>
    <w:rsid w:val="008366BB"/>
    <w:rsid w:val="00836C2F"/>
    <w:rsid w:val="00836E06"/>
    <w:rsid w:val="00837774"/>
    <w:rsid w:val="00837E09"/>
    <w:rsid w:val="00840066"/>
    <w:rsid w:val="00840282"/>
    <w:rsid w:val="008402CC"/>
    <w:rsid w:val="008417CD"/>
    <w:rsid w:val="0084198A"/>
    <w:rsid w:val="00842641"/>
    <w:rsid w:val="00842F18"/>
    <w:rsid w:val="008430C5"/>
    <w:rsid w:val="00843215"/>
    <w:rsid w:val="008435F6"/>
    <w:rsid w:val="008437A7"/>
    <w:rsid w:val="00843E66"/>
    <w:rsid w:val="00843FE7"/>
    <w:rsid w:val="008442AD"/>
    <w:rsid w:val="00844FDB"/>
    <w:rsid w:val="0084510D"/>
    <w:rsid w:val="00846030"/>
    <w:rsid w:val="00846C62"/>
    <w:rsid w:val="00846FC9"/>
    <w:rsid w:val="008475B0"/>
    <w:rsid w:val="00847B1E"/>
    <w:rsid w:val="00850409"/>
    <w:rsid w:val="00850487"/>
    <w:rsid w:val="0085218E"/>
    <w:rsid w:val="00852274"/>
    <w:rsid w:val="0085343E"/>
    <w:rsid w:val="0085367E"/>
    <w:rsid w:val="00853A09"/>
    <w:rsid w:val="00853DC3"/>
    <w:rsid w:val="00854A29"/>
    <w:rsid w:val="00854E0E"/>
    <w:rsid w:val="00855248"/>
    <w:rsid w:val="00856050"/>
    <w:rsid w:val="00856622"/>
    <w:rsid w:val="00856E16"/>
    <w:rsid w:val="008572BC"/>
    <w:rsid w:val="00857438"/>
    <w:rsid w:val="00857B1C"/>
    <w:rsid w:val="00857B36"/>
    <w:rsid w:val="00860003"/>
    <w:rsid w:val="00860723"/>
    <w:rsid w:val="00861B1A"/>
    <w:rsid w:val="00861C5A"/>
    <w:rsid w:val="00863563"/>
    <w:rsid w:val="0086421A"/>
    <w:rsid w:val="00864267"/>
    <w:rsid w:val="0086490C"/>
    <w:rsid w:val="00864CF5"/>
    <w:rsid w:val="00866490"/>
    <w:rsid w:val="00866A28"/>
    <w:rsid w:val="00866E6B"/>
    <w:rsid w:val="00866EBD"/>
    <w:rsid w:val="00867052"/>
    <w:rsid w:val="00867056"/>
    <w:rsid w:val="0086728D"/>
    <w:rsid w:val="008672DD"/>
    <w:rsid w:val="00867A9E"/>
    <w:rsid w:val="00870804"/>
    <w:rsid w:val="00870EDA"/>
    <w:rsid w:val="00871754"/>
    <w:rsid w:val="00871C8A"/>
    <w:rsid w:val="0087234A"/>
    <w:rsid w:val="008734F5"/>
    <w:rsid w:val="008744A2"/>
    <w:rsid w:val="00874812"/>
    <w:rsid w:val="0087487C"/>
    <w:rsid w:val="00874A7B"/>
    <w:rsid w:val="00875480"/>
    <w:rsid w:val="00875551"/>
    <w:rsid w:val="00875648"/>
    <w:rsid w:val="00875ACF"/>
    <w:rsid w:val="00875F97"/>
    <w:rsid w:val="008761A4"/>
    <w:rsid w:val="008762E2"/>
    <w:rsid w:val="00876332"/>
    <w:rsid w:val="0087656D"/>
    <w:rsid w:val="00876A9F"/>
    <w:rsid w:val="00877257"/>
    <w:rsid w:val="00877BA8"/>
    <w:rsid w:val="00877E6A"/>
    <w:rsid w:val="0088012C"/>
    <w:rsid w:val="008805CF"/>
    <w:rsid w:val="008817F1"/>
    <w:rsid w:val="00882492"/>
    <w:rsid w:val="00882754"/>
    <w:rsid w:val="00882A51"/>
    <w:rsid w:val="00882B88"/>
    <w:rsid w:val="00883D8E"/>
    <w:rsid w:val="0088483E"/>
    <w:rsid w:val="00884A60"/>
    <w:rsid w:val="008854FC"/>
    <w:rsid w:val="00885833"/>
    <w:rsid w:val="00885D47"/>
    <w:rsid w:val="0088679E"/>
    <w:rsid w:val="00887092"/>
    <w:rsid w:val="0088784C"/>
    <w:rsid w:val="00890220"/>
    <w:rsid w:val="008911DD"/>
    <w:rsid w:val="00891999"/>
    <w:rsid w:val="00893658"/>
    <w:rsid w:val="00893BC9"/>
    <w:rsid w:val="00893F22"/>
    <w:rsid w:val="00894DAA"/>
    <w:rsid w:val="00894DB2"/>
    <w:rsid w:val="0089610C"/>
    <w:rsid w:val="00896BD1"/>
    <w:rsid w:val="00896F9A"/>
    <w:rsid w:val="008970A5"/>
    <w:rsid w:val="0089750E"/>
    <w:rsid w:val="008975AB"/>
    <w:rsid w:val="008975AD"/>
    <w:rsid w:val="008A062F"/>
    <w:rsid w:val="008A0D10"/>
    <w:rsid w:val="008A0D83"/>
    <w:rsid w:val="008A1038"/>
    <w:rsid w:val="008A1277"/>
    <w:rsid w:val="008A18AF"/>
    <w:rsid w:val="008A2187"/>
    <w:rsid w:val="008A305F"/>
    <w:rsid w:val="008A3BFD"/>
    <w:rsid w:val="008A41BD"/>
    <w:rsid w:val="008A4708"/>
    <w:rsid w:val="008A4974"/>
    <w:rsid w:val="008A6E4B"/>
    <w:rsid w:val="008A7103"/>
    <w:rsid w:val="008A7B4D"/>
    <w:rsid w:val="008B0BDA"/>
    <w:rsid w:val="008B0E39"/>
    <w:rsid w:val="008B174C"/>
    <w:rsid w:val="008B1EF4"/>
    <w:rsid w:val="008B2085"/>
    <w:rsid w:val="008B29D6"/>
    <w:rsid w:val="008B2EC6"/>
    <w:rsid w:val="008B37C8"/>
    <w:rsid w:val="008B412C"/>
    <w:rsid w:val="008B4248"/>
    <w:rsid w:val="008B43F0"/>
    <w:rsid w:val="008B4885"/>
    <w:rsid w:val="008B4DBD"/>
    <w:rsid w:val="008B4FBD"/>
    <w:rsid w:val="008B6037"/>
    <w:rsid w:val="008B68FE"/>
    <w:rsid w:val="008B6B1B"/>
    <w:rsid w:val="008B6CD8"/>
    <w:rsid w:val="008B73C5"/>
    <w:rsid w:val="008C0AD5"/>
    <w:rsid w:val="008C1B4E"/>
    <w:rsid w:val="008C27E4"/>
    <w:rsid w:val="008C2A73"/>
    <w:rsid w:val="008C3427"/>
    <w:rsid w:val="008C4248"/>
    <w:rsid w:val="008C46B8"/>
    <w:rsid w:val="008C4CC5"/>
    <w:rsid w:val="008C4EFB"/>
    <w:rsid w:val="008C524D"/>
    <w:rsid w:val="008C542F"/>
    <w:rsid w:val="008C5999"/>
    <w:rsid w:val="008C5A1E"/>
    <w:rsid w:val="008C5AB2"/>
    <w:rsid w:val="008C7A83"/>
    <w:rsid w:val="008D0495"/>
    <w:rsid w:val="008D05C5"/>
    <w:rsid w:val="008D0D60"/>
    <w:rsid w:val="008D0DBE"/>
    <w:rsid w:val="008D1C95"/>
    <w:rsid w:val="008D2064"/>
    <w:rsid w:val="008D21FC"/>
    <w:rsid w:val="008D2D58"/>
    <w:rsid w:val="008D3201"/>
    <w:rsid w:val="008D3490"/>
    <w:rsid w:val="008D385E"/>
    <w:rsid w:val="008D4AFB"/>
    <w:rsid w:val="008D5D4E"/>
    <w:rsid w:val="008D6200"/>
    <w:rsid w:val="008D6306"/>
    <w:rsid w:val="008D6F33"/>
    <w:rsid w:val="008D793D"/>
    <w:rsid w:val="008D7A34"/>
    <w:rsid w:val="008E0668"/>
    <w:rsid w:val="008E1772"/>
    <w:rsid w:val="008E21EA"/>
    <w:rsid w:val="008E2BDC"/>
    <w:rsid w:val="008E2C42"/>
    <w:rsid w:val="008E2FE5"/>
    <w:rsid w:val="008E3202"/>
    <w:rsid w:val="008E34D7"/>
    <w:rsid w:val="008E35F4"/>
    <w:rsid w:val="008E3912"/>
    <w:rsid w:val="008E425A"/>
    <w:rsid w:val="008E450E"/>
    <w:rsid w:val="008E59EB"/>
    <w:rsid w:val="008E5AC8"/>
    <w:rsid w:val="008E5C2C"/>
    <w:rsid w:val="008E6029"/>
    <w:rsid w:val="008E61F8"/>
    <w:rsid w:val="008E660B"/>
    <w:rsid w:val="008E720D"/>
    <w:rsid w:val="008E7272"/>
    <w:rsid w:val="008E7FF6"/>
    <w:rsid w:val="008F0381"/>
    <w:rsid w:val="008F048C"/>
    <w:rsid w:val="008F0F86"/>
    <w:rsid w:val="008F1879"/>
    <w:rsid w:val="008F1BB4"/>
    <w:rsid w:val="008F21D2"/>
    <w:rsid w:val="008F2A52"/>
    <w:rsid w:val="008F306B"/>
    <w:rsid w:val="008F36B2"/>
    <w:rsid w:val="008F3754"/>
    <w:rsid w:val="008F38B3"/>
    <w:rsid w:val="008F3CD6"/>
    <w:rsid w:val="008F4F78"/>
    <w:rsid w:val="008F4FF5"/>
    <w:rsid w:val="008F5482"/>
    <w:rsid w:val="008F676B"/>
    <w:rsid w:val="008F7727"/>
    <w:rsid w:val="008F7864"/>
    <w:rsid w:val="008F7AE6"/>
    <w:rsid w:val="00900DFB"/>
    <w:rsid w:val="009019EE"/>
    <w:rsid w:val="00901BC1"/>
    <w:rsid w:val="00902045"/>
    <w:rsid w:val="009021FC"/>
    <w:rsid w:val="00902359"/>
    <w:rsid w:val="00902440"/>
    <w:rsid w:val="00902D18"/>
    <w:rsid w:val="00904E62"/>
    <w:rsid w:val="00904EE4"/>
    <w:rsid w:val="0090697F"/>
    <w:rsid w:val="00907F6B"/>
    <w:rsid w:val="00907FB7"/>
    <w:rsid w:val="00910BA6"/>
    <w:rsid w:val="00910C52"/>
    <w:rsid w:val="009112BD"/>
    <w:rsid w:val="00911929"/>
    <w:rsid w:val="00912249"/>
    <w:rsid w:val="0091278C"/>
    <w:rsid w:val="00912D06"/>
    <w:rsid w:val="009137AA"/>
    <w:rsid w:val="00914389"/>
    <w:rsid w:val="009145D6"/>
    <w:rsid w:val="00914EB6"/>
    <w:rsid w:val="009153E6"/>
    <w:rsid w:val="0091575C"/>
    <w:rsid w:val="00915F9C"/>
    <w:rsid w:val="00915FC7"/>
    <w:rsid w:val="009169B1"/>
    <w:rsid w:val="00920B1F"/>
    <w:rsid w:val="009216E5"/>
    <w:rsid w:val="009222CF"/>
    <w:rsid w:val="0092237E"/>
    <w:rsid w:val="00922B07"/>
    <w:rsid w:val="0092360E"/>
    <w:rsid w:val="00923618"/>
    <w:rsid w:val="00924508"/>
    <w:rsid w:val="00924832"/>
    <w:rsid w:val="00924A4B"/>
    <w:rsid w:val="00924E45"/>
    <w:rsid w:val="009252E7"/>
    <w:rsid w:val="00925480"/>
    <w:rsid w:val="00925FDB"/>
    <w:rsid w:val="0092640D"/>
    <w:rsid w:val="00926B0B"/>
    <w:rsid w:val="00926D18"/>
    <w:rsid w:val="00927872"/>
    <w:rsid w:val="009279BD"/>
    <w:rsid w:val="00927C2F"/>
    <w:rsid w:val="009306FC"/>
    <w:rsid w:val="00931587"/>
    <w:rsid w:val="00931658"/>
    <w:rsid w:val="00931D71"/>
    <w:rsid w:val="00932551"/>
    <w:rsid w:val="00932AAA"/>
    <w:rsid w:val="0093310C"/>
    <w:rsid w:val="00933121"/>
    <w:rsid w:val="009335AD"/>
    <w:rsid w:val="00933622"/>
    <w:rsid w:val="00933AB1"/>
    <w:rsid w:val="0093466F"/>
    <w:rsid w:val="00934BE7"/>
    <w:rsid w:val="0093520A"/>
    <w:rsid w:val="00935E50"/>
    <w:rsid w:val="009367A5"/>
    <w:rsid w:val="00936EDA"/>
    <w:rsid w:val="00940C12"/>
    <w:rsid w:val="00940C5E"/>
    <w:rsid w:val="0094158E"/>
    <w:rsid w:val="009422E6"/>
    <w:rsid w:val="009422F8"/>
    <w:rsid w:val="0094281D"/>
    <w:rsid w:val="00942927"/>
    <w:rsid w:val="009436FB"/>
    <w:rsid w:val="009437CC"/>
    <w:rsid w:val="00943A34"/>
    <w:rsid w:val="00943DC8"/>
    <w:rsid w:val="00944710"/>
    <w:rsid w:val="009448C7"/>
    <w:rsid w:val="00944932"/>
    <w:rsid w:val="00944FDA"/>
    <w:rsid w:val="009450FA"/>
    <w:rsid w:val="0094539B"/>
    <w:rsid w:val="00945D71"/>
    <w:rsid w:val="00946C54"/>
    <w:rsid w:val="00946DDC"/>
    <w:rsid w:val="00947C32"/>
    <w:rsid w:val="00947D83"/>
    <w:rsid w:val="00950385"/>
    <w:rsid w:val="00950DCC"/>
    <w:rsid w:val="0095101F"/>
    <w:rsid w:val="00951C9F"/>
    <w:rsid w:val="00951E3D"/>
    <w:rsid w:val="00952AF5"/>
    <w:rsid w:val="00952D94"/>
    <w:rsid w:val="00952DCF"/>
    <w:rsid w:val="0095337C"/>
    <w:rsid w:val="00954396"/>
    <w:rsid w:val="0095559D"/>
    <w:rsid w:val="00955E1B"/>
    <w:rsid w:val="00955ED8"/>
    <w:rsid w:val="00955FEC"/>
    <w:rsid w:val="00956A17"/>
    <w:rsid w:val="00956FCF"/>
    <w:rsid w:val="00957AE5"/>
    <w:rsid w:val="00957B2A"/>
    <w:rsid w:val="00960115"/>
    <w:rsid w:val="00960546"/>
    <w:rsid w:val="00960A58"/>
    <w:rsid w:val="009614BC"/>
    <w:rsid w:val="00961740"/>
    <w:rsid w:val="00961D00"/>
    <w:rsid w:val="00962CAB"/>
    <w:rsid w:val="00962D93"/>
    <w:rsid w:val="00962EDD"/>
    <w:rsid w:val="00962FC1"/>
    <w:rsid w:val="009631FE"/>
    <w:rsid w:val="00963B71"/>
    <w:rsid w:val="00964826"/>
    <w:rsid w:val="00965E51"/>
    <w:rsid w:val="00966271"/>
    <w:rsid w:val="00966B8D"/>
    <w:rsid w:val="009672AE"/>
    <w:rsid w:val="00967EDC"/>
    <w:rsid w:val="009707FC"/>
    <w:rsid w:val="0097131C"/>
    <w:rsid w:val="0097138D"/>
    <w:rsid w:val="00971398"/>
    <w:rsid w:val="009717B0"/>
    <w:rsid w:val="00971EA3"/>
    <w:rsid w:val="009725D3"/>
    <w:rsid w:val="00972615"/>
    <w:rsid w:val="00972700"/>
    <w:rsid w:val="00972E83"/>
    <w:rsid w:val="0097380E"/>
    <w:rsid w:val="00974AF5"/>
    <w:rsid w:val="00975A14"/>
    <w:rsid w:val="00975C8A"/>
    <w:rsid w:val="00975F32"/>
    <w:rsid w:val="0097600B"/>
    <w:rsid w:val="009761F0"/>
    <w:rsid w:val="00976294"/>
    <w:rsid w:val="00977444"/>
    <w:rsid w:val="009803E5"/>
    <w:rsid w:val="0098061C"/>
    <w:rsid w:val="009809EA"/>
    <w:rsid w:val="00980F75"/>
    <w:rsid w:val="009813C6"/>
    <w:rsid w:val="009816B1"/>
    <w:rsid w:val="00981D9C"/>
    <w:rsid w:val="00981FAB"/>
    <w:rsid w:val="009821DD"/>
    <w:rsid w:val="0098255B"/>
    <w:rsid w:val="00982C75"/>
    <w:rsid w:val="00982E66"/>
    <w:rsid w:val="00982FEE"/>
    <w:rsid w:val="00983FF2"/>
    <w:rsid w:val="00984203"/>
    <w:rsid w:val="009842D3"/>
    <w:rsid w:val="009852EC"/>
    <w:rsid w:val="00985328"/>
    <w:rsid w:val="00986045"/>
    <w:rsid w:val="009864CA"/>
    <w:rsid w:val="0098678E"/>
    <w:rsid w:val="009868B2"/>
    <w:rsid w:val="009876F5"/>
    <w:rsid w:val="009879C7"/>
    <w:rsid w:val="009879E1"/>
    <w:rsid w:val="00990508"/>
    <w:rsid w:val="009913DF"/>
    <w:rsid w:val="00991AF5"/>
    <w:rsid w:val="00991AF8"/>
    <w:rsid w:val="00991BDE"/>
    <w:rsid w:val="00992595"/>
    <w:rsid w:val="009927B5"/>
    <w:rsid w:val="00992BAE"/>
    <w:rsid w:val="00992D49"/>
    <w:rsid w:val="00992FBD"/>
    <w:rsid w:val="0099344F"/>
    <w:rsid w:val="009935B0"/>
    <w:rsid w:val="0099363F"/>
    <w:rsid w:val="0099401A"/>
    <w:rsid w:val="0099460B"/>
    <w:rsid w:val="009947B1"/>
    <w:rsid w:val="00995FFB"/>
    <w:rsid w:val="009968D5"/>
    <w:rsid w:val="009975D9"/>
    <w:rsid w:val="0099797A"/>
    <w:rsid w:val="00997EB8"/>
    <w:rsid w:val="00997EDA"/>
    <w:rsid w:val="00997EDD"/>
    <w:rsid w:val="009A0A7A"/>
    <w:rsid w:val="009A1497"/>
    <w:rsid w:val="009A1972"/>
    <w:rsid w:val="009A2CDD"/>
    <w:rsid w:val="009A2D03"/>
    <w:rsid w:val="009A32DB"/>
    <w:rsid w:val="009A3546"/>
    <w:rsid w:val="009A3763"/>
    <w:rsid w:val="009A3AE9"/>
    <w:rsid w:val="009A41E3"/>
    <w:rsid w:val="009A4399"/>
    <w:rsid w:val="009A475C"/>
    <w:rsid w:val="009A4CE2"/>
    <w:rsid w:val="009A533B"/>
    <w:rsid w:val="009A5669"/>
    <w:rsid w:val="009A5AAE"/>
    <w:rsid w:val="009A60C3"/>
    <w:rsid w:val="009A61F4"/>
    <w:rsid w:val="009A6268"/>
    <w:rsid w:val="009A66CD"/>
    <w:rsid w:val="009A7F85"/>
    <w:rsid w:val="009B0554"/>
    <w:rsid w:val="009B07E1"/>
    <w:rsid w:val="009B0C8F"/>
    <w:rsid w:val="009B1696"/>
    <w:rsid w:val="009B2A43"/>
    <w:rsid w:val="009B2E34"/>
    <w:rsid w:val="009B3AE1"/>
    <w:rsid w:val="009B3E99"/>
    <w:rsid w:val="009B480C"/>
    <w:rsid w:val="009B5ACF"/>
    <w:rsid w:val="009B6094"/>
    <w:rsid w:val="009B630E"/>
    <w:rsid w:val="009B76E3"/>
    <w:rsid w:val="009B7831"/>
    <w:rsid w:val="009B7C95"/>
    <w:rsid w:val="009B7DF6"/>
    <w:rsid w:val="009C0027"/>
    <w:rsid w:val="009C07F5"/>
    <w:rsid w:val="009C0F1E"/>
    <w:rsid w:val="009C19A2"/>
    <w:rsid w:val="009C34FD"/>
    <w:rsid w:val="009C3B37"/>
    <w:rsid w:val="009C45A3"/>
    <w:rsid w:val="009C4732"/>
    <w:rsid w:val="009C5E9C"/>
    <w:rsid w:val="009C5ECB"/>
    <w:rsid w:val="009C6CEF"/>
    <w:rsid w:val="009C6EFA"/>
    <w:rsid w:val="009C7736"/>
    <w:rsid w:val="009C7884"/>
    <w:rsid w:val="009C7922"/>
    <w:rsid w:val="009C7F32"/>
    <w:rsid w:val="009D0A19"/>
    <w:rsid w:val="009D0E7A"/>
    <w:rsid w:val="009D10DA"/>
    <w:rsid w:val="009D120F"/>
    <w:rsid w:val="009D122F"/>
    <w:rsid w:val="009D16C3"/>
    <w:rsid w:val="009D27AF"/>
    <w:rsid w:val="009D280C"/>
    <w:rsid w:val="009D2BB3"/>
    <w:rsid w:val="009D2CCD"/>
    <w:rsid w:val="009D342E"/>
    <w:rsid w:val="009D344A"/>
    <w:rsid w:val="009D3A6D"/>
    <w:rsid w:val="009D473C"/>
    <w:rsid w:val="009D51A0"/>
    <w:rsid w:val="009D58DD"/>
    <w:rsid w:val="009D69AE"/>
    <w:rsid w:val="009D72B0"/>
    <w:rsid w:val="009D72CD"/>
    <w:rsid w:val="009D7724"/>
    <w:rsid w:val="009D7F74"/>
    <w:rsid w:val="009E08EF"/>
    <w:rsid w:val="009E09B1"/>
    <w:rsid w:val="009E0BC8"/>
    <w:rsid w:val="009E1B32"/>
    <w:rsid w:val="009E1BCF"/>
    <w:rsid w:val="009E240E"/>
    <w:rsid w:val="009E2AD3"/>
    <w:rsid w:val="009E3087"/>
    <w:rsid w:val="009E3337"/>
    <w:rsid w:val="009E3379"/>
    <w:rsid w:val="009E38B3"/>
    <w:rsid w:val="009E4EBE"/>
    <w:rsid w:val="009E5F3E"/>
    <w:rsid w:val="009E76ED"/>
    <w:rsid w:val="009E7A34"/>
    <w:rsid w:val="009F098B"/>
    <w:rsid w:val="009F0AB7"/>
    <w:rsid w:val="009F1429"/>
    <w:rsid w:val="009F174C"/>
    <w:rsid w:val="009F2879"/>
    <w:rsid w:val="009F2C94"/>
    <w:rsid w:val="009F3100"/>
    <w:rsid w:val="009F45DF"/>
    <w:rsid w:val="009F4D6C"/>
    <w:rsid w:val="009F4D9B"/>
    <w:rsid w:val="009F5675"/>
    <w:rsid w:val="009F58D2"/>
    <w:rsid w:val="009F6D95"/>
    <w:rsid w:val="009F6FC4"/>
    <w:rsid w:val="009F73E9"/>
    <w:rsid w:val="00A00CBB"/>
    <w:rsid w:val="00A0114B"/>
    <w:rsid w:val="00A011E3"/>
    <w:rsid w:val="00A0171C"/>
    <w:rsid w:val="00A028FB"/>
    <w:rsid w:val="00A02B52"/>
    <w:rsid w:val="00A02C9A"/>
    <w:rsid w:val="00A0338B"/>
    <w:rsid w:val="00A036DC"/>
    <w:rsid w:val="00A042E7"/>
    <w:rsid w:val="00A04E86"/>
    <w:rsid w:val="00A05488"/>
    <w:rsid w:val="00A05A9B"/>
    <w:rsid w:val="00A05B17"/>
    <w:rsid w:val="00A05E2F"/>
    <w:rsid w:val="00A06834"/>
    <w:rsid w:val="00A07B3E"/>
    <w:rsid w:val="00A07EE1"/>
    <w:rsid w:val="00A10686"/>
    <w:rsid w:val="00A107D9"/>
    <w:rsid w:val="00A10BC5"/>
    <w:rsid w:val="00A10EAA"/>
    <w:rsid w:val="00A11D72"/>
    <w:rsid w:val="00A12530"/>
    <w:rsid w:val="00A12684"/>
    <w:rsid w:val="00A1346E"/>
    <w:rsid w:val="00A13501"/>
    <w:rsid w:val="00A14CC4"/>
    <w:rsid w:val="00A14CD5"/>
    <w:rsid w:val="00A14FB1"/>
    <w:rsid w:val="00A15654"/>
    <w:rsid w:val="00A16014"/>
    <w:rsid w:val="00A162A8"/>
    <w:rsid w:val="00A1669D"/>
    <w:rsid w:val="00A16785"/>
    <w:rsid w:val="00A168EF"/>
    <w:rsid w:val="00A174DF"/>
    <w:rsid w:val="00A201D0"/>
    <w:rsid w:val="00A208FD"/>
    <w:rsid w:val="00A21EB2"/>
    <w:rsid w:val="00A22032"/>
    <w:rsid w:val="00A221EE"/>
    <w:rsid w:val="00A22571"/>
    <w:rsid w:val="00A22FC0"/>
    <w:rsid w:val="00A22FFD"/>
    <w:rsid w:val="00A23310"/>
    <w:rsid w:val="00A23A52"/>
    <w:rsid w:val="00A24619"/>
    <w:rsid w:val="00A24B09"/>
    <w:rsid w:val="00A25103"/>
    <w:rsid w:val="00A25512"/>
    <w:rsid w:val="00A27414"/>
    <w:rsid w:val="00A30046"/>
    <w:rsid w:val="00A303B8"/>
    <w:rsid w:val="00A3092D"/>
    <w:rsid w:val="00A316F6"/>
    <w:rsid w:val="00A31CD8"/>
    <w:rsid w:val="00A32C52"/>
    <w:rsid w:val="00A32D28"/>
    <w:rsid w:val="00A32F9D"/>
    <w:rsid w:val="00A33165"/>
    <w:rsid w:val="00A33791"/>
    <w:rsid w:val="00A33DE7"/>
    <w:rsid w:val="00A34383"/>
    <w:rsid w:val="00A34814"/>
    <w:rsid w:val="00A34E55"/>
    <w:rsid w:val="00A35021"/>
    <w:rsid w:val="00A351BE"/>
    <w:rsid w:val="00A35606"/>
    <w:rsid w:val="00A37838"/>
    <w:rsid w:val="00A37B5E"/>
    <w:rsid w:val="00A40D6F"/>
    <w:rsid w:val="00A412CD"/>
    <w:rsid w:val="00A41DDF"/>
    <w:rsid w:val="00A41E2E"/>
    <w:rsid w:val="00A41E9F"/>
    <w:rsid w:val="00A426C6"/>
    <w:rsid w:val="00A4304B"/>
    <w:rsid w:val="00A431B2"/>
    <w:rsid w:val="00A44071"/>
    <w:rsid w:val="00A44505"/>
    <w:rsid w:val="00A4495F"/>
    <w:rsid w:val="00A45667"/>
    <w:rsid w:val="00A461EE"/>
    <w:rsid w:val="00A46C4E"/>
    <w:rsid w:val="00A470B1"/>
    <w:rsid w:val="00A47322"/>
    <w:rsid w:val="00A47673"/>
    <w:rsid w:val="00A5006F"/>
    <w:rsid w:val="00A50A97"/>
    <w:rsid w:val="00A50BEA"/>
    <w:rsid w:val="00A50DFC"/>
    <w:rsid w:val="00A50F68"/>
    <w:rsid w:val="00A51164"/>
    <w:rsid w:val="00A512FC"/>
    <w:rsid w:val="00A51BB7"/>
    <w:rsid w:val="00A51E39"/>
    <w:rsid w:val="00A524B1"/>
    <w:rsid w:val="00A52DC4"/>
    <w:rsid w:val="00A52F8C"/>
    <w:rsid w:val="00A538AF"/>
    <w:rsid w:val="00A539AD"/>
    <w:rsid w:val="00A53A64"/>
    <w:rsid w:val="00A53D0E"/>
    <w:rsid w:val="00A5449E"/>
    <w:rsid w:val="00A544EB"/>
    <w:rsid w:val="00A54B05"/>
    <w:rsid w:val="00A55880"/>
    <w:rsid w:val="00A5597F"/>
    <w:rsid w:val="00A55B53"/>
    <w:rsid w:val="00A563C9"/>
    <w:rsid w:val="00A56496"/>
    <w:rsid w:val="00A564AF"/>
    <w:rsid w:val="00A56855"/>
    <w:rsid w:val="00A57655"/>
    <w:rsid w:val="00A57D0A"/>
    <w:rsid w:val="00A57DA1"/>
    <w:rsid w:val="00A57FB0"/>
    <w:rsid w:val="00A6009E"/>
    <w:rsid w:val="00A602E3"/>
    <w:rsid w:val="00A6042D"/>
    <w:rsid w:val="00A608DF"/>
    <w:rsid w:val="00A60A52"/>
    <w:rsid w:val="00A60C74"/>
    <w:rsid w:val="00A61007"/>
    <w:rsid w:val="00A628A3"/>
    <w:rsid w:val="00A629A3"/>
    <w:rsid w:val="00A62F84"/>
    <w:rsid w:val="00A63CBB"/>
    <w:rsid w:val="00A640A9"/>
    <w:rsid w:val="00A64404"/>
    <w:rsid w:val="00A64B6F"/>
    <w:rsid w:val="00A65034"/>
    <w:rsid w:val="00A65D3F"/>
    <w:rsid w:val="00A65D9A"/>
    <w:rsid w:val="00A67C4F"/>
    <w:rsid w:val="00A708EB"/>
    <w:rsid w:val="00A71029"/>
    <w:rsid w:val="00A71232"/>
    <w:rsid w:val="00A713DE"/>
    <w:rsid w:val="00A72279"/>
    <w:rsid w:val="00A723B1"/>
    <w:rsid w:val="00A7273A"/>
    <w:rsid w:val="00A729E3"/>
    <w:rsid w:val="00A72A6A"/>
    <w:rsid w:val="00A72E7F"/>
    <w:rsid w:val="00A72F1A"/>
    <w:rsid w:val="00A747DA"/>
    <w:rsid w:val="00A750C4"/>
    <w:rsid w:val="00A75580"/>
    <w:rsid w:val="00A759B4"/>
    <w:rsid w:val="00A75A41"/>
    <w:rsid w:val="00A760F4"/>
    <w:rsid w:val="00A7639E"/>
    <w:rsid w:val="00A800F2"/>
    <w:rsid w:val="00A8069F"/>
    <w:rsid w:val="00A80F26"/>
    <w:rsid w:val="00A81035"/>
    <w:rsid w:val="00A81124"/>
    <w:rsid w:val="00A81516"/>
    <w:rsid w:val="00A8181F"/>
    <w:rsid w:val="00A81B38"/>
    <w:rsid w:val="00A81F4D"/>
    <w:rsid w:val="00A821C8"/>
    <w:rsid w:val="00A82771"/>
    <w:rsid w:val="00A82822"/>
    <w:rsid w:val="00A82845"/>
    <w:rsid w:val="00A82AA7"/>
    <w:rsid w:val="00A82AD9"/>
    <w:rsid w:val="00A82C08"/>
    <w:rsid w:val="00A83039"/>
    <w:rsid w:val="00A8344D"/>
    <w:rsid w:val="00A83A70"/>
    <w:rsid w:val="00A8408E"/>
    <w:rsid w:val="00A84113"/>
    <w:rsid w:val="00A844E4"/>
    <w:rsid w:val="00A847DF"/>
    <w:rsid w:val="00A852C7"/>
    <w:rsid w:val="00A85473"/>
    <w:rsid w:val="00A8552E"/>
    <w:rsid w:val="00A857DD"/>
    <w:rsid w:val="00A85AFE"/>
    <w:rsid w:val="00A85E4B"/>
    <w:rsid w:val="00A860BF"/>
    <w:rsid w:val="00A8611E"/>
    <w:rsid w:val="00A8685C"/>
    <w:rsid w:val="00A86979"/>
    <w:rsid w:val="00A86B2C"/>
    <w:rsid w:val="00A86B8C"/>
    <w:rsid w:val="00A87270"/>
    <w:rsid w:val="00A879BA"/>
    <w:rsid w:val="00A87B1A"/>
    <w:rsid w:val="00A87D16"/>
    <w:rsid w:val="00A902CF"/>
    <w:rsid w:val="00A90A12"/>
    <w:rsid w:val="00A92347"/>
    <w:rsid w:val="00A923FB"/>
    <w:rsid w:val="00A92879"/>
    <w:rsid w:val="00A92B5C"/>
    <w:rsid w:val="00A93ED2"/>
    <w:rsid w:val="00A94CE1"/>
    <w:rsid w:val="00A94F5C"/>
    <w:rsid w:val="00A951F0"/>
    <w:rsid w:val="00A953C0"/>
    <w:rsid w:val="00A95480"/>
    <w:rsid w:val="00A960B6"/>
    <w:rsid w:val="00A961F9"/>
    <w:rsid w:val="00A96944"/>
    <w:rsid w:val="00A96EA5"/>
    <w:rsid w:val="00A97337"/>
    <w:rsid w:val="00A979F1"/>
    <w:rsid w:val="00A97F12"/>
    <w:rsid w:val="00AA009F"/>
    <w:rsid w:val="00AA0722"/>
    <w:rsid w:val="00AA0940"/>
    <w:rsid w:val="00AA0999"/>
    <w:rsid w:val="00AA09A3"/>
    <w:rsid w:val="00AA127F"/>
    <w:rsid w:val="00AA1A96"/>
    <w:rsid w:val="00AA1BB2"/>
    <w:rsid w:val="00AA40DE"/>
    <w:rsid w:val="00AA52A2"/>
    <w:rsid w:val="00AA531B"/>
    <w:rsid w:val="00AA5451"/>
    <w:rsid w:val="00AA5AEA"/>
    <w:rsid w:val="00AA5FBA"/>
    <w:rsid w:val="00AA6100"/>
    <w:rsid w:val="00AA672D"/>
    <w:rsid w:val="00AA6962"/>
    <w:rsid w:val="00AA739B"/>
    <w:rsid w:val="00AA7484"/>
    <w:rsid w:val="00AB1C8E"/>
    <w:rsid w:val="00AB298D"/>
    <w:rsid w:val="00AB2BC5"/>
    <w:rsid w:val="00AB2F2F"/>
    <w:rsid w:val="00AB38B6"/>
    <w:rsid w:val="00AB3E72"/>
    <w:rsid w:val="00AB420F"/>
    <w:rsid w:val="00AB46D6"/>
    <w:rsid w:val="00AB52EC"/>
    <w:rsid w:val="00AB5678"/>
    <w:rsid w:val="00AB713F"/>
    <w:rsid w:val="00AB745E"/>
    <w:rsid w:val="00AB7B18"/>
    <w:rsid w:val="00AC026B"/>
    <w:rsid w:val="00AC03BC"/>
    <w:rsid w:val="00AC083C"/>
    <w:rsid w:val="00AC08A7"/>
    <w:rsid w:val="00AC0A71"/>
    <w:rsid w:val="00AC1552"/>
    <w:rsid w:val="00AC2C9B"/>
    <w:rsid w:val="00AC2F75"/>
    <w:rsid w:val="00AC3042"/>
    <w:rsid w:val="00AC3D27"/>
    <w:rsid w:val="00AC4408"/>
    <w:rsid w:val="00AC460E"/>
    <w:rsid w:val="00AC4B22"/>
    <w:rsid w:val="00AC5CC5"/>
    <w:rsid w:val="00AC6A05"/>
    <w:rsid w:val="00AC6D6D"/>
    <w:rsid w:val="00AC6DF2"/>
    <w:rsid w:val="00AC73FB"/>
    <w:rsid w:val="00AC78DD"/>
    <w:rsid w:val="00AC7C2F"/>
    <w:rsid w:val="00AD067B"/>
    <w:rsid w:val="00AD0810"/>
    <w:rsid w:val="00AD0831"/>
    <w:rsid w:val="00AD0F7F"/>
    <w:rsid w:val="00AD186F"/>
    <w:rsid w:val="00AD32D5"/>
    <w:rsid w:val="00AD3471"/>
    <w:rsid w:val="00AD45AA"/>
    <w:rsid w:val="00AD4B3E"/>
    <w:rsid w:val="00AD542A"/>
    <w:rsid w:val="00AD5F3F"/>
    <w:rsid w:val="00AD6970"/>
    <w:rsid w:val="00AD7FD8"/>
    <w:rsid w:val="00AE0218"/>
    <w:rsid w:val="00AE07DF"/>
    <w:rsid w:val="00AE08BB"/>
    <w:rsid w:val="00AE10A2"/>
    <w:rsid w:val="00AE15B9"/>
    <w:rsid w:val="00AE1B23"/>
    <w:rsid w:val="00AE1C43"/>
    <w:rsid w:val="00AE2041"/>
    <w:rsid w:val="00AE20C9"/>
    <w:rsid w:val="00AE242A"/>
    <w:rsid w:val="00AE2D51"/>
    <w:rsid w:val="00AE2D96"/>
    <w:rsid w:val="00AE2DC3"/>
    <w:rsid w:val="00AE3426"/>
    <w:rsid w:val="00AE357F"/>
    <w:rsid w:val="00AE3BE0"/>
    <w:rsid w:val="00AE4D6B"/>
    <w:rsid w:val="00AE56E5"/>
    <w:rsid w:val="00AE5E92"/>
    <w:rsid w:val="00AE63B7"/>
    <w:rsid w:val="00AE65B2"/>
    <w:rsid w:val="00AE6B50"/>
    <w:rsid w:val="00AE7720"/>
    <w:rsid w:val="00AE7AA6"/>
    <w:rsid w:val="00AE7EA6"/>
    <w:rsid w:val="00AF03A2"/>
    <w:rsid w:val="00AF08CF"/>
    <w:rsid w:val="00AF1744"/>
    <w:rsid w:val="00AF1D63"/>
    <w:rsid w:val="00AF1ED1"/>
    <w:rsid w:val="00AF239F"/>
    <w:rsid w:val="00AF30C5"/>
    <w:rsid w:val="00AF36A2"/>
    <w:rsid w:val="00AF3C31"/>
    <w:rsid w:val="00AF3E3E"/>
    <w:rsid w:val="00AF46BC"/>
    <w:rsid w:val="00AF4B08"/>
    <w:rsid w:val="00AF4F5E"/>
    <w:rsid w:val="00AF5DD4"/>
    <w:rsid w:val="00AF62E3"/>
    <w:rsid w:val="00AF68BF"/>
    <w:rsid w:val="00AF6DB8"/>
    <w:rsid w:val="00B008AE"/>
    <w:rsid w:val="00B014F7"/>
    <w:rsid w:val="00B02847"/>
    <w:rsid w:val="00B0291D"/>
    <w:rsid w:val="00B02A8E"/>
    <w:rsid w:val="00B031C8"/>
    <w:rsid w:val="00B03498"/>
    <w:rsid w:val="00B03F6F"/>
    <w:rsid w:val="00B056DA"/>
    <w:rsid w:val="00B05F4E"/>
    <w:rsid w:val="00B06317"/>
    <w:rsid w:val="00B06FC8"/>
    <w:rsid w:val="00B0713D"/>
    <w:rsid w:val="00B072B0"/>
    <w:rsid w:val="00B074E3"/>
    <w:rsid w:val="00B07699"/>
    <w:rsid w:val="00B100CE"/>
    <w:rsid w:val="00B107C6"/>
    <w:rsid w:val="00B10CE1"/>
    <w:rsid w:val="00B10F3A"/>
    <w:rsid w:val="00B11BE8"/>
    <w:rsid w:val="00B125FD"/>
    <w:rsid w:val="00B12A20"/>
    <w:rsid w:val="00B13114"/>
    <w:rsid w:val="00B13365"/>
    <w:rsid w:val="00B1463F"/>
    <w:rsid w:val="00B1469E"/>
    <w:rsid w:val="00B146F2"/>
    <w:rsid w:val="00B15374"/>
    <w:rsid w:val="00B153E0"/>
    <w:rsid w:val="00B15B18"/>
    <w:rsid w:val="00B163B9"/>
    <w:rsid w:val="00B16548"/>
    <w:rsid w:val="00B16AAE"/>
    <w:rsid w:val="00B16C2A"/>
    <w:rsid w:val="00B1756C"/>
    <w:rsid w:val="00B17AC0"/>
    <w:rsid w:val="00B17E73"/>
    <w:rsid w:val="00B2056B"/>
    <w:rsid w:val="00B2100A"/>
    <w:rsid w:val="00B21298"/>
    <w:rsid w:val="00B21F12"/>
    <w:rsid w:val="00B22E0B"/>
    <w:rsid w:val="00B22ECE"/>
    <w:rsid w:val="00B23825"/>
    <w:rsid w:val="00B23D9D"/>
    <w:rsid w:val="00B244C4"/>
    <w:rsid w:val="00B247E2"/>
    <w:rsid w:val="00B24A2A"/>
    <w:rsid w:val="00B25179"/>
    <w:rsid w:val="00B2568D"/>
    <w:rsid w:val="00B2596D"/>
    <w:rsid w:val="00B261B2"/>
    <w:rsid w:val="00B262E0"/>
    <w:rsid w:val="00B2661B"/>
    <w:rsid w:val="00B27367"/>
    <w:rsid w:val="00B27AD3"/>
    <w:rsid w:val="00B27EE2"/>
    <w:rsid w:val="00B3005D"/>
    <w:rsid w:val="00B30535"/>
    <w:rsid w:val="00B3109A"/>
    <w:rsid w:val="00B31526"/>
    <w:rsid w:val="00B31600"/>
    <w:rsid w:val="00B31862"/>
    <w:rsid w:val="00B31B3F"/>
    <w:rsid w:val="00B31BA3"/>
    <w:rsid w:val="00B31F0D"/>
    <w:rsid w:val="00B321FB"/>
    <w:rsid w:val="00B32957"/>
    <w:rsid w:val="00B32C01"/>
    <w:rsid w:val="00B32D54"/>
    <w:rsid w:val="00B3354E"/>
    <w:rsid w:val="00B33F9B"/>
    <w:rsid w:val="00B342E9"/>
    <w:rsid w:val="00B34372"/>
    <w:rsid w:val="00B345C8"/>
    <w:rsid w:val="00B348D3"/>
    <w:rsid w:val="00B34950"/>
    <w:rsid w:val="00B34FA5"/>
    <w:rsid w:val="00B35028"/>
    <w:rsid w:val="00B352AB"/>
    <w:rsid w:val="00B35815"/>
    <w:rsid w:val="00B3631F"/>
    <w:rsid w:val="00B36368"/>
    <w:rsid w:val="00B370D7"/>
    <w:rsid w:val="00B37294"/>
    <w:rsid w:val="00B40561"/>
    <w:rsid w:val="00B41414"/>
    <w:rsid w:val="00B42BFA"/>
    <w:rsid w:val="00B42FC0"/>
    <w:rsid w:val="00B43668"/>
    <w:rsid w:val="00B4456A"/>
    <w:rsid w:val="00B449DB"/>
    <w:rsid w:val="00B44FEE"/>
    <w:rsid w:val="00B4514D"/>
    <w:rsid w:val="00B45272"/>
    <w:rsid w:val="00B452A9"/>
    <w:rsid w:val="00B45482"/>
    <w:rsid w:val="00B45E2A"/>
    <w:rsid w:val="00B478B1"/>
    <w:rsid w:val="00B479E6"/>
    <w:rsid w:val="00B47ABB"/>
    <w:rsid w:val="00B501BA"/>
    <w:rsid w:val="00B507B5"/>
    <w:rsid w:val="00B515C4"/>
    <w:rsid w:val="00B51E7C"/>
    <w:rsid w:val="00B52021"/>
    <w:rsid w:val="00B53844"/>
    <w:rsid w:val="00B53845"/>
    <w:rsid w:val="00B54499"/>
    <w:rsid w:val="00B54E3A"/>
    <w:rsid w:val="00B55460"/>
    <w:rsid w:val="00B5562B"/>
    <w:rsid w:val="00B559C2"/>
    <w:rsid w:val="00B56C05"/>
    <w:rsid w:val="00B575A4"/>
    <w:rsid w:val="00B57869"/>
    <w:rsid w:val="00B57954"/>
    <w:rsid w:val="00B57AEC"/>
    <w:rsid w:val="00B603D1"/>
    <w:rsid w:val="00B603E0"/>
    <w:rsid w:val="00B60FC6"/>
    <w:rsid w:val="00B6113C"/>
    <w:rsid w:val="00B6201D"/>
    <w:rsid w:val="00B62C95"/>
    <w:rsid w:val="00B634F5"/>
    <w:rsid w:val="00B63A21"/>
    <w:rsid w:val="00B64BDD"/>
    <w:rsid w:val="00B64E39"/>
    <w:rsid w:val="00B64FFD"/>
    <w:rsid w:val="00B6564B"/>
    <w:rsid w:val="00B65C10"/>
    <w:rsid w:val="00B66012"/>
    <w:rsid w:val="00B664CF"/>
    <w:rsid w:val="00B66B7B"/>
    <w:rsid w:val="00B66D6E"/>
    <w:rsid w:val="00B66E82"/>
    <w:rsid w:val="00B67355"/>
    <w:rsid w:val="00B67CCB"/>
    <w:rsid w:val="00B70856"/>
    <w:rsid w:val="00B70A6F"/>
    <w:rsid w:val="00B71035"/>
    <w:rsid w:val="00B71C74"/>
    <w:rsid w:val="00B71EE9"/>
    <w:rsid w:val="00B72D53"/>
    <w:rsid w:val="00B749B5"/>
    <w:rsid w:val="00B74BE0"/>
    <w:rsid w:val="00B756B9"/>
    <w:rsid w:val="00B7616F"/>
    <w:rsid w:val="00B76449"/>
    <w:rsid w:val="00B7677D"/>
    <w:rsid w:val="00B7679A"/>
    <w:rsid w:val="00B77110"/>
    <w:rsid w:val="00B7736C"/>
    <w:rsid w:val="00B777FE"/>
    <w:rsid w:val="00B77E23"/>
    <w:rsid w:val="00B8037C"/>
    <w:rsid w:val="00B805C6"/>
    <w:rsid w:val="00B8080B"/>
    <w:rsid w:val="00B810CA"/>
    <w:rsid w:val="00B81CDD"/>
    <w:rsid w:val="00B81E4D"/>
    <w:rsid w:val="00B81F0E"/>
    <w:rsid w:val="00B82165"/>
    <w:rsid w:val="00B825E7"/>
    <w:rsid w:val="00B82889"/>
    <w:rsid w:val="00B837FF"/>
    <w:rsid w:val="00B839A3"/>
    <w:rsid w:val="00B83EF3"/>
    <w:rsid w:val="00B841A8"/>
    <w:rsid w:val="00B84953"/>
    <w:rsid w:val="00B849D9"/>
    <w:rsid w:val="00B84B47"/>
    <w:rsid w:val="00B85C7F"/>
    <w:rsid w:val="00B86446"/>
    <w:rsid w:val="00B869D3"/>
    <w:rsid w:val="00B87430"/>
    <w:rsid w:val="00B87AE2"/>
    <w:rsid w:val="00B90607"/>
    <w:rsid w:val="00B91134"/>
    <w:rsid w:val="00B9230B"/>
    <w:rsid w:val="00B92479"/>
    <w:rsid w:val="00B92A29"/>
    <w:rsid w:val="00B92B07"/>
    <w:rsid w:val="00B9302F"/>
    <w:rsid w:val="00B93586"/>
    <w:rsid w:val="00B93B2E"/>
    <w:rsid w:val="00B9457B"/>
    <w:rsid w:val="00B9467E"/>
    <w:rsid w:val="00B94698"/>
    <w:rsid w:val="00B954F5"/>
    <w:rsid w:val="00B9562B"/>
    <w:rsid w:val="00B95998"/>
    <w:rsid w:val="00B96ADF"/>
    <w:rsid w:val="00B96C44"/>
    <w:rsid w:val="00B9701A"/>
    <w:rsid w:val="00BA175C"/>
    <w:rsid w:val="00BA18F8"/>
    <w:rsid w:val="00BA191A"/>
    <w:rsid w:val="00BA1DAC"/>
    <w:rsid w:val="00BA1E9B"/>
    <w:rsid w:val="00BA226E"/>
    <w:rsid w:val="00BA25CE"/>
    <w:rsid w:val="00BA25D5"/>
    <w:rsid w:val="00BA26EE"/>
    <w:rsid w:val="00BA2D1B"/>
    <w:rsid w:val="00BA39EF"/>
    <w:rsid w:val="00BA40EA"/>
    <w:rsid w:val="00BA4313"/>
    <w:rsid w:val="00BA4B3C"/>
    <w:rsid w:val="00BA4BB7"/>
    <w:rsid w:val="00BA5BEE"/>
    <w:rsid w:val="00BA5F55"/>
    <w:rsid w:val="00BA717E"/>
    <w:rsid w:val="00BA7C7F"/>
    <w:rsid w:val="00BA7DAC"/>
    <w:rsid w:val="00BB0A90"/>
    <w:rsid w:val="00BB1569"/>
    <w:rsid w:val="00BB1636"/>
    <w:rsid w:val="00BB1D74"/>
    <w:rsid w:val="00BB1DA0"/>
    <w:rsid w:val="00BB1DA3"/>
    <w:rsid w:val="00BB280A"/>
    <w:rsid w:val="00BB3842"/>
    <w:rsid w:val="00BB3F4A"/>
    <w:rsid w:val="00BB4202"/>
    <w:rsid w:val="00BB4C24"/>
    <w:rsid w:val="00BB4D77"/>
    <w:rsid w:val="00BB524B"/>
    <w:rsid w:val="00BB545C"/>
    <w:rsid w:val="00BB5BEC"/>
    <w:rsid w:val="00BB646E"/>
    <w:rsid w:val="00BB6754"/>
    <w:rsid w:val="00BB6843"/>
    <w:rsid w:val="00BB7720"/>
    <w:rsid w:val="00BB78B5"/>
    <w:rsid w:val="00BB7C5E"/>
    <w:rsid w:val="00BB7F86"/>
    <w:rsid w:val="00BC01C0"/>
    <w:rsid w:val="00BC0375"/>
    <w:rsid w:val="00BC090B"/>
    <w:rsid w:val="00BC1330"/>
    <w:rsid w:val="00BC13FE"/>
    <w:rsid w:val="00BC142F"/>
    <w:rsid w:val="00BC15F9"/>
    <w:rsid w:val="00BC2A53"/>
    <w:rsid w:val="00BC2AB4"/>
    <w:rsid w:val="00BC2B27"/>
    <w:rsid w:val="00BC31D9"/>
    <w:rsid w:val="00BC3217"/>
    <w:rsid w:val="00BC3642"/>
    <w:rsid w:val="00BC3651"/>
    <w:rsid w:val="00BC3EA9"/>
    <w:rsid w:val="00BC469D"/>
    <w:rsid w:val="00BC4783"/>
    <w:rsid w:val="00BC4AEF"/>
    <w:rsid w:val="00BC4F31"/>
    <w:rsid w:val="00BC5439"/>
    <w:rsid w:val="00BC6082"/>
    <w:rsid w:val="00BC6903"/>
    <w:rsid w:val="00BC69CD"/>
    <w:rsid w:val="00BC7620"/>
    <w:rsid w:val="00BD08EC"/>
    <w:rsid w:val="00BD1169"/>
    <w:rsid w:val="00BD1AA6"/>
    <w:rsid w:val="00BD1EB7"/>
    <w:rsid w:val="00BD29B2"/>
    <w:rsid w:val="00BD2F1E"/>
    <w:rsid w:val="00BD343B"/>
    <w:rsid w:val="00BD4500"/>
    <w:rsid w:val="00BD4BFB"/>
    <w:rsid w:val="00BD4C2A"/>
    <w:rsid w:val="00BD4F93"/>
    <w:rsid w:val="00BD592D"/>
    <w:rsid w:val="00BD5CAD"/>
    <w:rsid w:val="00BD6760"/>
    <w:rsid w:val="00BD6E1C"/>
    <w:rsid w:val="00BD7064"/>
    <w:rsid w:val="00BD733D"/>
    <w:rsid w:val="00BD76B5"/>
    <w:rsid w:val="00BD7A53"/>
    <w:rsid w:val="00BE0076"/>
    <w:rsid w:val="00BE038B"/>
    <w:rsid w:val="00BE0737"/>
    <w:rsid w:val="00BE0771"/>
    <w:rsid w:val="00BE09B7"/>
    <w:rsid w:val="00BE1737"/>
    <w:rsid w:val="00BE1936"/>
    <w:rsid w:val="00BE1E46"/>
    <w:rsid w:val="00BE21A1"/>
    <w:rsid w:val="00BE2599"/>
    <w:rsid w:val="00BE2A24"/>
    <w:rsid w:val="00BE2BDF"/>
    <w:rsid w:val="00BE3AC5"/>
    <w:rsid w:val="00BE3EAA"/>
    <w:rsid w:val="00BE3F0F"/>
    <w:rsid w:val="00BE4083"/>
    <w:rsid w:val="00BE458E"/>
    <w:rsid w:val="00BE4FCD"/>
    <w:rsid w:val="00BE5076"/>
    <w:rsid w:val="00BE5217"/>
    <w:rsid w:val="00BE5677"/>
    <w:rsid w:val="00BE5C93"/>
    <w:rsid w:val="00BE6B26"/>
    <w:rsid w:val="00BE6DDD"/>
    <w:rsid w:val="00BE72EE"/>
    <w:rsid w:val="00BE733D"/>
    <w:rsid w:val="00BE7809"/>
    <w:rsid w:val="00BF035E"/>
    <w:rsid w:val="00BF0453"/>
    <w:rsid w:val="00BF055C"/>
    <w:rsid w:val="00BF073B"/>
    <w:rsid w:val="00BF0959"/>
    <w:rsid w:val="00BF1115"/>
    <w:rsid w:val="00BF15C9"/>
    <w:rsid w:val="00BF17BD"/>
    <w:rsid w:val="00BF1C1C"/>
    <w:rsid w:val="00BF24C0"/>
    <w:rsid w:val="00BF3239"/>
    <w:rsid w:val="00BF32AF"/>
    <w:rsid w:val="00BF3327"/>
    <w:rsid w:val="00BF4E76"/>
    <w:rsid w:val="00BF4F01"/>
    <w:rsid w:val="00BF5607"/>
    <w:rsid w:val="00BF56A2"/>
    <w:rsid w:val="00BF5D0A"/>
    <w:rsid w:val="00BF685D"/>
    <w:rsid w:val="00BF68CD"/>
    <w:rsid w:val="00BF6AD1"/>
    <w:rsid w:val="00BF6BC3"/>
    <w:rsid w:val="00BF793F"/>
    <w:rsid w:val="00C00197"/>
    <w:rsid w:val="00C02673"/>
    <w:rsid w:val="00C038BC"/>
    <w:rsid w:val="00C042F0"/>
    <w:rsid w:val="00C04432"/>
    <w:rsid w:val="00C05091"/>
    <w:rsid w:val="00C051DF"/>
    <w:rsid w:val="00C05CC0"/>
    <w:rsid w:val="00C05F8D"/>
    <w:rsid w:val="00C0670A"/>
    <w:rsid w:val="00C06A80"/>
    <w:rsid w:val="00C06E68"/>
    <w:rsid w:val="00C072D4"/>
    <w:rsid w:val="00C077A6"/>
    <w:rsid w:val="00C07D59"/>
    <w:rsid w:val="00C1069E"/>
    <w:rsid w:val="00C10A5B"/>
    <w:rsid w:val="00C10E5E"/>
    <w:rsid w:val="00C1380A"/>
    <w:rsid w:val="00C14329"/>
    <w:rsid w:val="00C1459D"/>
    <w:rsid w:val="00C145D3"/>
    <w:rsid w:val="00C14C7D"/>
    <w:rsid w:val="00C14D7E"/>
    <w:rsid w:val="00C158A5"/>
    <w:rsid w:val="00C15C10"/>
    <w:rsid w:val="00C16728"/>
    <w:rsid w:val="00C16DC6"/>
    <w:rsid w:val="00C17639"/>
    <w:rsid w:val="00C1775D"/>
    <w:rsid w:val="00C17A96"/>
    <w:rsid w:val="00C17AF1"/>
    <w:rsid w:val="00C204F3"/>
    <w:rsid w:val="00C20649"/>
    <w:rsid w:val="00C207CA"/>
    <w:rsid w:val="00C20F1D"/>
    <w:rsid w:val="00C21216"/>
    <w:rsid w:val="00C2121E"/>
    <w:rsid w:val="00C213BC"/>
    <w:rsid w:val="00C21661"/>
    <w:rsid w:val="00C21735"/>
    <w:rsid w:val="00C2199C"/>
    <w:rsid w:val="00C21B6C"/>
    <w:rsid w:val="00C21F33"/>
    <w:rsid w:val="00C21F97"/>
    <w:rsid w:val="00C22A17"/>
    <w:rsid w:val="00C2317A"/>
    <w:rsid w:val="00C24750"/>
    <w:rsid w:val="00C24A6A"/>
    <w:rsid w:val="00C24C90"/>
    <w:rsid w:val="00C2544C"/>
    <w:rsid w:val="00C26A7A"/>
    <w:rsid w:val="00C273CF"/>
    <w:rsid w:val="00C27A9F"/>
    <w:rsid w:val="00C27D78"/>
    <w:rsid w:val="00C27FF3"/>
    <w:rsid w:val="00C305A6"/>
    <w:rsid w:val="00C30A68"/>
    <w:rsid w:val="00C30BEC"/>
    <w:rsid w:val="00C3117A"/>
    <w:rsid w:val="00C32E7F"/>
    <w:rsid w:val="00C3388C"/>
    <w:rsid w:val="00C33B30"/>
    <w:rsid w:val="00C33C11"/>
    <w:rsid w:val="00C33D0A"/>
    <w:rsid w:val="00C3487E"/>
    <w:rsid w:val="00C34A89"/>
    <w:rsid w:val="00C34DE8"/>
    <w:rsid w:val="00C3539E"/>
    <w:rsid w:val="00C35514"/>
    <w:rsid w:val="00C35CB5"/>
    <w:rsid w:val="00C36132"/>
    <w:rsid w:val="00C3718F"/>
    <w:rsid w:val="00C37191"/>
    <w:rsid w:val="00C37710"/>
    <w:rsid w:val="00C37ABD"/>
    <w:rsid w:val="00C37F3B"/>
    <w:rsid w:val="00C41818"/>
    <w:rsid w:val="00C41BF9"/>
    <w:rsid w:val="00C41C7C"/>
    <w:rsid w:val="00C41DD1"/>
    <w:rsid w:val="00C4202F"/>
    <w:rsid w:val="00C422EC"/>
    <w:rsid w:val="00C424D9"/>
    <w:rsid w:val="00C42C99"/>
    <w:rsid w:val="00C42EF0"/>
    <w:rsid w:val="00C43236"/>
    <w:rsid w:val="00C43704"/>
    <w:rsid w:val="00C456F7"/>
    <w:rsid w:val="00C457DE"/>
    <w:rsid w:val="00C45BAE"/>
    <w:rsid w:val="00C45DF3"/>
    <w:rsid w:val="00C463B9"/>
    <w:rsid w:val="00C46603"/>
    <w:rsid w:val="00C46756"/>
    <w:rsid w:val="00C46B08"/>
    <w:rsid w:val="00C4716E"/>
    <w:rsid w:val="00C47610"/>
    <w:rsid w:val="00C47AE7"/>
    <w:rsid w:val="00C51E72"/>
    <w:rsid w:val="00C51ECC"/>
    <w:rsid w:val="00C52250"/>
    <w:rsid w:val="00C531BE"/>
    <w:rsid w:val="00C532F4"/>
    <w:rsid w:val="00C532F6"/>
    <w:rsid w:val="00C53583"/>
    <w:rsid w:val="00C55092"/>
    <w:rsid w:val="00C554D6"/>
    <w:rsid w:val="00C555BB"/>
    <w:rsid w:val="00C5563E"/>
    <w:rsid w:val="00C55A8C"/>
    <w:rsid w:val="00C55D31"/>
    <w:rsid w:val="00C5614B"/>
    <w:rsid w:val="00C568A6"/>
    <w:rsid w:val="00C57339"/>
    <w:rsid w:val="00C57A4E"/>
    <w:rsid w:val="00C57BCC"/>
    <w:rsid w:val="00C60F4B"/>
    <w:rsid w:val="00C60FAF"/>
    <w:rsid w:val="00C615CF"/>
    <w:rsid w:val="00C62288"/>
    <w:rsid w:val="00C624E8"/>
    <w:rsid w:val="00C62EA3"/>
    <w:rsid w:val="00C635AE"/>
    <w:rsid w:val="00C6429D"/>
    <w:rsid w:val="00C65205"/>
    <w:rsid w:val="00C65BF9"/>
    <w:rsid w:val="00C65D15"/>
    <w:rsid w:val="00C65D8F"/>
    <w:rsid w:val="00C66133"/>
    <w:rsid w:val="00C661A3"/>
    <w:rsid w:val="00C66E7E"/>
    <w:rsid w:val="00C67178"/>
    <w:rsid w:val="00C676F8"/>
    <w:rsid w:val="00C7007F"/>
    <w:rsid w:val="00C712B6"/>
    <w:rsid w:val="00C719F9"/>
    <w:rsid w:val="00C71ABB"/>
    <w:rsid w:val="00C71C8B"/>
    <w:rsid w:val="00C71F2F"/>
    <w:rsid w:val="00C71FA2"/>
    <w:rsid w:val="00C71FBA"/>
    <w:rsid w:val="00C72398"/>
    <w:rsid w:val="00C728EA"/>
    <w:rsid w:val="00C72D23"/>
    <w:rsid w:val="00C73572"/>
    <w:rsid w:val="00C73710"/>
    <w:rsid w:val="00C73C38"/>
    <w:rsid w:val="00C73E73"/>
    <w:rsid w:val="00C73FDF"/>
    <w:rsid w:val="00C74020"/>
    <w:rsid w:val="00C743F2"/>
    <w:rsid w:val="00C75B20"/>
    <w:rsid w:val="00C75B40"/>
    <w:rsid w:val="00C760A4"/>
    <w:rsid w:val="00C76495"/>
    <w:rsid w:val="00C76B7D"/>
    <w:rsid w:val="00C76ECD"/>
    <w:rsid w:val="00C77C74"/>
    <w:rsid w:val="00C8006E"/>
    <w:rsid w:val="00C80093"/>
    <w:rsid w:val="00C805A7"/>
    <w:rsid w:val="00C808DA"/>
    <w:rsid w:val="00C81FC5"/>
    <w:rsid w:val="00C82195"/>
    <w:rsid w:val="00C82653"/>
    <w:rsid w:val="00C826F7"/>
    <w:rsid w:val="00C828ED"/>
    <w:rsid w:val="00C83229"/>
    <w:rsid w:val="00C84740"/>
    <w:rsid w:val="00C84D9E"/>
    <w:rsid w:val="00C84F68"/>
    <w:rsid w:val="00C857FD"/>
    <w:rsid w:val="00C86388"/>
    <w:rsid w:val="00C86A50"/>
    <w:rsid w:val="00C86E9C"/>
    <w:rsid w:val="00C872B9"/>
    <w:rsid w:val="00C87441"/>
    <w:rsid w:val="00C8768D"/>
    <w:rsid w:val="00C87D2D"/>
    <w:rsid w:val="00C903FF"/>
    <w:rsid w:val="00C90639"/>
    <w:rsid w:val="00C90AF4"/>
    <w:rsid w:val="00C90ED9"/>
    <w:rsid w:val="00C91097"/>
    <w:rsid w:val="00C93251"/>
    <w:rsid w:val="00C93552"/>
    <w:rsid w:val="00C93588"/>
    <w:rsid w:val="00C942C3"/>
    <w:rsid w:val="00C94ED7"/>
    <w:rsid w:val="00C95E6C"/>
    <w:rsid w:val="00C963B8"/>
    <w:rsid w:val="00C963D5"/>
    <w:rsid w:val="00C96651"/>
    <w:rsid w:val="00C96750"/>
    <w:rsid w:val="00C96FD4"/>
    <w:rsid w:val="00C9727F"/>
    <w:rsid w:val="00C97286"/>
    <w:rsid w:val="00C97B19"/>
    <w:rsid w:val="00C97CA6"/>
    <w:rsid w:val="00CA037E"/>
    <w:rsid w:val="00CA0645"/>
    <w:rsid w:val="00CA06EE"/>
    <w:rsid w:val="00CA15D0"/>
    <w:rsid w:val="00CA1A3A"/>
    <w:rsid w:val="00CA1B81"/>
    <w:rsid w:val="00CA1D3D"/>
    <w:rsid w:val="00CA2E92"/>
    <w:rsid w:val="00CA2EF1"/>
    <w:rsid w:val="00CA33B6"/>
    <w:rsid w:val="00CA3586"/>
    <w:rsid w:val="00CA3CE7"/>
    <w:rsid w:val="00CA45C5"/>
    <w:rsid w:val="00CA4A0E"/>
    <w:rsid w:val="00CA4BEA"/>
    <w:rsid w:val="00CA5724"/>
    <w:rsid w:val="00CA5BF9"/>
    <w:rsid w:val="00CA6017"/>
    <w:rsid w:val="00CA6D97"/>
    <w:rsid w:val="00CA7070"/>
    <w:rsid w:val="00CA716D"/>
    <w:rsid w:val="00CA7306"/>
    <w:rsid w:val="00CA7592"/>
    <w:rsid w:val="00CB0481"/>
    <w:rsid w:val="00CB0982"/>
    <w:rsid w:val="00CB0BC6"/>
    <w:rsid w:val="00CB0C1A"/>
    <w:rsid w:val="00CB12EB"/>
    <w:rsid w:val="00CB17CD"/>
    <w:rsid w:val="00CB1C44"/>
    <w:rsid w:val="00CB23DB"/>
    <w:rsid w:val="00CB2840"/>
    <w:rsid w:val="00CB2924"/>
    <w:rsid w:val="00CB31CD"/>
    <w:rsid w:val="00CB33ED"/>
    <w:rsid w:val="00CB37BD"/>
    <w:rsid w:val="00CB39C6"/>
    <w:rsid w:val="00CB3A44"/>
    <w:rsid w:val="00CB4546"/>
    <w:rsid w:val="00CB47F4"/>
    <w:rsid w:val="00CB5806"/>
    <w:rsid w:val="00CB6D53"/>
    <w:rsid w:val="00CB6D58"/>
    <w:rsid w:val="00CB7434"/>
    <w:rsid w:val="00CB796B"/>
    <w:rsid w:val="00CC022F"/>
    <w:rsid w:val="00CC031F"/>
    <w:rsid w:val="00CC0C2A"/>
    <w:rsid w:val="00CC0CC1"/>
    <w:rsid w:val="00CC0D94"/>
    <w:rsid w:val="00CC1082"/>
    <w:rsid w:val="00CC13C3"/>
    <w:rsid w:val="00CC1775"/>
    <w:rsid w:val="00CC26D1"/>
    <w:rsid w:val="00CC29C8"/>
    <w:rsid w:val="00CC2ED4"/>
    <w:rsid w:val="00CC2F5B"/>
    <w:rsid w:val="00CC3196"/>
    <w:rsid w:val="00CC35AD"/>
    <w:rsid w:val="00CC3EDC"/>
    <w:rsid w:val="00CC40EB"/>
    <w:rsid w:val="00CC45FF"/>
    <w:rsid w:val="00CC481A"/>
    <w:rsid w:val="00CC583C"/>
    <w:rsid w:val="00CC65CF"/>
    <w:rsid w:val="00CC7533"/>
    <w:rsid w:val="00CC7D27"/>
    <w:rsid w:val="00CD01F1"/>
    <w:rsid w:val="00CD08A7"/>
    <w:rsid w:val="00CD0AA8"/>
    <w:rsid w:val="00CD1153"/>
    <w:rsid w:val="00CD1982"/>
    <w:rsid w:val="00CD41AD"/>
    <w:rsid w:val="00CD49D1"/>
    <w:rsid w:val="00CD5123"/>
    <w:rsid w:val="00CD5153"/>
    <w:rsid w:val="00CD585A"/>
    <w:rsid w:val="00CD61C1"/>
    <w:rsid w:val="00CD69CE"/>
    <w:rsid w:val="00CD72AD"/>
    <w:rsid w:val="00CD78AC"/>
    <w:rsid w:val="00CE02AA"/>
    <w:rsid w:val="00CE0BB4"/>
    <w:rsid w:val="00CE0DC2"/>
    <w:rsid w:val="00CE11A5"/>
    <w:rsid w:val="00CE138E"/>
    <w:rsid w:val="00CE1408"/>
    <w:rsid w:val="00CE1AEE"/>
    <w:rsid w:val="00CE1F71"/>
    <w:rsid w:val="00CE28CB"/>
    <w:rsid w:val="00CE2DD2"/>
    <w:rsid w:val="00CE34A3"/>
    <w:rsid w:val="00CE41DE"/>
    <w:rsid w:val="00CE47A0"/>
    <w:rsid w:val="00CE48BD"/>
    <w:rsid w:val="00CE4C22"/>
    <w:rsid w:val="00CE4FDB"/>
    <w:rsid w:val="00CE562D"/>
    <w:rsid w:val="00CE5E3F"/>
    <w:rsid w:val="00CE6136"/>
    <w:rsid w:val="00CE6459"/>
    <w:rsid w:val="00CE7648"/>
    <w:rsid w:val="00CF0A0A"/>
    <w:rsid w:val="00CF0C48"/>
    <w:rsid w:val="00CF1760"/>
    <w:rsid w:val="00CF36EB"/>
    <w:rsid w:val="00CF41B5"/>
    <w:rsid w:val="00CF5E05"/>
    <w:rsid w:val="00CF61EE"/>
    <w:rsid w:val="00CF6360"/>
    <w:rsid w:val="00CF65CB"/>
    <w:rsid w:val="00CF6694"/>
    <w:rsid w:val="00CF6D61"/>
    <w:rsid w:val="00CF6E04"/>
    <w:rsid w:val="00D000DF"/>
    <w:rsid w:val="00D004C8"/>
    <w:rsid w:val="00D006C6"/>
    <w:rsid w:val="00D00F4C"/>
    <w:rsid w:val="00D01454"/>
    <w:rsid w:val="00D01747"/>
    <w:rsid w:val="00D01A65"/>
    <w:rsid w:val="00D01FAA"/>
    <w:rsid w:val="00D02725"/>
    <w:rsid w:val="00D02ED7"/>
    <w:rsid w:val="00D03D6E"/>
    <w:rsid w:val="00D03DC4"/>
    <w:rsid w:val="00D045E9"/>
    <w:rsid w:val="00D049AB"/>
    <w:rsid w:val="00D049EA"/>
    <w:rsid w:val="00D04CC9"/>
    <w:rsid w:val="00D04E93"/>
    <w:rsid w:val="00D04F8F"/>
    <w:rsid w:val="00D05638"/>
    <w:rsid w:val="00D056CE"/>
    <w:rsid w:val="00D05A36"/>
    <w:rsid w:val="00D05AE5"/>
    <w:rsid w:val="00D05CEA"/>
    <w:rsid w:val="00D05DFA"/>
    <w:rsid w:val="00D06C70"/>
    <w:rsid w:val="00D0731F"/>
    <w:rsid w:val="00D07477"/>
    <w:rsid w:val="00D07F5E"/>
    <w:rsid w:val="00D10372"/>
    <w:rsid w:val="00D11566"/>
    <w:rsid w:val="00D118C5"/>
    <w:rsid w:val="00D1190E"/>
    <w:rsid w:val="00D123CE"/>
    <w:rsid w:val="00D12BE0"/>
    <w:rsid w:val="00D130E9"/>
    <w:rsid w:val="00D137F9"/>
    <w:rsid w:val="00D1389A"/>
    <w:rsid w:val="00D13AED"/>
    <w:rsid w:val="00D13D0C"/>
    <w:rsid w:val="00D13F71"/>
    <w:rsid w:val="00D1575D"/>
    <w:rsid w:val="00D16172"/>
    <w:rsid w:val="00D16766"/>
    <w:rsid w:val="00D17511"/>
    <w:rsid w:val="00D17A0A"/>
    <w:rsid w:val="00D20BB2"/>
    <w:rsid w:val="00D20DAA"/>
    <w:rsid w:val="00D2101D"/>
    <w:rsid w:val="00D21511"/>
    <w:rsid w:val="00D21B2C"/>
    <w:rsid w:val="00D21C87"/>
    <w:rsid w:val="00D2246D"/>
    <w:rsid w:val="00D224FD"/>
    <w:rsid w:val="00D22673"/>
    <w:rsid w:val="00D22B3A"/>
    <w:rsid w:val="00D22F2F"/>
    <w:rsid w:val="00D233BC"/>
    <w:rsid w:val="00D2343C"/>
    <w:rsid w:val="00D23647"/>
    <w:rsid w:val="00D23AC0"/>
    <w:rsid w:val="00D23AEF"/>
    <w:rsid w:val="00D25170"/>
    <w:rsid w:val="00D25303"/>
    <w:rsid w:val="00D256A3"/>
    <w:rsid w:val="00D256FC"/>
    <w:rsid w:val="00D257E1"/>
    <w:rsid w:val="00D26C72"/>
    <w:rsid w:val="00D307DF"/>
    <w:rsid w:val="00D309F5"/>
    <w:rsid w:val="00D3100D"/>
    <w:rsid w:val="00D312AC"/>
    <w:rsid w:val="00D313BE"/>
    <w:rsid w:val="00D31C91"/>
    <w:rsid w:val="00D32240"/>
    <w:rsid w:val="00D32497"/>
    <w:rsid w:val="00D325E7"/>
    <w:rsid w:val="00D3260E"/>
    <w:rsid w:val="00D3332A"/>
    <w:rsid w:val="00D33B31"/>
    <w:rsid w:val="00D33DC5"/>
    <w:rsid w:val="00D34866"/>
    <w:rsid w:val="00D353DC"/>
    <w:rsid w:val="00D35464"/>
    <w:rsid w:val="00D36D8C"/>
    <w:rsid w:val="00D37427"/>
    <w:rsid w:val="00D40B8D"/>
    <w:rsid w:val="00D41775"/>
    <w:rsid w:val="00D42E93"/>
    <w:rsid w:val="00D43503"/>
    <w:rsid w:val="00D43BEE"/>
    <w:rsid w:val="00D43CE5"/>
    <w:rsid w:val="00D4401E"/>
    <w:rsid w:val="00D44083"/>
    <w:rsid w:val="00D44644"/>
    <w:rsid w:val="00D44AF6"/>
    <w:rsid w:val="00D44D80"/>
    <w:rsid w:val="00D451A9"/>
    <w:rsid w:val="00D45452"/>
    <w:rsid w:val="00D46629"/>
    <w:rsid w:val="00D467A6"/>
    <w:rsid w:val="00D469A6"/>
    <w:rsid w:val="00D46C46"/>
    <w:rsid w:val="00D47095"/>
    <w:rsid w:val="00D50A22"/>
    <w:rsid w:val="00D5176A"/>
    <w:rsid w:val="00D517E9"/>
    <w:rsid w:val="00D51969"/>
    <w:rsid w:val="00D52706"/>
    <w:rsid w:val="00D531DE"/>
    <w:rsid w:val="00D5348F"/>
    <w:rsid w:val="00D535A1"/>
    <w:rsid w:val="00D539EF"/>
    <w:rsid w:val="00D53A03"/>
    <w:rsid w:val="00D54268"/>
    <w:rsid w:val="00D544EB"/>
    <w:rsid w:val="00D5512F"/>
    <w:rsid w:val="00D551FF"/>
    <w:rsid w:val="00D55616"/>
    <w:rsid w:val="00D56A6E"/>
    <w:rsid w:val="00D57274"/>
    <w:rsid w:val="00D5737F"/>
    <w:rsid w:val="00D575F5"/>
    <w:rsid w:val="00D57EEC"/>
    <w:rsid w:val="00D60737"/>
    <w:rsid w:val="00D61BDA"/>
    <w:rsid w:val="00D61E4A"/>
    <w:rsid w:val="00D61FEE"/>
    <w:rsid w:val="00D63259"/>
    <w:rsid w:val="00D644FD"/>
    <w:rsid w:val="00D6551E"/>
    <w:rsid w:val="00D65D00"/>
    <w:rsid w:val="00D6627C"/>
    <w:rsid w:val="00D664B3"/>
    <w:rsid w:val="00D66E32"/>
    <w:rsid w:val="00D67B3D"/>
    <w:rsid w:val="00D70589"/>
    <w:rsid w:val="00D7081B"/>
    <w:rsid w:val="00D709BC"/>
    <w:rsid w:val="00D70CC9"/>
    <w:rsid w:val="00D71560"/>
    <w:rsid w:val="00D7164E"/>
    <w:rsid w:val="00D71B08"/>
    <w:rsid w:val="00D71BBB"/>
    <w:rsid w:val="00D72198"/>
    <w:rsid w:val="00D722DA"/>
    <w:rsid w:val="00D72501"/>
    <w:rsid w:val="00D7254E"/>
    <w:rsid w:val="00D7265B"/>
    <w:rsid w:val="00D73849"/>
    <w:rsid w:val="00D73CC9"/>
    <w:rsid w:val="00D75036"/>
    <w:rsid w:val="00D75570"/>
    <w:rsid w:val="00D75952"/>
    <w:rsid w:val="00D76522"/>
    <w:rsid w:val="00D76F0D"/>
    <w:rsid w:val="00D779FE"/>
    <w:rsid w:val="00D800B1"/>
    <w:rsid w:val="00D82144"/>
    <w:rsid w:val="00D821F6"/>
    <w:rsid w:val="00D826CA"/>
    <w:rsid w:val="00D8280D"/>
    <w:rsid w:val="00D82840"/>
    <w:rsid w:val="00D82EBA"/>
    <w:rsid w:val="00D840C7"/>
    <w:rsid w:val="00D84AE1"/>
    <w:rsid w:val="00D853B3"/>
    <w:rsid w:val="00D86000"/>
    <w:rsid w:val="00D86E72"/>
    <w:rsid w:val="00D8743A"/>
    <w:rsid w:val="00D87B69"/>
    <w:rsid w:val="00D87BBF"/>
    <w:rsid w:val="00D87C86"/>
    <w:rsid w:val="00D90503"/>
    <w:rsid w:val="00D90D3D"/>
    <w:rsid w:val="00D90E85"/>
    <w:rsid w:val="00D90EF4"/>
    <w:rsid w:val="00D9246A"/>
    <w:rsid w:val="00D93FD4"/>
    <w:rsid w:val="00D94917"/>
    <w:rsid w:val="00D94C5A"/>
    <w:rsid w:val="00D95125"/>
    <w:rsid w:val="00D95A3E"/>
    <w:rsid w:val="00D96C94"/>
    <w:rsid w:val="00D9745D"/>
    <w:rsid w:val="00D97741"/>
    <w:rsid w:val="00D97AE6"/>
    <w:rsid w:val="00D97CF6"/>
    <w:rsid w:val="00D97D27"/>
    <w:rsid w:val="00D97DBB"/>
    <w:rsid w:val="00D97F36"/>
    <w:rsid w:val="00DA01FB"/>
    <w:rsid w:val="00DA021F"/>
    <w:rsid w:val="00DA041F"/>
    <w:rsid w:val="00DA0454"/>
    <w:rsid w:val="00DA07A9"/>
    <w:rsid w:val="00DA0ADA"/>
    <w:rsid w:val="00DA130D"/>
    <w:rsid w:val="00DA17E2"/>
    <w:rsid w:val="00DA27A5"/>
    <w:rsid w:val="00DA28D9"/>
    <w:rsid w:val="00DA2B90"/>
    <w:rsid w:val="00DA2DE8"/>
    <w:rsid w:val="00DA3657"/>
    <w:rsid w:val="00DA3978"/>
    <w:rsid w:val="00DA3BB0"/>
    <w:rsid w:val="00DA3D6D"/>
    <w:rsid w:val="00DA4018"/>
    <w:rsid w:val="00DA4164"/>
    <w:rsid w:val="00DA49AF"/>
    <w:rsid w:val="00DA4ACB"/>
    <w:rsid w:val="00DA5FC7"/>
    <w:rsid w:val="00DA6006"/>
    <w:rsid w:val="00DA61FE"/>
    <w:rsid w:val="00DA64D6"/>
    <w:rsid w:val="00DA6768"/>
    <w:rsid w:val="00DA69CA"/>
    <w:rsid w:val="00DA70E1"/>
    <w:rsid w:val="00DA711C"/>
    <w:rsid w:val="00DA7941"/>
    <w:rsid w:val="00DA7B5E"/>
    <w:rsid w:val="00DB054B"/>
    <w:rsid w:val="00DB0B5C"/>
    <w:rsid w:val="00DB1339"/>
    <w:rsid w:val="00DB253A"/>
    <w:rsid w:val="00DB2EBA"/>
    <w:rsid w:val="00DB33EC"/>
    <w:rsid w:val="00DB367E"/>
    <w:rsid w:val="00DB3AF4"/>
    <w:rsid w:val="00DB4301"/>
    <w:rsid w:val="00DB53EC"/>
    <w:rsid w:val="00DB6A14"/>
    <w:rsid w:val="00DB755B"/>
    <w:rsid w:val="00DB77D8"/>
    <w:rsid w:val="00DB7D8C"/>
    <w:rsid w:val="00DC05F2"/>
    <w:rsid w:val="00DC06F8"/>
    <w:rsid w:val="00DC1408"/>
    <w:rsid w:val="00DC146A"/>
    <w:rsid w:val="00DC1988"/>
    <w:rsid w:val="00DC1F68"/>
    <w:rsid w:val="00DC20FA"/>
    <w:rsid w:val="00DC2C4F"/>
    <w:rsid w:val="00DC3A6C"/>
    <w:rsid w:val="00DC41CE"/>
    <w:rsid w:val="00DC4447"/>
    <w:rsid w:val="00DC5B46"/>
    <w:rsid w:val="00DC6016"/>
    <w:rsid w:val="00DC6293"/>
    <w:rsid w:val="00DC63D6"/>
    <w:rsid w:val="00DC6406"/>
    <w:rsid w:val="00DC67B1"/>
    <w:rsid w:val="00DC6A1E"/>
    <w:rsid w:val="00DC71FB"/>
    <w:rsid w:val="00DC7BD9"/>
    <w:rsid w:val="00DD00E6"/>
    <w:rsid w:val="00DD04A0"/>
    <w:rsid w:val="00DD0E0F"/>
    <w:rsid w:val="00DD0EA3"/>
    <w:rsid w:val="00DD0F92"/>
    <w:rsid w:val="00DD12C3"/>
    <w:rsid w:val="00DD2801"/>
    <w:rsid w:val="00DD3966"/>
    <w:rsid w:val="00DD3AA6"/>
    <w:rsid w:val="00DD4185"/>
    <w:rsid w:val="00DD42AC"/>
    <w:rsid w:val="00DD4462"/>
    <w:rsid w:val="00DD4E4E"/>
    <w:rsid w:val="00DD5024"/>
    <w:rsid w:val="00DD5448"/>
    <w:rsid w:val="00DD6409"/>
    <w:rsid w:val="00DD64D4"/>
    <w:rsid w:val="00DD64E4"/>
    <w:rsid w:val="00DD6632"/>
    <w:rsid w:val="00DD6DC5"/>
    <w:rsid w:val="00DD6F39"/>
    <w:rsid w:val="00DD7095"/>
    <w:rsid w:val="00DE00CB"/>
    <w:rsid w:val="00DE0724"/>
    <w:rsid w:val="00DE1224"/>
    <w:rsid w:val="00DE16EA"/>
    <w:rsid w:val="00DE17E2"/>
    <w:rsid w:val="00DE2671"/>
    <w:rsid w:val="00DE274E"/>
    <w:rsid w:val="00DE2A1E"/>
    <w:rsid w:val="00DE2C76"/>
    <w:rsid w:val="00DE33A0"/>
    <w:rsid w:val="00DE37EB"/>
    <w:rsid w:val="00DE4B30"/>
    <w:rsid w:val="00DE4B38"/>
    <w:rsid w:val="00DE4BD5"/>
    <w:rsid w:val="00DE4C52"/>
    <w:rsid w:val="00DE4F0B"/>
    <w:rsid w:val="00DE5184"/>
    <w:rsid w:val="00DE5663"/>
    <w:rsid w:val="00DE6B06"/>
    <w:rsid w:val="00DE6EDA"/>
    <w:rsid w:val="00DE7AED"/>
    <w:rsid w:val="00DE7E35"/>
    <w:rsid w:val="00DF02A1"/>
    <w:rsid w:val="00DF0D1E"/>
    <w:rsid w:val="00DF11AE"/>
    <w:rsid w:val="00DF135E"/>
    <w:rsid w:val="00DF1748"/>
    <w:rsid w:val="00DF19BF"/>
    <w:rsid w:val="00DF2BA4"/>
    <w:rsid w:val="00DF30AD"/>
    <w:rsid w:val="00DF3454"/>
    <w:rsid w:val="00DF3A24"/>
    <w:rsid w:val="00DF477A"/>
    <w:rsid w:val="00DF4C0A"/>
    <w:rsid w:val="00DF58DC"/>
    <w:rsid w:val="00DF59E1"/>
    <w:rsid w:val="00DF5ADB"/>
    <w:rsid w:val="00DF5EEF"/>
    <w:rsid w:val="00DF5F58"/>
    <w:rsid w:val="00DF6AEF"/>
    <w:rsid w:val="00DF6FF8"/>
    <w:rsid w:val="00DF710A"/>
    <w:rsid w:val="00DF79D2"/>
    <w:rsid w:val="00E00CE5"/>
    <w:rsid w:val="00E01881"/>
    <w:rsid w:val="00E01AE2"/>
    <w:rsid w:val="00E02A3C"/>
    <w:rsid w:val="00E02ED2"/>
    <w:rsid w:val="00E03379"/>
    <w:rsid w:val="00E037FD"/>
    <w:rsid w:val="00E0455C"/>
    <w:rsid w:val="00E04D10"/>
    <w:rsid w:val="00E06FC8"/>
    <w:rsid w:val="00E07741"/>
    <w:rsid w:val="00E07788"/>
    <w:rsid w:val="00E07826"/>
    <w:rsid w:val="00E07E68"/>
    <w:rsid w:val="00E10952"/>
    <w:rsid w:val="00E1183F"/>
    <w:rsid w:val="00E11E85"/>
    <w:rsid w:val="00E1268C"/>
    <w:rsid w:val="00E12832"/>
    <w:rsid w:val="00E1308C"/>
    <w:rsid w:val="00E131EF"/>
    <w:rsid w:val="00E1353A"/>
    <w:rsid w:val="00E136E0"/>
    <w:rsid w:val="00E13774"/>
    <w:rsid w:val="00E1388A"/>
    <w:rsid w:val="00E13FBA"/>
    <w:rsid w:val="00E1420A"/>
    <w:rsid w:val="00E142AF"/>
    <w:rsid w:val="00E14549"/>
    <w:rsid w:val="00E1458F"/>
    <w:rsid w:val="00E14836"/>
    <w:rsid w:val="00E14C4B"/>
    <w:rsid w:val="00E14E7A"/>
    <w:rsid w:val="00E15629"/>
    <w:rsid w:val="00E16A0F"/>
    <w:rsid w:val="00E20D17"/>
    <w:rsid w:val="00E218F8"/>
    <w:rsid w:val="00E21AD2"/>
    <w:rsid w:val="00E21D24"/>
    <w:rsid w:val="00E21ED3"/>
    <w:rsid w:val="00E22640"/>
    <w:rsid w:val="00E226D8"/>
    <w:rsid w:val="00E22BB4"/>
    <w:rsid w:val="00E23560"/>
    <w:rsid w:val="00E240BF"/>
    <w:rsid w:val="00E24663"/>
    <w:rsid w:val="00E24D01"/>
    <w:rsid w:val="00E26361"/>
    <w:rsid w:val="00E26AD9"/>
    <w:rsid w:val="00E271BC"/>
    <w:rsid w:val="00E30030"/>
    <w:rsid w:val="00E30DC7"/>
    <w:rsid w:val="00E313D3"/>
    <w:rsid w:val="00E31422"/>
    <w:rsid w:val="00E314AB"/>
    <w:rsid w:val="00E315C1"/>
    <w:rsid w:val="00E31C68"/>
    <w:rsid w:val="00E31F3F"/>
    <w:rsid w:val="00E32018"/>
    <w:rsid w:val="00E32050"/>
    <w:rsid w:val="00E32651"/>
    <w:rsid w:val="00E32EA5"/>
    <w:rsid w:val="00E33E54"/>
    <w:rsid w:val="00E342C0"/>
    <w:rsid w:val="00E3513F"/>
    <w:rsid w:val="00E352CC"/>
    <w:rsid w:val="00E35347"/>
    <w:rsid w:val="00E3553E"/>
    <w:rsid w:val="00E355E4"/>
    <w:rsid w:val="00E3645E"/>
    <w:rsid w:val="00E3681A"/>
    <w:rsid w:val="00E36FDC"/>
    <w:rsid w:val="00E3775C"/>
    <w:rsid w:val="00E37C21"/>
    <w:rsid w:val="00E37CD7"/>
    <w:rsid w:val="00E40CB7"/>
    <w:rsid w:val="00E411E4"/>
    <w:rsid w:val="00E41ED2"/>
    <w:rsid w:val="00E41F6B"/>
    <w:rsid w:val="00E425BA"/>
    <w:rsid w:val="00E437C1"/>
    <w:rsid w:val="00E43E7C"/>
    <w:rsid w:val="00E44137"/>
    <w:rsid w:val="00E4415D"/>
    <w:rsid w:val="00E4429E"/>
    <w:rsid w:val="00E449F8"/>
    <w:rsid w:val="00E44D49"/>
    <w:rsid w:val="00E4566E"/>
    <w:rsid w:val="00E46AEE"/>
    <w:rsid w:val="00E46B55"/>
    <w:rsid w:val="00E4729E"/>
    <w:rsid w:val="00E473CB"/>
    <w:rsid w:val="00E475E2"/>
    <w:rsid w:val="00E47AC4"/>
    <w:rsid w:val="00E47EC0"/>
    <w:rsid w:val="00E50603"/>
    <w:rsid w:val="00E5127A"/>
    <w:rsid w:val="00E5175C"/>
    <w:rsid w:val="00E51E61"/>
    <w:rsid w:val="00E52BE1"/>
    <w:rsid w:val="00E54C12"/>
    <w:rsid w:val="00E55503"/>
    <w:rsid w:val="00E55591"/>
    <w:rsid w:val="00E56027"/>
    <w:rsid w:val="00E56058"/>
    <w:rsid w:val="00E56071"/>
    <w:rsid w:val="00E561F8"/>
    <w:rsid w:val="00E56292"/>
    <w:rsid w:val="00E56446"/>
    <w:rsid w:val="00E56CBD"/>
    <w:rsid w:val="00E5727B"/>
    <w:rsid w:val="00E57657"/>
    <w:rsid w:val="00E57833"/>
    <w:rsid w:val="00E57C75"/>
    <w:rsid w:val="00E60ECE"/>
    <w:rsid w:val="00E62906"/>
    <w:rsid w:val="00E63049"/>
    <w:rsid w:val="00E63081"/>
    <w:rsid w:val="00E630CE"/>
    <w:rsid w:val="00E63A92"/>
    <w:rsid w:val="00E64D0B"/>
    <w:rsid w:val="00E65F6B"/>
    <w:rsid w:val="00E674D6"/>
    <w:rsid w:val="00E676E5"/>
    <w:rsid w:val="00E67996"/>
    <w:rsid w:val="00E70D8F"/>
    <w:rsid w:val="00E71615"/>
    <w:rsid w:val="00E71B31"/>
    <w:rsid w:val="00E72248"/>
    <w:rsid w:val="00E7280B"/>
    <w:rsid w:val="00E7288A"/>
    <w:rsid w:val="00E7295C"/>
    <w:rsid w:val="00E72C39"/>
    <w:rsid w:val="00E731C1"/>
    <w:rsid w:val="00E73619"/>
    <w:rsid w:val="00E73813"/>
    <w:rsid w:val="00E7386B"/>
    <w:rsid w:val="00E75AFB"/>
    <w:rsid w:val="00E75B29"/>
    <w:rsid w:val="00E76002"/>
    <w:rsid w:val="00E7705E"/>
    <w:rsid w:val="00E770CA"/>
    <w:rsid w:val="00E77BCC"/>
    <w:rsid w:val="00E77F5A"/>
    <w:rsid w:val="00E80257"/>
    <w:rsid w:val="00E804EF"/>
    <w:rsid w:val="00E80682"/>
    <w:rsid w:val="00E80A1F"/>
    <w:rsid w:val="00E81A05"/>
    <w:rsid w:val="00E8209C"/>
    <w:rsid w:val="00E8220A"/>
    <w:rsid w:val="00E82E56"/>
    <w:rsid w:val="00E8319B"/>
    <w:rsid w:val="00E83453"/>
    <w:rsid w:val="00E835AE"/>
    <w:rsid w:val="00E83731"/>
    <w:rsid w:val="00E83F07"/>
    <w:rsid w:val="00E83FFF"/>
    <w:rsid w:val="00E8407D"/>
    <w:rsid w:val="00E8476F"/>
    <w:rsid w:val="00E84AA3"/>
    <w:rsid w:val="00E853E1"/>
    <w:rsid w:val="00E8589C"/>
    <w:rsid w:val="00E860C9"/>
    <w:rsid w:val="00E86381"/>
    <w:rsid w:val="00E86557"/>
    <w:rsid w:val="00E866A9"/>
    <w:rsid w:val="00E870DA"/>
    <w:rsid w:val="00E9047C"/>
    <w:rsid w:val="00E91889"/>
    <w:rsid w:val="00E91D37"/>
    <w:rsid w:val="00E92969"/>
    <w:rsid w:val="00E92AF4"/>
    <w:rsid w:val="00E92D40"/>
    <w:rsid w:val="00E92E56"/>
    <w:rsid w:val="00E92F46"/>
    <w:rsid w:val="00E9341D"/>
    <w:rsid w:val="00E93A0C"/>
    <w:rsid w:val="00E940A8"/>
    <w:rsid w:val="00E942CA"/>
    <w:rsid w:val="00E95010"/>
    <w:rsid w:val="00E95185"/>
    <w:rsid w:val="00E95CDE"/>
    <w:rsid w:val="00E9702B"/>
    <w:rsid w:val="00E973E7"/>
    <w:rsid w:val="00E976CD"/>
    <w:rsid w:val="00E97758"/>
    <w:rsid w:val="00E97A06"/>
    <w:rsid w:val="00E97DC8"/>
    <w:rsid w:val="00E97FEC"/>
    <w:rsid w:val="00EA0269"/>
    <w:rsid w:val="00EA0E0E"/>
    <w:rsid w:val="00EA120C"/>
    <w:rsid w:val="00EA12EC"/>
    <w:rsid w:val="00EA1901"/>
    <w:rsid w:val="00EA211C"/>
    <w:rsid w:val="00EA2144"/>
    <w:rsid w:val="00EA3838"/>
    <w:rsid w:val="00EA425D"/>
    <w:rsid w:val="00EA4D36"/>
    <w:rsid w:val="00EA5275"/>
    <w:rsid w:val="00EA52F7"/>
    <w:rsid w:val="00EA5559"/>
    <w:rsid w:val="00EA5CC2"/>
    <w:rsid w:val="00EA6D90"/>
    <w:rsid w:val="00EA6E21"/>
    <w:rsid w:val="00EA74FE"/>
    <w:rsid w:val="00EB009F"/>
    <w:rsid w:val="00EB0616"/>
    <w:rsid w:val="00EB11EC"/>
    <w:rsid w:val="00EB16F9"/>
    <w:rsid w:val="00EB3030"/>
    <w:rsid w:val="00EB336C"/>
    <w:rsid w:val="00EB3A73"/>
    <w:rsid w:val="00EB444F"/>
    <w:rsid w:val="00EB4E48"/>
    <w:rsid w:val="00EB4F86"/>
    <w:rsid w:val="00EB5204"/>
    <w:rsid w:val="00EB53C9"/>
    <w:rsid w:val="00EB6C38"/>
    <w:rsid w:val="00EC014C"/>
    <w:rsid w:val="00EC01B0"/>
    <w:rsid w:val="00EC07D2"/>
    <w:rsid w:val="00EC1ED5"/>
    <w:rsid w:val="00EC29FA"/>
    <w:rsid w:val="00EC384F"/>
    <w:rsid w:val="00EC4249"/>
    <w:rsid w:val="00EC540D"/>
    <w:rsid w:val="00EC712D"/>
    <w:rsid w:val="00EC76DA"/>
    <w:rsid w:val="00ED0767"/>
    <w:rsid w:val="00ED0ACA"/>
    <w:rsid w:val="00ED0D5A"/>
    <w:rsid w:val="00ED0E82"/>
    <w:rsid w:val="00ED13F6"/>
    <w:rsid w:val="00ED1BC6"/>
    <w:rsid w:val="00ED208E"/>
    <w:rsid w:val="00ED2217"/>
    <w:rsid w:val="00ED2B69"/>
    <w:rsid w:val="00ED4314"/>
    <w:rsid w:val="00ED4DD7"/>
    <w:rsid w:val="00ED4E27"/>
    <w:rsid w:val="00ED5533"/>
    <w:rsid w:val="00ED561F"/>
    <w:rsid w:val="00ED56A5"/>
    <w:rsid w:val="00ED5E5E"/>
    <w:rsid w:val="00ED5F9C"/>
    <w:rsid w:val="00ED607D"/>
    <w:rsid w:val="00ED74E0"/>
    <w:rsid w:val="00ED76DD"/>
    <w:rsid w:val="00ED7888"/>
    <w:rsid w:val="00EE0347"/>
    <w:rsid w:val="00EE0800"/>
    <w:rsid w:val="00EE159F"/>
    <w:rsid w:val="00EE18F5"/>
    <w:rsid w:val="00EE2376"/>
    <w:rsid w:val="00EE27A9"/>
    <w:rsid w:val="00EE32DF"/>
    <w:rsid w:val="00EE33C8"/>
    <w:rsid w:val="00EE3B2E"/>
    <w:rsid w:val="00EE4597"/>
    <w:rsid w:val="00EE51D1"/>
    <w:rsid w:val="00EE559C"/>
    <w:rsid w:val="00EE6439"/>
    <w:rsid w:val="00EF089B"/>
    <w:rsid w:val="00EF0E04"/>
    <w:rsid w:val="00EF1460"/>
    <w:rsid w:val="00EF1F4A"/>
    <w:rsid w:val="00EF1F84"/>
    <w:rsid w:val="00EF256F"/>
    <w:rsid w:val="00EF287C"/>
    <w:rsid w:val="00EF2C8C"/>
    <w:rsid w:val="00EF2CCC"/>
    <w:rsid w:val="00EF2E45"/>
    <w:rsid w:val="00EF3459"/>
    <w:rsid w:val="00EF3A38"/>
    <w:rsid w:val="00EF4986"/>
    <w:rsid w:val="00EF4C29"/>
    <w:rsid w:val="00EF4CA9"/>
    <w:rsid w:val="00EF4E6C"/>
    <w:rsid w:val="00EF51AD"/>
    <w:rsid w:val="00EF5335"/>
    <w:rsid w:val="00EF53CC"/>
    <w:rsid w:val="00EF540F"/>
    <w:rsid w:val="00EF5565"/>
    <w:rsid w:val="00EF5C78"/>
    <w:rsid w:val="00EF5D12"/>
    <w:rsid w:val="00EF5F5A"/>
    <w:rsid w:val="00EF7E5B"/>
    <w:rsid w:val="00EF7EA6"/>
    <w:rsid w:val="00F0049D"/>
    <w:rsid w:val="00F0106E"/>
    <w:rsid w:val="00F01209"/>
    <w:rsid w:val="00F01471"/>
    <w:rsid w:val="00F01D0E"/>
    <w:rsid w:val="00F01EFD"/>
    <w:rsid w:val="00F027CA"/>
    <w:rsid w:val="00F02ABC"/>
    <w:rsid w:val="00F03597"/>
    <w:rsid w:val="00F03A55"/>
    <w:rsid w:val="00F04FEB"/>
    <w:rsid w:val="00F0565F"/>
    <w:rsid w:val="00F06340"/>
    <w:rsid w:val="00F0636F"/>
    <w:rsid w:val="00F064B0"/>
    <w:rsid w:val="00F06561"/>
    <w:rsid w:val="00F0697C"/>
    <w:rsid w:val="00F06C3E"/>
    <w:rsid w:val="00F107C1"/>
    <w:rsid w:val="00F10AB1"/>
    <w:rsid w:val="00F10AD7"/>
    <w:rsid w:val="00F10F5F"/>
    <w:rsid w:val="00F10FD7"/>
    <w:rsid w:val="00F110A3"/>
    <w:rsid w:val="00F115E8"/>
    <w:rsid w:val="00F11E3B"/>
    <w:rsid w:val="00F12CE1"/>
    <w:rsid w:val="00F1381A"/>
    <w:rsid w:val="00F142CE"/>
    <w:rsid w:val="00F14639"/>
    <w:rsid w:val="00F14796"/>
    <w:rsid w:val="00F14E66"/>
    <w:rsid w:val="00F15311"/>
    <w:rsid w:val="00F15567"/>
    <w:rsid w:val="00F16498"/>
    <w:rsid w:val="00F1749E"/>
    <w:rsid w:val="00F2123D"/>
    <w:rsid w:val="00F21573"/>
    <w:rsid w:val="00F21A71"/>
    <w:rsid w:val="00F225A7"/>
    <w:rsid w:val="00F225DA"/>
    <w:rsid w:val="00F22A69"/>
    <w:rsid w:val="00F23352"/>
    <w:rsid w:val="00F23A71"/>
    <w:rsid w:val="00F24402"/>
    <w:rsid w:val="00F245AA"/>
    <w:rsid w:val="00F24615"/>
    <w:rsid w:val="00F25204"/>
    <w:rsid w:val="00F26169"/>
    <w:rsid w:val="00F26FE9"/>
    <w:rsid w:val="00F2724F"/>
    <w:rsid w:val="00F30E16"/>
    <w:rsid w:val="00F310FD"/>
    <w:rsid w:val="00F312C0"/>
    <w:rsid w:val="00F31502"/>
    <w:rsid w:val="00F31765"/>
    <w:rsid w:val="00F31952"/>
    <w:rsid w:val="00F324F5"/>
    <w:rsid w:val="00F32B7B"/>
    <w:rsid w:val="00F32F6D"/>
    <w:rsid w:val="00F33501"/>
    <w:rsid w:val="00F336D3"/>
    <w:rsid w:val="00F3370D"/>
    <w:rsid w:val="00F33DDB"/>
    <w:rsid w:val="00F33EB2"/>
    <w:rsid w:val="00F33EC9"/>
    <w:rsid w:val="00F342DD"/>
    <w:rsid w:val="00F34FB9"/>
    <w:rsid w:val="00F35573"/>
    <w:rsid w:val="00F3575F"/>
    <w:rsid w:val="00F35B22"/>
    <w:rsid w:val="00F35BC3"/>
    <w:rsid w:val="00F368B3"/>
    <w:rsid w:val="00F40455"/>
    <w:rsid w:val="00F4060D"/>
    <w:rsid w:val="00F40AEA"/>
    <w:rsid w:val="00F41551"/>
    <w:rsid w:val="00F41FE6"/>
    <w:rsid w:val="00F4239C"/>
    <w:rsid w:val="00F42563"/>
    <w:rsid w:val="00F4276B"/>
    <w:rsid w:val="00F42B03"/>
    <w:rsid w:val="00F43084"/>
    <w:rsid w:val="00F43468"/>
    <w:rsid w:val="00F435AD"/>
    <w:rsid w:val="00F43C8B"/>
    <w:rsid w:val="00F43DE9"/>
    <w:rsid w:val="00F45550"/>
    <w:rsid w:val="00F45A1D"/>
    <w:rsid w:val="00F45D24"/>
    <w:rsid w:val="00F45FA8"/>
    <w:rsid w:val="00F467C4"/>
    <w:rsid w:val="00F47BFD"/>
    <w:rsid w:val="00F50D5D"/>
    <w:rsid w:val="00F50EDA"/>
    <w:rsid w:val="00F51461"/>
    <w:rsid w:val="00F51475"/>
    <w:rsid w:val="00F52864"/>
    <w:rsid w:val="00F53CFA"/>
    <w:rsid w:val="00F54144"/>
    <w:rsid w:val="00F546F0"/>
    <w:rsid w:val="00F553CF"/>
    <w:rsid w:val="00F55E62"/>
    <w:rsid w:val="00F56EA2"/>
    <w:rsid w:val="00F56EE2"/>
    <w:rsid w:val="00F5706B"/>
    <w:rsid w:val="00F57153"/>
    <w:rsid w:val="00F579D1"/>
    <w:rsid w:val="00F57B6E"/>
    <w:rsid w:val="00F57FB9"/>
    <w:rsid w:val="00F60698"/>
    <w:rsid w:val="00F606FC"/>
    <w:rsid w:val="00F60964"/>
    <w:rsid w:val="00F60A1A"/>
    <w:rsid w:val="00F60AAF"/>
    <w:rsid w:val="00F60B64"/>
    <w:rsid w:val="00F619F7"/>
    <w:rsid w:val="00F62276"/>
    <w:rsid w:val="00F63247"/>
    <w:rsid w:val="00F63F02"/>
    <w:rsid w:val="00F64034"/>
    <w:rsid w:val="00F64336"/>
    <w:rsid w:val="00F6483A"/>
    <w:rsid w:val="00F64974"/>
    <w:rsid w:val="00F64DF2"/>
    <w:rsid w:val="00F6522D"/>
    <w:rsid w:val="00F6578E"/>
    <w:rsid w:val="00F65868"/>
    <w:rsid w:val="00F6646D"/>
    <w:rsid w:val="00F66C5C"/>
    <w:rsid w:val="00F66D13"/>
    <w:rsid w:val="00F66FAA"/>
    <w:rsid w:val="00F67996"/>
    <w:rsid w:val="00F70415"/>
    <w:rsid w:val="00F70C2C"/>
    <w:rsid w:val="00F70FA1"/>
    <w:rsid w:val="00F71693"/>
    <w:rsid w:val="00F7177A"/>
    <w:rsid w:val="00F71DC9"/>
    <w:rsid w:val="00F71FCA"/>
    <w:rsid w:val="00F73DB8"/>
    <w:rsid w:val="00F74570"/>
    <w:rsid w:val="00F76244"/>
    <w:rsid w:val="00F7686C"/>
    <w:rsid w:val="00F768DC"/>
    <w:rsid w:val="00F76CA6"/>
    <w:rsid w:val="00F76EFF"/>
    <w:rsid w:val="00F77955"/>
    <w:rsid w:val="00F77B2B"/>
    <w:rsid w:val="00F77DC9"/>
    <w:rsid w:val="00F80106"/>
    <w:rsid w:val="00F80C6D"/>
    <w:rsid w:val="00F80C7E"/>
    <w:rsid w:val="00F8124F"/>
    <w:rsid w:val="00F81F08"/>
    <w:rsid w:val="00F82541"/>
    <w:rsid w:val="00F82AA6"/>
    <w:rsid w:val="00F8346F"/>
    <w:rsid w:val="00F83EB8"/>
    <w:rsid w:val="00F84768"/>
    <w:rsid w:val="00F849A2"/>
    <w:rsid w:val="00F8549F"/>
    <w:rsid w:val="00F86B25"/>
    <w:rsid w:val="00F86B4F"/>
    <w:rsid w:val="00F86CB5"/>
    <w:rsid w:val="00F87500"/>
    <w:rsid w:val="00F8750E"/>
    <w:rsid w:val="00F878C7"/>
    <w:rsid w:val="00F87A92"/>
    <w:rsid w:val="00F900A2"/>
    <w:rsid w:val="00F900FE"/>
    <w:rsid w:val="00F90721"/>
    <w:rsid w:val="00F9105A"/>
    <w:rsid w:val="00F910C4"/>
    <w:rsid w:val="00F911DF"/>
    <w:rsid w:val="00F91328"/>
    <w:rsid w:val="00F919EF"/>
    <w:rsid w:val="00F91E82"/>
    <w:rsid w:val="00F91F3E"/>
    <w:rsid w:val="00F91FA8"/>
    <w:rsid w:val="00F91FB3"/>
    <w:rsid w:val="00F92634"/>
    <w:rsid w:val="00F92BD1"/>
    <w:rsid w:val="00F92EB3"/>
    <w:rsid w:val="00F92ECC"/>
    <w:rsid w:val="00F93A5C"/>
    <w:rsid w:val="00F94673"/>
    <w:rsid w:val="00F95975"/>
    <w:rsid w:val="00F96087"/>
    <w:rsid w:val="00F96374"/>
    <w:rsid w:val="00F9762B"/>
    <w:rsid w:val="00F9788D"/>
    <w:rsid w:val="00F97DB6"/>
    <w:rsid w:val="00FA0A06"/>
    <w:rsid w:val="00FA0A78"/>
    <w:rsid w:val="00FA0E75"/>
    <w:rsid w:val="00FA121E"/>
    <w:rsid w:val="00FA240E"/>
    <w:rsid w:val="00FA2D87"/>
    <w:rsid w:val="00FA367C"/>
    <w:rsid w:val="00FA39D4"/>
    <w:rsid w:val="00FA4400"/>
    <w:rsid w:val="00FA4897"/>
    <w:rsid w:val="00FA4B71"/>
    <w:rsid w:val="00FA5013"/>
    <w:rsid w:val="00FA5145"/>
    <w:rsid w:val="00FA5421"/>
    <w:rsid w:val="00FA6985"/>
    <w:rsid w:val="00FA6C42"/>
    <w:rsid w:val="00FA73C4"/>
    <w:rsid w:val="00FB02A0"/>
    <w:rsid w:val="00FB04DA"/>
    <w:rsid w:val="00FB09B7"/>
    <w:rsid w:val="00FB0AB5"/>
    <w:rsid w:val="00FB1B69"/>
    <w:rsid w:val="00FB1C70"/>
    <w:rsid w:val="00FB1C93"/>
    <w:rsid w:val="00FB1CE7"/>
    <w:rsid w:val="00FB21AB"/>
    <w:rsid w:val="00FB2215"/>
    <w:rsid w:val="00FB2A19"/>
    <w:rsid w:val="00FB39A9"/>
    <w:rsid w:val="00FB466C"/>
    <w:rsid w:val="00FB493F"/>
    <w:rsid w:val="00FB5670"/>
    <w:rsid w:val="00FB56B3"/>
    <w:rsid w:val="00FB5828"/>
    <w:rsid w:val="00FB603B"/>
    <w:rsid w:val="00FB75CF"/>
    <w:rsid w:val="00FB76B0"/>
    <w:rsid w:val="00FB7C21"/>
    <w:rsid w:val="00FB7D07"/>
    <w:rsid w:val="00FC01B1"/>
    <w:rsid w:val="00FC0241"/>
    <w:rsid w:val="00FC0637"/>
    <w:rsid w:val="00FC0794"/>
    <w:rsid w:val="00FC07E9"/>
    <w:rsid w:val="00FC14C5"/>
    <w:rsid w:val="00FC2BA3"/>
    <w:rsid w:val="00FC2DC5"/>
    <w:rsid w:val="00FC322C"/>
    <w:rsid w:val="00FC35F4"/>
    <w:rsid w:val="00FC445D"/>
    <w:rsid w:val="00FC45A6"/>
    <w:rsid w:val="00FC5695"/>
    <w:rsid w:val="00FC5D6E"/>
    <w:rsid w:val="00FC6C10"/>
    <w:rsid w:val="00FC6C1A"/>
    <w:rsid w:val="00FC7340"/>
    <w:rsid w:val="00FC7581"/>
    <w:rsid w:val="00FC75BB"/>
    <w:rsid w:val="00FD02B3"/>
    <w:rsid w:val="00FD0527"/>
    <w:rsid w:val="00FD0906"/>
    <w:rsid w:val="00FD1B63"/>
    <w:rsid w:val="00FD20E7"/>
    <w:rsid w:val="00FD2ACE"/>
    <w:rsid w:val="00FD3B43"/>
    <w:rsid w:val="00FD446C"/>
    <w:rsid w:val="00FD498B"/>
    <w:rsid w:val="00FD519B"/>
    <w:rsid w:val="00FD54C0"/>
    <w:rsid w:val="00FD716A"/>
    <w:rsid w:val="00FD7C89"/>
    <w:rsid w:val="00FE0863"/>
    <w:rsid w:val="00FE0AED"/>
    <w:rsid w:val="00FE11A2"/>
    <w:rsid w:val="00FE1508"/>
    <w:rsid w:val="00FE167B"/>
    <w:rsid w:val="00FE1702"/>
    <w:rsid w:val="00FE1C8E"/>
    <w:rsid w:val="00FE1EC3"/>
    <w:rsid w:val="00FE1F66"/>
    <w:rsid w:val="00FE2FEF"/>
    <w:rsid w:val="00FE30C4"/>
    <w:rsid w:val="00FE318A"/>
    <w:rsid w:val="00FE3C8F"/>
    <w:rsid w:val="00FE412F"/>
    <w:rsid w:val="00FE4FC1"/>
    <w:rsid w:val="00FE5A5F"/>
    <w:rsid w:val="00FE5E7E"/>
    <w:rsid w:val="00FE678F"/>
    <w:rsid w:val="00FE6EE8"/>
    <w:rsid w:val="00FE7268"/>
    <w:rsid w:val="00FE72B0"/>
    <w:rsid w:val="00FE7395"/>
    <w:rsid w:val="00FE7561"/>
    <w:rsid w:val="00FE7A10"/>
    <w:rsid w:val="00FF0360"/>
    <w:rsid w:val="00FF03A6"/>
    <w:rsid w:val="00FF11FA"/>
    <w:rsid w:val="00FF1950"/>
    <w:rsid w:val="00FF1ABC"/>
    <w:rsid w:val="00FF273E"/>
    <w:rsid w:val="00FF2B34"/>
    <w:rsid w:val="00FF3272"/>
    <w:rsid w:val="00FF335F"/>
    <w:rsid w:val="00FF346B"/>
    <w:rsid w:val="00FF368D"/>
    <w:rsid w:val="00FF390A"/>
    <w:rsid w:val="00FF3B87"/>
    <w:rsid w:val="00FF4126"/>
    <w:rsid w:val="00FF4AD2"/>
    <w:rsid w:val="00FF4F6D"/>
    <w:rsid w:val="00FF52C7"/>
    <w:rsid w:val="00FF54F0"/>
    <w:rsid w:val="00FF6AF0"/>
    <w:rsid w:val="00FF7393"/>
    <w:rsid w:val="00FF7FEA"/>
    <w:rsid w:val="01DC3DEE"/>
    <w:rsid w:val="02180F66"/>
    <w:rsid w:val="027E2AA8"/>
    <w:rsid w:val="029D094A"/>
    <w:rsid w:val="03004BDE"/>
    <w:rsid w:val="03636F67"/>
    <w:rsid w:val="036D3CCD"/>
    <w:rsid w:val="03C14A50"/>
    <w:rsid w:val="045621AE"/>
    <w:rsid w:val="046C7D60"/>
    <w:rsid w:val="0471084F"/>
    <w:rsid w:val="04DC2049"/>
    <w:rsid w:val="052C0B96"/>
    <w:rsid w:val="060E174D"/>
    <w:rsid w:val="062D08D8"/>
    <w:rsid w:val="07091ECE"/>
    <w:rsid w:val="07424039"/>
    <w:rsid w:val="079065A4"/>
    <w:rsid w:val="07A23142"/>
    <w:rsid w:val="07E64FE3"/>
    <w:rsid w:val="07FE3701"/>
    <w:rsid w:val="085F4411"/>
    <w:rsid w:val="088417F6"/>
    <w:rsid w:val="088E219D"/>
    <w:rsid w:val="09205EAC"/>
    <w:rsid w:val="09603AA6"/>
    <w:rsid w:val="09AA066E"/>
    <w:rsid w:val="09C4787A"/>
    <w:rsid w:val="09F43AC6"/>
    <w:rsid w:val="0A371684"/>
    <w:rsid w:val="0A4872F9"/>
    <w:rsid w:val="0A496EC8"/>
    <w:rsid w:val="0A7F448A"/>
    <w:rsid w:val="0B1200DE"/>
    <w:rsid w:val="0B261D14"/>
    <w:rsid w:val="0B33092C"/>
    <w:rsid w:val="0B5D5A96"/>
    <w:rsid w:val="0BAD41C3"/>
    <w:rsid w:val="0C2B392B"/>
    <w:rsid w:val="0C534C59"/>
    <w:rsid w:val="0CF35CA7"/>
    <w:rsid w:val="0D9228EA"/>
    <w:rsid w:val="0D98003D"/>
    <w:rsid w:val="0E177B3B"/>
    <w:rsid w:val="0E9C10D8"/>
    <w:rsid w:val="0EA66BF9"/>
    <w:rsid w:val="0EE70B43"/>
    <w:rsid w:val="0F120817"/>
    <w:rsid w:val="0F166B36"/>
    <w:rsid w:val="0F7926C1"/>
    <w:rsid w:val="0F7E45C1"/>
    <w:rsid w:val="0FB14362"/>
    <w:rsid w:val="1069582F"/>
    <w:rsid w:val="10D43A37"/>
    <w:rsid w:val="1130214F"/>
    <w:rsid w:val="11382893"/>
    <w:rsid w:val="11494CB5"/>
    <w:rsid w:val="115364CF"/>
    <w:rsid w:val="11B63E03"/>
    <w:rsid w:val="12E64707"/>
    <w:rsid w:val="12FA2ED1"/>
    <w:rsid w:val="13034CC2"/>
    <w:rsid w:val="13037243"/>
    <w:rsid w:val="1320666D"/>
    <w:rsid w:val="134E0213"/>
    <w:rsid w:val="134E79ED"/>
    <w:rsid w:val="13AC3672"/>
    <w:rsid w:val="141C67FA"/>
    <w:rsid w:val="149A2DFA"/>
    <w:rsid w:val="14AC5E4A"/>
    <w:rsid w:val="14B21B5D"/>
    <w:rsid w:val="14B7010E"/>
    <w:rsid w:val="14CA4E5A"/>
    <w:rsid w:val="14CF0E39"/>
    <w:rsid w:val="14D45E95"/>
    <w:rsid w:val="14F413BE"/>
    <w:rsid w:val="15352978"/>
    <w:rsid w:val="153614F6"/>
    <w:rsid w:val="15481EED"/>
    <w:rsid w:val="15673B91"/>
    <w:rsid w:val="15A875C5"/>
    <w:rsid w:val="162B1871"/>
    <w:rsid w:val="16301C1D"/>
    <w:rsid w:val="16890235"/>
    <w:rsid w:val="16FE1178"/>
    <w:rsid w:val="17166096"/>
    <w:rsid w:val="173B6ACB"/>
    <w:rsid w:val="17440D60"/>
    <w:rsid w:val="17603BA1"/>
    <w:rsid w:val="17665D64"/>
    <w:rsid w:val="17943A15"/>
    <w:rsid w:val="1834013D"/>
    <w:rsid w:val="18493F6B"/>
    <w:rsid w:val="184F5916"/>
    <w:rsid w:val="18D87E25"/>
    <w:rsid w:val="18FF0FCE"/>
    <w:rsid w:val="191C5A42"/>
    <w:rsid w:val="19AE50FE"/>
    <w:rsid w:val="19DB6001"/>
    <w:rsid w:val="1A050C7F"/>
    <w:rsid w:val="1A331252"/>
    <w:rsid w:val="1A4A1E37"/>
    <w:rsid w:val="1A5662E4"/>
    <w:rsid w:val="1B2F4C86"/>
    <w:rsid w:val="1B773965"/>
    <w:rsid w:val="1B7E039F"/>
    <w:rsid w:val="1B891AFD"/>
    <w:rsid w:val="1BFC66E3"/>
    <w:rsid w:val="1C34139E"/>
    <w:rsid w:val="1C4778C9"/>
    <w:rsid w:val="1C7F7328"/>
    <w:rsid w:val="1CAF69A0"/>
    <w:rsid w:val="1CFD4689"/>
    <w:rsid w:val="1D3674F8"/>
    <w:rsid w:val="1DD371AF"/>
    <w:rsid w:val="1E452368"/>
    <w:rsid w:val="1EBE6820"/>
    <w:rsid w:val="1EFC4269"/>
    <w:rsid w:val="1F92189C"/>
    <w:rsid w:val="200709BC"/>
    <w:rsid w:val="20184B06"/>
    <w:rsid w:val="204B3C7E"/>
    <w:rsid w:val="20852362"/>
    <w:rsid w:val="20B91459"/>
    <w:rsid w:val="20EC563B"/>
    <w:rsid w:val="222A6F69"/>
    <w:rsid w:val="22AC1775"/>
    <w:rsid w:val="22D02D6B"/>
    <w:rsid w:val="22D442C6"/>
    <w:rsid w:val="22D57440"/>
    <w:rsid w:val="22EA38D7"/>
    <w:rsid w:val="231E1259"/>
    <w:rsid w:val="23A02EF4"/>
    <w:rsid w:val="23A7029C"/>
    <w:rsid w:val="23D4149A"/>
    <w:rsid w:val="23DF0CFE"/>
    <w:rsid w:val="24794637"/>
    <w:rsid w:val="24857B13"/>
    <w:rsid w:val="2509367B"/>
    <w:rsid w:val="26832978"/>
    <w:rsid w:val="26956616"/>
    <w:rsid w:val="26E02BAF"/>
    <w:rsid w:val="27B278EB"/>
    <w:rsid w:val="289F5599"/>
    <w:rsid w:val="28A8388D"/>
    <w:rsid w:val="29414C87"/>
    <w:rsid w:val="299C41E5"/>
    <w:rsid w:val="29B922E3"/>
    <w:rsid w:val="2A2D29D0"/>
    <w:rsid w:val="2A662475"/>
    <w:rsid w:val="2A6B48DA"/>
    <w:rsid w:val="2A712F5A"/>
    <w:rsid w:val="2A7407B0"/>
    <w:rsid w:val="2AA71852"/>
    <w:rsid w:val="2B2E2E6D"/>
    <w:rsid w:val="2B7A1F9D"/>
    <w:rsid w:val="2BF15A81"/>
    <w:rsid w:val="2C5073B7"/>
    <w:rsid w:val="2C5A469A"/>
    <w:rsid w:val="2CA500A0"/>
    <w:rsid w:val="2CD05E13"/>
    <w:rsid w:val="2D047E87"/>
    <w:rsid w:val="2D066998"/>
    <w:rsid w:val="2D540074"/>
    <w:rsid w:val="2DBB1197"/>
    <w:rsid w:val="2EBF7311"/>
    <w:rsid w:val="2EFF0857"/>
    <w:rsid w:val="2F1D347C"/>
    <w:rsid w:val="2F833C20"/>
    <w:rsid w:val="2FA4262E"/>
    <w:rsid w:val="306E110D"/>
    <w:rsid w:val="309D1BA5"/>
    <w:rsid w:val="30DA1947"/>
    <w:rsid w:val="30DD06C1"/>
    <w:rsid w:val="30E639E9"/>
    <w:rsid w:val="3183266E"/>
    <w:rsid w:val="31851E93"/>
    <w:rsid w:val="31A74CD8"/>
    <w:rsid w:val="31BB3EC1"/>
    <w:rsid w:val="31DF3EA7"/>
    <w:rsid w:val="323C4451"/>
    <w:rsid w:val="32542BDC"/>
    <w:rsid w:val="3292029A"/>
    <w:rsid w:val="32AE455D"/>
    <w:rsid w:val="32BE3BBF"/>
    <w:rsid w:val="32E74531"/>
    <w:rsid w:val="330F34C3"/>
    <w:rsid w:val="33943AEA"/>
    <w:rsid w:val="33F22335"/>
    <w:rsid w:val="343476E6"/>
    <w:rsid w:val="34544A20"/>
    <w:rsid w:val="34651D91"/>
    <w:rsid w:val="34673628"/>
    <w:rsid w:val="34FF52B7"/>
    <w:rsid w:val="35521618"/>
    <w:rsid w:val="357E71DA"/>
    <w:rsid w:val="36043776"/>
    <w:rsid w:val="366A415E"/>
    <w:rsid w:val="36B655A8"/>
    <w:rsid w:val="36D609BA"/>
    <w:rsid w:val="36FA7FC4"/>
    <w:rsid w:val="371C7014"/>
    <w:rsid w:val="37204487"/>
    <w:rsid w:val="3725748C"/>
    <w:rsid w:val="373F035A"/>
    <w:rsid w:val="37845942"/>
    <w:rsid w:val="37B37A39"/>
    <w:rsid w:val="37ED33C8"/>
    <w:rsid w:val="38624DA0"/>
    <w:rsid w:val="38D4122C"/>
    <w:rsid w:val="38DF0809"/>
    <w:rsid w:val="38E440CC"/>
    <w:rsid w:val="38FE7EE4"/>
    <w:rsid w:val="394B1AA0"/>
    <w:rsid w:val="39562AF0"/>
    <w:rsid w:val="39BB0146"/>
    <w:rsid w:val="39F31AC4"/>
    <w:rsid w:val="3A125261"/>
    <w:rsid w:val="3A5119C6"/>
    <w:rsid w:val="3B27254D"/>
    <w:rsid w:val="3BAD592B"/>
    <w:rsid w:val="3BCA3A3E"/>
    <w:rsid w:val="3BD131C2"/>
    <w:rsid w:val="3BEE4D51"/>
    <w:rsid w:val="3C141433"/>
    <w:rsid w:val="3C4A2D68"/>
    <w:rsid w:val="3C787925"/>
    <w:rsid w:val="3D2862C0"/>
    <w:rsid w:val="3D610642"/>
    <w:rsid w:val="3DBB3335"/>
    <w:rsid w:val="3DBF0F47"/>
    <w:rsid w:val="3DE22645"/>
    <w:rsid w:val="3E535F42"/>
    <w:rsid w:val="3E596261"/>
    <w:rsid w:val="3E6946D6"/>
    <w:rsid w:val="3E851A65"/>
    <w:rsid w:val="3EA62E96"/>
    <w:rsid w:val="3EED30DC"/>
    <w:rsid w:val="3F847CE4"/>
    <w:rsid w:val="400071F7"/>
    <w:rsid w:val="401E2A4B"/>
    <w:rsid w:val="40965073"/>
    <w:rsid w:val="40AC5132"/>
    <w:rsid w:val="413805E4"/>
    <w:rsid w:val="414D1313"/>
    <w:rsid w:val="420B49A6"/>
    <w:rsid w:val="423155E5"/>
    <w:rsid w:val="426A19DE"/>
    <w:rsid w:val="42D31ABB"/>
    <w:rsid w:val="43413B0E"/>
    <w:rsid w:val="436A1270"/>
    <w:rsid w:val="4397785A"/>
    <w:rsid w:val="43DF452A"/>
    <w:rsid w:val="43E6788F"/>
    <w:rsid w:val="443133AD"/>
    <w:rsid w:val="44B8027E"/>
    <w:rsid w:val="453745A9"/>
    <w:rsid w:val="45746D73"/>
    <w:rsid w:val="459473A2"/>
    <w:rsid w:val="45F235C6"/>
    <w:rsid w:val="467923C2"/>
    <w:rsid w:val="468531A6"/>
    <w:rsid w:val="46E06017"/>
    <w:rsid w:val="476D37CD"/>
    <w:rsid w:val="486A4813"/>
    <w:rsid w:val="48AA5A9E"/>
    <w:rsid w:val="48D14E66"/>
    <w:rsid w:val="493D21DC"/>
    <w:rsid w:val="49B21E66"/>
    <w:rsid w:val="49B660D8"/>
    <w:rsid w:val="49D739E0"/>
    <w:rsid w:val="49DB50EF"/>
    <w:rsid w:val="4A25579A"/>
    <w:rsid w:val="4A4B3676"/>
    <w:rsid w:val="4ACE5EF4"/>
    <w:rsid w:val="4B744926"/>
    <w:rsid w:val="4B8658F5"/>
    <w:rsid w:val="4BAE27C6"/>
    <w:rsid w:val="4BBF68EA"/>
    <w:rsid w:val="4BF946A1"/>
    <w:rsid w:val="4C012077"/>
    <w:rsid w:val="4C2B46CE"/>
    <w:rsid w:val="4CCA1EE3"/>
    <w:rsid w:val="4D77089F"/>
    <w:rsid w:val="4DD12339"/>
    <w:rsid w:val="4E204181"/>
    <w:rsid w:val="4E5452DD"/>
    <w:rsid w:val="4ED4170C"/>
    <w:rsid w:val="4EE037C4"/>
    <w:rsid w:val="4F1C59B5"/>
    <w:rsid w:val="4F492B05"/>
    <w:rsid w:val="4FC01D0B"/>
    <w:rsid w:val="50073CD8"/>
    <w:rsid w:val="50AA5769"/>
    <w:rsid w:val="50B07B65"/>
    <w:rsid w:val="50F405B2"/>
    <w:rsid w:val="510B6206"/>
    <w:rsid w:val="514A32B3"/>
    <w:rsid w:val="515427B2"/>
    <w:rsid w:val="51B67F42"/>
    <w:rsid w:val="51D1690B"/>
    <w:rsid w:val="51E011A3"/>
    <w:rsid w:val="51E22966"/>
    <w:rsid w:val="520F52E0"/>
    <w:rsid w:val="52E26672"/>
    <w:rsid w:val="5323217E"/>
    <w:rsid w:val="53304E78"/>
    <w:rsid w:val="5331495F"/>
    <w:rsid w:val="53DC7850"/>
    <w:rsid w:val="54304C3A"/>
    <w:rsid w:val="546964A2"/>
    <w:rsid w:val="548C57B5"/>
    <w:rsid w:val="54B648B4"/>
    <w:rsid w:val="54EC4B8A"/>
    <w:rsid w:val="552C45C5"/>
    <w:rsid w:val="55BB53BC"/>
    <w:rsid w:val="56185498"/>
    <w:rsid w:val="56F76DC0"/>
    <w:rsid w:val="571D7657"/>
    <w:rsid w:val="574F106A"/>
    <w:rsid w:val="57FB066A"/>
    <w:rsid w:val="57FC7C15"/>
    <w:rsid w:val="57FD6A7F"/>
    <w:rsid w:val="582A14DF"/>
    <w:rsid w:val="58455451"/>
    <w:rsid w:val="58C171FD"/>
    <w:rsid w:val="58DD6289"/>
    <w:rsid w:val="59703DD6"/>
    <w:rsid w:val="59D93328"/>
    <w:rsid w:val="5A406B06"/>
    <w:rsid w:val="5A775DBA"/>
    <w:rsid w:val="5AB673D5"/>
    <w:rsid w:val="5AFC195D"/>
    <w:rsid w:val="5B177230"/>
    <w:rsid w:val="5BAF00C0"/>
    <w:rsid w:val="5BEA52B2"/>
    <w:rsid w:val="5C162695"/>
    <w:rsid w:val="5C1F6754"/>
    <w:rsid w:val="5C647F44"/>
    <w:rsid w:val="5C6A68BA"/>
    <w:rsid w:val="5CE24159"/>
    <w:rsid w:val="5D026709"/>
    <w:rsid w:val="5DA51E73"/>
    <w:rsid w:val="5DF44EE5"/>
    <w:rsid w:val="5E654390"/>
    <w:rsid w:val="5E6C6BAD"/>
    <w:rsid w:val="5EE403F9"/>
    <w:rsid w:val="5F7D406D"/>
    <w:rsid w:val="5FE838D8"/>
    <w:rsid w:val="5FFE42E6"/>
    <w:rsid w:val="600279FB"/>
    <w:rsid w:val="60120FE2"/>
    <w:rsid w:val="605639B6"/>
    <w:rsid w:val="60737D98"/>
    <w:rsid w:val="615B4D31"/>
    <w:rsid w:val="61D53A62"/>
    <w:rsid w:val="61D7564C"/>
    <w:rsid w:val="61D968D9"/>
    <w:rsid w:val="62605CA9"/>
    <w:rsid w:val="62653C7E"/>
    <w:rsid w:val="62A031D6"/>
    <w:rsid w:val="62BF3BAA"/>
    <w:rsid w:val="633772D8"/>
    <w:rsid w:val="63A54533"/>
    <w:rsid w:val="64D90F90"/>
    <w:rsid w:val="64DC70B9"/>
    <w:rsid w:val="64DF7B8D"/>
    <w:rsid w:val="64E33A79"/>
    <w:rsid w:val="650A5085"/>
    <w:rsid w:val="651C26B1"/>
    <w:rsid w:val="65467660"/>
    <w:rsid w:val="65F932BD"/>
    <w:rsid w:val="65FE60D1"/>
    <w:rsid w:val="66255CB7"/>
    <w:rsid w:val="666D5257"/>
    <w:rsid w:val="667E6A89"/>
    <w:rsid w:val="667E75FE"/>
    <w:rsid w:val="6691055B"/>
    <w:rsid w:val="66BF50EF"/>
    <w:rsid w:val="677107A5"/>
    <w:rsid w:val="678B782A"/>
    <w:rsid w:val="67916E53"/>
    <w:rsid w:val="67B14789"/>
    <w:rsid w:val="68221396"/>
    <w:rsid w:val="685B6D50"/>
    <w:rsid w:val="68B30A78"/>
    <w:rsid w:val="68D26E7C"/>
    <w:rsid w:val="68E65C98"/>
    <w:rsid w:val="69162901"/>
    <w:rsid w:val="697879A5"/>
    <w:rsid w:val="6A746F4B"/>
    <w:rsid w:val="6AD11DA8"/>
    <w:rsid w:val="6AD76C05"/>
    <w:rsid w:val="6B6237D8"/>
    <w:rsid w:val="6B8E3EFD"/>
    <w:rsid w:val="6C066C5A"/>
    <w:rsid w:val="6C1273A3"/>
    <w:rsid w:val="6C6410BC"/>
    <w:rsid w:val="6C774E0A"/>
    <w:rsid w:val="6C79492F"/>
    <w:rsid w:val="6D9A39A4"/>
    <w:rsid w:val="6DC2244B"/>
    <w:rsid w:val="6DFD3218"/>
    <w:rsid w:val="6E2A5843"/>
    <w:rsid w:val="6EA85492"/>
    <w:rsid w:val="6EB8659C"/>
    <w:rsid w:val="6F1A3C6D"/>
    <w:rsid w:val="6FB2535F"/>
    <w:rsid w:val="6FCA14A7"/>
    <w:rsid w:val="6FE21D4C"/>
    <w:rsid w:val="6FEE40C8"/>
    <w:rsid w:val="702D35FF"/>
    <w:rsid w:val="70386C55"/>
    <w:rsid w:val="717446DD"/>
    <w:rsid w:val="71861897"/>
    <w:rsid w:val="72CD593C"/>
    <w:rsid w:val="73132868"/>
    <w:rsid w:val="7336313C"/>
    <w:rsid w:val="73431760"/>
    <w:rsid w:val="73D823D5"/>
    <w:rsid w:val="74063229"/>
    <w:rsid w:val="74395578"/>
    <w:rsid w:val="75470881"/>
    <w:rsid w:val="754F352F"/>
    <w:rsid w:val="759D2AF9"/>
    <w:rsid w:val="76010F6E"/>
    <w:rsid w:val="763728EB"/>
    <w:rsid w:val="7676578E"/>
    <w:rsid w:val="774360FA"/>
    <w:rsid w:val="77997D01"/>
    <w:rsid w:val="77A71182"/>
    <w:rsid w:val="7845280D"/>
    <w:rsid w:val="78873A15"/>
    <w:rsid w:val="788B1DA9"/>
    <w:rsid w:val="78E8780E"/>
    <w:rsid w:val="78EF5552"/>
    <w:rsid w:val="78F84034"/>
    <w:rsid w:val="79252160"/>
    <w:rsid w:val="797C073E"/>
    <w:rsid w:val="799C2C38"/>
    <w:rsid w:val="79D735CF"/>
    <w:rsid w:val="7AC92709"/>
    <w:rsid w:val="7B2B0C52"/>
    <w:rsid w:val="7B69568B"/>
    <w:rsid w:val="7B842AD5"/>
    <w:rsid w:val="7BAC0C54"/>
    <w:rsid w:val="7BB21B7E"/>
    <w:rsid w:val="7C24639A"/>
    <w:rsid w:val="7C7A4EB1"/>
    <w:rsid w:val="7C971E4B"/>
    <w:rsid w:val="7D2B6F6B"/>
    <w:rsid w:val="7D4C4338"/>
    <w:rsid w:val="7D8D7165"/>
    <w:rsid w:val="7DBA394B"/>
    <w:rsid w:val="7DCD424D"/>
    <w:rsid w:val="7E782E3F"/>
    <w:rsid w:val="7E790738"/>
    <w:rsid w:val="7EB600BA"/>
    <w:rsid w:val="7EE00B18"/>
    <w:rsid w:val="7F8C608A"/>
    <w:rsid w:val="7FB627DA"/>
    <w:rsid w:val="7FF10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nhideWhenUsed="0" w:uiPriority="6" w:semiHidden="0" w:name="heading 2"/>
    <w:lsdException w:qFormat="1" w:unhideWhenUsed="0" w:uiPriority="7" w:semiHidden="0" w:name="heading 3"/>
    <w:lsdException w:qFormat="1" w:unhideWhenUsed="0" w:uiPriority="8"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iPriority="99" w:semiHidden="0" w:name="table of authorities"/>
    <w:lsdException w:qFormat="1" w:unhideWhenUsed="0" w:uiPriority="0" w:semiHidden="0" w:name="macro"/>
    <w:lsdException w:qFormat="1" w:unhideWhenUsed="0" w:uiPriority="99" w:semiHidden="0" w:name="toa heading"/>
    <w:lsdException w:qFormat="1" w:unhideWhenUsed="0" w:uiPriority="0"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0"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qFormat="1" w:uiPriority="0" w:semiHidden="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3">
    <w:name w:val="heading 1"/>
    <w:basedOn w:val="1"/>
    <w:next w:val="1"/>
    <w:link w:val="101"/>
    <w:qFormat/>
    <w:uiPriority w:val="10"/>
    <w:pPr>
      <w:outlineLvl w:val="0"/>
    </w:pPr>
    <w:rPr>
      <w:rFonts w:ascii="Calibri" w:hAnsi="Calibri" w:eastAsia="黑体" w:cs="Times New Roman"/>
      <w:kern w:val="2"/>
      <w:sz w:val="32"/>
      <w:szCs w:val="22"/>
    </w:rPr>
  </w:style>
  <w:style w:type="paragraph" w:styleId="4">
    <w:name w:val="heading 2"/>
    <w:basedOn w:val="1"/>
    <w:next w:val="5"/>
    <w:link w:val="106"/>
    <w:qFormat/>
    <w:uiPriority w:val="6"/>
    <w:pPr>
      <w:keepNext/>
      <w:keepLines/>
      <w:spacing w:line="500" w:lineRule="exact"/>
      <w:outlineLvl w:val="1"/>
    </w:pPr>
    <w:rPr>
      <w:rFonts w:ascii="Calibri" w:hAnsi="Calibri" w:eastAsia="黑体" w:cs="Times New Roman"/>
      <w:bCs/>
      <w:sz w:val="28"/>
      <w:szCs w:val="32"/>
    </w:rPr>
  </w:style>
  <w:style w:type="paragraph" w:styleId="6">
    <w:name w:val="heading 3"/>
    <w:basedOn w:val="1"/>
    <w:next w:val="1"/>
    <w:link w:val="107"/>
    <w:qFormat/>
    <w:uiPriority w:val="7"/>
    <w:pPr>
      <w:keepNext/>
      <w:keepLines/>
      <w:spacing w:line="500" w:lineRule="exact"/>
      <w:outlineLvl w:val="2"/>
    </w:pPr>
    <w:rPr>
      <w:rFonts w:ascii="Times New Roman" w:hAnsi="Times New Roman" w:eastAsia="黑体" w:cs="Times New Roman"/>
      <w:bCs/>
      <w:sz w:val="20"/>
      <w:szCs w:val="32"/>
    </w:rPr>
  </w:style>
  <w:style w:type="paragraph" w:styleId="7">
    <w:name w:val="heading 4"/>
    <w:basedOn w:val="1"/>
    <w:next w:val="1"/>
    <w:link w:val="108"/>
    <w:qFormat/>
    <w:uiPriority w:val="8"/>
    <w:pPr>
      <w:keepNext/>
      <w:keepLines/>
      <w:spacing w:line="500" w:lineRule="exact"/>
      <w:outlineLvl w:val="3"/>
    </w:pPr>
    <w:rPr>
      <w:rFonts w:ascii="Times New Roman" w:hAnsi="Times New Roman"/>
      <w:szCs w:val="20"/>
      <w:lang w:val="zh-CN"/>
    </w:rPr>
  </w:style>
  <w:style w:type="paragraph" w:styleId="8">
    <w:name w:val="heading 5"/>
    <w:basedOn w:val="1"/>
    <w:next w:val="1"/>
    <w:link w:val="109"/>
    <w:qFormat/>
    <w:uiPriority w:val="9"/>
    <w:pPr>
      <w:keepNext/>
      <w:keepLines/>
      <w:widowControl w:val="0"/>
      <w:topLinePunct/>
      <w:spacing w:before="280" w:after="290" w:line="376" w:lineRule="auto"/>
      <w:ind w:firstLine="200" w:firstLineChars="200"/>
      <w:outlineLvl w:val="4"/>
    </w:pPr>
    <w:rPr>
      <w:rFonts w:ascii="仿宋_GB2312" w:hAnsi="Times New Roman" w:eastAsia="仿宋_GB2312" w:cs="Times New Roman"/>
      <w:b/>
      <w:bCs/>
      <w:sz w:val="28"/>
      <w:szCs w:val="28"/>
    </w:rPr>
  </w:style>
  <w:style w:type="paragraph" w:styleId="9">
    <w:name w:val="heading 6"/>
    <w:basedOn w:val="1"/>
    <w:next w:val="1"/>
    <w:link w:val="110"/>
    <w:qFormat/>
    <w:uiPriority w:val="9"/>
    <w:pPr>
      <w:keepNext/>
      <w:widowControl w:val="0"/>
      <w:tabs>
        <w:tab w:val="left" w:pos="360"/>
      </w:tabs>
      <w:ind w:left="360" w:hanging="360"/>
      <w:jc w:val="both"/>
      <w:outlineLvl w:val="5"/>
    </w:pPr>
    <w:rPr>
      <w:rFonts w:ascii="Times New Roman" w:hAnsi="Times New Roman" w:cs="Times New Roman"/>
      <w:b/>
      <w:bCs/>
      <w:kern w:val="2"/>
      <w:szCs w:val="20"/>
    </w:rPr>
  </w:style>
  <w:style w:type="paragraph" w:styleId="10">
    <w:name w:val="heading 7"/>
    <w:basedOn w:val="1"/>
    <w:next w:val="1"/>
    <w:link w:val="111"/>
    <w:qFormat/>
    <w:uiPriority w:val="9"/>
    <w:pPr>
      <w:keepNext/>
      <w:widowControl w:val="0"/>
      <w:tabs>
        <w:tab w:val="left" w:pos="360"/>
      </w:tabs>
      <w:ind w:left="360" w:hanging="360"/>
      <w:jc w:val="both"/>
      <w:outlineLvl w:val="6"/>
    </w:pPr>
    <w:rPr>
      <w:rFonts w:ascii="Times New Roman" w:hAnsi="Times New Roman" w:cs="Times New Roman"/>
      <w:b/>
      <w:bCs/>
      <w:kern w:val="2"/>
      <w:sz w:val="28"/>
      <w:szCs w:val="28"/>
    </w:rPr>
  </w:style>
  <w:style w:type="paragraph" w:styleId="11">
    <w:name w:val="heading 8"/>
    <w:basedOn w:val="1"/>
    <w:next w:val="1"/>
    <w:link w:val="112"/>
    <w:qFormat/>
    <w:uiPriority w:val="9"/>
    <w:pPr>
      <w:keepNext/>
      <w:widowControl w:val="0"/>
      <w:tabs>
        <w:tab w:val="left" w:pos="645"/>
      </w:tabs>
      <w:ind w:left="645" w:hanging="645"/>
      <w:jc w:val="both"/>
      <w:outlineLvl w:val="7"/>
    </w:pPr>
    <w:rPr>
      <w:rFonts w:ascii="Times New Roman" w:hAnsi="Times New Roman" w:cs="Times New Roman"/>
      <w:b/>
      <w:bCs/>
      <w:kern w:val="2"/>
      <w:sz w:val="28"/>
      <w:szCs w:val="28"/>
    </w:rPr>
  </w:style>
  <w:style w:type="paragraph" w:styleId="12">
    <w:name w:val="heading 9"/>
    <w:basedOn w:val="1"/>
    <w:next w:val="1"/>
    <w:link w:val="113"/>
    <w:qFormat/>
    <w:uiPriority w:val="9"/>
    <w:pPr>
      <w:keepNext/>
      <w:keepLines/>
      <w:widowControl w:val="0"/>
      <w:topLinePunct/>
      <w:spacing w:before="240" w:after="64" w:line="320" w:lineRule="auto"/>
      <w:ind w:firstLine="200" w:firstLineChars="200"/>
      <w:outlineLvl w:val="8"/>
    </w:pPr>
    <w:rPr>
      <w:rFonts w:ascii="Arial" w:hAnsi="Arial" w:eastAsia="黑体" w:cs="Times New Roman"/>
      <w:sz w:val="28"/>
      <w:szCs w:val="21"/>
    </w:rPr>
  </w:style>
  <w:style w:type="character" w:default="1" w:styleId="83">
    <w:name w:val="Default Paragraph Font"/>
    <w:unhideWhenUsed/>
    <w:qFormat/>
    <w:uiPriority w:val="1"/>
  </w:style>
  <w:style w:type="table" w:default="1" w:styleId="80">
    <w:name w:val="Normal Table"/>
    <w:semiHidden/>
    <w:unhideWhenUsed/>
    <w:qFormat/>
    <w:uiPriority w:val="99"/>
    <w:tblPr>
      <w:tblCellMar>
        <w:top w:w="0" w:type="dxa"/>
        <w:left w:w="108" w:type="dxa"/>
        <w:bottom w:w="0" w:type="dxa"/>
        <w:right w:w="108" w:type="dxa"/>
      </w:tblCellMar>
    </w:tblPr>
  </w:style>
  <w:style w:type="paragraph" w:styleId="2">
    <w:name w:val="macro"/>
    <w:link w:val="114"/>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5">
    <w:name w:val="Normal Indent"/>
    <w:basedOn w:val="1"/>
    <w:link w:val="105"/>
    <w:qFormat/>
    <w:uiPriority w:val="0"/>
    <w:pPr>
      <w:spacing w:line="520" w:lineRule="exact"/>
      <w:ind w:firstLine="624"/>
    </w:pPr>
    <w:rPr>
      <w:rFonts w:ascii="Calibri" w:hAnsi="Calibri" w:cs="Times New Roman"/>
      <w:sz w:val="28"/>
      <w:szCs w:val="20"/>
    </w:rPr>
  </w:style>
  <w:style w:type="paragraph" w:styleId="13">
    <w:name w:val="List 3"/>
    <w:basedOn w:val="1"/>
    <w:qFormat/>
    <w:uiPriority w:val="99"/>
    <w:pPr>
      <w:widowControl w:val="0"/>
      <w:topLinePunct/>
      <w:spacing w:line="360" w:lineRule="auto"/>
      <w:ind w:left="100" w:leftChars="400" w:hanging="200" w:hangingChars="200"/>
    </w:pPr>
    <w:rPr>
      <w:rFonts w:ascii="仿宋_GB2312" w:hAnsi="Times New Roman" w:eastAsia="仿宋_GB2312" w:cs="Times New Roman"/>
      <w:kern w:val="2"/>
      <w:sz w:val="28"/>
      <w:szCs w:val="20"/>
    </w:rPr>
  </w:style>
  <w:style w:type="paragraph" w:styleId="14">
    <w:name w:val="toc 7"/>
    <w:basedOn w:val="1"/>
    <w:next w:val="1"/>
    <w:qFormat/>
    <w:uiPriority w:val="39"/>
    <w:pPr>
      <w:widowControl w:val="0"/>
      <w:ind w:left="1260"/>
    </w:pPr>
    <w:rPr>
      <w:rFonts w:ascii="Calibri" w:hAnsi="Calibri" w:cs="Times New Roman"/>
      <w:kern w:val="2"/>
      <w:sz w:val="18"/>
      <w:szCs w:val="18"/>
    </w:rPr>
  </w:style>
  <w:style w:type="paragraph" w:styleId="15">
    <w:name w:val="List Number 2"/>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16">
    <w:name w:val="table of authorities"/>
    <w:basedOn w:val="1"/>
    <w:next w:val="1"/>
    <w:unhideWhenUsed/>
    <w:qFormat/>
    <w:uiPriority w:val="99"/>
    <w:pPr>
      <w:widowControl w:val="0"/>
      <w:ind w:left="210" w:hanging="210"/>
    </w:pPr>
    <w:rPr>
      <w:rFonts w:ascii="Times New Roman" w:hAnsi="Times New Roman" w:cs="Times New Roman"/>
      <w:kern w:val="2"/>
      <w:sz w:val="20"/>
      <w:szCs w:val="20"/>
    </w:rPr>
  </w:style>
  <w:style w:type="paragraph" w:styleId="17">
    <w:name w:val="Note Heading"/>
    <w:basedOn w:val="1"/>
    <w:next w:val="1"/>
    <w:link w:val="115"/>
    <w:qFormat/>
    <w:uiPriority w:val="0"/>
    <w:pPr>
      <w:widowControl w:val="0"/>
      <w:jc w:val="center"/>
    </w:pPr>
    <w:rPr>
      <w:rFonts w:ascii="Times New Roman" w:hAnsi="Times New Roman" w:cs="Times New Roman"/>
      <w:sz w:val="20"/>
      <w:szCs w:val="20"/>
    </w:rPr>
  </w:style>
  <w:style w:type="paragraph" w:styleId="18">
    <w:name w:val="List Bullet 4"/>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19">
    <w:name w:val="E-mail Signature"/>
    <w:basedOn w:val="1"/>
    <w:link w:val="116"/>
    <w:qFormat/>
    <w:uiPriority w:val="0"/>
    <w:pPr>
      <w:widowControl w:val="0"/>
      <w:topLinePunct/>
      <w:spacing w:line="360" w:lineRule="auto"/>
      <w:ind w:firstLine="200" w:firstLineChars="200"/>
    </w:pPr>
    <w:rPr>
      <w:rFonts w:ascii="仿宋_GB2312" w:hAnsi="Times New Roman" w:eastAsia="仿宋_GB2312" w:cs="Times New Roman"/>
      <w:sz w:val="28"/>
      <w:szCs w:val="20"/>
    </w:rPr>
  </w:style>
  <w:style w:type="paragraph" w:styleId="20">
    <w:name w:val="List Number"/>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1">
    <w:name w:val="caption"/>
    <w:basedOn w:val="1"/>
    <w:next w:val="1"/>
    <w:link w:val="117"/>
    <w:qFormat/>
    <w:uiPriority w:val="0"/>
    <w:pPr>
      <w:widowControl w:val="0"/>
      <w:jc w:val="both"/>
    </w:pPr>
    <w:rPr>
      <w:rFonts w:ascii="Arial" w:hAnsi="Arial" w:eastAsia="黑体" w:cs="Arial"/>
      <w:sz w:val="20"/>
      <w:szCs w:val="20"/>
    </w:rPr>
  </w:style>
  <w:style w:type="paragraph" w:styleId="22">
    <w:name w:val="List Bullet"/>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3">
    <w:name w:val="envelope address"/>
    <w:basedOn w:val="1"/>
    <w:qFormat/>
    <w:uiPriority w:val="99"/>
    <w:pPr>
      <w:widowControl w:val="0"/>
      <w:topLinePunct/>
      <w:snapToGrid w:val="0"/>
      <w:spacing w:line="360" w:lineRule="auto"/>
      <w:ind w:left="100" w:leftChars="1400" w:firstLine="200" w:firstLineChars="200"/>
    </w:pPr>
    <w:rPr>
      <w:rFonts w:ascii="Arial" w:hAnsi="Arial" w:eastAsia="仿宋_GB2312" w:cs="Arial"/>
      <w:kern w:val="2"/>
      <w:szCs w:val="20"/>
    </w:rPr>
  </w:style>
  <w:style w:type="paragraph" w:styleId="24">
    <w:name w:val="Document Map"/>
    <w:basedOn w:val="1"/>
    <w:link w:val="118"/>
    <w:qFormat/>
    <w:uiPriority w:val="99"/>
    <w:pPr>
      <w:widowControl w:val="0"/>
      <w:shd w:val="clear" w:color="auto" w:fill="000080"/>
      <w:jc w:val="both"/>
    </w:pPr>
    <w:rPr>
      <w:rFonts w:ascii="Times New Roman" w:hAnsi="Times New Roman" w:cs="Times New Roman"/>
      <w:sz w:val="20"/>
    </w:rPr>
  </w:style>
  <w:style w:type="paragraph" w:styleId="25">
    <w:name w:val="toa heading"/>
    <w:basedOn w:val="1"/>
    <w:next w:val="1"/>
    <w:qFormat/>
    <w:uiPriority w:val="99"/>
    <w:pPr>
      <w:widowControl w:val="0"/>
      <w:spacing w:before="120"/>
      <w:jc w:val="both"/>
    </w:pPr>
    <w:rPr>
      <w:rFonts w:ascii="Arial" w:hAnsi="Arial" w:cs="Times New Roman"/>
      <w:kern w:val="2"/>
      <w:szCs w:val="20"/>
    </w:rPr>
  </w:style>
  <w:style w:type="paragraph" w:styleId="26">
    <w:name w:val="annotation text"/>
    <w:basedOn w:val="1"/>
    <w:link w:val="119"/>
    <w:qFormat/>
    <w:uiPriority w:val="0"/>
    <w:rPr>
      <w:rFonts w:ascii="Calibri" w:hAnsi="Calibri" w:cs="Times New Roman"/>
      <w:szCs w:val="22"/>
    </w:rPr>
  </w:style>
  <w:style w:type="paragraph" w:styleId="27">
    <w:name w:val="Salutation"/>
    <w:basedOn w:val="1"/>
    <w:next w:val="1"/>
    <w:link w:val="120"/>
    <w:qFormat/>
    <w:uiPriority w:val="0"/>
    <w:pPr>
      <w:widowControl w:val="0"/>
      <w:spacing w:line="360" w:lineRule="exact"/>
      <w:ind w:left="480"/>
      <w:jc w:val="both"/>
    </w:pPr>
    <w:rPr>
      <w:rFonts w:ascii="Times New Roman" w:hAnsi="Times New Roman" w:eastAsia="楷体_GB2312" w:cs="Times New Roman"/>
      <w:color w:val="000000"/>
      <w:kern w:val="28"/>
      <w:sz w:val="28"/>
      <w:szCs w:val="20"/>
    </w:rPr>
  </w:style>
  <w:style w:type="paragraph" w:styleId="28">
    <w:name w:val="Body Text 3"/>
    <w:basedOn w:val="1"/>
    <w:link w:val="121"/>
    <w:qFormat/>
    <w:uiPriority w:val="0"/>
    <w:pPr>
      <w:widowControl w:val="0"/>
      <w:spacing w:line="360" w:lineRule="exact"/>
      <w:jc w:val="center"/>
    </w:pPr>
    <w:rPr>
      <w:rFonts w:cs="Times New Roman"/>
      <w:color w:val="006600"/>
      <w:kern w:val="16"/>
    </w:rPr>
  </w:style>
  <w:style w:type="paragraph" w:styleId="29">
    <w:name w:val="Closing"/>
    <w:basedOn w:val="1"/>
    <w:link w:val="122"/>
    <w:qFormat/>
    <w:uiPriority w:val="0"/>
    <w:pPr>
      <w:widowControl w:val="0"/>
      <w:topLinePunct/>
      <w:spacing w:line="360" w:lineRule="auto"/>
      <w:ind w:left="100" w:leftChars="2100" w:firstLine="200" w:firstLineChars="200"/>
    </w:pPr>
    <w:rPr>
      <w:rFonts w:ascii="仿宋_GB2312" w:hAnsi="Times New Roman" w:eastAsia="仿宋_GB2312" w:cs="Times New Roman"/>
      <w:sz w:val="28"/>
      <w:szCs w:val="20"/>
    </w:rPr>
  </w:style>
  <w:style w:type="paragraph" w:styleId="30">
    <w:name w:val="List Bullet 3"/>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1">
    <w:name w:val="Body Text"/>
    <w:basedOn w:val="1"/>
    <w:link w:val="123"/>
    <w:qFormat/>
    <w:uiPriority w:val="1"/>
    <w:rPr>
      <w:rFonts w:ascii="Calibri" w:hAnsi="Calibri" w:cs="Times New Roman"/>
      <w:color w:val="000000"/>
      <w:kern w:val="2"/>
      <w:szCs w:val="22"/>
    </w:rPr>
  </w:style>
  <w:style w:type="paragraph" w:styleId="32">
    <w:name w:val="Body Text Indent"/>
    <w:basedOn w:val="1"/>
    <w:link w:val="124"/>
    <w:qFormat/>
    <w:uiPriority w:val="0"/>
    <w:pPr>
      <w:spacing w:after="120"/>
      <w:ind w:left="420" w:leftChars="200"/>
    </w:pPr>
    <w:rPr>
      <w:rFonts w:ascii="仿宋_GB2312" w:hAnsi="Calibri" w:eastAsia="仿宋_GB2312" w:cs="Times New Roman"/>
      <w:spacing w:val="-2"/>
      <w:sz w:val="20"/>
      <w:szCs w:val="20"/>
    </w:rPr>
  </w:style>
  <w:style w:type="paragraph" w:styleId="33">
    <w:name w:val="List Number 3"/>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4">
    <w:name w:val="List 2"/>
    <w:basedOn w:val="1"/>
    <w:qFormat/>
    <w:uiPriority w:val="99"/>
    <w:pPr>
      <w:widowControl w:val="0"/>
      <w:snapToGrid w:val="0"/>
      <w:jc w:val="center"/>
    </w:pPr>
    <w:rPr>
      <w:rFonts w:hAnsi="Times New Roman" w:cs="Times New Roman"/>
      <w:kern w:val="2"/>
      <w:sz w:val="21"/>
      <w:szCs w:val="20"/>
    </w:rPr>
  </w:style>
  <w:style w:type="paragraph" w:styleId="35">
    <w:name w:val="List Continue"/>
    <w:basedOn w:val="1"/>
    <w:qFormat/>
    <w:uiPriority w:val="99"/>
    <w:pPr>
      <w:widowControl w:val="0"/>
      <w:topLinePunct/>
      <w:spacing w:after="120" w:line="360" w:lineRule="auto"/>
      <w:ind w:left="420" w:leftChars="200" w:firstLine="200" w:firstLineChars="200"/>
    </w:pPr>
    <w:rPr>
      <w:rFonts w:ascii="仿宋_GB2312" w:hAnsi="Times New Roman" w:eastAsia="仿宋_GB2312" w:cs="Times New Roman"/>
      <w:kern w:val="2"/>
      <w:sz w:val="28"/>
      <w:szCs w:val="20"/>
    </w:rPr>
  </w:style>
  <w:style w:type="paragraph" w:styleId="36">
    <w:name w:val="Block Text"/>
    <w:basedOn w:val="1"/>
    <w:qFormat/>
    <w:uiPriority w:val="0"/>
    <w:pPr>
      <w:widowControl w:val="0"/>
      <w:topLinePunct/>
      <w:spacing w:after="120" w:line="360" w:lineRule="auto"/>
      <w:ind w:left="1440" w:leftChars="700" w:right="1440" w:rightChars="700" w:firstLine="200" w:firstLineChars="200"/>
    </w:pPr>
    <w:rPr>
      <w:rFonts w:ascii="仿宋_GB2312" w:hAnsi="Times New Roman" w:eastAsia="仿宋_GB2312" w:cs="Times New Roman"/>
      <w:kern w:val="2"/>
      <w:sz w:val="28"/>
      <w:szCs w:val="20"/>
    </w:rPr>
  </w:style>
  <w:style w:type="paragraph" w:styleId="37">
    <w:name w:val="List Bullet 2"/>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8">
    <w:name w:val="HTML Address"/>
    <w:basedOn w:val="1"/>
    <w:link w:val="125"/>
    <w:qFormat/>
    <w:uiPriority w:val="0"/>
    <w:pPr>
      <w:widowControl w:val="0"/>
      <w:jc w:val="both"/>
    </w:pPr>
    <w:rPr>
      <w:rFonts w:ascii="Times New Roman" w:hAnsi="Times New Roman" w:cs="Times New Roman"/>
      <w:i/>
      <w:iCs/>
      <w:sz w:val="20"/>
      <w:szCs w:val="20"/>
    </w:rPr>
  </w:style>
  <w:style w:type="paragraph" w:styleId="39">
    <w:name w:val="toc 5"/>
    <w:basedOn w:val="1"/>
    <w:next w:val="1"/>
    <w:qFormat/>
    <w:uiPriority w:val="39"/>
    <w:pPr>
      <w:widowControl w:val="0"/>
      <w:ind w:left="840"/>
    </w:pPr>
    <w:rPr>
      <w:rFonts w:ascii="Calibri" w:hAnsi="Calibri" w:cs="Times New Roman"/>
      <w:kern w:val="2"/>
      <w:sz w:val="18"/>
      <w:szCs w:val="18"/>
    </w:rPr>
  </w:style>
  <w:style w:type="paragraph" w:styleId="40">
    <w:name w:val="toc 3"/>
    <w:basedOn w:val="1"/>
    <w:next w:val="1"/>
    <w:qFormat/>
    <w:uiPriority w:val="39"/>
    <w:pPr>
      <w:widowControl w:val="0"/>
      <w:ind w:left="420"/>
    </w:pPr>
    <w:rPr>
      <w:rFonts w:ascii="Calibri" w:hAnsi="Calibri" w:cs="Times New Roman"/>
      <w:i/>
      <w:iCs/>
      <w:kern w:val="2"/>
      <w:sz w:val="20"/>
      <w:szCs w:val="20"/>
    </w:rPr>
  </w:style>
  <w:style w:type="paragraph" w:styleId="41">
    <w:name w:val="Plain Text"/>
    <w:basedOn w:val="1"/>
    <w:link w:val="126"/>
    <w:qFormat/>
    <w:uiPriority w:val="0"/>
    <w:rPr>
      <w:rFonts w:hAnsi="Courier New" w:cs="Times New Roman"/>
      <w:kern w:val="2"/>
      <w:sz w:val="21"/>
      <w:szCs w:val="22"/>
    </w:rPr>
  </w:style>
  <w:style w:type="paragraph" w:styleId="42">
    <w:name w:val="List Bullet 5"/>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43">
    <w:name w:val="List Number 4"/>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44">
    <w:name w:val="toc 8"/>
    <w:basedOn w:val="1"/>
    <w:next w:val="1"/>
    <w:qFormat/>
    <w:uiPriority w:val="39"/>
    <w:pPr>
      <w:widowControl w:val="0"/>
      <w:ind w:left="1470"/>
    </w:pPr>
    <w:rPr>
      <w:rFonts w:ascii="Calibri" w:hAnsi="Calibri" w:cs="Times New Roman"/>
      <w:kern w:val="2"/>
      <w:sz w:val="18"/>
      <w:szCs w:val="18"/>
    </w:rPr>
  </w:style>
  <w:style w:type="paragraph" w:styleId="45">
    <w:name w:val="Date"/>
    <w:basedOn w:val="1"/>
    <w:next w:val="1"/>
    <w:link w:val="127"/>
    <w:unhideWhenUsed/>
    <w:qFormat/>
    <w:uiPriority w:val="99"/>
    <w:pPr>
      <w:widowControl w:val="0"/>
      <w:ind w:left="100" w:leftChars="2500"/>
      <w:jc w:val="both"/>
    </w:pPr>
    <w:rPr>
      <w:rFonts w:ascii="Calibri" w:hAnsi="Calibri" w:cs="Times New Roman"/>
      <w:sz w:val="20"/>
      <w:szCs w:val="20"/>
    </w:rPr>
  </w:style>
  <w:style w:type="paragraph" w:styleId="46">
    <w:name w:val="Body Text Indent 2"/>
    <w:basedOn w:val="1"/>
    <w:link w:val="128"/>
    <w:qFormat/>
    <w:uiPriority w:val="0"/>
    <w:pPr>
      <w:widowControl w:val="0"/>
      <w:spacing w:after="120" w:line="480" w:lineRule="auto"/>
      <w:ind w:left="420" w:leftChars="200"/>
      <w:jc w:val="both"/>
    </w:pPr>
    <w:rPr>
      <w:rFonts w:ascii="Times New Roman" w:hAnsi="Times New Roman" w:cs="Times New Roman"/>
      <w:sz w:val="20"/>
    </w:rPr>
  </w:style>
  <w:style w:type="paragraph" w:styleId="47">
    <w:name w:val="endnote text"/>
    <w:basedOn w:val="1"/>
    <w:link w:val="129"/>
    <w:qFormat/>
    <w:uiPriority w:val="0"/>
    <w:pPr>
      <w:widowControl w:val="0"/>
      <w:adjustRightInd w:val="0"/>
      <w:spacing w:line="360" w:lineRule="atLeast"/>
      <w:textAlignment w:val="baseline"/>
    </w:pPr>
    <w:rPr>
      <w:rFonts w:ascii="Calibri" w:hAnsi="Calibri" w:cs="Times New Roman"/>
      <w:szCs w:val="20"/>
    </w:rPr>
  </w:style>
  <w:style w:type="paragraph" w:styleId="48">
    <w:name w:val="List Continue 5"/>
    <w:basedOn w:val="1"/>
    <w:qFormat/>
    <w:uiPriority w:val="99"/>
    <w:pPr>
      <w:widowControl w:val="0"/>
      <w:topLinePunct/>
      <w:spacing w:after="120" w:line="360" w:lineRule="auto"/>
      <w:ind w:left="2100" w:leftChars="1000" w:firstLine="200" w:firstLineChars="200"/>
    </w:pPr>
    <w:rPr>
      <w:rFonts w:ascii="仿宋_GB2312" w:hAnsi="Times New Roman" w:eastAsia="仿宋_GB2312" w:cs="Times New Roman"/>
      <w:kern w:val="2"/>
      <w:sz w:val="28"/>
      <w:szCs w:val="20"/>
    </w:rPr>
  </w:style>
  <w:style w:type="paragraph" w:styleId="49">
    <w:name w:val="Balloon Text"/>
    <w:basedOn w:val="1"/>
    <w:link w:val="130"/>
    <w:qFormat/>
    <w:uiPriority w:val="0"/>
    <w:rPr>
      <w:sz w:val="18"/>
      <w:szCs w:val="18"/>
    </w:rPr>
  </w:style>
  <w:style w:type="paragraph" w:styleId="50">
    <w:name w:val="footer"/>
    <w:basedOn w:val="1"/>
    <w:link w:val="131"/>
    <w:qFormat/>
    <w:uiPriority w:val="99"/>
    <w:pPr>
      <w:tabs>
        <w:tab w:val="center" w:pos="4153"/>
        <w:tab w:val="right" w:pos="8306"/>
      </w:tabs>
    </w:pPr>
    <w:rPr>
      <w:rFonts w:ascii="Calibri" w:hAnsi="Calibri" w:cs="Times New Roman"/>
      <w:kern w:val="2"/>
      <w:sz w:val="18"/>
      <w:szCs w:val="18"/>
    </w:rPr>
  </w:style>
  <w:style w:type="paragraph" w:styleId="51">
    <w:name w:val="envelope return"/>
    <w:basedOn w:val="1"/>
    <w:qFormat/>
    <w:uiPriority w:val="99"/>
    <w:pPr>
      <w:widowControl w:val="0"/>
      <w:topLinePunct/>
      <w:snapToGrid w:val="0"/>
      <w:spacing w:line="360" w:lineRule="auto"/>
      <w:ind w:firstLine="200" w:firstLineChars="200"/>
    </w:pPr>
    <w:rPr>
      <w:rFonts w:ascii="Arial" w:hAnsi="Arial" w:eastAsia="仿宋_GB2312" w:cs="Arial"/>
      <w:kern w:val="2"/>
      <w:sz w:val="28"/>
      <w:szCs w:val="20"/>
    </w:rPr>
  </w:style>
  <w:style w:type="paragraph" w:styleId="52">
    <w:name w:val="header"/>
    <w:basedOn w:val="1"/>
    <w:link w:val="132"/>
    <w:qFormat/>
    <w:uiPriority w:val="99"/>
    <w:pPr>
      <w:pBdr>
        <w:bottom w:val="single" w:color="auto" w:sz="6" w:space="1"/>
      </w:pBdr>
      <w:tabs>
        <w:tab w:val="center" w:pos="4153"/>
        <w:tab w:val="right" w:pos="8306"/>
      </w:tabs>
      <w:jc w:val="center"/>
    </w:pPr>
    <w:rPr>
      <w:rFonts w:ascii="Calibri" w:hAnsi="Calibri" w:cs="Times New Roman"/>
      <w:kern w:val="2"/>
      <w:sz w:val="18"/>
      <w:szCs w:val="18"/>
    </w:rPr>
  </w:style>
  <w:style w:type="paragraph" w:styleId="53">
    <w:name w:val="Signature"/>
    <w:basedOn w:val="1"/>
    <w:link w:val="133"/>
    <w:qFormat/>
    <w:uiPriority w:val="0"/>
    <w:pPr>
      <w:widowControl w:val="0"/>
      <w:topLinePunct/>
      <w:spacing w:line="360" w:lineRule="auto"/>
      <w:ind w:left="100" w:leftChars="2100" w:firstLine="200" w:firstLineChars="200"/>
    </w:pPr>
    <w:rPr>
      <w:rFonts w:ascii="仿宋_GB2312" w:hAnsi="Times New Roman" w:eastAsia="仿宋_GB2312" w:cs="Times New Roman"/>
      <w:sz w:val="28"/>
      <w:szCs w:val="20"/>
    </w:rPr>
  </w:style>
  <w:style w:type="paragraph" w:styleId="54">
    <w:name w:val="toc 1"/>
    <w:basedOn w:val="1"/>
    <w:next w:val="1"/>
    <w:link w:val="2758"/>
    <w:qFormat/>
    <w:uiPriority w:val="39"/>
    <w:pPr>
      <w:spacing w:before="120" w:after="120"/>
    </w:pPr>
    <w:rPr>
      <w:rFonts w:cs="Times New Roman"/>
      <w:b/>
      <w:caps/>
      <w:sz w:val="20"/>
      <w:szCs w:val="20"/>
    </w:rPr>
  </w:style>
  <w:style w:type="paragraph" w:styleId="55">
    <w:name w:val="List Continue 4"/>
    <w:basedOn w:val="1"/>
    <w:qFormat/>
    <w:uiPriority w:val="99"/>
    <w:pPr>
      <w:widowControl w:val="0"/>
      <w:topLinePunct/>
      <w:spacing w:after="120" w:line="360" w:lineRule="auto"/>
      <w:ind w:left="1680" w:leftChars="800" w:firstLine="200" w:firstLineChars="200"/>
    </w:pPr>
    <w:rPr>
      <w:rFonts w:ascii="仿宋_GB2312" w:hAnsi="Times New Roman" w:eastAsia="仿宋_GB2312" w:cs="Times New Roman"/>
      <w:kern w:val="2"/>
      <w:sz w:val="28"/>
      <w:szCs w:val="20"/>
    </w:rPr>
  </w:style>
  <w:style w:type="paragraph" w:styleId="56">
    <w:name w:val="toc 4"/>
    <w:basedOn w:val="1"/>
    <w:next w:val="1"/>
    <w:qFormat/>
    <w:uiPriority w:val="39"/>
    <w:pPr>
      <w:widowControl w:val="0"/>
      <w:ind w:left="630"/>
    </w:pPr>
    <w:rPr>
      <w:rFonts w:ascii="Calibri" w:hAnsi="Calibri" w:cs="Times New Roman"/>
      <w:kern w:val="2"/>
      <w:sz w:val="18"/>
      <w:szCs w:val="18"/>
    </w:rPr>
  </w:style>
  <w:style w:type="paragraph" w:styleId="57">
    <w:name w:val="Subtitle"/>
    <w:basedOn w:val="1"/>
    <w:next w:val="1"/>
    <w:link w:val="134"/>
    <w:qFormat/>
    <w:uiPriority w:val="0"/>
    <w:pPr>
      <w:spacing w:before="240" w:after="60" w:line="312" w:lineRule="auto"/>
      <w:jc w:val="center"/>
      <w:outlineLvl w:val="1"/>
    </w:pPr>
    <w:rPr>
      <w:rFonts w:ascii="Calibri Light" w:hAnsi="Calibri Light"/>
      <w:b/>
      <w:bCs/>
      <w:kern w:val="28"/>
      <w:sz w:val="32"/>
      <w:szCs w:val="32"/>
    </w:rPr>
  </w:style>
  <w:style w:type="paragraph" w:styleId="58">
    <w:name w:val="List Number 5"/>
    <w:basedOn w:val="1"/>
    <w:qFormat/>
    <w:uiPriority w:val="99"/>
    <w:pPr>
      <w:widowControl w:val="0"/>
      <w:tabs>
        <w:tab w:val="left" w:pos="726"/>
        <w:tab w:val="left" w:pos="2040"/>
      </w:tabs>
      <w:topLinePunct/>
      <w:spacing w:line="360" w:lineRule="auto"/>
      <w:ind w:left="2" w:firstLine="4"/>
    </w:pPr>
    <w:rPr>
      <w:rFonts w:ascii="仿宋_GB2312" w:hAnsi="Times New Roman" w:eastAsia="仿宋_GB2312" w:cs="Times New Roman"/>
      <w:kern w:val="2"/>
      <w:sz w:val="28"/>
      <w:szCs w:val="20"/>
    </w:rPr>
  </w:style>
  <w:style w:type="paragraph" w:styleId="59">
    <w:name w:val="List"/>
    <w:basedOn w:val="1"/>
    <w:link w:val="135"/>
    <w:qFormat/>
    <w:uiPriority w:val="0"/>
    <w:pPr>
      <w:widowControl w:val="0"/>
      <w:ind w:left="420" w:hanging="420"/>
      <w:jc w:val="both"/>
    </w:pPr>
    <w:rPr>
      <w:rFonts w:hint="eastAsia" w:ascii="黑体" w:hAnsi="Times New Roman" w:eastAsia="黑体" w:cs="Times New Roman"/>
      <w:kern w:val="2"/>
    </w:rPr>
  </w:style>
  <w:style w:type="paragraph" w:styleId="60">
    <w:name w:val="footnote text"/>
    <w:basedOn w:val="61"/>
    <w:link w:val="136"/>
    <w:qFormat/>
    <w:uiPriority w:val="99"/>
  </w:style>
  <w:style w:type="paragraph" w:customStyle="1" w:styleId="61">
    <w:name w:val="基准页脚样式"/>
    <w:basedOn w:val="31"/>
    <w:qFormat/>
    <w:uiPriority w:val="99"/>
    <w:pPr>
      <w:keepLines/>
      <w:spacing w:after="220" w:line="200" w:lineRule="atLeast"/>
      <w:jc w:val="center"/>
    </w:pPr>
    <w:rPr>
      <w:rFonts w:ascii="Times New Roman" w:hAnsi="Times New Roman"/>
      <w:color w:val="auto"/>
      <w:kern w:val="0"/>
      <w:sz w:val="16"/>
      <w:szCs w:val="20"/>
    </w:rPr>
  </w:style>
  <w:style w:type="paragraph" w:styleId="62">
    <w:name w:val="toc 6"/>
    <w:basedOn w:val="1"/>
    <w:next w:val="1"/>
    <w:qFormat/>
    <w:uiPriority w:val="39"/>
    <w:pPr>
      <w:ind w:left="1050" w:firstLine="200"/>
    </w:pPr>
    <w:rPr>
      <w:sz w:val="18"/>
      <w:szCs w:val="20"/>
    </w:rPr>
  </w:style>
  <w:style w:type="paragraph" w:styleId="63">
    <w:name w:val="List 5"/>
    <w:basedOn w:val="1"/>
    <w:qFormat/>
    <w:uiPriority w:val="99"/>
    <w:pPr>
      <w:widowControl w:val="0"/>
      <w:topLinePunct/>
      <w:spacing w:line="360" w:lineRule="auto"/>
      <w:ind w:left="100" w:leftChars="800" w:hanging="200" w:hangingChars="200"/>
    </w:pPr>
    <w:rPr>
      <w:rFonts w:ascii="仿宋_GB2312" w:hAnsi="Times New Roman" w:eastAsia="仿宋_GB2312" w:cs="Times New Roman"/>
      <w:kern w:val="2"/>
      <w:sz w:val="28"/>
      <w:szCs w:val="20"/>
    </w:rPr>
  </w:style>
  <w:style w:type="paragraph" w:styleId="64">
    <w:name w:val="Body Text Indent 3"/>
    <w:basedOn w:val="1"/>
    <w:link w:val="137"/>
    <w:qFormat/>
    <w:uiPriority w:val="0"/>
    <w:pPr>
      <w:widowControl w:val="0"/>
      <w:spacing w:after="120"/>
      <w:ind w:left="420" w:leftChars="200"/>
      <w:jc w:val="both"/>
    </w:pPr>
    <w:rPr>
      <w:rFonts w:ascii="Times New Roman" w:hAnsi="Times New Roman" w:cs="Times New Roman"/>
      <w:sz w:val="16"/>
      <w:szCs w:val="16"/>
    </w:rPr>
  </w:style>
  <w:style w:type="paragraph" w:styleId="65">
    <w:name w:val="table of figures"/>
    <w:next w:val="1"/>
    <w:qFormat/>
    <w:uiPriority w:val="99"/>
    <w:pPr>
      <w:adjustRightInd w:val="0"/>
      <w:snapToGrid w:val="0"/>
      <w:spacing w:before="120" w:line="240" w:lineRule="atLeast"/>
      <w:jc w:val="center"/>
    </w:pPr>
    <w:rPr>
      <w:rFonts w:ascii="Times New Roman" w:hAnsi="Times New Roman" w:eastAsia="宋体" w:cs="Times New Roman"/>
      <w:b/>
      <w:sz w:val="24"/>
      <w:lang w:val="en-US" w:eastAsia="zh-CN" w:bidi="ar-SA"/>
    </w:rPr>
  </w:style>
  <w:style w:type="paragraph" w:styleId="66">
    <w:name w:val="toc 2"/>
    <w:basedOn w:val="1"/>
    <w:next w:val="1"/>
    <w:link w:val="2759"/>
    <w:qFormat/>
    <w:uiPriority w:val="39"/>
    <w:pPr>
      <w:widowControl w:val="0"/>
      <w:ind w:left="210"/>
    </w:pPr>
    <w:rPr>
      <w:rFonts w:ascii="Calibri" w:hAnsi="Calibri" w:cs="Times New Roman"/>
      <w:smallCaps/>
      <w:kern w:val="2"/>
      <w:sz w:val="20"/>
      <w:szCs w:val="20"/>
    </w:rPr>
  </w:style>
  <w:style w:type="paragraph" w:styleId="67">
    <w:name w:val="toc 9"/>
    <w:basedOn w:val="1"/>
    <w:next w:val="1"/>
    <w:qFormat/>
    <w:uiPriority w:val="39"/>
    <w:pPr>
      <w:widowControl w:val="0"/>
      <w:ind w:left="1680"/>
    </w:pPr>
    <w:rPr>
      <w:rFonts w:ascii="Calibri" w:hAnsi="Calibri" w:cs="Times New Roman"/>
      <w:kern w:val="2"/>
      <w:sz w:val="18"/>
      <w:szCs w:val="18"/>
    </w:rPr>
  </w:style>
  <w:style w:type="paragraph" w:styleId="68">
    <w:name w:val="Body Text 2"/>
    <w:basedOn w:val="1"/>
    <w:link w:val="138"/>
    <w:qFormat/>
    <w:uiPriority w:val="99"/>
    <w:pPr>
      <w:widowControl w:val="0"/>
      <w:spacing w:line="400" w:lineRule="exact"/>
      <w:jc w:val="center"/>
    </w:pPr>
    <w:rPr>
      <w:rFonts w:ascii="Times New Roman" w:hAnsi="Times New Roman" w:cs="Times New Roman"/>
    </w:rPr>
  </w:style>
  <w:style w:type="paragraph" w:styleId="69">
    <w:name w:val="List 4"/>
    <w:basedOn w:val="1"/>
    <w:qFormat/>
    <w:uiPriority w:val="99"/>
    <w:pPr>
      <w:widowControl w:val="0"/>
      <w:topLinePunct/>
      <w:spacing w:line="360" w:lineRule="auto"/>
      <w:ind w:left="100" w:leftChars="600" w:hanging="200" w:hangingChars="200"/>
    </w:pPr>
    <w:rPr>
      <w:rFonts w:ascii="仿宋_GB2312" w:hAnsi="Times New Roman" w:eastAsia="仿宋_GB2312" w:cs="Times New Roman"/>
      <w:kern w:val="2"/>
      <w:sz w:val="28"/>
      <w:szCs w:val="20"/>
    </w:rPr>
  </w:style>
  <w:style w:type="paragraph" w:styleId="70">
    <w:name w:val="List Continue 2"/>
    <w:basedOn w:val="1"/>
    <w:qFormat/>
    <w:uiPriority w:val="99"/>
    <w:pPr>
      <w:widowControl w:val="0"/>
      <w:topLinePunct/>
      <w:spacing w:after="120" w:line="360" w:lineRule="auto"/>
      <w:ind w:left="840" w:leftChars="400" w:firstLine="200" w:firstLineChars="200"/>
    </w:pPr>
    <w:rPr>
      <w:rFonts w:ascii="仿宋_GB2312" w:hAnsi="Times New Roman" w:eastAsia="仿宋_GB2312" w:cs="Times New Roman"/>
      <w:kern w:val="2"/>
      <w:sz w:val="28"/>
      <w:szCs w:val="20"/>
    </w:rPr>
  </w:style>
  <w:style w:type="paragraph" w:styleId="71">
    <w:name w:val="Message Header"/>
    <w:basedOn w:val="1"/>
    <w:link w:val="139"/>
    <w:qFormat/>
    <w:uiPriority w:val="0"/>
    <w:pPr>
      <w:widowControl w:val="0"/>
      <w:pBdr>
        <w:top w:val="single" w:color="auto" w:sz="6" w:space="1"/>
        <w:left w:val="single" w:color="auto" w:sz="6" w:space="1"/>
        <w:bottom w:val="single" w:color="auto" w:sz="6" w:space="1"/>
        <w:right w:val="single" w:color="auto" w:sz="6" w:space="1"/>
      </w:pBdr>
      <w:shd w:val="pct20" w:color="auto" w:fill="auto"/>
      <w:topLinePunct/>
      <w:spacing w:line="360" w:lineRule="auto"/>
      <w:ind w:left="1080" w:leftChars="500" w:hanging="1080" w:hangingChars="500"/>
    </w:pPr>
    <w:rPr>
      <w:rFonts w:ascii="Arial" w:hAnsi="Arial" w:eastAsia="仿宋_GB2312" w:cs="Times New Roman"/>
      <w:szCs w:val="20"/>
    </w:rPr>
  </w:style>
  <w:style w:type="paragraph" w:styleId="72">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pPr>
    <w:rPr>
      <w:rFonts w:ascii="Arial" w:hAnsi="Arial" w:cs="Times New Roman"/>
      <w:sz w:val="19"/>
      <w:szCs w:val="19"/>
    </w:rPr>
  </w:style>
  <w:style w:type="paragraph" w:styleId="73">
    <w:name w:val="Normal (Web)"/>
    <w:basedOn w:val="1"/>
    <w:link w:val="141"/>
    <w:qFormat/>
    <w:uiPriority w:val="0"/>
    <w:pPr>
      <w:spacing w:before="100" w:beforeAutospacing="1" w:after="100" w:afterAutospacing="1"/>
    </w:pPr>
  </w:style>
  <w:style w:type="paragraph" w:styleId="74">
    <w:name w:val="List Continue 3"/>
    <w:basedOn w:val="1"/>
    <w:qFormat/>
    <w:uiPriority w:val="99"/>
    <w:pPr>
      <w:widowControl w:val="0"/>
      <w:topLinePunct/>
      <w:spacing w:after="120" w:line="360" w:lineRule="auto"/>
      <w:ind w:left="1260" w:leftChars="600" w:firstLine="200" w:firstLineChars="200"/>
    </w:pPr>
    <w:rPr>
      <w:rFonts w:ascii="仿宋_GB2312" w:hAnsi="Times New Roman" w:eastAsia="仿宋_GB2312" w:cs="Times New Roman"/>
      <w:kern w:val="2"/>
      <w:sz w:val="28"/>
      <w:szCs w:val="20"/>
    </w:rPr>
  </w:style>
  <w:style w:type="paragraph" w:styleId="75">
    <w:name w:val="index 1"/>
    <w:basedOn w:val="1"/>
    <w:next w:val="1"/>
    <w:qFormat/>
    <w:uiPriority w:val="99"/>
    <w:pPr>
      <w:widowControl w:val="0"/>
      <w:jc w:val="both"/>
    </w:pPr>
    <w:rPr>
      <w:rFonts w:ascii="Times New Roman" w:hAnsi="Times New Roman" w:cs="Times New Roman"/>
      <w:kern w:val="2"/>
      <w:sz w:val="21"/>
    </w:rPr>
  </w:style>
  <w:style w:type="paragraph" w:styleId="76">
    <w:name w:val="Title"/>
    <w:basedOn w:val="1"/>
    <w:link w:val="142"/>
    <w:qFormat/>
    <w:uiPriority w:val="0"/>
    <w:pPr>
      <w:widowControl w:val="0"/>
      <w:spacing w:before="240" w:after="60"/>
      <w:ind w:right="2687" w:firstLine="2760"/>
      <w:jc w:val="distribute"/>
      <w:outlineLvl w:val="0"/>
    </w:pPr>
    <w:rPr>
      <w:rFonts w:ascii="Arial" w:hAnsi="Arial" w:cs="Times New Roman"/>
      <w:b/>
      <w:sz w:val="32"/>
      <w:szCs w:val="20"/>
    </w:rPr>
  </w:style>
  <w:style w:type="paragraph" w:styleId="77">
    <w:name w:val="annotation subject"/>
    <w:basedOn w:val="26"/>
    <w:next w:val="26"/>
    <w:link w:val="143"/>
    <w:qFormat/>
    <w:uiPriority w:val="0"/>
    <w:rPr>
      <w:rFonts w:ascii="宋体" w:hAnsi="宋体" w:cs="宋体"/>
      <w:b/>
      <w:bCs/>
      <w:szCs w:val="24"/>
    </w:rPr>
  </w:style>
  <w:style w:type="paragraph" w:styleId="78">
    <w:name w:val="Body Text First Indent"/>
    <w:basedOn w:val="1"/>
    <w:next w:val="62"/>
    <w:link w:val="144"/>
    <w:qFormat/>
    <w:uiPriority w:val="0"/>
    <w:pPr>
      <w:spacing w:after="120"/>
      <w:ind w:firstLine="420" w:firstLineChars="100"/>
      <w:jc w:val="both"/>
    </w:pPr>
    <w:rPr>
      <w:sz w:val="20"/>
      <w:szCs w:val="20"/>
    </w:rPr>
  </w:style>
  <w:style w:type="paragraph" w:styleId="79">
    <w:name w:val="Body Text First Indent 2"/>
    <w:basedOn w:val="32"/>
    <w:link w:val="145"/>
    <w:qFormat/>
    <w:uiPriority w:val="0"/>
    <w:pPr>
      <w:widowControl w:val="0"/>
      <w:topLinePunct/>
      <w:spacing w:line="360" w:lineRule="auto"/>
      <w:ind w:firstLine="200" w:firstLineChars="200"/>
    </w:pPr>
    <w:rPr>
      <w:rFonts w:hAnsi="Times New Roman"/>
      <w:spacing w:val="0"/>
      <w:sz w:val="28"/>
    </w:rPr>
  </w:style>
  <w:style w:type="table" w:styleId="81">
    <w:name w:val="Table Grid"/>
    <w:basedOn w:val="8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2">
    <w:name w:val="Table Classic 1"/>
    <w:basedOn w:val="80"/>
    <w:unhideWhenUsed/>
    <w:qFormat/>
    <w:uiPriority w:val="0"/>
    <w:pPr>
      <w:widowControl w:val="0"/>
      <w:jc w:val="both"/>
    </w:pPr>
    <w:rPr>
      <w:rFonts w:eastAsia="Times New Roman"/>
    </w:rPr>
    <w:tblPr>
      <w:tblBorders>
        <w:top w:val="single" w:color="000000" w:sz="12" w:space="0"/>
        <w:bottom w:val="single" w:color="000000" w:sz="12" w:space="0"/>
        <w:insideH w:val="single" w:color="000000" w:sz="4" w:space="0"/>
        <w:insideV w:val="single" w:color="000000" w:sz="4" w:space="0"/>
      </w:tblBorders>
      <w:tblCellMar>
        <w:top w:w="0" w:type="dxa"/>
        <w:left w:w="108" w:type="dxa"/>
        <w:bottom w:w="0" w:type="dxa"/>
        <w:right w:w="108" w:type="dxa"/>
      </w:tblCellMar>
    </w:tbl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84">
    <w:name w:val="Strong"/>
    <w:basedOn w:val="83"/>
    <w:qFormat/>
    <w:uiPriority w:val="22"/>
    <w:rPr>
      <w:b/>
    </w:rPr>
  </w:style>
  <w:style w:type="character" w:styleId="85">
    <w:name w:val="endnote reference"/>
    <w:qFormat/>
    <w:uiPriority w:val="0"/>
    <w:rPr>
      <w:vertAlign w:val="superscript"/>
    </w:rPr>
  </w:style>
  <w:style w:type="character" w:styleId="86">
    <w:name w:val="page number"/>
    <w:basedOn w:val="83"/>
    <w:qFormat/>
    <w:uiPriority w:val="0"/>
  </w:style>
  <w:style w:type="character" w:styleId="87">
    <w:name w:val="FollowedHyperlink"/>
    <w:basedOn w:val="83"/>
    <w:qFormat/>
    <w:uiPriority w:val="99"/>
    <w:rPr>
      <w:rFonts w:hint="eastAsia" w:ascii="微软雅黑" w:hAnsi="微软雅黑" w:eastAsia="微软雅黑" w:cs="微软雅黑"/>
      <w:color w:val="000000"/>
      <w:sz w:val="22"/>
      <w:szCs w:val="22"/>
      <w:u w:val="none"/>
    </w:rPr>
  </w:style>
  <w:style w:type="character" w:styleId="88">
    <w:name w:val="Emphasis"/>
    <w:qFormat/>
    <w:uiPriority w:val="20"/>
    <w:rPr>
      <w:rFonts w:eastAsia="仿宋_GB2312"/>
      <w:i/>
      <w:iCs/>
      <w:spacing w:val="-2"/>
      <w:kern w:val="2"/>
      <w:sz w:val="28"/>
      <w:szCs w:val="28"/>
      <w:lang w:val="en-US" w:eastAsia="zh-CN" w:bidi="ar-SA"/>
    </w:rPr>
  </w:style>
  <w:style w:type="character" w:styleId="89">
    <w:name w:val="line number"/>
    <w:qFormat/>
    <w:uiPriority w:val="0"/>
    <w:rPr>
      <w:rFonts w:eastAsia="仿宋_GB2312"/>
      <w:spacing w:val="-2"/>
      <w:kern w:val="2"/>
      <w:sz w:val="28"/>
      <w:szCs w:val="28"/>
      <w:lang w:val="en-US" w:eastAsia="zh-CN" w:bidi="ar-SA"/>
    </w:rPr>
  </w:style>
  <w:style w:type="character" w:styleId="90">
    <w:name w:val="HTML Definition"/>
    <w:qFormat/>
    <w:uiPriority w:val="99"/>
    <w:rPr>
      <w:rFonts w:eastAsia="仿宋_GB2312"/>
      <w:i/>
      <w:iCs/>
      <w:spacing w:val="-2"/>
      <w:kern w:val="2"/>
      <w:sz w:val="28"/>
      <w:szCs w:val="28"/>
      <w:lang w:val="en-US" w:eastAsia="zh-CN" w:bidi="ar-SA"/>
    </w:rPr>
  </w:style>
  <w:style w:type="character" w:styleId="91">
    <w:name w:val="HTML Typewriter"/>
    <w:qFormat/>
    <w:uiPriority w:val="0"/>
    <w:rPr>
      <w:rFonts w:ascii="Courier New" w:hAnsi="Courier New" w:eastAsia="仿宋_GB2312" w:cs="Courier New"/>
      <w:spacing w:val="-2"/>
      <w:kern w:val="2"/>
      <w:sz w:val="20"/>
      <w:szCs w:val="20"/>
      <w:lang w:val="en-US" w:eastAsia="zh-CN" w:bidi="ar-SA"/>
    </w:rPr>
  </w:style>
  <w:style w:type="character" w:styleId="92">
    <w:name w:val="HTML Acronym"/>
    <w:qFormat/>
    <w:uiPriority w:val="0"/>
    <w:rPr>
      <w:rFonts w:eastAsia="仿宋_GB2312"/>
      <w:spacing w:val="-2"/>
      <w:kern w:val="2"/>
      <w:sz w:val="28"/>
      <w:szCs w:val="28"/>
      <w:lang w:val="en-US" w:eastAsia="zh-CN" w:bidi="ar-SA"/>
    </w:rPr>
  </w:style>
  <w:style w:type="character" w:styleId="93">
    <w:name w:val="HTML Variable"/>
    <w:qFormat/>
    <w:uiPriority w:val="99"/>
    <w:rPr>
      <w:rFonts w:eastAsia="仿宋_GB2312"/>
      <w:i/>
      <w:iCs/>
      <w:spacing w:val="-2"/>
      <w:kern w:val="2"/>
      <w:sz w:val="28"/>
      <w:szCs w:val="28"/>
      <w:lang w:val="en-US" w:eastAsia="zh-CN" w:bidi="ar-SA"/>
    </w:rPr>
  </w:style>
  <w:style w:type="character" w:styleId="94">
    <w:name w:val="Hyperlink"/>
    <w:qFormat/>
    <w:uiPriority w:val="99"/>
    <w:rPr>
      <w:rFonts w:ascii="Times New Roman" w:hAnsi="Times New Roman"/>
      <w:color w:val="000000"/>
      <w:szCs w:val="20"/>
      <w:u w:val="none"/>
    </w:rPr>
  </w:style>
  <w:style w:type="character" w:styleId="95">
    <w:name w:val="HTML Code"/>
    <w:qFormat/>
    <w:uiPriority w:val="99"/>
    <w:rPr>
      <w:rFonts w:ascii="Courier New" w:hAnsi="Courier New" w:eastAsia="仿宋_GB2312" w:cs="Courier New"/>
      <w:spacing w:val="-2"/>
      <w:kern w:val="2"/>
      <w:sz w:val="20"/>
      <w:szCs w:val="20"/>
      <w:lang w:val="en-US" w:eastAsia="zh-CN" w:bidi="ar-SA"/>
    </w:rPr>
  </w:style>
  <w:style w:type="character" w:styleId="96">
    <w:name w:val="annotation reference"/>
    <w:basedOn w:val="83"/>
    <w:qFormat/>
    <w:uiPriority w:val="99"/>
    <w:rPr>
      <w:sz w:val="21"/>
      <w:szCs w:val="21"/>
    </w:rPr>
  </w:style>
  <w:style w:type="character" w:styleId="97">
    <w:name w:val="HTML Cite"/>
    <w:qFormat/>
    <w:uiPriority w:val="99"/>
    <w:rPr>
      <w:rFonts w:eastAsia="仿宋_GB2312"/>
      <w:i/>
      <w:iCs/>
      <w:spacing w:val="-2"/>
      <w:kern w:val="2"/>
      <w:sz w:val="28"/>
      <w:szCs w:val="28"/>
      <w:lang w:val="en-US" w:eastAsia="zh-CN" w:bidi="ar-SA"/>
    </w:rPr>
  </w:style>
  <w:style w:type="character" w:styleId="98">
    <w:name w:val="footnote reference"/>
    <w:qFormat/>
    <w:uiPriority w:val="99"/>
    <w:rPr>
      <w:vertAlign w:val="superscript"/>
    </w:rPr>
  </w:style>
  <w:style w:type="character" w:styleId="99">
    <w:name w:val="HTML Keyboard"/>
    <w:qFormat/>
    <w:uiPriority w:val="99"/>
    <w:rPr>
      <w:rFonts w:ascii="Courier New" w:hAnsi="Courier New" w:eastAsia="仿宋_GB2312" w:cs="Courier New"/>
      <w:spacing w:val="-2"/>
      <w:kern w:val="2"/>
      <w:sz w:val="20"/>
      <w:szCs w:val="20"/>
      <w:lang w:val="en-US" w:eastAsia="zh-CN" w:bidi="ar-SA"/>
    </w:rPr>
  </w:style>
  <w:style w:type="character" w:styleId="100">
    <w:name w:val="HTML Sample"/>
    <w:qFormat/>
    <w:uiPriority w:val="99"/>
    <w:rPr>
      <w:rFonts w:ascii="Courier New" w:hAnsi="Courier New" w:eastAsia="仿宋_GB2312" w:cs="Courier New"/>
      <w:spacing w:val="-2"/>
      <w:kern w:val="2"/>
      <w:sz w:val="28"/>
      <w:szCs w:val="28"/>
      <w:lang w:val="en-US" w:eastAsia="zh-CN" w:bidi="ar-SA"/>
    </w:rPr>
  </w:style>
  <w:style w:type="character" w:customStyle="1" w:styleId="101">
    <w:name w:val="标题 1 Char"/>
    <w:link w:val="3"/>
    <w:qFormat/>
    <w:uiPriority w:val="0"/>
    <w:rPr>
      <w:rFonts w:eastAsia="黑体"/>
      <w:kern w:val="2"/>
      <w:sz w:val="32"/>
      <w:szCs w:val="22"/>
    </w:rPr>
  </w:style>
  <w:style w:type="paragraph" w:customStyle="1" w:styleId="102">
    <w:name w:val="Default"/>
    <w:basedOn w:val="103"/>
    <w:next w:val="1"/>
    <w:qFormat/>
    <w:uiPriority w:val="99"/>
    <w:rPr>
      <w:rFonts w:eastAsia="宋体"/>
      <w:color w:val="000000"/>
    </w:rPr>
  </w:style>
  <w:style w:type="paragraph" w:customStyle="1" w:styleId="103">
    <w:name w:val="表头"/>
    <w:basedOn w:val="1"/>
    <w:next w:val="1"/>
    <w:link w:val="104"/>
    <w:qFormat/>
    <w:uiPriority w:val="0"/>
    <w:pPr>
      <w:widowControl w:val="0"/>
      <w:adjustRightInd w:val="0"/>
      <w:snapToGrid w:val="0"/>
      <w:spacing w:line="360" w:lineRule="auto"/>
      <w:jc w:val="center"/>
    </w:pPr>
    <w:rPr>
      <w:rFonts w:ascii="Times New Roman" w:hAnsi="Times New Roman" w:eastAsia="黑体" w:cs="Times New Roman"/>
    </w:rPr>
  </w:style>
  <w:style w:type="character" w:customStyle="1" w:styleId="104">
    <w:name w:val="表头 Char"/>
    <w:link w:val="103"/>
    <w:qFormat/>
    <w:uiPriority w:val="0"/>
    <w:rPr>
      <w:rFonts w:ascii="Times New Roman" w:hAnsi="Times New Roman" w:eastAsia="黑体"/>
      <w:sz w:val="24"/>
      <w:szCs w:val="24"/>
    </w:rPr>
  </w:style>
  <w:style w:type="character" w:customStyle="1" w:styleId="105">
    <w:name w:val="正文缩进 Char"/>
    <w:link w:val="5"/>
    <w:qFormat/>
    <w:uiPriority w:val="0"/>
    <w:rPr>
      <w:sz w:val="28"/>
    </w:rPr>
  </w:style>
  <w:style w:type="character" w:customStyle="1" w:styleId="106">
    <w:name w:val="标题 2 Char1"/>
    <w:link w:val="4"/>
    <w:qFormat/>
    <w:uiPriority w:val="0"/>
    <w:rPr>
      <w:rFonts w:eastAsia="黑体"/>
      <w:bCs/>
      <w:sz w:val="28"/>
      <w:szCs w:val="32"/>
    </w:rPr>
  </w:style>
  <w:style w:type="character" w:customStyle="1" w:styleId="107">
    <w:name w:val="标题 3 Char1"/>
    <w:link w:val="6"/>
    <w:qFormat/>
    <w:uiPriority w:val="9"/>
    <w:rPr>
      <w:rFonts w:ascii="Times New Roman" w:hAnsi="Times New Roman" w:eastAsia="黑体"/>
      <w:bCs/>
      <w:szCs w:val="32"/>
    </w:rPr>
  </w:style>
  <w:style w:type="character" w:customStyle="1" w:styleId="108">
    <w:name w:val="标题 4 Char1"/>
    <w:link w:val="7"/>
    <w:qFormat/>
    <w:uiPriority w:val="99"/>
    <w:rPr>
      <w:rFonts w:ascii="Times New Roman" w:hAnsi="Times New Roman" w:cs="宋体"/>
      <w:sz w:val="24"/>
      <w:lang w:val="zh-CN"/>
    </w:rPr>
  </w:style>
  <w:style w:type="character" w:customStyle="1" w:styleId="109">
    <w:name w:val="标题 5 Char"/>
    <w:basedOn w:val="83"/>
    <w:link w:val="8"/>
    <w:qFormat/>
    <w:uiPriority w:val="0"/>
    <w:rPr>
      <w:rFonts w:ascii="仿宋_GB2312" w:hAnsi="Times New Roman" w:eastAsia="仿宋_GB2312"/>
      <w:b/>
      <w:bCs/>
      <w:sz w:val="28"/>
      <w:szCs w:val="28"/>
    </w:rPr>
  </w:style>
  <w:style w:type="character" w:customStyle="1" w:styleId="110">
    <w:name w:val="标题 6 Char"/>
    <w:basedOn w:val="83"/>
    <w:link w:val="9"/>
    <w:qFormat/>
    <w:uiPriority w:val="0"/>
    <w:rPr>
      <w:rFonts w:ascii="Times New Roman" w:hAnsi="Times New Roman"/>
      <w:b/>
      <w:bCs/>
      <w:kern w:val="2"/>
      <w:sz w:val="24"/>
    </w:rPr>
  </w:style>
  <w:style w:type="character" w:customStyle="1" w:styleId="111">
    <w:name w:val="标题 7 Char"/>
    <w:basedOn w:val="83"/>
    <w:link w:val="10"/>
    <w:qFormat/>
    <w:uiPriority w:val="0"/>
    <w:rPr>
      <w:rFonts w:ascii="Times New Roman" w:hAnsi="Times New Roman"/>
      <w:b/>
      <w:bCs/>
      <w:kern w:val="2"/>
      <w:sz w:val="28"/>
      <w:szCs w:val="28"/>
    </w:rPr>
  </w:style>
  <w:style w:type="character" w:customStyle="1" w:styleId="112">
    <w:name w:val="标题 8 Char1"/>
    <w:link w:val="11"/>
    <w:qFormat/>
    <w:uiPriority w:val="0"/>
    <w:rPr>
      <w:rFonts w:ascii="Times New Roman" w:hAnsi="Times New Roman"/>
      <w:b/>
      <w:bCs/>
      <w:kern w:val="2"/>
      <w:sz w:val="28"/>
      <w:szCs w:val="28"/>
    </w:rPr>
  </w:style>
  <w:style w:type="character" w:customStyle="1" w:styleId="113">
    <w:name w:val="标题 9 Char"/>
    <w:basedOn w:val="83"/>
    <w:link w:val="12"/>
    <w:qFormat/>
    <w:uiPriority w:val="0"/>
    <w:rPr>
      <w:rFonts w:ascii="Arial" w:hAnsi="Arial" w:eastAsia="黑体"/>
      <w:sz w:val="28"/>
      <w:szCs w:val="21"/>
    </w:rPr>
  </w:style>
  <w:style w:type="character" w:customStyle="1" w:styleId="114">
    <w:name w:val="宏文本 Char2"/>
    <w:basedOn w:val="83"/>
    <w:link w:val="2"/>
    <w:qFormat/>
    <w:uiPriority w:val="0"/>
    <w:rPr>
      <w:rFonts w:ascii="Courier New" w:hAnsi="Courier New" w:cs="Courier New"/>
      <w:kern w:val="2"/>
      <w:sz w:val="24"/>
      <w:szCs w:val="24"/>
    </w:rPr>
  </w:style>
  <w:style w:type="character" w:customStyle="1" w:styleId="115">
    <w:name w:val="注释标题 Char"/>
    <w:link w:val="17"/>
    <w:qFormat/>
    <w:uiPriority w:val="0"/>
    <w:rPr>
      <w:rFonts w:ascii="Times New Roman" w:hAnsi="Times New Roman"/>
    </w:rPr>
  </w:style>
  <w:style w:type="character" w:customStyle="1" w:styleId="116">
    <w:name w:val="电子邮件签名 Char"/>
    <w:link w:val="19"/>
    <w:qFormat/>
    <w:uiPriority w:val="0"/>
    <w:rPr>
      <w:rFonts w:ascii="仿宋_GB2312" w:hAnsi="Times New Roman" w:eastAsia="仿宋_GB2312"/>
      <w:sz w:val="28"/>
    </w:rPr>
  </w:style>
  <w:style w:type="character" w:customStyle="1" w:styleId="117">
    <w:name w:val="题注 Char"/>
    <w:link w:val="21"/>
    <w:qFormat/>
    <w:uiPriority w:val="0"/>
    <w:rPr>
      <w:rFonts w:ascii="Arial" w:hAnsi="Arial" w:eastAsia="黑体" w:cs="Arial"/>
    </w:rPr>
  </w:style>
  <w:style w:type="character" w:customStyle="1" w:styleId="118">
    <w:name w:val="文档结构图 Char"/>
    <w:link w:val="24"/>
    <w:qFormat/>
    <w:uiPriority w:val="99"/>
    <w:rPr>
      <w:rFonts w:ascii="Times New Roman" w:hAnsi="Times New Roman"/>
      <w:szCs w:val="24"/>
      <w:shd w:val="clear" w:color="auto" w:fill="000080"/>
    </w:rPr>
  </w:style>
  <w:style w:type="character" w:customStyle="1" w:styleId="119">
    <w:name w:val="批注文字 Char"/>
    <w:basedOn w:val="83"/>
    <w:link w:val="26"/>
    <w:qFormat/>
    <w:uiPriority w:val="99"/>
    <w:rPr>
      <w:sz w:val="24"/>
      <w:szCs w:val="22"/>
    </w:rPr>
  </w:style>
  <w:style w:type="character" w:customStyle="1" w:styleId="120">
    <w:name w:val="称呼 Char"/>
    <w:link w:val="27"/>
    <w:qFormat/>
    <w:uiPriority w:val="0"/>
    <w:rPr>
      <w:rFonts w:ascii="Times New Roman" w:hAnsi="Times New Roman" w:eastAsia="楷体_GB2312"/>
      <w:color w:val="000000"/>
      <w:kern w:val="28"/>
      <w:sz w:val="28"/>
    </w:rPr>
  </w:style>
  <w:style w:type="character" w:customStyle="1" w:styleId="121">
    <w:name w:val="正文文本 3 Char"/>
    <w:link w:val="28"/>
    <w:qFormat/>
    <w:uiPriority w:val="0"/>
    <w:rPr>
      <w:rFonts w:ascii="宋体" w:hAnsi="宋体"/>
      <w:color w:val="006600"/>
      <w:kern w:val="16"/>
      <w:sz w:val="24"/>
      <w:szCs w:val="24"/>
    </w:rPr>
  </w:style>
  <w:style w:type="character" w:customStyle="1" w:styleId="122">
    <w:name w:val="结束语 Char"/>
    <w:link w:val="29"/>
    <w:qFormat/>
    <w:uiPriority w:val="0"/>
    <w:rPr>
      <w:rFonts w:ascii="仿宋_GB2312" w:hAnsi="Times New Roman" w:eastAsia="仿宋_GB2312"/>
      <w:sz w:val="28"/>
    </w:rPr>
  </w:style>
  <w:style w:type="character" w:customStyle="1" w:styleId="123">
    <w:name w:val="正文文本 Char1"/>
    <w:link w:val="31"/>
    <w:qFormat/>
    <w:uiPriority w:val="1"/>
    <w:rPr>
      <w:color w:val="000000"/>
      <w:kern w:val="2"/>
      <w:sz w:val="24"/>
      <w:szCs w:val="22"/>
    </w:rPr>
  </w:style>
  <w:style w:type="character" w:customStyle="1" w:styleId="124">
    <w:name w:val="正文文本缩进 Char2"/>
    <w:basedOn w:val="83"/>
    <w:link w:val="32"/>
    <w:qFormat/>
    <w:uiPriority w:val="0"/>
    <w:rPr>
      <w:rFonts w:ascii="仿宋_GB2312" w:eastAsia="仿宋_GB2312"/>
      <w:spacing w:val="-2"/>
    </w:rPr>
  </w:style>
  <w:style w:type="character" w:customStyle="1" w:styleId="125">
    <w:name w:val="HTML 地址 Char"/>
    <w:link w:val="38"/>
    <w:qFormat/>
    <w:uiPriority w:val="0"/>
    <w:rPr>
      <w:rFonts w:ascii="Times New Roman" w:hAnsi="Times New Roman"/>
      <w:i/>
      <w:iCs/>
    </w:rPr>
  </w:style>
  <w:style w:type="character" w:customStyle="1" w:styleId="126">
    <w:name w:val="纯文本 Char1"/>
    <w:link w:val="41"/>
    <w:qFormat/>
    <w:uiPriority w:val="99"/>
    <w:rPr>
      <w:rFonts w:ascii="宋体" w:hAnsi="Courier New"/>
      <w:kern w:val="2"/>
      <w:sz w:val="21"/>
      <w:szCs w:val="22"/>
    </w:rPr>
  </w:style>
  <w:style w:type="character" w:customStyle="1" w:styleId="127">
    <w:name w:val="日期 Char"/>
    <w:link w:val="45"/>
    <w:qFormat/>
    <w:uiPriority w:val="99"/>
  </w:style>
  <w:style w:type="character" w:customStyle="1" w:styleId="128">
    <w:name w:val="正文文本缩进 2 Char"/>
    <w:link w:val="46"/>
    <w:qFormat/>
    <w:uiPriority w:val="0"/>
    <w:rPr>
      <w:rFonts w:ascii="Times New Roman" w:hAnsi="Times New Roman"/>
      <w:szCs w:val="24"/>
    </w:rPr>
  </w:style>
  <w:style w:type="character" w:customStyle="1" w:styleId="129">
    <w:name w:val="尾注文本 Char"/>
    <w:link w:val="47"/>
    <w:qFormat/>
    <w:uiPriority w:val="0"/>
    <w:rPr>
      <w:sz w:val="24"/>
    </w:rPr>
  </w:style>
  <w:style w:type="character" w:customStyle="1" w:styleId="130">
    <w:name w:val="批注框文本 Char"/>
    <w:basedOn w:val="83"/>
    <w:link w:val="49"/>
    <w:qFormat/>
    <w:uiPriority w:val="0"/>
    <w:rPr>
      <w:rFonts w:ascii="宋体" w:hAnsi="宋体" w:cs="宋体"/>
      <w:sz w:val="18"/>
      <w:szCs w:val="18"/>
    </w:rPr>
  </w:style>
  <w:style w:type="character" w:customStyle="1" w:styleId="131">
    <w:name w:val="页脚 Char"/>
    <w:link w:val="50"/>
    <w:qFormat/>
    <w:uiPriority w:val="99"/>
    <w:rPr>
      <w:kern w:val="2"/>
      <w:sz w:val="18"/>
      <w:szCs w:val="18"/>
    </w:rPr>
  </w:style>
  <w:style w:type="character" w:customStyle="1" w:styleId="132">
    <w:name w:val="页眉 Char"/>
    <w:link w:val="52"/>
    <w:qFormat/>
    <w:uiPriority w:val="99"/>
    <w:rPr>
      <w:kern w:val="2"/>
      <w:sz w:val="18"/>
      <w:szCs w:val="18"/>
    </w:rPr>
  </w:style>
  <w:style w:type="character" w:customStyle="1" w:styleId="133">
    <w:name w:val="签名 Char"/>
    <w:link w:val="53"/>
    <w:qFormat/>
    <w:uiPriority w:val="0"/>
    <w:rPr>
      <w:rFonts w:ascii="仿宋_GB2312" w:hAnsi="Times New Roman" w:eastAsia="仿宋_GB2312"/>
      <w:sz w:val="28"/>
    </w:rPr>
  </w:style>
  <w:style w:type="character" w:customStyle="1" w:styleId="134">
    <w:name w:val="副标题 Char"/>
    <w:link w:val="57"/>
    <w:qFormat/>
    <w:uiPriority w:val="0"/>
    <w:rPr>
      <w:rFonts w:ascii="Calibri Light" w:hAnsi="Calibri Light" w:cs="宋体"/>
      <w:b/>
      <w:bCs/>
      <w:kern w:val="28"/>
      <w:sz w:val="32"/>
      <w:szCs w:val="32"/>
    </w:rPr>
  </w:style>
  <w:style w:type="character" w:customStyle="1" w:styleId="135">
    <w:name w:val="列表 Char"/>
    <w:link w:val="59"/>
    <w:qFormat/>
    <w:uiPriority w:val="0"/>
    <w:rPr>
      <w:rFonts w:ascii="黑体" w:hAnsi="Times New Roman" w:eastAsia="黑体"/>
      <w:kern w:val="2"/>
      <w:sz w:val="24"/>
      <w:szCs w:val="24"/>
    </w:rPr>
  </w:style>
  <w:style w:type="character" w:customStyle="1" w:styleId="136">
    <w:name w:val="脚注文本 Char"/>
    <w:link w:val="60"/>
    <w:qFormat/>
    <w:uiPriority w:val="99"/>
    <w:rPr>
      <w:rFonts w:ascii="Times New Roman" w:hAnsi="Times New Roman"/>
      <w:sz w:val="16"/>
    </w:rPr>
  </w:style>
  <w:style w:type="character" w:customStyle="1" w:styleId="137">
    <w:name w:val="正文文本缩进 3 Char"/>
    <w:link w:val="64"/>
    <w:qFormat/>
    <w:uiPriority w:val="0"/>
    <w:rPr>
      <w:rFonts w:ascii="Times New Roman" w:hAnsi="Times New Roman"/>
      <w:sz w:val="16"/>
      <w:szCs w:val="16"/>
    </w:rPr>
  </w:style>
  <w:style w:type="character" w:customStyle="1" w:styleId="138">
    <w:name w:val="正文文本 2 Char"/>
    <w:link w:val="68"/>
    <w:qFormat/>
    <w:uiPriority w:val="99"/>
    <w:rPr>
      <w:rFonts w:ascii="Times New Roman" w:hAnsi="Times New Roman"/>
      <w:sz w:val="24"/>
      <w:szCs w:val="24"/>
    </w:rPr>
  </w:style>
  <w:style w:type="character" w:customStyle="1" w:styleId="139">
    <w:name w:val="信息标题 Char"/>
    <w:link w:val="71"/>
    <w:qFormat/>
    <w:uiPriority w:val="0"/>
    <w:rPr>
      <w:rFonts w:ascii="Arial" w:hAnsi="Arial" w:eastAsia="仿宋_GB2312"/>
      <w:sz w:val="24"/>
      <w:shd w:val="pct20" w:color="auto" w:fill="auto"/>
    </w:rPr>
  </w:style>
  <w:style w:type="character" w:customStyle="1" w:styleId="140">
    <w:name w:val="HTML 预设格式 Char"/>
    <w:link w:val="72"/>
    <w:qFormat/>
    <w:uiPriority w:val="99"/>
    <w:rPr>
      <w:rFonts w:ascii="Arial" w:hAnsi="Arial"/>
      <w:sz w:val="19"/>
      <w:szCs w:val="19"/>
    </w:rPr>
  </w:style>
  <w:style w:type="character" w:customStyle="1" w:styleId="141">
    <w:name w:val="普通(网站) Char"/>
    <w:link w:val="73"/>
    <w:qFormat/>
    <w:uiPriority w:val="0"/>
    <w:rPr>
      <w:rFonts w:ascii="宋体" w:hAnsi="宋体" w:cs="宋体"/>
      <w:sz w:val="24"/>
      <w:szCs w:val="24"/>
    </w:rPr>
  </w:style>
  <w:style w:type="character" w:customStyle="1" w:styleId="142">
    <w:name w:val="标题 Char1"/>
    <w:link w:val="76"/>
    <w:qFormat/>
    <w:uiPriority w:val="0"/>
    <w:rPr>
      <w:rFonts w:ascii="Arial" w:hAnsi="Arial"/>
      <w:b/>
      <w:sz w:val="32"/>
    </w:rPr>
  </w:style>
  <w:style w:type="character" w:customStyle="1" w:styleId="143">
    <w:name w:val="批注主题 Char"/>
    <w:basedOn w:val="119"/>
    <w:link w:val="77"/>
    <w:qFormat/>
    <w:uiPriority w:val="0"/>
    <w:rPr>
      <w:rFonts w:ascii="宋体" w:hAnsi="宋体" w:cs="宋体"/>
      <w:b/>
      <w:bCs/>
      <w:sz w:val="24"/>
      <w:szCs w:val="24"/>
    </w:rPr>
  </w:style>
  <w:style w:type="character" w:customStyle="1" w:styleId="144">
    <w:name w:val="正文首行缩进 Char"/>
    <w:basedOn w:val="123"/>
    <w:link w:val="78"/>
    <w:qFormat/>
    <w:uiPriority w:val="0"/>
    <w:rPr>
      <w:color w:val="000000"/>
      <w:kern w:val="2"/>
      <w:sz w:val="24"/>
      <w:szCs w:val="22"/>
    </w:rPr>
  </w:style>
  <w:style w:type="character" w:customStyle="1" w:styleId="145">
    <w:name w:val="正文首行缩进 2 Char"/>
    <w:link w:val="79"/>
    <w:qFormat/>
    <w:uiPriority w:val="0"/>
    <w:rPr>
      <w:rFonts w:ascii="仿宋_GB2312" w:hAnsi="Times New Roman" w:eastAsia="仿宋_GB2312"/>
      <w:sz w:val="28"/>
    </w:rPr>
  </w:style>
  <w:style w:type="paragraph" w:customStyle="1" w:styleId="146">
    <w:name w:val="正文格式"/>
    <w:basedOn w:val="1"/>
    <w:next w:val="1"/>
    <w:link w:val="147"/>
    <w:qFormat/>
    <w:uiPriority w:val="0"/>
    <w:pPr>
      <w:spacing w:line="360" w:lineRule="auto"/>
      <w:ind w:firstLine="544"/>
    </w:pPr>
    <w:rPr>
      <w:szCs w:val="20"/>
    </w:rPr>
  </w:style>
  <w:style w:type="character" w:customStyle="1" w:styleId="147">
    <w:name w:val="正文格式 Char Char"/>
    <w:link w:val="146"/>
    <w:qFormat/>
    <w:uiPriority w:val="0"/>
    <w:rPr>
      <w:rFonts w:ascii="宋体" w:hAnsi="宋体" w:cs="宋体"/>
      <w:sz w:val="24"/>
    </w:rPr>
  </w:style>
  <w:style w:type="paragraph" w:customStyle="1" w:styleId="148">
    <w:name w:val="11111"/>
    <w:basedOn w:val="1"/>
    <w:next w:val="1"/>
    <w:qFormat/>
    <w:uiPriority w:val="0"/>
    <w:pPr>
      <w:spacing w:line="360" w:lineRule="auto"/>
      <w:ind w:firstLine="200" w:firstLineChars="200"/>
    </w:pPr>
  </w:style>
  <w:style w:type="paragraph" w:customStyle="1" w:styleId="149">
    <w:name w:val="【正文】"/>
    <w:basedOn w:val="1"/>
    <w:next w:val="1"/>
    <w:link w:val="150"/>
    <w:qFormat/>
    <w:uiPriority w:val="0"/>
    <w:pPr>
      <w:spacing w:line="500" w:lineRule="exact"/>
      <w:ind w:firstLine="200" w:firstLineChars="200"/>
    </w:pPr>
    <w:rPr>
      <w:rFonts w:cs="Times New Roman"/>
    </w:rPr>
  </w:style>
  <w:style w:type="character" w:customStyle="1" w:styleId="150">
    <w:name w:val="【正文】 Char Char"/>
    <w:link w:val="149"/>
    <w:qFormat/>
    <w:uiPriority w:val="0"/>
    <w:rPr>
      <w:rFonts w:ascii="宋体" w:hAnsi="宋体"/>
      <w:sz w:val="24"/>
      <w:szCs w:val="24"/>
    </w:rPr>
  </w:style>
  <w:style w:type="paragraph" w:customStyle="1" w:styleId="151">
    <w:name w:val="【表头】"/>
    <w:basedOn w:val="1"/>
    <w:link w:val="152"/>
    <w:qFormat/>
    <w:uiPriority w:val="0"/>
    <w:pPr>
      <w:spacing w:line="500" w:lineRule="exact"/>
      <w:jc w:val="center"/>
    </w:pPr>
    <w:rPr>
      <w:rFonts w:ascii="Calibri" w:hAnsi="Calibri" w:eastAsia="黑体" w:cs="Times New Roman"/>
      <w:sz w:val="20"/>
      <w:szCs w:val="20"/>
      <w:lang w:val="zh-CN"/>
    </w:rPr>
  </w:style>
  <w:style w:type="character" w:customStyle="1" w:styleId="152">
    <w:name w:val="【表头】 Char Char"/>
    <w:link w:val="151"/>
    <w:qFormat/>
    <w:uiPriority w:val="0"/>
    <w:rPr>
      <w:rFonts w:eastAsia="黑体"/>
      <w:lang w:val="zh-CN"/>
    </w:rPr>
  </w:style>
  <w:style w:type="paragraph" w:customStyle="1" w:styleId="153">
    <w:name w:val="【表中文字】"/>
    <w:basedOn w:val="1"/>
    <w:link w:val="154"/>
    <w:qFormat/>
    <w:uiPriority w:val="0"/>
    <w:pPr>
      <w:jc w:val="center"/>
    </w:pPr>
    <w:rPr>
      <w:rFonts w:ascii="Calibri" w:hAnsi="Calibri" w:cs="Times New Roman"/>
      <w:kern w:val="2"/>
      <w:sz w:val="21"/>
      <w:szCs w:val="22"/>
      <w:lang w:val="zh-CN"/>
    </w:rPr>
  </w:style>
  <w:style w:type="character" w:customStyle="1" w:styleId="154">
    <w:name w:val="【表中文字】 Char Char"/>
    <w:link w:val="153"/>
    <w:qFormat/>
    <w:uiPriority w:val="0"/>
    <w:rPr>
      <w:kern w:val="2"/>
      <w:sz w:val="21"/>
      <w:szCs w:val="22"/>
      <w:lang w:val="zh-CN"/>
    </w:rPr>
  </w:style>
  <w:style w:type="paragraph" w:customStyle="1" w:styleId="155">
    <w:name w:val="【表中文字】-"/>
    <w:basedOn w:val="1"/>
    <w:qFormat/>
    <w:uiPriority w:val="0"/>
    <w:pPr>
      <w:jc w:val="center"/>
    </w:pPr>
    <w:rPr>
      <w:sz w:val="20"/>
      <w:szCs w:val="20"/>
    </w:rPr>
  </w:style>
  <w:style w:type="paragraph" w:customStyle="1" w:styleId="156">
    <w:name w:val="Char Char Char Char Char Char Char"/>
    <w:basedOn w:val="1"/>
    <w:qFormat/>
    <w:uiPriority w:val="0"/>
    <w:pPr>
      <w:spacing w:line="360" w:lineRule="auto"/>
      <w:ind w:firstLine="200" w:firstLineChars="200"/>
    </w:pPr>
  </w:style>
  <w:style w:type="paragraph" w:customStyle="1" w:styleId="157">
    <w:name w:val="reader-word-layer reader-word-s1-13"/>
    <w:basedOn w:val="1"/>
    <w:qFormat/>
    <w:uiPriority w:val="0"/>
    <w:pPr>
      <w:spacing w:before="100" w:beforeAutospacing="1" w:after="100" w:afterAutospacing="1"/>
    </w:pPr>
  </w:style>
  <w:style w:type="paragraph" w:customStyle="1" w:styleId="158">
    <w:name w:val="p0"/>
    <w:basedOn w:val="1"/>
    <w:qFormat/>
    <w:uiPriority w:val="0"/>
    <w:pPr>
      <w:ind w:firstLine="200"/>
    </w:pPr>
    <w:rPr>
      <w:sz w:val="21"/>
      <w:szCs w:val="21"/>
    </w:rPr>
  </w:style>
  <w:style w:type="paragraph" w:customStyle="1" w:styleId="159">
    <w:name w:val="首行缩进"/>
    <w:basedOn w:val="1"/>
    <w:qFormat/>
    <w:uiPriority w:val="99"/>
    <w:pPr>
      <w:spacing w:line="460" w:lineRule="atLeast"/>
      <w:jc w:val="center"/>
    </w:pPr>
    <w:rPr>
      <w:rFonts w:eastAsia="黑体"/>
      <w:color w:val="000000"/>
      <w:spacing w:val="20"/>
    </w:rPr>
  </w:style>
  <w:style w:type="paragraph" w:customStyle="1" w:styleId="160">
    <w:name w:val="正文1"/>
    <w:link w:val="16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character" w:customStyle="1" w:styleId="161">
    <w:name w:val="正文1 Char"/>
    <w:link w:val="160"/>
    <w:qFormat/>
    <w:uiPriority w:val="0"/>
    <w:rPr>
      <w:rFonts w:ascii="宋体" w:hAnsi="Times New Roman"/>
      <w:sz w:val="24"/>
    </w:rPr>
  </w:style>
  <w:style w:type="paragraph" w:customStyle="1" w:styleId="162">
    <w:name w:val="_Style 4"/>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163">
    <w:name w:val="font131"/>
    <w:basedOn w:val="83"/>
    <w:qFormat/>
    <w:uiPriority w:val="0"/>
    <w:rPr>
      <w:rFonts w:hint="default" w:ascii="Calibri" w:hAnsi="Calibri" w:cs="Calibri"/>
      <w:color w:val="000000"/>
      <w:sz w:val="21"/>
      <w:szCs w:val="21"/>
      <w:u w:val="none"/>
      <w:vertAlign w:val="superscript"/>
    </w:rPr>
  </w:style>
  <w:style w:type="character" w:customStyle="1" w:styleId="164">
    <w:name w:val="font81"/>
    <w:basedOn w:val="83"/>
    <w:qFormat/>
    <w:uiPriority w:val="0"/>
    <w:rPr>
      <w:rFonts w:hint="default" w:ascii="Calibri" w:hAnsi="Calibri" w:cs="Calibri"/>
      <w:color w:val="000000"/>
      <w:sz w:val="21"/>
      <w:szCs w:val="21"/>
      <w:u w:val="none"/>
    </w:rPr>
  </w:style>
  <w:style w:type="character" w:customStyle="1" w:styleId="165">
    <w:name w:val="font122"/>
    <w:basedOn w:val="83"/>
    <w:qFormat/>
    <w:uiPriority w:val="0"/>
    <w:rPr>
      <w:rFonts w:hint="default" w:ascii="Calibri" w:hAnsi="Calibri" w:cs="Calibri"/>
      <w:color w:val="000000"/>
      <w:sz w:val="21"/>
      <w:szCs w:val="21"/>
      <w:u w:val="none"/>
      <w:vertAlign w:val="subscript"/>
    </w:rPr>
  </w:style>
  <w:style w:type="character" w:customStyle="1" w:styleId="166">
    <w:name w:val="font12"/>
    <w:basedOn w:val="83"/>
    <w:qFormat/>
    <w:uiPriority w:val="99"/>
    <w:rPr>
      <w:rFonts w:ascii="宋体" w:hAnsi="宋体" w:eastAsia="宋体" w:cs="宋体"/>
      <w:color w:val="7030A0"/>
      <w:sz w:val="21"/>
      <w:szCs w:val="21"/>
      <w:u w:val="none"/>
    </w:rPr>
  </w:style>
  <w:style w:type="character" w:customStyle="1" w:styleId="167">
    <w:name w:val="font101"/>
    <w:basedOn w:val="83"/>
    <w:qFormat/>
    <w:uiPriority w:val="99"/>
    <w:rPr>
      <w:rFonts w:ascii="宋体" w:hAnsi="宋体" w:eastAsia="宋体" w:cs="宋体"/>
      <w:color w:val="7030A0"/>
      <w:sz w:val="21"/>
      <w:szCs w:val="21"/>
      <w:u w:val="none"/>
      <w:vertAlign w:val="superscript"/>
    </w:rPr>
  </w:style>
  <w:style w:type="character" w:customStyle="1" w:styleId="168">
    <w:name w:val="font91"/>
    <w:basedOn w:val="83"/>
    <w:qFormat/>
    <w:uiPriority w:val="99"/>
    <w:rPr>
      <w:rFonts w:ascii="宋体" w:hAnsi="宋体" w:eastAsia="宋体" w:cs="宋体"/>
      <w:color w:val="7030A0"/>
      <w:sz w:val="21"/>
      <w:szCs w:val="21"/>
      <w:u w:val="none"/>
      <w:vertAlign w:val="subscript"/>
    </w:rPr>
  </w:style>
  <w:style w:type="paragraph" w:customStyle="1" w:styleId="169">
    <w:name w:val="表格"/>
    <w:basedOn w:val="170"/>
    <w:next w:val="1"/>
    <w:link w:val="173"/>
    <w:qFormat/>
    <w:uiPriority w:val="0"/>
    <w:pPr>
      <w:jc w:val="center"/>
    </w:pPr>
    <w:rPr>
      <w:rFonts w:ascii="Calibri" w:hAnsi="Calibri"/>
      <w:color w:val="000000"/>
      <w:sz w:val="21"/>
      <w:szCs w:val="21"/>
    </w:rPr>
  </w:style>
  <w:style w:type="paragraph" w:customStyle="1" w:styleId="170">
    <w:name w:val="标准"/>
    <w:basedOn w:val="171"/>
    <w:qFormat/>
    <w:uiPriority w:val="0"/>
    <w:pPr>
      <w:adjustRightInd w:val="0"/>
      <w:spacing w:line="480" w:lineRule="exact"/>
      <w:textAlignment w:val="baseline"/>
    </w:pPr>
    <w:rPr>
      <w:rFonts w:ascii="Times New Roman" w:hAnsi="Times New Roman"/>
      <w:sz w:val="28"/>
      <w:szCs w:val="20"/>
      <w:lang w:val="en-GB"/>
    </w:rPr>
  </w:style>
  <w:style w:type="paragraph" w:customStyle="1" w:styleId="171">
    <w:name w:val="正文 New New"/>
    <w:link w:val="172"/>
    <w:qFormat/>
    <w:uiPriority w:val="99"/>
    <w:pPr>
      <w:widowControl w:val="0"/>
      <w:jc w:val="both"/>
    </w:pPr>
    <w:rPr>
      <w:rFonts w:ascii="Calibri" w:hAnsi="Calibri" w:eastAsia="宋体" w:cs="Times New Roman"/>
      <w:kern w:val="2"/>
      <w:sz w:val="21"/>
      <w:szCs w:val="24"/>
      <w:lang w:val="en-US" w:eastAsia="zh-CN" w:bidi="ar-SA"/>
    </w:rPr>
  </w:style>
  <w:style w:type="character" w:customStyle="1" w:styleId="172">
    <w:name w:val="正文 New New Char"/>
    <w:link w:val="171"/>
    <w:qFormat/>
    <w:uiPriority w:val="99"/>
    <w:rPr>
      <w:rFonts w:ascii="Calibri" w:hAnsi="Calibri"/>
      <w:kern w:val="2"/>
      <w:sz w:val="21"/>
      <w:szCs w:val="24"/>
    </w:rPr>
  </w:style>
  <w:style w:type="character" w:customStyle="1" w:styleId="173">
    <w:name w:val="表格 Char Char"/>
    <w:link w:val="169"/>
    <w:qFormat/>
    <w:locked/>
    <w:uiPriority w:val="0"/>
    <w:rPr>
      <w:rFonts w:cs="宋体"/>
      <w:color w:val="000000"/>
      <w:sz w:val="21"/>
      <w:szCs w:val="21"/>
    </w:rPr>
  </w:style>
  <w:style w:type="paragraph" w:customStyle="1" w:styleId="174">
    <w:name w:val="Table Paragraph"/>
    <w:basedOn w:val="1"/>
    <w:qFormat/>
    <w:uiPriority w:val="1"/>
    <w:pPr>
      <w:ind w:firstLine="200"/>
    </w:pPr>
    <w:rPr>
      <w:rFonts w:ascii="Calibri" w:hAnsi="Calibri"/>
      <w:sz w:val="22"/>
      <w:lang w:eastAsia="en-US"/>
    </w:rPr>
  </w:style>
  <w:style w:type="paragraph" w:customStyle="1" w:styleId="175">
    <w:name w:val="样式 正文文字-1 + 首行缩进:  2.1 字符1"/>
    <w:basedOn w:val="176"/>
    <w:qFormat/>
    <w:uiPriority w:val="0"/>
    <w:pPr>
      <w:spacing w:line="440" w:lineRule="exact"/>
      <w:ind w:firstLine="210"/>
    </w:pPr>
    <w:rPr>
      <w:rFonts w:cs="宋体"/>
      <w:szCs w:val="20"/>
    </w:rPr>
  </w:style>
  <w:style w:type="paragraph" w:customStyle="1" w:styleId="176">
    <w:name w:val="正文文字-1 Char"/>
    <w:qFormat/>
    <w:uiPriority w:val="0"/>
    <w:pPr>
      <w:widowControl w:val="0"/>
      <w:spacing w:before="120" w:after="120" w:line="480" w:lineRule="exact"/>
      <w:ind w:firstLine="588" w:firstLineChars="210"/>
      <w:jc w:val="both"/>
    </w:pPr>
    <w:rPr>
      <w:rFonts w:ascii="Times New Roman" w:hAnsi="Times New Roman" w:eastAsia="宋体" w:cs="Times New Roman"/>
      <w:kern w:val="2"/>
      <w:sz w:val="24"/>
      <w:szCs w:val="24"/>
      <w:lang w:val="en-US" w:eastAsia="zh-CN" w:bidi="ar-SA"/>
    </w:rPr>
  </w:style>
  <w:style w:type="paragraph" w:customStyle="1" w:styleId="177">
    <w:name w:val="表格文字"/>
    <w:basedOn w:val="1"/>
    <w:link w:val="178"/>
    <w:qFormat/>
    <w:uiPriority w:val="0"/>
    <w:pPr>
      <w:tabs>
        <w:tab w:val="left" w:pos="146"/>
      </w:tabs>
      <w:spacing w:line="240" w:lineRule="exact"/>
      <w:ind w:right="-55" w:rightChars="-55" w:firstLine="200"/>
      <w:jc w:val="center"/>
    </w:pPr>
    <w:rPr>
      <w:rFonts w:ascii="Calibri" w:hAnsi="Calibri" w:cs="Times New Roman"/>
      <w:spacing w:val="6"/>
      <w:szCs w:val="20"/>
    </w:rPr>
  </w:style>
  <w:style w:type="character" w:customStyle="1" w:styleId="178">
    <w:name w:val="表格文字 Char Char"/>
    <w:link w:val="177"/>
    <w:qFormat/>
    <w:uiPriority w:val="0"/>
    <w:rPr>
      <w:spacing w:val="6"/>
      <w:sz w:val="24"/>
    </w:rPr>
  </w:style>
  <w:style w:type="character" w:customStyle="1" w:styleId="179">
    <w:name w:val="样式 样式 四号 蓝色 + 自动设置"/>
    <w:qFormat/>
    <w:uiPriority w:val="0"/>
    <w:rPr>
      <w:color w:val="auto"/>
      <w:sz w:val="24"/>
    </w:rPr>
  </w:style>
  <w:style w:type="paragraph" w:customStyle="1" w:styleId="180">
    <w:name w:val="报告表正文"/>
    <w:basedOn w:val="1"/>
    <w:qFormat/>
    <w:uiPriority w:val="99"/>
    <w:pPr>
      <w:spacing w:line="360" w:lineRule="auto"/>
      <w:ind w:firstLine="420" w:firstLineChars="200"/>
    </w:pPr>
    <w:rPr>
      <w:rFonts w:ascii="Calibri" w:hAnsi="Calibri" w:cs="Times New Roman"/>
      <w:szCs w:val="22"/>
      <w:lang w:val="zh-CN"/>
    </w:rPr>
  </w:style>
  <w:style w:type="paragraph" w:styleId="181">
    <w:name w:val="List Paragraph"/>
    <w:basedOn w:val="1"/>
    <w:link w:val="2794"/>
    <w:qFormat/>
    <w:uiPriority w:val="34"/>
    <w:pPr>
      <w:ind w:left="597" w:hanging="602"/>
    </w:pPr>
    <w:rPr>
      <w:lang w:val="zh-CN" w:bidi="zh-CN"/>
    </w:rPr>
  </w:style>
  <w:style w:type="character" w:customStyle="1" w:styleId="182">
    <w:name w:val="正文文本 (9)_"/>
    <w:link w:val="183"/>
    <w:qFormat/>
    <w:uiPriority w:val="99"/>
    <w:rPr>
      <w:rFonts w:ascii="MingLiU" w:eastAsia="MingLiU" w:cs="MingLiU"/>
      <w:shd w:val="clear" w:color="auto" w:fill="FFFFFF"/>
    </w:rPr>
  </w:style>
  <w:style w:type="paragraph" w:customStyle="1" w:styleId="183">
    <w:name w:val="正文文本 (9)1"/>
    <w:basedOn w:val="1"/>
    <w:link w:val="182"/>
    <w:qFormat/>
    <w:uiPriority w:val="99"/>
    <w:pPr>
      <w:widowControl w:val="0"/>
      <w:shd w:val="clear" w:color="auto" w:fill="FFFFFF"/>
      <w:spacing w:before="2040" w:after="660" w:line="240" w:lineRule="atLeast"/>
      <w:jc w:val="center"/>
    </w:pPr>
    <w:rPr>
      <w:rFonts w:ascii="MingLiU" w:hAnsi="Calibri" w:eastAsia="MingLiU" w:cs="MingLiU"/>
      <w:sz w:val="20"/>
      <w:szCs w:val="20"/>
    </w:rPr>
  </w:style>
  <w:style w:type="paragraph" w:customStyle="1" w:styleId="184">
    <w:name w:val="一级标题"/>
    <w:basedOn w:val="1"/>
    <w:qFormat/>
    <w:uiPriority w:val="0"/>
    <w:pPr>
      <w:widowControl w:val="0"/>
      <w:spacing w:line="520" w:lineRule="exact"/>
      <w:jc w:val="both"/>
    </w:pPr>
    <w:rPr>
      <w:rFonts w:ascii="Calibri" w:hAnsi="Calibri" w:eastAsia="仿宋_GB2312" w:cs="Times New Roman"/>
      <w:b/>
      <w:color w:val="000000"/>
      <w:kern w:val="2"/>
      <w:sz w:val="21"/>
      <w:szCs w:val="22"/>
    </w:rPr>
  </w:style>
  <w:style w:type="paragraph" w:styleId="185">
    <w:name w:val="No Spacing"/>
    <w:link w:val="186"/>
    <w:qFormat/>
    <w:uiPriority w:val="0"/>
    <w:rPr>
      <w:rFonts w:ascii="宋体" w:hAnsi="宋体" w:eastAsia="宋体" w:cs="宋体"/>
      <w:sz w:val="24"/>
      <w:szCs w:val="24"/>
      <w:lang w:val="en-US" w:eastAsia="zh-CN" w:bidi="ar-SA"/>
    </w:rPr>
  </w:style>
  <w:style w:type="character" w:customStyle="1" w:styleId="186">
    <w:name w:val="无间隔 Char"/>
    <w:link w:val="185"/>
    <w:qFormat/>
    <w:uiPriority w:val="0"/>
    <w:rPr>
      <w:rFonts w:ascii="宋体" w:hAnsi="宋体" w:cs="宋体"/>
      <w:sz w:val="24"/>
      <w:szCs w:val="24"/>
    </w:rPr>
  </w:style>
  <w:style w:type="character" w:customStyle="1" w:styleId="187">
    <w:name w:val="标题 8 Char"/>
    <w:basedOn w:val="83"/>
    <w:qFormat/>
    <w:uiPriority w:val="99"/>
    <w:rPr>
      <w:rFonts w:asciiTheme="majorHAnsi" w:hAnsiTheme="majorHAnsi" w:eastAsiaTheme="majorEastAsia" w:cstheme="majorBidi"/>
      <w:sz w:val="24"/>
      <w:szCs w:val="24"/>
    </w:rPr>
  </w:style>
  <w:style w:type="character" w:customStyle="1" w:styleId="188">
    <w:name w:val="sort1"/>
    <w:qFormat/>
    <w:uiPriority w:val="0"/>
    <w:rPr>
      <w:color w:val="FFFFFF"/>
      <w:bdr w:val="single" w:color="auto" w:sz="24" w:space="0"/>
    </w:rPr>
  </w:style>
  <w:style w:type="character" w:customStyle="1" w:styleId="189">
    <w:name w:val="p14"/>
    <w:basedOn w:val="83"/>
    <w:qFormat/>
    <w:uiPriority w:val="0"/>
  </w:style>
  <w:style w:type="character" w:customStyle="1" w:styleId="190">
    <w:name w:val="正文样式 Char Char"/>
    <w:link w:val="191"/>
    <w:qFormat/>
    <w:uiPriority w:val="0"/>
    <w:rPr>
      <w:rFonts w:ascii="宋体" w:hAnsi="宋体"/>
      <w:sz w:val="24"/>
      <w:szCs w:val="24"/>
    </w:rPr>
  </w:style>
  <w:style w:type="paragraph" w:customStyle="1" w:styleId="191">
    <w:name w:val="正文样式"/>
    <w:basedOn w:val="1"/>
    <w:link w:val="190"/>
    <w:qFormat/>
    <w:uiPriority w:val="0"/>
    <w:pPr>
      <w:widowControl w:val="0"/>
      <w:spacing w:line="360" w:lineRule="auto"/>
      <w:ind w:firstLine="480" w:firstLineChars="200"/>
      <w:jc w:val="both"/>
    </w:pPr>
    <w:rPr>
      <w:rFonts w:cs="Times New Roman"/>
    </w:rPr>
  </w:style>
  <w:style w:type="character" w:customStyle="1" w:styleId="192">
    <w:name w:val="正文文本 (2) + Georgia9"/>
    <w:qFormat/>
    <w:uiPriority w:val="99"/>
    <w:rPr>
      <w:rFonts w:ascii="Georgia" w:hAnsi="Georgia" w:eastAsia="MingLiU" w:cs="Georgia"/>
      <w:sz w:val="20"/>
      <w:szCs w:val="20"/>
      <w:u w:val="none"/>
      <w:shd w:val="clear" w:color="auto" w:fill="FFFFFF"/>
      <w:lang w:val="en-US" w:eastAsia="en-US"/>
    </w:rPr>
  </w:style>
  <w:style w:type="character" w:customStyle="1" w:styleId="193">
    <w:name w:val="标题2 Char Char"/>
    <w:qFormat/>
    <w:uiPriority w:val="0"/>
    <w:rPr>
      <w:rFonts w:ascii="Arial" w:hAnsi="Arial" w:eastAsia="黑体"/>
      <w:b/>
      <w:bCs/>
      <w:kern w:val="2"/>
      <w:sz w:val="32"/>
      <w:szCs w:val="32"/>
      <w:lang w:val="en-US" w:eastAsia="zh-CN" w:bidi="ar-SA"/>
    </w:rPr>
  </w:style>
  <w:style w:type="character" w:customStyle="1" w:styleId="194">
    <w:name w:val="morelink-item"/>
    <w:qFormat/>
    <w:uiPriority w:val="0"/>
  </w:style>
  <w:style w:type="character" w:customStyle="1" w:styleId="195">
    <w:name w:val="Heading 4 Char"/>
    <w:qFormat/>
    <w:uiPriority w:val="0"/>
    <w:rPr>
      <w:rFonts w:ascii="黑体" w:hAnsi="宋体" w:eastAsia="黑体" w:cs="宋体"/>
      <w:bCs/>
      <w:sz w:val="24"/>
      <w:szCs w:val="24"/>
    </w:rPr>
  </w:style>
  <w:style w:type="character" w:customStyle="1" w:styleId="196">
    <w:name w:val="正文文本: Char Char"/>
    <w:link w:val="197"/>
    <w:semiHidden/>
    <w:qFormat/>
    <w:uiPriority w:val="0"/>
    <w:rPr>
      <w:rFonts w:ascii="仿宋_GB2312" w:eastAsia="仿宋_GB2312" w:cs="宋体"/>
      <w:sz w:val="28"/>
    </w:rPr>
  </w:style>
  <w:style w:type="paragraph" w:customStyle="1" w:styleId="197">
    <w:name w:val="正文文本:"/>
    <w:basedOn w:val="1"/>
    <w:link w:val="196"/>
    <w:semiHidden/>
    <w:qFormat/>
    <w:uiPriority w:val="0"/>
    <w:pPr>
      <w:widowControl w:val="0"/>
      <w:spacing w:line="360" w:lineRule="auto"/>
      <w:ind w:firstLine="200" w:firstLineChars="200"/>
    </w:pPr>
    <w:rPr>
      <w:rFonts w:ascii="仿宋_GB2312" w:hAnsi="Calibri" w:eastAsia="仿宋_GB2312"/>
      <w:sz w:val="28"/>
      <w:szCs w:val="20"/>
    </w:rPr>
  </w:style>
  <w:style w:type="character" w:customStyle="1" w:styleId="198">
    <w:name w:val="title41"/>
    <w:qFormat/>
    <w:uiPriority w:val="0"/>
    <w:rPr>
      <w:rFonts w:hint="eastAsia" w:ascii="宋体" w:hAnsi="宋体" w:eastAsia="宋体"/>
      <w:color w:val="FF6600"/>
      <w:sz w:val="36"/>
      <w:szCs w:val="36"/>
    </w:rPr>
  </w:style>
  <w:style w:type="character" w:customStyle="1" w:styleId="199">
    <w:name w:val="纯文本 Char"/>
    <w:qFormat/>
    <w:uiPriority w:val="0"/>
    <w:rPr>
      <w:rFonts w:ascii="宋体" w:hAnsi="Courier New" w:eastAsia="宋体" w:cs="Courier New"/>
      <w:szCs w:val="21"/>
    </w:rPr>
  </w:style>
  <w:style w:type="character" w:customStyle="1" w:styleId="200">
    <w:name w:val="polysemyexp"/>
    <w:qFormat/>
    <w:uiPriority w:val="0"/>
    <w:rPr>
      <w:color w:val="AAAAAA"/>
      <w:sz w:val="18"/>
      <w:szCs w:val="18"/>
    </w:rPr>
  </w:style>
  <w:style w:type="character" w:customStyle="1" w:styleId="201">
    <w:name w:val="表中文 Char Char"/>
    <w:link w:val="202"/>
    <w:qFormat/>
    <w:uiPriority w:val="0"/>
    <w:rPr>
      <w:rFonts w:ascii="Times New Roman" w:hAnsi="Times New Roman"/>
      <w:snapToGrid w:val="0"/>
      <w:kern w:val="2"/>
      <w:sz w:val="21"/>
      <w:szCs w:val="21"/>
    </w:rPr>
  </w:style>
  <w:style w:type="paragraph" w:customStyle="1" w:styleId="202">
    <w:name w:val="表中文"/>
    <w:link w:val="201"/>
    <w:qFormat/>
    <w:uiPriority w:val="0"/>
    <w:pPr>
      <w:jc w:val="center"/>
    </w:pPr>
    <w:rPr>
      <w:rFonts w:ascii="Times New Roman" w:hAnsi="Times New Roman" w:eastAsia="宋体" w:cs="Times New Roman"/>
      <w:snapToGrid w:val="0"/>
      <w:kern w:val="2"/>
      <w:sz w:val="21"/>
      <w:szCs w:val="21"/>
      <w:lang w:val="en-US" w:eastAsia="zh-CN" w:bidi="ar-SA"/>
    </w:rPr>
  </w:style>
  <w:style w:type="character" w:customStyle="1" w:styleId="203">
    <w:name w:val="正文首行缩进-修改 Char Char"/>
    <w:link w:val="204"/>
    <w:qFormat/>
    <w:uiPriority w:val="0"/>
    <w:rPr>
      <w:rFonts w:ascii="Times New Roman" w:hAnsi="Times New Roman"/>
      <w:sz w:val="24"/>
      <w:szCs w:val="24"/>
    </w:rPr>
  </w:style>
  <w:style w:type="paragraph" w:customStyle="1" w:styleId="204">
    <w:name w:val="正文首行缩进-修改"/>
    <w:basedOn w:val="1"/>
    <w:link w:val="203"/>
    <w:qFormat/>
    <w:uiPriority w:val="0"/>
    <w:pPr>
      <w:widowControl w:val="0"/>
      <w:spacing w:line="360" w:lineRule="auto"/>
      <w:ind w:firstLine="480" w:firstLineChars="200"/>
      <w:jc w:val="both"/>
    </w:pPr>
    <w:rPr>
      <w:rFonts w:ascii="Times New Roman" w:hAnsi="Times New Roman" w:cs="Times New Roman"/>
    </w:rPr>
  </w:style>
  <w:style w:type="character" w:customStyle="1" w:styleId="205">
    <w:name w:val="标题3--------------- Char Char"/>
    <w:link w:val="206"/>
    <w:qFormat/>
    <w:uiPriority w:val="0"/>
    <w:rPr>
      <w:b/>
      <w:bCs/>
      <w:sz w:val="30"/>
    </w:rPr>
  </w:style>
  <w:style w:type="paragraph" w:customStyle="1" w:styleId="206">
    <w:name w:val="标题3---------------"/>
    <w:basedOn w:val="6"/>
    <w:link w:val="205"/>
    <w:qFormat/>
    <w:uiPriority w:val="0"/>
    <w:pPr>
      <w:keepNext w:val="0"/>
      <w:widowControl w:val="0"/>
      <w:spacing w:before="160" w:after="160" w:line="240" w:lineRule="auto"/>
      <w:jc w:val="both"/>
    </w:pPr>
    <w:rPr>
      <w:rFonts w:ascii="Calibri" w:hAnsi="Calibri" w:eastAsia="宋体"/>
      <w:b/>
      <w:sz w:val="30"/>
      <w:szCs w:val="20"/>
    </w:rPr>
  </w:style>
  <w:style w:type="character" w:customStyle="1" w:styleId="207">
    <w:name w:val="表中 Char Char"/>
    <w:link w:val="208"/>
    <w:qFormat/>
    <w:uiPriority w:val="0"/>
    <w:rPr>
      <w:rFonts w:ascii="宋体" w:hAnsi="宋体"/>
      <w:color w:val="000000"/>
      <w:sz w:val="24"/>
    </w:rPr>
  </w:style>
  <w:style w:type="paragraph" w:customStyle="1" w:styleId="208">
    <w:name w:val="表中"/>
    <w:basedOn w:val="1"/>
    <w:link w:val="207"/>
    <w:qFormat/>
    <w:uiPriority w:val="0"/>
    <w:pPr>
      <w:tabs>
        <w:tab w:val="left" w:pos="425"/>
      </w:tabs>
      <w:snapToGrid w:val="0"/>
      <w:spacing w:beforeLines="20" w:afterLines="20" w:line="240" w:lineRule="exact"/>
      <w:ind w:hanging="425"/>
      <w:jc w:val="center"/>
    </w:pPr>
    <w:rPr>
      <w:rFonts w:cs="Times New Roman"/>
      <w:color w:val="000000"/>
      <w:szCs w:val="20"/>
    </w:rPr>
  </w:style>
  <w:style w:type="character" w:customStyle="1" w:styleId="209">
    <w:name w:val="lemmatitleh12"/>
    <w:basedOn w:val="83"/>
    <w:qFormat/>
    <w:uiPriority w:val="0"/>
  </w:style>
  <w:style w:type="character" w:customStyle="1" w:styleId="210">
    <w:name w:val="德胜空行 Char Char"/>
    <w:link w:val="211"/>
    <w:qFormat/>
    <w:uiPriority w:val="0"/>
    <w:rPr>
      <w:snapToGrid w:val="0"/>
      <w:color w:val="0000FF"/>
      <w:szCs w:val="21"/>
    </w:rPr>
  </w:style>
  <w:style w:type="paragraph" w:customStyle="1" w:styleId="211">
    <w:name w:val="德胜空行"/>
    <w:basedOn w:val="1"/>
    <w:link w:val="210"/>
    <w:qFormat/>
    <w:uiPriority w:val="0"/>
    <w:pPr>
      <w:widowControl w:val="0"/>
      <w:adjustRightInd w:val="0"/>
      <w:snapToGrid w:val="0"/>
    </w:pPr>
    <w:rPr>
      <w:rFonts w:ascii="Calibri" w:hAnsi="Calibri" w:cs="Times New Roman"/>
      <w:snapToGrid w:val="0"/>
      <w:color w:val="0000FF"/>
      <w:sz w:val="20"/>
      <w:szCs w:val="21"/>
    </w:rPr>
  </w:style>
  <w:style w:type="character" w:customStyle="1" w:styleId="212">
    <w:name w:val="Char Char3"/>
    <w:qFormat/>
    <w:uiPriority w:val="0"/>
    <w:rPr>
      <w:rFonts w:ascii="黑体" w:hAnsi="Arial" w:eastAsia="黑体"/>
      <w:b/>
      <w:bCs/>
      <w:kern w:val="2"/>
      <w:sz w:val="28"/>
      <w:szCs w:val="28"/>
      <w:lang w:val="sq-AL" w:eastAsia="zh-CN" w:bidi="ar-SA"/>
    </w:rPr>
  </w:style>
  <w:style w:type="character" w:customStyle="1" w:styleId="213">
    <w:name w:val="正文文本 (2) + 10 pt11"/>
    <w:qFormat/>
    <w:uiPriority w:val="99"/>
    <w:rPr>
      <w:rFonts w:ascii="MingLiU" w:eastAsia="MingLiU" w:cs="MingLiU"/>
      <w:spacing w:val="10"/>
      <w:sz w:val="20"/>
      <w:szCs w:val="20"/>
      <w:u w:val="none"/>
      <w:shd w:val="clear" w:color="auto" w:fill="FFFFFF"/>
    </w:rPr>
  </w:style>
  <w:style w:type="character" w:customStyle="1" w:styleId="214">
    <w:name w:val="段落1 Char1"/>
    <w:link w:val="215"/>
    <w:qFormat/>
    <w:uiPriority w:val="0"/>
    <w:rPr>
      <w:bCs/>
      <w:spacing w:val="6"/>
      <w:sz w:val="24"/>
      <w:szCs w:val="24"/>
    </w:rPr>
  </w:style>
  <w:style w:type="paragraph" w:customStyle="1" w:styleId="215">
    <w:name w:val="段落1"/>
    <w:basedOn w:val="1"/>
    <w:link w:val="214"/>
    <w:qFormat/>
    <w:uiPriority w:val="0"/>
    <w:pPr>
      <w:widowControl w:val="0"/>
      <w:adjustRightInd w:val="0"/>
      <w:spacing w:before="120" w:after="120" w:line="360" w:lineRule="auto"/>
      <w:ind w:firstLine="504" w:firstLineChars="200"/>
      <w:jc w:val="both"/>
      <w:textAlignment w:val="baseline"/>
    </w:pPr>
    <w:rPr>
      <w:rFonts w:ascii="Calibri" w:hAnsi="Calibri" w:cs="Times New Roman"/>
      <w:bCs/>
      <w:spacing w:val="6"/>
    </w:rPr>
  </w:style>
  <w:style w:type="character" w:customStyle="1" w:styleId="216">
    <w:name w:val="h2 Char1"/>
    <w:qFormat/>
    <w:uiPriority w:val="0"/>
    <w:rPr>
      <w:rFonts w:ascii="Times New Roman" w:hAnsi="Times New Roman" w:eastAsia="黑体"/>
      <w:bCs/>
      <w:kern w:val="2"/>
      <w:sz w:val="30"/>
      <w:szCs w:val="32"/>
    </w:rPr>
  </w:style>
  <w:style w:type="character" w:customStyle="1" w:styleId="217">
    <w:name w:val="章节标题 Char3"/>
    <w:qFormat/>
    <w:uiPriority w:val="0"/>
    <w:rPr>
      <w:rFonts w:ascii="Times New Roman" w:hAnsi="Times New Roman" w:eastAsia="黑体" w:cs="Times New Roman"/>
      <w:b/>
      <w:kern w:val="44"/>
      <w:sz w:val="44"/>
      <w:szCs w:val="20"/>
    </w:rPr>
  </w:style>
  <w:style w:type="character" w:customStyle="1" w:styleId="218">
    <w:name w:val="表格内容1 Char Char1 Char Char Char"/>
    <w:link w:val="219"/>
    <w:semiHidden/>
    <w:qFormat/>
    <w:uiPriority w:val="0"/>
    <w:rPr>
      <w:rFonts w:ascii="Times New Roman" w:hAnsi="Times New Roman" w:eastAsia="仿宋_GB2312"/>
      <w:kern w:val="24"/>
      <w:szCs w:val="24"/>
    </w:rPr>
  </w:style>
  <w:style w:type="paragraph" w:customStyle="1" w:styleId="219">
    <w:name w:val="表格内容1 Char Char1 Char"/>
    <w:basedOn w:val="1"/>
    <w:link w:val="218"/>
    <w:semiHidden/>
    <w:qFormat/>
    <w:uiPriority w:val="0"/>
    <w:pPr>
      <w:widowControl w:val="0"/>
      <w:spacing w:line="240" w:lineRule="atLeast"/>
      <w:jc w:val="center"/>
    </w:pPr>
    <w:rPr>
      <w:rFonts w:ascii="Times New Roman" w:hAnsi="Times New Roman" w:eastAsia="仿宋_GB2312" w:cs="Times New Roman"/>
      <w:kern w:val="24"/>
      <w:sz w:val="20"/>
    </w:rPr>
  </w:style>
  <w:style w:type="character" w:customStyle="1" w:styleId="220">
    <w:name w:val="表头 Char Char Char"/>
    <w:qFormat/>
    <w:uiPriority w:val="0"/>
    <w:rPr>
      <w:rFonts w:ascii="仿宋_GB2312" w:eastAsia="黑体" w:cs="宋体"/>
      <w:spacing w:val="-2"/>
      <w:kern w:val="2"/>
      <w:sz w:val="28"/>
      <w:szCs w:val="28"/>
      <w:lang w:val="en-US" w:eastAsia="zh-CN" w:bidi="ar-SA"/>
    </w:rPr>
  </w:style>
  <w:style w:type="character" w:customStyle="1" w:styleId="221">
    <w:name w:val="zhengwen Char Char"/>
    <w:link w:val="222"/>
    <w:qFormat/>
    <w:uiPriority w:val="0"/>
    <w:rPr>
      <w:rFonts w:ascii="Times New Roman" w:hAnsi="Times New Roman"/>
      <w:snapToGrid w:val="0"/>
      <w:color w:val="000000"/>
      <w:kern w:val="2"/>
      <w:sz w:val="24"/>
      <w:szCs w:val="24"/>
    </w:rPr>
  </w:style>
  <w:style w:type="paragraph" w:customStyle="1" w:styleId="222">
    <w:name w:val="zhengwen"/>
    <w:basedOn w:val="223"/>
    <w:link w:val="221"/>
    <w:qFormat/>
    <w:uiPriority w:val="0"/>
    <w:pPr>
      <w:tabs>
        <w:tab w:val="left" w:pos="567"/>
      </w:tabs>
      <w:spacing w:line="360" w:lineRule="auto"/>
      <w:ind w:left="0" w:firstLine="476"/>
    </w:pPr>
    <w:rPr>
      <w:rFonts w:ascii="Times New Roman"/>
      <w:snapToGrid w:val="0"/>
      <w:color w:val="000000"/>
      <w:szCs w:val="24"/>
    </w:rPr>
  </w:style>
  <w:style w:type="paragraph" w:customStyle="1" w:styleId="223">
    <w:name w:val="正文11"/>
    <w:link w:val="224"/>
    <w:qFormat/>
    <w:uiPriority w:val="0"/>
    <w:pPr>
      <w:widowControl w:val="0"/>
      <w:tabs>
        <w:tab w:val="left" w:pos="567"/>
      </w:tabs>
      <w:adjustRightInd w:val="0"/>
      <w:spacing w:line="360" w:lineRule="atLeast"/>
      <w:ind w:left="567" w:hanging="567"/>
      <w:textAlignment w:val="baseline"/>
    </w:pPr>
    <w:rPr>
      <w:rFonts w:ascii="宋体" w:hAnsi="Times New Roman" w:eastAsia="宋体" w:cs="Times New Roman"/>
      <w:kern w:val="2"/>
      <w:sz w:val="24"/>
      <w:szCs w:val="22"/>
      <w:lang w:val="en-US" w:eastAsia="zh-CN" w:bidi="ar-SA"/>
    </w:rPr>
  </w:style>
  <w:style w:type="character" w:customStyle="1" w:styleId="224">
    <w:name w:val="正文11 Char Char Char Char"/>
    <w:link w:val="223"/>
    <w:qFormat/>
    <w:uiPriority w:val="0"/>
    <w:rPr>
      <w:rFonts w:ascii="宋体" w:hAnsi="Times New Roman"/>
      <w:kern w:val="2"/>
      <w:sz w:val="24"/>
      <w:szCs w:val="22"/>
    </w:rPr>
  </w:style>
  <w:style w:type="character" w:customStyle="1" w:styleId="225">
    <w:name w:val="小表左 Char Char"/>
    <w:link w:val="226"/>
    <w:qFormat/>
    <w:uiPriority w:val="0"/>
    <w:rPr>
      <w:rFonts w:ascii="Times New Roman" w:hAnsi="Times New Roman"/>
      <w:sz w:val="18"/>
      <w:szCs w:val="18"/>
    </w:rPr>
  </w:style>
  <w:style w:type="paragraph" w:customStyle="1" w:styleId="226">
    <w:name w:val="小表左"/>
    <w:basedOn w:val="1"/>
    <w:link w:val="225"/>
    <w:qFormat/>
    <w:uiPriority w:val="0"/>
    <w:pPr>
      <w:keepNext/>
      <w:widowControl w:val="0"/>
      <w:tabs>
        <w:tab w:val="left" w:pos="2190"/>
      </w:tabs>
      <w:adjustRightInd w:val="0"/>
      <w:snapToGrid w:val="0"/>
      <w:jc w:val="both"/>
    </w:pPr>
    <w:rPr>
      <w:rFonts w:ascii="Times New Roman" w:hAnsi="Times New Roman" w:cs="Times New Roman"/>
      <w:sz w:val="18"/>
      <w:szCs w:val="18"/>
    </w:rPr>
  </w:style>
  <w:style w:type="character" w:customStyle="1" w:styleId="227">
    <w:name w:val="表格文字居中 Char Char"/>
    <w:qFormat/>
    <w:uiPriority w:val="0"/>
    <w:rPr>
      <w:rFonts w:ascii="宋体" w:hAnsi="宋体" w:eastAsia="宋体" w:cs="宋体"/>
      <w:kern w:val="2"/>
      <w:sz w:val="24"/>
      <w:szCs w:val="24"/>
      <w:lang w:val="en-US" w:eastAsia="zh-CN"/>
    </w:rPr>
  </w:style>
  <w:style w:type="character" w:customStyle="1" w:styleId="228">
    <w:name w:val="nota"/>
    <w:qFormat/>
    <w:uiPriority w:val="0"/>
    <w:rPr>
      <w:i/>
      <w:iCs/>
      <w:sz w:val="20"/>
    </w:rPr>
  </w:style>
  <w:style w:type="character" w:customStyle="1" w:styleId="229">
    <w:name w:val="段落 Char1"/>
    <w:link w:val="230"/>
    <w:qFormat/>
    <w:uiPriority w:val="0"/>
    <w:rPr>
      <w:rFonts w:ascii="仿宋_GB2312" w:hAnsi="宋体" w:eastAsia="仿宋_GB2312"/>
      <w:bCs/>
      <w:snapToGrid w:val="0"/>
      <w:color w:val="3366FF"/>
      <w:sz w:val="24"/>
      <w:szCs w:val="24"/>
    </w:rPr>
  </w:style>
  <w:style w:type="paragraph" w:customStyle="1" w:styleId="230">
    <w:name w:val="段落"/>
    <w:link w:val="229"/>
    <w:qFormat/>
    <w:uiPriority w:val="0"/>
    <w:pPr>
      <w:spacing w:line="360" w:lineRule="auto"/>
      <w:ind w:firstLine="540" w:firstLineChars="225"/>
      <w:jc w:val="both"/>
    </w:pPr>
    <w:rPr>
      <w:rFonts w:ascii="仿宋_GB2312" w:hAnsi="宋体" w:eastAsia="仿宋_GB2312" w:cs="Times New Roman"/>
      <w:bCs/>
      <w:snapToGrid w:val="0"/>
      <w:color w:val="3366FF"/>
      <w:sz w:val="24"/>
      <w:szCs w:val="24"/>
      <w:lang w:val="en-US" w:eastAsia="zh-CN" w:bidi="ar-SA"/>
    </w:rPr>
  </w:style>
  <w:style w:type="character" w:customStyle="1" w:styleId="231">
    <w:name w:val="Char Char13"/>
    <w:qFormat/>
    <w:uiPriority w:val="0"/>
    <w:rPr>
      <w:rFonts w:eastAsia="楷体_GB2312"/>
      <w:snapToGrid w:val="0"/>
      <w:sz w:val="21"/>
      <w:szCs w:val="22"/>
      <w:lang w:val="en-US" w:eastAsia="zh-CN" w:bidi="ar-SA"/>
    </w:rPr>
  </w:style>
  <w:style w:type="character" w:customStyle="1" w:styleId="232">
    <w:name w:val="表号 Char Char"/>
    <w:qFormat/>
    <w:uiPriority w:val="0"/>
    <w:rPr>
      <w:rFonts w:ascii="黑体" w:eastAsia="黑体"/>
      <w:sz w:val="21"/>
      <w:lang w:val="en-US" w:eastAsia="zh-CN" w:bidi="ar-SA"/>
    </w:rPr>
  </w:style>
  <w:style w:type="character" w:customStyle="1" w:styleId="233">
    <w:name w:val="图表 Char Char"/>
    <w:link w:val="234"/>
    <w:qFormat/>
    <w:uiPriority w:val="0"/>
    <w:rPr>
      <w:rFonts w:eastAsia="Times New Roman"/>
      <w:color w:val="800000"/>
      <w:spacing w:val="20"/>
      <w:kern w:val="2"/>
      <w:sz w:val="21"/>
      <w:szCs w:val="24"/>
    </w:rPr>
  </w:style>
  <w:style w:type="paragraph" w:customStyle="1" w:styleId="234">
    <w:name w:val="图表"/>
    <w:link w:val="233"/>
    <w:qFormat/>
    <w:uiPriority w:val="0"/>
    <w:pPr>
      <w:jc w:val="center"/>
    </w:pPr>
    <w:rPr>
      <w:rFonts w:ascii="Calibri" w:hAnsi="Calibri" w:eastAsia="Times New Roman" w:cs="Times New Roman"/>
      <w:color w:val="800000"/>
      <w:spacing w:val="20"/>
      <w:kern w:val="2"/>
      <w:sz w:val="21"/>
      <w:szCs w:val="24"/>
      <w:lang w:val="en-US" w:eastAsia="zh-CN" w:bidi="ar-SA"/>
    </w:rPr>
  </w:style>
  <w:style w:type="character" w:customStyle="1" w:styleId="235">
    <w:name w:val="title_tab"/>
    <w:basedOn w:val="83"/>
    <w:qFormat/>
    <w:uiPriority w:val="0"/>
  </w:style>
  <w:style w:type="character" w:customStyle="1" w:styleId="236">
    <w:name w:val="正文文本 (2) + 10 pt6"/>
    <w:qFormat/>
    <w:uiPriority w:val="99"/>
    <w:rPr>
      <w:rFonts w:ascii="MingLiU" w:eastAsia="MingLiU" w:cs="MingLiU"/>
      <w:spacing w:val="150"/>
      <w:sz w:val="20"/>
      <w:szCs w:val="20"/>
      <w:u w:val="none"/>
      <w:shd w:val="clear" w:color="auto" w:fill="FFFFFF"/>
    </w:rPr>
  </w:style>
  <w:style w:type="character" w:customStyle="1" w:styleId="237">
    <w:name w:val="编制日期 Char Char"/>
    <w:link w:val="238"/>
    <w:qFormat/>
    <w:uiPriority w:val="0"/>
    <w:rPr>
      <w:rFonts w:ascii="宋体" w:hAnsi="宋体"/>
      <w:sz w:val="32"/>
      <w:szCs w:val="28"/>
    </w:rPr>
  </w:style>
  <w:style w:type="paragraph" w:customStyle="1" w:styleId="238">
    <w:name w:val="编制日期"/>
    <w:basedOn w:val="1"/>
    <w:link w:val="237"/>
    <w:qFormat/>
    <w:uiPriority w:val="0"/>
    <w:pPr>
      <w:keepNext/>
      <w:widowControl w:val="0"/>
      <w:tabs>
        <w:tab w:val="left" w:pos="2190"/>
      </w:tabs>
      <w:adjustRightInd w:val="0"/>
      <w:snapToGrid w:val="0"/>
      <w:spacing w:line="360" w:lineRule="auto"/>
      <w:jc w:val="center"/>
    </w:pPr>
    <w:rPr>
      <w:rFonts w:cs="Times New Roman"/>
      <w:sz w:val="32"/>
      <w:szCs w:val="28"/>
    </w:rPr>
  </w:style>
  <w:style w:type="character" w:customStyle="1" w:styleId="239">
    <w:name w:val="正文文本 (2) + Georgia8"/>
    <w:qFormat/>
    <w:uiPriority w:val="99"/>
    <w:rPr>
      <w:rFonts w:ascii="Georgia" w:hAnsi="Georgia" w:eastAsia="MingLiU" w:cs="Georgia"/>
      <w:sz w:val="20"/>
      <w:szCs w:val="20"/>
      <w:u w:val="none"/>
      <w:shd w:val="clear" w:color="auto" w:fill="FFFFFF"/>
      <w:lang w:val="en-US" w:eastAsia="en-US"/>
    </w:rPr>
  </w:style>
  <w:style w:type="character" w:customStyle="1" w:styleId="240">
    <w:name w:val="环评正文 Char"/>
    <w:qFormat/>
    <w:uiPriority w:val="0"/>
    <w:rPr>
      <w:rFonts w:ascii="仿宋_GB2312" w:hAnsi="Times New Roman" w:eastAsia="仿宋_GB2312" w:cs="宋体"/>
      <w:sz w:val="28"/>
      <w:szCs w:val="20"/>
    </w:rPr>
  </w:style>
  <w:style w:type="character" w:customStyle="1" w:styleId="241">
    <w:name w:val="正文文本 (2) + 10 pt16"/>
    <w:qFormat/>
    <w:uiPriority w:val="99"/>
    <w:rPr>
      <w:rFonts w:ascii="MingLiU" w:eastAsia="MingLiU" w:cs="MingLiU"/>
      <w:spacing w:val="120"/>
      <w:sz w:val="20"/>
      <w:szCs w:val="20"/>
      <w:u w:val="none"/>
      <w:shd w:val="clear" w:color="auto" w:fill="FFFFFF"/>
    </w:rPr>
  </w:style>
  <w:style w:type="character" w:customStyle="1" w:styleId="242">
    <w:name w:val="干标题(a) Char Char"/>
    <w:qFormat/>
    <w:uiPriority w:val="0"/>
    <w:rPr>
      <w:rFonts w:ascii="Arial" w:hAnsi="Arial" w:eastAsia="黑体"/>
      <w:kern w:val="2"/>
      <w:sz w:val="21"/>
      <w:szCs w:val="21"/>
    </w:rPr>
  </w:style>
  <w:style w:type="character" w:customStyle="1" w:styleId="243">
    <w:name w:val="样式 样式 标题 3条标题头标题3H3h33rd level第二层条标题 3 Char小标题小节标题标题 3 C...3 + 自... Char"/>
    <w:link w:val="244"/>
    <w:qFormat/>
    <w:uiPriority w:val="0"/>
    <w:rPr>
      <w:rFonts w:ascii="黑体" w:hAnsi="Times New Roman" w:eastAsia="黑体"/>
      <w:sz w:val="24"/>
      <w:szCs w:val="24"/>
    </w:rPr>
  </w:style>
  <w:style w:type="paragraph" w:customStyle="1" w:styleId="244">
    <w:name w:val="样式 样式 标题 3条标题头标题3H3h33rd level第二层条标题 3 Char小标题小节标题标题 3 C...3 + 自..."/>
    <w:basedOn w:val="245"/>
    <w:link w:val="243"/>
    <w:qFormat/>
    <w:uiPriority w:val="0"/>
    <w:rPr>
      <w:rFonts w:ascii="黑体"/>
      <w:color w:val="auto"/>
    </w:rPr>
  </w:style>
  <w:style w:type="paragraph" w:customStyle="1" w:styleId="245">
    <w:name w:val="样式 标题 3条标题头标题3H3h33rd level第二层条标题 3 Char小标题小节标题标题 3 C...3"/>
    <w:basedOn w:val="6"/>
    <w:next w:val="1"/>
    <w:qFormat/>
    <w:uiPriority w:val="0"/>
    <w:pPr>
      <w:widowControl w:val="0"/>
      <w:spacing w:line="720" w:lineRule="auto"/>
      <w:jc w:val="both"/>
    </w:pPr>
    <w:rPr>
      <w:bCs w:val="0"/>
      <w:color w:val="000000"/>
      <w:sz w:val="24"/>
      <w:szCs w:val="24"/>
    </w:rPr>
  </w:style>
  <w:style w:type="character" w:customStyle="1" w:styleId="246">
    <w:name w:val="yyp Char Char"/>
    <w:link w:val="247"/>
    <w:qFormat/>
    <w:uiPriority w:val="0"/>
    <w:rPr>
      <w:rFonts w:ascii="Times New Roman" w:hAnsi="Times New Roman"/>
      <w:sz w:val="24"/>
      <w:szCs w:val="24"/>
    </w:rPr>
  </w:style>
  <w:style w:type="paragraph" w:customStyle="1" w:styleId="247">
    <w:name w:val="yyp"/>
    <w:basedOn w:val="78"/>
    <w:link w:val="246"/>
    <w:qFormat/>
    <w:uiPriority w:val="0"/>
    <w:pPr>
      <w:widowControl w:val="0"/>
      <w:spacing w:line="360" w:lineRule="auto"/>
      <w:ind w:firstLine="480" w:firstLineChars="200"/>
    </w:pPr>
    <w:rPr>
      <w:rFonts w:ascii="Times New Roman" w:hAnsi="Times New Roman"/>
      <w:sz w:val="24"/>
      <w:szCs w:val="24"/>
    </w:rPr>
  </w:style>
  <w:style w:type="character" w:customStyle="1" w:styleId="248">
    <w:name w:val="Char Char22"/>
    <w:qFormat/>
    <w:uiPriority w:val="0"/>
    <w:rPr>
      <w:rFonts w:eastAsia="宋体"/>
      <w:kern w:val="2"/>
      <w:sz w:val="24"/>
      <w:szCs w:val="24"/>
      <w:lang w:val="en-US" w:eastAsia="zh-CN" w:bidi="ar-SA"/>
    </w:rPr>
  </w:style>
  <w:style w:type="character" w:customStyle="1" w:styleId="249">
    <w:name w:val="正文1 Char Char"/>
    <w:link w:val="250"/>
    <w:qFormat/>
    <w:uiPriority w:val="0"/>
    <w:rPr>
      <w:rFonts w:ascii="宋体" w:eastAsia="Times New Roman"/>
      <w:kern w:val="2"/>
      <w:sz w:val="24"/>
      <w:szCs w:val="22"/>
    </w:rPr>
  </w:style>
  <w:style w:type="paragraph" w:customStyle="1" w:styleId="250">
    <w:name w:val="正文12"/>
    <w:link w:val="249"/>
    <w:qFormat/>
    <w:uiPriority w:val="0"/>
    <w:pPr>
      <w:widowControl w:val="0"/>
      <w:adjustRightInd w:val="0"/>
      <w:spacing w:line="360" w:lineRule="atLeast"/>
      <w:textAlignment w:val="baseline"/>
    </w:pPr>
    <w:rPr>
      <w:rFonts w:ascii="宋体" w:hAnsi="Calibri" w:eastAsia="Times New Roman" w:cs="Times New Roman"/>
      <w:kern w:val="2"/>
      <w:sz w:val="24"/>
      <w:szCs w:val="22"/>
      <w:lang w:val="en-US" w:eastAsia="zh-CN" w:bidi="ar-SA"/>
    </w:rPr>
  </w:style>
  <w:style w:type="character" w:customStyle="1" w:styleId="251">
    <w:name w:val="正文11 Char Char Char Char Char"/>
    <w:qFormat/>
    <w:uiPriority w:val="0"/>
    <w:rPr>
      <w:rFonts w:ascii="宋体" w:hAnsi="宋体" w:eastAsia="宋体"/>
      <w:snapToGrid w:val="0"/>
      <w:sz w:val="24"/>
      <w:szCs w:val="24"/>
      <w:lang w:val="en-US" w:eastAsia="zh-CN" w:bidi="ar-SA"/>
    </w:rPr>
  </w:style>
  <w:style w:type="character" w:customStyle="1" w:styleId="252">
    <w:name w:val="表文字 Char1"/>
    <w:qFormat/>
    <w:locked/>
    <w:uiPriority w:val="0"/>
    <w:rPr>
      <w:szCs w:val="21"/>
      <w:lang w:val="en-US" w:eastAsia="zh-CN" w:bidi="ar-SA"/>
    </w:rPr>
  </w:style>
  <w:style w:type="character" w:customStyle="1" w:styleId="253">
    <w:name w:val="正文00 Char"/>
    <w:link w:val="254"/>
    <w:qFormat/>
    <w:uiPriority w:val="0"/>
    <w:rPr>
      <w:rFonts w:ascii="Times New Roman" w:hAnsi="Times New Roman" w:cs="宋体"/>
      <w:kern w:val="2"/>
      <w:sz w:val="24"/>
      <w:szCs w:val="24"/>
    </w:rPr>
  </w:style>
  <w:style w:type="paragraph" w:customStyle="1" w:styleId="254">
    <w:name w:val="正文00"/>
    <w:basedOn w:val="1"/>
    <w:next w:val="255"/>
    <w:link w:val="253"/>
    <w:qFormat/>
    <w:uiPriority w:val="0"/>
    <w:pPr>
      <w:widowControl w:val="0"/>
      <w:spacing w:line="360" w:lineRule="auto"/>
      <w:ind w:firstLine="480" w:firstLineChars="200"/>
    </w:pPr>
    <w:rPr>
      <w:rFonts w:ascii="Times New Roman" w:hAnsi="Times New Roman"/>
      <w:kern w:val="2"/>
    </w:rPr>
  </w:style>
  <w:style w:type="paragraph" w:customStyle="1" w:styleId="255">
    <w:name w:val="样式 Times New Roman 五号 居中1"/>
    <w:basedOn w:val="1"/>
    <w:qFormat/>
    <w:uiPriority w:val="0"/>
    <w:pPr>
      <w:widowControl w:val="0"/>
      <w:jc w:val="center"/>
    </w:pPr>
    <w:rPr>
      <w:rFonts w:ascii="Times New Roman" w:hAnsi="Times New Roman"/>
      <w:kern w:val="2"/>
      <w:sz w:val="21"/>
      <w:szCs w:val="20"/>
    </w:rPr>
  </w:style>
  <w:style w:type="character" w:customStyle="1" w:styleId="256">
    <w:name w:val="小小标题 Char Char"/>
    <w:link w:val="257"/>
    <w:qFormat/>
    <w:uiPriority w:val="0"/>
    <w:rPr>
      <w:rFonts w:ascii="仿宋_GB2312" w:hAnsi="Times New Roman" w:eastAsia="黑体"/>
      <w:b/>
      <w:sz w:val="24"/>
      <w:szCs w:val="32"/>
      <w:lang w:val="zh-CN"/>
    </w:rPr>
  </w:style>
  <w:style w:type="paragraph" w:customStyle="1" w:styleId="257">
    <w:name w:val="小小标题"/>
    <w:basedOn w:val="1"/>
    <w:link w:val="256"/>
    <w:qFormat/>
    <w:uiPriority w:val="0"/>
    <w:pPr>
      <w:topLinePunct/>
      <w:spacing w:line="360" w:lineRule="auto"/>
      <w:ind w:firstLine="482"/>
    </w:pPr>
    <w:rPr>
      <w:rFonts w:ascii="仿宋_GB2312" w:hAnsi="Times New Roman" w:eastAsia="黑体" w:cs="Times New Roman"/>
      <w:b/>
      <w:szCs w:val="32"/>
      <w:lang w:val="zh-CN"/>
    </w:rPr>
  </w:style>
  <w:style w:type="character" w:customStyle="1" w:styleId="258">
    <w:name w:val="sort"/>
    <w:basedOn w:val="83"/>
    <w:qFormat/>
    <w:uiPriority w:val="0"/>
  </w:style>
  <w:style w:type="character" w:customStyle="1" w:styleId="259">
    <w:name w:val="正文文本 (2) + 10 pt15"/>
    <w:qFormat/>
    <w:uiPriority w:val="99"/>
    <w:rPr>
      <w:rFonts w:ascii="MingLiU" w:eastAsia="MingLiU" w:cs="MingLiU"/>
      <w:sz w:val="20"/>
      <w:szCs w:val="20"/>
      <w:u w:val="none"/>
      <w:shd w:val="clear" w:color="auto" w:fill="FFFFFF"/>
    </w:rPr>
  </w:style>
  <w:style w:type="character" w:customStyle="1" w:styleId="260">
    <w:name w:val="bds_nopic1"/>
    <w:basedOn w:val="83"/>
    <w:qFormat/>
    <w:uiPriority w:val="0"/>
  </w:style>
  <w:style w:type="character" w:customStyle="1" w:styleId="261">
    <w:name w:val="纯文本2"/>
    <w:qFormat/>
    <w:uiPriority w:val="0"/>
    <w:rPr>
      <w:rFonts w:ascii="宋体" w:hAnsi="Courier New" w:eastAsia="宋体"/>
      <w:kern w:val="2"/>
      <w:sz w:val="21"/>
      <w:lang w:val="en-US" w:eastAsia="zh-CN" w:bidi="ar-SA"/>
    </w:rPr>
  </w:style>
  <w:style w:type="character" w:customStyle="1" w:styleId="262">
    <w:name w:val="Char Char23"/>
    <w:qFormat/>
    <w:uiPriority w:val="0"/>
    <w:rPr>
      <w:sz w:val="18"/>
    </w:rPr>
  </w:style>
  <w:style w:type="character" w:customStyle="1" w:styleId="263">
    <w:name w:val="正文文字缩进 2 Char Char Char"/>
    <w:qFormat/>
    <w:uiPriority w:val="0"/>
    <w:rPr>
      <w:rFonts w:ascii="宋体" w:eastAsia="宋体"/>
      <w:kern w:val="2"/>
      <w:sz w:val="28"/>
      <w:lang w:val="en-US" w:eastAsia="zh-CN" w:bidi="ar-SA"/>
    </w:rPr>
  </w:style>
  <w:style w:type="character" w:customStyle="1" w:styleId="264">
    <w:name w:val="样式 样式 段前: 0.5 行 + 首行缩进:  2 字符 段前: 0.5 行 Char Char"/>
    <w:link w:val="265"/>
    <w:qFormat/>
    <w:uiPriority w:val="0"/>
    <w:rPr>
      <w:rFonts w:ascii="Times New Roman" w:hAnsi="Times New Roman"/>
      <w:color w:val="000000"/>
      <w:sz w:val="24"/>
    </w:rPr>
  </w:style>
  <w:style w:type="paragraph" w:customStyle="1" w:styleId="265">
    <w:name w:val="样式 样式 段前: 0.5 行 + 首行缩进:  2 字符 段前: 0.5 行"/>
    <w:basedOn w:val="1"/>
    <w:link w:val="264"/>
    <w:qFormat/>
    <w:uiPriority w:val="0"/>
    <w:pPr>
      <w:autoSpaceDE w:val="0"/>
      <w:autoSpaceDN w:val="0"/>
      <w:spacing w:beforeLines="50" w:line="360" w:lineRule="auto"/>
      <w:ind w:firstLine="480" w:firstLineChars="200"/>
      <w:jc w:val="both"/>
    </w:pPr>
    <w:rPr>
      <w:rFonts w:ascii="Times New Roman" w:hAnsi="Times New Roman" w:cs="Times New Roman"/>
      <w:color w:val="000000"/>
      <w:szCs w:val="20"/>
    </w:rPr>
  </w:style>
  <w:style w:type="character" w:customStyle="1" w:styleId="266">
    <w:name w:val="图1-1 Char Char"/>
    <w:qFormat/>
    <w:uiPriority w:val="0"/>
    <w:rPr>
      <w:rFonts w:eastAsia="宋体"/>
      <w:b/>
      <w:spacing w:val="12"/>
      <w:w w:val="90"/>
      <w:kern w:val="2"/>
      <w:sz w:val="21"/>
      <w:szCs w:val="24"/>
      <w:lang w:val="en-US" w:eastAsia="zh-CN" w:bidi="ar-SA"/>
    </w:rPr>
  </w:style>
  <w:style w:type="character" w:customStyle="1" w:styleId="267">
    <w:name w:val="正文文本 (2) + 10 pt5"/>
    <w:qFormat/>
    <w:uiPriority w:val="99"/>
    <w:rPr>
      <w:rFonts w:ascii="MingLiU" w:eastAsia="MingLiU" w:cs="MingLiU"/>
      <w:spacing w:val="50"/>
      <w:sz w:val="20"/>
      <w:szCs w:val="20"/>
      <w:u w:val="none"/>
      <w:shd w:val="clear" w:color="auto" w:fill="FFFFFF"/>
    </w:rPr>
  </w:style>
  <w:style w:type="character" w:customStyle="1" w:styleId="268">
    <w:name w:val="电子邮件签名 Char1"/>
    <w:qFormat/>
    <w:uiPriority w:val="99"/>
    <w:rPr>
      <w:rFonts w:ascii="Calibri" w:hAnsi="Calibri" w:eastAsia="宋体" w:cs="Times New Roman"/>
    </w:rPr>
  </w:style>
  <w:style w:type="character" w:customStyle="1" w:styleId="269">
    <w:name w:val="标题 Char4"/>
    <w:qFormat/>
    <w:locked/>
    <w:uiPriority w:val="0"/>
    <w:rPr>
      <w:rFonts w:ascii="Arial" w:hAnsi="Arial"/>
      <w:b/>
      <w:sz w:val="32"/>
    </w:rPr>
  </w:style>
  <w:style w:type="character" w:customStyle="1" w:styleId="270">
    <w:name w:val="样式 表4.1 + 黑色 Char Char"/>
    <w:link w:val="271"/>
    <w:qFormat/>
    <w:uiPriority w:val="99"/>
    <w:rPr>
      <w:rFonts w:ascii="黑体" w:hAnsi="Times New Roman" w:eastAsia="黑体"/>
      <w:b/>
      <w:bCs/>
      <w:color w:val="000000"/>
      <w:kern w:val="2"/>
      <w:sz w:val="24"/>
      <w:szCs w:val="26"/>
    </w:rPr>
  </w:style>
  <w:style w:type="paragraph" w:customStyle="1" w:styleId="271">
    <w:name w:val="样式 表4.1 + 黑色"/>
    <w:basedOn w:val="1"/>
    <w:link w:val="270"/>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bCs/>
      <w:color w:val="000000"/>
      <w:kern w:val="2"/>
      <w:szCs w:val="26"/>
    </w:rPr>
  </w:style>
  <w:style w:type="character" w:customStyle="1" w:styleId="272">
    <w:name w:val="Char Char18"/>
    <w:qFormat/>
    <w:uiPriority w:val="0"/>
    <w:rPr>
      <w:rFonts w:eastAsia="宋体"/>
      <w:kern w:val="2"/>
      <w:sz w:val="24"/>
      <w:szCs w:val="24"/>
      <w:lang w:val="en-US" w:eastAsia="zh-CN" w:bidi="ar-SA"/>
    </w:rPr>
  </w:style>
  <w:style w:type="character" w:customStyle="1" w:styleId="273">
    <w:name w:val="description"/>
    <w:basedOn w:val="83"/>
    <w:qFormat/>
    <w:uiPriority w:val="0"/>
  </w:style>
  <w:style w:type="character" w:customStyle="1" w:styleId="274">
    <w:name w:val="Char Char28"/>
    <w:qFormat/>
    <w:uiPriority w:val="0"/>
    <w:rPr>
      <w:rFonts w:hint="default" w:ascii="Times New Roman" w:hAnsi="Times New Roman" w:eastAsia="黑体" w:cs="Times New Roman"/>
      <w:sz w:val="24"/>
      <w:szCs w:val="24"/>
    </w:rPr>
  </w:style>
  <w:style w:type="character" w:customStyle="1" w:styleId="275">
    <w:name w:val="样式 样式 方正宋三简体 14 磅 行距: 1.5 倍行距1 + 首行缩进:  2 字符 Char Char"/>
    <w:link w:val="276"/>
    <w:qFormat/>
    <w:uiPriority w:val="0"/>
    <w:rPr>
      <w:rFonts w:ascii="宋体" w:hAnsi="方正宋三简体"/>
      <w:sz w:val="27"/>
      <w:szCs w:val="27"/>
    </w:rPr>
  </w:style>
  <w:style w:type="paragraph" w:customStyle="1" w:styleId="276">
    <w:name w:val="样式 样式 方正宋三简体 14 磅 行距: 1.5 倍行距1 + 首行缩进:  2 字符"/>
    <w:basedOn w:val="1"/>
    <w:link w:val="275"/>
    <w:qFormat/>
    <w:uiPriority w:val="0"/>
    <w:pPr>
      <w:widowControl w:val="0"/>
      <w:ind w:firstLine="200" w:firstLineChars="200"/>
      <w:jc w:val="both"/>
    </w:pPr>
    <w:rPr>
      <w:rFonts w:hAnsi="方正宋三简体" w:cs="Times New Roman"/>
      <w:sz w:val="27"/>
      <w:szCs w:val="27"/>
    </w:rPr>
  </w:style>
  <w:style w:type="character" w:customStyle="1" w:styleId="277">
    <w:name w:val="Char Char25"/>
    <w:qFormat/>
    <w:uiPriority w:val="0"/>
    <w:rPr>
      <w:rFonts w:ascii="宋体" w:eastAsia="宋体"/>
      <w:color w:val="000000"/>
      <w:sz w:val="36"/>
      <w:lang w:val="en-US" w:eastAsia="zh-CN" w:bidi="ar-SA"/>
    </w:rPr>
  </w:style>
  <w:style w:type="character" w:customStyle="1" w:styleId="278">
    <w:name w:val="Char Char Char Char11"/>
    <w:qFormat/>
    <w:uiPriority w:val="0"/>
    <w:rPr>
      <w:rFonts w:hint="eastAsia" w:ascii="宋体" w:hAnsi="Courier New" w:eastAsia="宋体" w:cs="Courier New"/>
      <w:sz w:val="21"/>
      <w:szCs w:val="21"/>
      <w:lang w:val="en-US" w:eastAsia="zh-CN" w:bidi="ar-SA"/>
    </w:rPr>
  </w:style>
  <w:style w:type="character" w:customStyle="1" w:styleId="279">
    <w:name w:val="body text 1 Char Char Char"/>
    <w:link w:val="280"/>
    <w:qFormat/>
    <w:uiPriority w:val="0"/>
    <w:rPr>
      <w:rFonts w:ascii="Times New Roman" w:hAnsi="Times New Roman"/>
      <w:snapToGrid w:val="0"/>
      <w:kern w:val="2"/>
      <w:sz w:val="24"/>
      <w:szCs w:val="24"/>
    </w:rPr>
  </w:style>
  <w:style w:type="paragraph" w:customStyle="1" w:styleId="280">
    <w:name w:val="body text 1"/>
    <w:basedOn w:val="223"/>
    <w:link w:val="279"/>
    <w:qFormat/>
    <w:uiPriority w:val="0"/>
    <w:pPr>
      <w:tabs>
        <w:tab w:val="clear" w:pos="567"/>
      </w:tabs>
      <w:spacing w:line="360" w:lineRule="auto"/>
      <w:ind w:left="0" w:firstLine="475"/>
    </w:pPr>
    <w:rPr>
      <w:rFonts w:ascii="Times New Roman"/>
      <w:snapToGrid w:val="0"/>
      <w:szCs w:val="24"/>
    </w:rPr>
  </w:style>
  <w:style w:type="character" w:customStyle="1" w:styleId="281">
    <w:name w:val="bt Char1"/>
    <w:qFormat/>
    <w:uiPriority w:val="0"/>
    <w:rPr>
      <w:kern w:val="2"/>
      <w:sz w:val="21"/>
      <w:szCs w:val="22"/>
    </w:rPr>
  </w:style>
  <w:style w:type="character" w:customStyle="1" w:styleId="282">
    <w:name w:val="bds_more2"/>
    <w:basedOn w:val="83"/>
    <w:qFormat/>
    <w:uiPriority w:val="0"/>
  </w:style>
  <w:style w:type="character" w:customStyle="1" w:styleId="283">
    <w:name w:val="font191"/>
    <w:qFormat/>
    <w:uiPriority w:val="0"/>
    <w:rPr>
      <w:rFonts w:hint="default" w:ascii="Times New Roman" w:hAnsi="Times New Roman" w:cs="Times New Roman"/>
      <w:b/>
      <w:bCs/>
      <w:color w:val="000000"/>
      <w:sz w:val="22"/>
      <w:szCs w:val="22"/>
      <w:u w:val="none"/>
    </w:rPr>
  </w:style>
  <w:style w:type="character" w:customStyle="1" w:styleId="284">
    <w:name w:val="样式 德胜表格内容 + 紧缩量  0.6 磅 Char Char"/>
    <w:basedOn w:val="285"/>
    <w:link w:val="287"/>
    <w:qFormat/>
    <w:uiPriority w:val="0"/>
    <w:rPr>
      <w:snapToGrid w:val="0"/>
      <w:color w:val="0000FF"/>
      <w:szCs w:val="21"/>
    </w:rPr>
  </w:style>
  <w:style w:type="character" w:customStyle="1" w:styleId="285">
    <w:name w:val="德胜表格内容 Char Char"/>
    <w:link w:val="286"/>
    <w:qFormat/>
    <w:uiPriority w:val="0"/>
    <w:rPr>
      <w:snapToGrid w:val="0"/>
      <w:color w:val="0000FF"/>
      <w:szCs w:val="21"/>
    </w:rPr>
  </w:style>
  <w:style w:type="paragraph" w:customStyle="1" w:styleId="286">
    <w:name w:val="德胜表格内容"/>
    <w:basedOn w:val="1"/>
    <w:link w:val="285"/>
    <w:qFormat/>
    <w:uiPriority w:val="0"/>
    <w:pPr>
      <w:widowControl w:val="0"/>
      <w:adjustRightInd w:val="0"/>
      <w:snapToGrid w:val="0"/>
      <w:jc w:val="center"/>
    </w:pPr>
    <w:rPr>
      <w:rFonts w:ascii="Calibri" w:hAnsi="Calibri" w:cs="Times New Roman"/>
      <w:snapToGrid w:val="0"/>
      <w:color w:val="0000FF"/>
      <w:sz w:val="20"/>
      <w:szCs w:val="21"/>
    </w:rPr>
  </w:style>
  <w:style w:type="paragraph" w:customStyle="1" w:styleId="287">
    <w:name w:val="样式 德胜表格内容 + 紧缩量  0.6 磅"/>
    <w:basedOn w:val="286"/>
    <w:link w:val="284"/>
    <w:qFormat/>
    <w:uiPriority w:val="0"/>
  </w:style>
  <w:style w:type="character" w:customStyle="1" w:styleId="288">
    <w:name w:val="sidecatalog-index1"/>
    <w:qFormat/>
    <w:uiPriority w:val="0"/>
    <w:rPr>
      <w:rFonts w:ascii="Arial" w:hAnsi="Arial" w:cs="Arial"/>
      <w:b/>
      <w:color w:val="999999"/>
      <w:sz w:val="21"/>
      <w:szCs w:val="21"/>
    </w:rPr>
  </w:style>
  <w:style w:type="character" w:customStyle="1" w:styleId="289">
    <w:name w:val="font-family:times"/>
    <w:basedOn w:val="83"/>
    <w:qFormat/>
    <w:uiPriority w:val="0"/>
  </w:style>
  <w:style w:type="character" w:customStyle="1" w:styleId="290">
    <w:name w:val="bds_more1"/>
    <w:basedOn w:val="83"/>
    <w:qFormat/>
    <w:uiPriority w:val="0"/>
  </w:style>
  <w:style w:type="character" w:customStyle="1" w:styleId="291">
    <w:name w:val="Table Head Char Char"/>
    <w:link w:val="292"/>
    <w:qFormat/>
    <w:uiPriority w:val="0"/>
    <w:rPr>
      <w:rFonts w:ascii="Arial" w:hAnsi="Arial" w:eastAsia="仿宋_GB2312"/>
      <w:b/>
      <w:sz w:val="18"/>
      <w:szCs w:val="24"/>
    </w:rPr>
  </w:style>
  <w:style w:type="paragraph" w:customStyle="1" w:styleId="292">
    <w:name w:val="Table Head"/>
    <w:basedOn w:val="1"/>
    <w:next w:val="1"/>
    <w:link w:val="291"/>
    <w:qFormat/>
    <w:uiPriority w:val="0"/>
    <w:pPr>
      <w:widowControl w:val="0"/>
      <w:spacing w:before="80" w:after="80"/>
      <w:jc w:val="center"/>
    </w:pPr>
    <w:rPr>
      <w:rFonts w:ascii="Arial" w:hAnsi="Arial" w:eastAsia="仿宋_GB2312" w:cs="Times New Roman"/>
      <w:b/>
      <w:sz w:val="18"/>
    </w:rPr>
  </w:style>
  <w:style w:type="character" w:customStyle="1" w:styleId="293">
    <w:name w:val="css-text3"/>
    <w:basedOn w:val="83"/>
    <w:qFormat/>
    <w:uiPriority w:val="0"/>
  </w:style>
  <w:style w:type="character" w:customStyle="1" w:styleId="294">
    <w:name w:val="正文11 Char Char1"/>
    <w:qFormat/>
    <w:uiPriority w:val="0"/>
    <w:rPr>
      <w:rFonts w:ascii="宋体" w:hAnsi="宋体" w:eastAsia="宋体"/>
      <w:snapToGrid w:val="0"/>
      <w:sz w:val="24"/>
      <w:szCs w:val="24"/>
      <w:lang w:val="en-US" w:eastAsia="zh-CN" w:bidi="ar-SA"/>
    </w:rPr>
  </w:style>
  <w:style w:type="character" w:customStyle="1" w:styleId="295">
    <w:name w:val="Normal Char Char"/>
    <w:link w:val="296"/>
    <w:qFormat/>
    <w:uiPriority w:val="0"/>
    <w:rPr>
      <w:rFonts w:ascii="宋体" w:hAnsi="Times New Roman"/>
      <w:kern w:val="2"/>
      <w:sz w:val="34"/>
      <w:szCs w:val="22"/>
    </w:rPr>
  </w:style>
  <w:style w:type="paragraph" w:customStyle="1" w:styleId="296">
    <w:name w:val="正文2"/>
    <w:link w:val="295"/>
    <w:qFormat/>
    <w:uiPriority w:val="0"/>
    <w:pPr>
      <w:widowControl w:val="0"/>
      <w:adjustRightInd w:val="0"/>
      <w:spacing w:line="360" w:lineRule="atLeast"/>
      <w:textAlignment w:val="baseline"/>
    </w:pPr>
    <w:rPr>
      <w:rFonts w:ascii="宋体" w:hAnsi="Times New Roman" w:eastAsia="宋体" w:cs="Times New Roman"/>
      <w:kern w:val="2"/>
      <w:sz w:val="34"/>
      <w:szCs w:val="22"/>
      <w:lang w:val="en-US" w:eastAsia="zh-CN" w:bidi="ar-SA"/>
    </w:rPr>
  </w:style>
  <w:style w:type="character" w:customStyle="1" w:styleId="297">
    <w:name w:val="Char Char131"/>
    <w:qFormat/>
    <w:uiPriority w:val="0"/>
    <w:rPr>
      <w:sz w:val="18"/>
      <w:szCs w:val="18"/>
    </w:rPr>
  </w:style>
  <w:style w:type="character" w:customStyle="1" w:styleId="298">
    <w:name w:val="标题 1 Char1 Char"/>
    <w:qFormat/>
    <w:uiPriority w:val="0"/>
    <w:rPr>
      <w:rFonts w:ascii="宋体" w:hAnsi="宋体"/>
      <w:b/>
      <w:kern w:val="44"/>
      <w:sz w:val="44"/>
      <w:szCs w:val="30"/>
    </w:rPr>
  </w:style>
  <w:style w:type="character" w:customStyle="1" w:styleId="299">
    <w:name w:val="表13.9 Char Char"/>
    <w:link w:val="300"/>
    <w:qFormat/>
    <w:uiPriority w:val="0"/>
    <w:rPr>
      <w:rFonts w:ascii="黑体" w:hAnsi="Times New Roman" w:eastAsia="黑体"/>
      <w:b/>
      <w:sz w:val="24"/>
      <w:szCs w:val="24"/>
    </w:rPr>
  </w:style>
  <w:style w:type="paragraph" w:customStyle="1" w:styleId="300">
    <w:name w:val="表13.9"/>
    <w:basedOn w:val="1"/>
    <w:link w:val="299"/>
    <w:qFormat/>
    <w:uiPriority w:val="0"/>
    <w:pPr>
      <w:widowControl w:val="0"/>
      <w:tabs>
        <w:tab w:val="left" w:pos="4080"/>
        <w:tab w:val="right" w:pos="8261"/>
      </w:tabs>
      <w:suppressAutoHyphens/>
      <w:adjustRightInd w:val="0"/>
      <w:spacing w:before="240" w:line="0" w:lineRule="atLeast"/>
      <w:ind w:left="3420" w:hanging="420"/>
      <w:jc w:val="both"/>
    </w:pPr>
    <w:rPr>
      <w:rFonts w:ascii="黑体" w:hAnsi="Times New Roman" w:eastAsia="黑体" w:cs="Times New Roman"/>
      <w:b/>
    </w:rPr>
  </w:style>
  <w:style w:type="character" w:customStyle="1" w:styleId="301">
    <w:name w:val="question-title2"/>
    <w:basedOn w:val="83"/>
    <w:qFormat/>
    <w:uiPriority w:val="0"/>
  </w:style>
  <w:style w:type="character" w:customStyle="1" w:styleId="302">
    <w:name w:val="表格内容1 Char"/>
    <w:qFormat/>
    <w:uiPriority w:val="0"/>
    <w:rPr>
      <w:rFonts w:ascii="仿宋" w:hAnsi="仿宋" w:eastAsia="仿宋"/>
      <w:kern w:val="2"/>
      <w:sz w:val="21"/>
      <w:szCs w:val="21"/>
    </w:rPr>
  </w:style>
  <w:style w:type="character" w:customStyle="1" w:styleId="303">
    <w:name w:val="Char Char19"/>
    <w:qFormat/>
    <w:uiPriority w:val="0"/>
    <w:rPr>
      <w:rFonts w:eastAsia="黑体"/>
      <w:kern w:val="2"/>
      <w:sz w:val="24"/>
      <w:szCs w:val="24"/>
      <w:lang w:val="en-US" w:eastAsia="zh-CN" w:bidi="ar-SA"/>
    </w:rPr>
  </w:style>
  <w:style w:type="character" w:customStyle="1" w:styleId="304">
    <w:name w:val="Char Char251"/>
    <w:qFormat/>
    <w:uiPriority w:val="0"/>
    <w:rPr>
      <w:rFonts w:ascii="宋体" w:eastAsia="宋体"/>
      <w:color w:val="000000"/>
      <w:sz w:val="36"/>
      <w:lang w:val="en-US" w:eastAsia="zh-CN" w:bidi="ar-SA"/>
    </w:rPr>
  </w:style>
  <w:style w:type="character" w:customStyle="1" w:styleId="305">
    <w:name w:val="批注框文本 Char Char"/>
    <w:qFormat/>
    <w:uiPriority w:val="0"/>
    <w:rPr>
      <w:rFonts w:ascii="Times New Roman" w:hAnsi="Times New Roman" w:eastAsia="宋体" w:cs="Times New Roman"/>
      <w:sz w:val="18"/>
      <w:szCs w:val="18"/>
    </w:rPr>
  </w:style>
  <w:style w:type="character" w:customStyle="1" w:styleId="306">
    <w:name w:val="正文文本缩进 Char"/>
    <w:link w:val="307"/>
    <w:qFormat/>
    <w:uiPriority w:val="0"/>
    <w:rPr>
      <w:rFonts w:ascii="Times New Roman" w:hAnsi="Times New Roman" w:eastAsia="宋体" w:cs="Times New Roman"/>
      <w:szCs w:val="24"/>
    </w:rPr>
  </w:style>
  <w:style w:type="paragraph" w:customStyle="1" w:styleId="307">
    <w:name w:val="正文文本缩进1"/>
    <w:basedOn w:val="1"/>
    <w:link w:val="306"/>
    <w:qFormat/>
    <w:uiPriority w:val="0"/>
    <w:pPr>
      <w:widowControl w:val="0"/>
      <w:ind w:firstLine="574"/>
      <w:jc w:val="both"/>
    </w:pPr>
    <w:rPr>
      <w:rFonts w:ascii="Times New Roman" w:hAnsi="Times New Roman" w:cs="Times New Roman"/>
      <w:sz w:val="20"/>
    </w:rPr>
  </w:style>
  <w:style w:type="character" w:customStyle="1" w:styleId="308">
    <w:name w:val="签名 Char1"/>
    <w:semiHidden/>
    <w:qFormat/>
    <w:uiPriority w:val="99"/>
    <w:rPr>
      <w:rFonts w:ascii="Calibri" w:hAnsi="Calibri" w:eastAsia="宋体" w:cs="Times New Roman"/>
    </w:rPr>
  </w:style>
  <w:style w:type="character" w:customStyle="1" w:styleId="309">
    <w:name w:val="标题3.5 Char Char"/>
    <w:link w:val="310"/>
    <w:qFormat/>
    <w:uiPriority w:val="0"/>
    <w:rPr>
      <w:rFonts w:ascii="仿宋_GB2312" w:hAnsi="Times New Roman" w:eastAsia="黑体"/>
      <w:b/>
      <w:sz w:val="28"/>
      <w:szCs w:val="32"/>
    </w:rPr>
  </w:style>
  <w:style w:type="paragraph" w:customStyle="1" w:styleId="310">
    <w:name w:val="标题3.5"/>
    <w:basedOn w:val="311"/>
    <w:next w:val="312"/>
    <w:link w:val="309"/>
    <w:qFormat/>
    <w:uiPriority w:val="0"/>
    <w:pPr>
      <w:spacing w:beforeLines="100"/>
    </w:pPr>
    <w:rPr>
      <w:rFonts w:hAnsi="Times New Roman"/>
    </w:rPr>
  </w:style>
  <w:style w:type="paragraph" w:customStyle="1" w:styleId="311">
    <w:name w:val="标题3"/>
    <w:basedOn w:val="1"/>
    <w:next w:val="1"/>
    <w:link w:val="313"/>
    <w:qFormat/>
    <w:uiPriority w:val="0"/>
    <w:pPr>
      <w:widowControl w:val="0"/>
      <w:topLinePunct/>
      <w:spacing w:line="360" w:lineRule="auto"/>
      <w:outlineLvl w:val="2"/>
    </w:pPr>
    <w:rPr>
      <w:rFonts w:ascii="仿宋_GB2312" w:hAnsi="Calibri" w:eastAsia="黑体" w:cs="Times New Roman"/>
      <w:b/>
      <w:sz w:val="28"/>
      <w:szCs w:val="32"/>
    </w:rPr>
  </w:style>
  <w:style w:type="paragraph" w:customStyle="1" w:styleId="312">
    <w:name w:val="环评正文"/>
    <w:basedOn w:val="1"/>
    <w:next w:val="1"/>
    <w:link w:val="314"/>
    <w:qFormat/>
    <w:uiPriority w:val="0"/>
    <w:pPr>
      <w:spacing w:line="360" w:lineRule="auto"/>
      <w:ind w:firstLine="200" w:firstLineChars="200"/>
    </w:pPr>
    <w:rPr>
      <w:rFonts w:ascii="仿宋_GB2312" w:hAnsi="Times New Roman" w:eastAsia="仿宋_GB2312"/>
      <w:sz w:val="28"/>
      <w:szCs w:val="20"/>
    </w:rPr>
  </w:style>
  <w:style w:type="character" w:customStyle="1" w:styleId="313">
    <w:name w:val="标题3 Char Char"/>
    <w:link w:val="311"/>
    <w:qFormat/>
    <w:uiPriority w:val="0"/>
    <w:rPr>
      <w:rFonts w:ascii="仿宋_GB2312" w:eastAsia="黑体"/>
      <w:b/>
      <w:sz w:val="28"/>
      <w:szCs w:val="32"/>
    </w:rPr>
  </w:style>
  <w:style w:type="character" w:customStyle="1" w:styleId="314">
    <w:name w:val="环评正文 Char Char"/>
    <w:link w:val="312"/>
    <w:qFormat/>
    <w:uiPriority w:val="0"/>
    <w:rPr>
      <w:rFonts w:ascii="仿宋_GB2312" w:hAnsi="Times New Roman" w:eastAsia="仿宋_GB2312" w:cs="宋体"/>
      <w:sz w:val="28"/>
    </w:rPr>
  </w:style>
  <w:style w:type="character" w:customStyle="1" w:styleId="315">
    <w:name w:val="正文文本缩进 3 Char1"/>
    <w:qFormat/>
    <w:uiPriority w:val="0"/>
    <w:rPr>
      <w:rFonts w:ascii="Calibri" w:hAnsi="Calibri" w:eastAsia="宋体" w:cs="Times New Roman"/>
      <w:sz w:val="16"/>
      <w:szCs w:val="16"/>
    </w:rPr>
  </w:style>
  <w:style w:type="character" w:customStyle="1" w:styleId="316">
    <w:name w:val="span1"/>
    <w:basedOn w:val="83"/>
    <w:qFormat/>
    <w:uiPriority w:val="0"/>
  </w:style>
  <w:style w:type="character" w:customStyle="1" w:styleId="317">
    <w:name w:val="Char Char21"/>
    <w:qFormat/>
    <w:uiPriority w:val="0"/>
    <w:rPr>
      <w:rFonts w:eastAsia="宋体"/>
      <w:kern w:val="2"/>
      <w:sz w:val="21"/>
      <w:szCs w:val="24"/>
      <w:lang w:val="en-US" w:eastAsia="zh-CN" w:bidi="ar-SA"/>
    </w:rPr>
  </w:style>
  <w:style w:type="character" w:customStyle="1" w:styleId="318">
    <w:name w:val="表4.10 Char Char"/>
    <w:link w:val="319"/>
    <w:qFormat/>
    <w:uiPriority w:val="99"/>
    <w:rPr>
      <w:rFonts w:ascii="黑体" w:hAnsi="Times New Roman" w:eastAsia="黑体" w:cs="宋体"/>
      <w:b/>
      <w:bCs/>
      <w:color w:val="000000"/>
      <w:spacing w:val="6"/>
      <w:kern w:val="2"/>
      <w:sz w:val="24"/>
      <w:szCs w:val="24"/>
    </w:rPr>
  </w:style>
  <w:style w:type="paragraph" w:customStyle="1" w:styleId="319">
    <w:name w:val="表4.10"/>
    <w:basedOn w:val="1"/>
    <w:link w:val="318"/>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color w:val="000000"/>
      <w:spacing w:val="6"/>
      <w:kern w:val="2"/>
    </w:rPr>
  </w:style>
  <w:style w:type="character" w:customStyle="1" w:styleId="320">
    <w:name w:val="样式 尾注引用"/>
    <w:qFormat/>
    <w:uiPriority w:val="0"/>
    <w:rPr>
      <w:rFonts w:ascii="Times New Roman" w:hAnsi="Times New Roman" w:eastAsia="宋体"/>
      <w:sz w:val="24"/>
      <w:szCs w:val="28"/>
      <w:vertAlign w:val="superscript"/>
    </w:rPr>
  </w:style>
  <w:style w:type="character" w:customStyle="1" w:styleId="321">
    <w:name w:val="表格备注 Char"/>
    <w:link w:val="322"/>
    <w:qFormat/>
    <w:uiPriority w:val="0"/>
    <w:rPr>
      <w:rFonts w:ascii="Times New Roman" w:hAnsi="Times New Roman" w:eastAsia="仿宋_GB2312"/>
    </w:rPr>
  </w:style>
  <w:style w:type="paragraph" w:customStyle="1" w:styleId="322">
    <w:name w:val="表格备注"/>
    <w:basedOn w:val="1"/>
    <w:link w:val="321"/>
    <w:qFormat/>
    <w:uiPriority w:val="0"/>
    <w:pPr>
      <w:widowControl w:val="0"/>
      <w:adjustRightInd w:val="0"/>
      <w:snapToGrid w:val="0"/>
      <w:ind w:firstLine="200" w:firstLineChars="200"/>
      <w:jc w:val="both"/>
    </w:pPr>
    <w:rPr>
      <w:rFonts w:ascii="Times New Roman" w:hAnsi="Times New Roman" w:eastAsia="仿宋_GB2312" w:cs="Times New Roman"/>
      <w:sz w:val="20"/>
      <w:szCs w:val="20"/>
    </w:rPr>
  </w:style>
  <w:style w:type="character" w:customStyle="1" w:styleId="323">
    <w:name w:val="表题 Char1"/>
    <w:link w:val="324"/>
    <w:qFormat/>
    <w:uiPriority w:val="0"/>
    <w:rPr>
      <w:rFonts w:ascii="仿宋_GB2312" w:hAnsi="Times New Roman"/>
      <w:b/>
      <w:sz w:val="24"/>
      <w:szCs w:val="28"/>
    </w:rPr>
  </w:style>
  <w:style w:type="paragraph" w:customStyle="1" w:styleId="324">
    <w:name w:val="表题"/>
    <w:basedOn w:val="1"/>
    <w:link w:val="323"/>
    <w:qFormat/>
    <w:uiPriority w:val="0"/>
    <w:pPr>
      <w:widowControl w:val="0"/>
      <w:tabs>
        <w:tab w:val="left" w:pos="0"/>
      </w:tabs>
      <w:spacing w:line="300" w:lineRule="exact"/>
      <w:ind w:firstLine="300" w:firstLineChars="300"/>
      <w:jc w:val="both"/>
    </w:pPr>
    <w:rPr>
      <w:rFonts w:ascii="仿宋_GB2312" w:hAnsi="Times New Roman" w:cs="Times New Roman"/>
      <w:b/>
      <w:szCs w:val="28"/>
    </w:rPr>
  </w:style>
  <w:style w:type="character" w:customStyle="1" w:styleId="325">
    <w:name w:val="Char Char2"/>
    <w:qFormat/>
    <w:uiPriority w:val="0"/>
    <w:rPr>
      <w:rFonts w:hint="eastAsia" w:ascii="宋体" w:hAnsi="宋体" w:eastAsia="宋体"/>
      <w:kern w:val="2"/>
      <w:sz w:val="36"/>
      <w:lang w:val="en-US" w:eastAsia="zh-CN" w:bidi="ar-SA"/>
    </w:rPr>
  </w:style>
  <w:style w:type="character" w:customStyle="1" w:styleId="326">
    <w:name w:val="正文 + 首行缩进:  2 字符 Char Char"/>
    <w:qFormat/>
    <w:uiPriority w:val="0"/>
    <w:rPr>
      <w:rFonts w:eastAsia="宋体"/>
      <w:spacing w:val="12"/>
      <w:kern w:val="2"/>
      <w:sz w:val="24"/>
      <w:lang w:val="en-US" w:eastAsia="zh-CN" w:bidi="ar-SA"/>
    </w:rPr>
  </w:style>
  <w:style w:type="character" w:customStyle="1" w:styleId="327">
    <w:name w:val="style131"/>
    <w:qFormat/>
    <w:uiPriority w:val="0"/>
    <w:rPr>
      <w:rFonts w:hint="default" w:ascii="Arial" w:hAnsi="Arial" w:cs="Arial"/>
      <w:sz w:val="18"/>
      <w:szCs w:val="18"/>
    </w:rPr>
  </w:style>
  <w:style w:type="character" w:customStyle="1" w:styleId="328">
    <w:name w:val="bgbt Char Char"/>
    <w:link w:val="329"/>
    <w:semiHidden/>
    <w:qFormat/>
    <w:uiPriority w:val="0"/>
    <w:rPr>
      <w:rFonts w:ascii="黑体" w:hAnsi="Times New Roman" w:eastAsia="黑体"/>
      <w:sz w:val="24"/>
    </w:rPr>
  </w:style>
  <w:style w:type="paragraph" w:customStyle="1" w:styleId="329">
    <w:name w:val="bgbt"/>
    <w:basedOn w:val="1"/>
    <w:link w:val="328"/>
    <w:semiHidden/>
    <w:qFormat/>
    <w:uiPriority w:val="0"/>
    <w:pPr>
      <w:widowControl w:val="0"/>
      <w:jc w:val="center"/>
    </w:pPr>
    <w:rPr>
      <w:rFonts w:ascii="黑体" w:hAnsi="Times New Roman" w:eastAsia="黑体" w:cs="Times New Roman"/>
      <w:szCs w:val="20"/>
    </w:rPr>
  </w:style>
  <w:style w:type="character" w:customStyle="1" w:styleId="330">
    <w:name w:val="st"/>
    <w:basedOn w:val="83"/>
    <w:qFormat/>
    <w:uiPriority w:val="0"/>
  </w:style>
  <w:style w:type="character" w:customStyle="1" w:styleId="331">
    <w:name w:val="标题1.1.1.1.1 Char"/>
    <w:qFormat/>
    <w:uiPriority w:val="0"/>
    <w:rPr>
      <w:b/>
      <w:bCs/>
      <w:kern w:val="2"/>
      <w:sz w:val="28"/>
      <w:szCs w:val="28"/>
    </w:rPr>
  </w:style>
  <w:style w:type="character" w:customStyle="1" w:styleId="332">
    <w:name w:val="表格文字 Char Char Char"/>
    <w:qFormat/>
    <w:uiPriority w:val="0"/>
    <w:rPr>
      <w:rFonts w:eastAsia="宋体"/>
      <w:kern w:val="2"/>
      <w:sz w:val="21"/>
      <w:lang w:val="en-US" w:eastAsia="zh-CN" w:bidi="ar-SA"/>
    </w:rPr>
  </w:style>
  <w:style w:type="character" w:customStyle="1" w:styleId="333">
    <w:name w:val="11 Char Char"/>
    <w:link w:val="334"/>
    <w:qFormat/>
    <w:uiPriority w:val="0"/>
    <w:rPr>
      <w:rFonts w:ascii="仿宋_GB2312" w:hAnsi="Times New Roman" w:eastAsia="仿宋_GB2312"/>
      <w:color w:val="0000FF"/>
      <w:sz w:val="24"/>
      <w:szCs w:val="24"/>
      <w:lang w:val="en-US" w:eastAsia="zh-CN"/>
    </w:rPr>
  </w:style>
  <w:style w:type="paragraph" w:customStyle="1" w:styleId="334">
    <w:name w:val="11"/>
    <w:basedOn w:val="31"/>
    <w:link w:val="333"/>
    <w:qFormat/>
    <w:uiPriority w:val="0"/>
    <w:pPr>
      <w:widowControl w:val="0"/>
      <w:autoSpaceDE w:val="0"/>
      <w:autoSpaceDN w:val="0"/>
      <w:adjustRightInd w:val="0"/>
      <w:spacing w:line="360" w:lineRule="auto"/>
      <w:ind w:firstLine="480" w:firstLineChars="200"/>
      <w:textAlignment w:val="baseline"/>
    </w:pPr>
    <w:rPr>
      <w:rFonts w:ascii="仿宋_GB2312" w:hAnsi="Times New Roman" w:eastAsia="仿宋_GB2312"/>
      <w:color w:val="0000FF"/>
      <w:kern w:val="0"/>
      <w:szCs w:val="24"/>
    </w:rPr>
  </w:style>
  <w:style w:type="character" w:customStyle="1" w:styleId="335">
    <w:name w:val="Char21"/>
    <w:qFormat/>
    <w:uiPriority w:val="0"/>
    <w:rPr>
      <w:rFonts w:hint="eastAsia" w:ascii="宋体" w:hAnsi="宋体" w:eastAsia="宋体"/>
      <w:b/>
      <w:bCs/>
      <w:kern w:val="44"/>
      <w:sz w:val="44"/>
      <w:szCs w:val="44"/>
      <w:lang w:val="en-US" w:eastAsia="zh-CN" w:bidi="ar-SA"/>
    </w:rPr>
  </w:style>
  <w:style w:type="character" w:customStyle="1" w:styleId="336">
    <w:name w:val="样式 首行缩进:  2 字符 Char Char"/>
    <w:link w:val="337"/>
    <w:qFormat/>
    <w:uiPriority w:val="0"/>
    <w:rPr>
      <w:rFonts w:ascii="宋体" w:cs="宋体"/>
      <w:sz w:val="28"/>
      <w:szCs w:val="28"/>
    </w:rPr>
  </w:style>
  <w:style w:type="paragraph" w:customStyle="1" w:styleId="337">
    <w:name w:val="样式 首行缩进:  2 字符"/>
    <w:basedOn w:val="1"/>
    <w:link w:val="336"/>
    <w:qFormat/>
    <w:uiPriority w:val="0"/>
    <w:pPr>
      <w:widowControl w:val="0"/>
      <w:spacing w:line="440" w:lineRule="exact"/>
      <w:ind w:firstLine="200" w:firstLineChars="200"/>
      <w:jc w:val="both"/>
    </w:pPr>
    <w:rPr>
      <w:rFonts w:hAnsi="Calibri"/>
      <w:sz w:val="28"/>
      <w:szCs w:val="28"/>
    </w:rPr>
  </w:style>
  <w:style w:type="character" w:customStyle="1" w:styleId="338">
    <w:name w:val="标题 3 Char"/>
    <w:qFormat/>
    <w:uiPriority w:val="9"/>
    <w:rPr>
      <w:rFonts w:ascii="Calibri" w:hAnsi="Calibri" w:eastAsia="宋体" w:cs="Times New Roman"/>
      <w:b/>
      <w:bCs/>
      <w:sz w:val="32"/>
      <w:szCs w:val="32"/>
    </w:rPr>
  </w:style>
  <w:style w:type="character" w:customStyle="1" w:styleId="339">
    <w:name w:val="款 Char Char"/>
    <w:qFormat/>
    <w:uiPriority w:val="0"/>
    <w:rPr>
      <w:rFonts w:ascii="Arial" w:hAnsi="Arial" w:eastAsia="宋体" w:cs="Times New Roman"/>
      <w:b/>
      <w:bCs/>
      <w:sz w:val="24"/>
      <w:szCs w:val="28"/>
    </w:rPr>
  </w:style>
  <w:style w:type="character" w:customStyle="1" w:styleId="340">
    <w:name w:val="批注框文本 Char1"/>
    <w:qFormat/>
    <w:uiPriority w:val="99"/>
    <w:rPr>
      <w:rFonts w:ascii="Calibri" w:hAnsi="Calibri" w:eastAsia="宋体" w:cs="Times New Roman"/>
      <w:sz w:val="18"/>
      <w:szCs w:val="18"/>
    </w:rPr>
  </w:style>
  <w:style w:type="character" w:customStyle="1" w:styleId="341">
    <w:name w:val="赵一级标题 Char Char"/>
    <w:link w:val="342"/>
    <w:qFormat/>
    <w:uiPriority w:val="0"/>
    <w:rPr>
      <w:b/>
      <w:bCs/>
      <w:kern w:val="2"/>
      <w:sz w:val="24"/>
      <w:szCs w:val="24"/>
    </w:rPr>
  </w:style>
  <w:style w:type="paragraph" w:customStyle="1" w:styleId="342">
    <w:name w:val="赵一级标题"/>
    <w:basedOn w:val="1"/>
    <w:link w:val="341"/>
    <w:qFormat/>
    <w:uiPriority w:val="0"/>
    <w:pPr>
      <w:widowControl w:val="0"/>
      <w:jc w:val="both"/>
    </w:pPr>
    <w:rPr>
      <w:rFonts w:ascii="Calibri" w:hAnsi="Calibri" w:cs="Times New Roman"/>
      <w:b/>
      <w:bCs/>
      <w:kern w:val="2"/>
    </w:rPr>
  </w:style>
  <w:style w:type="character" w:customStyle="1" w:styleId="343">
    <w:name w:val="BG Char Char"/>
    <w:link w:val="344"/>
    <w:semiHidden/>
    <w:qFormat/>
    <w:uiPriority w:val="0"/>
    <w:rPr>
      <w:rFonts w:ascii="Times New Roman" w:hAnsi="Times New Roman"/>
    </w:rPr>
  </w:style>
  <w:style w:type="paragraph" w:customStyle="1" w:styleId="344">
    <w:name w:val="BG"/>
    <w:basedOn w:val="1"/>
    <w:link w:val="343"/>
    <w:semiHidden/>
    <w:qFormat/>
    <w:uiPriority w:val="0"/>
    <w:pPr>
      <w:widowControl w:val="0"/>
      <w:adjustRightInd w:val="0"/>
      <w:snapToGrid w:val="0"/>
      <w:jc w:val="center"/>
    </w:pPr>
    <w:rPr>
      <w:rFonts w:ascii="Times New Roman" w:hAnsi="Times New Roman" w:cs="Times New Roman"/>
      <w:sz w:val="20"/>
      <w:szCs w:val="20"/>
    </w:rPr>
  </w:style>
  <w:style w:type="character" w:customStyle="1" w:styleId="345">
    <w:name w:val="grame"/>
    <w:basedOn w:val="83"/>
    <w:qFormat/>
    <w:uiPriority w:val="0"/>
  </w:style>
  <w:style w:type="character" w:customStyle="1" w:styleId="346">
    <w:name w:val="Char Char181"/>
    <w:qFormat/>
    <w:uiPriority w:val="0"/>
    <w:rPr>
      <w:rFonts w:eastAsia="宋体"/>
      <w:kern w:val="2"/>
      <w:sz w:val="24"/>
      <w:szCs w:val="24"/>
      <w:lang w:val="en-US" w:eastAsia="zh-CN" w:bidi="ar-SA"/>
    </w:rPr>
  </w:style>
  <w:style w:type="character" w:customStyle="1" w:styleId="347">
    <w:name w:val="正文1 Char Char Char"/>
    <w:qFormat/>
    <w:locked/>
    <w:uiPriority w:val="0"/>
    <w:rPr>
      <w:rFonts w:ascii="仿宋_GB2312" w:hAnsi="Times New Roman" w:eastAsia="仿宋_GB2312"/>
      <w:kern w:val="2"/>
      <w:sz w:val="28"/>
      <w:szCs w:val="28"/>
    </w:rPr>
  </w:style>
  <w:style w:type="character" w:customStyle="1" w:styleId="348">
    <w:name w:val="1.1.1标题 3 Char"/>
    <w:qFormat/>
    <w:uiPriority w:val="0"/>
    <w:rPr>
      <w:rFonts w:eastAsia="宋体"/>
      <w:spacing w:val="8"/>
      <w:kern w:val="2"/>
      <w:sz w:val="24"/>
      <w:lang w:bidi="ar-SA"/>
    </w:rPr>
  </w:style>
  <w:style w:type="character" w:customStyle="1" w:styleId="349">
    <w:name w:val="环评正文2 Char Char"/>
    <w:link w:val="350"/>
    <w:qFormat/>
    <w:uiPriority w:val="0"/>
    <w:rPr>
      <w:rFonts w:ascii="宋体" w:hAnsi="宋体" w:eastAsia="仿宋_GB2312"/>
      <w:color w:val="000000"/>
      <w:kern w:val="16"/>
      <w:sz w:val="24"/>
      <w:szCs w:val="24"/>
    </w:rPr>
  </w:style>
  <w:style w:type="paragraph" w:customStyle="1" w:styleId="350">
    <w:name w:val="环评正文2"/>
    <w:basedOn w:val="1"/>
    <w:link w:val="349"/>
    <w:qFormat/>
    <w:uiPriority w:val="0"/>
    <w:pPr>
      <w:widowControl w:val="0"/>
      <w:spacing w:line="360" w:lineRule="auto"/>
      <w:ind w:firstLine="200" w:firstLineChars="200"/>
      <w:jc w:val="both"/>
    </w:pPr>
    <w:rPr>
      <w:rFonts w:eastAsia="仿宋_GB2312" w:cs="Times New Roman"/>
      <w:color w:val="000000"/>
      <w:kern w:val="16"/>
    </w:rPr>
  </w:style>
  <w:style w:type="character" w:customStyle="1" w:styleId="351">
    <w:name w:val="content"/>
    <w:basedOn w:val="83"/>
    <w:qFormat/>
    <w:uiPriority w:val="0"/>
  </w:style>
  <w:style w:type="character" w:customStyle="1" w:styleId="352">
    <w:name w:val="图表标题 Char"/>
    <w:qFormat/>
    <w:uiPriority w:val="0"/>
    <w:rPr>
      <w:rFonts w:ascii="Times New Roman" w:hAnsi="Times New Roman" w:eastAsia="仿宋_GB2312" w:cs="Times New Roman"/>
      <w:color w:val="000000"/>
      <w:kern w:val="0"/>
      <w:sz w:val="24"/>
      <w:szCs w:val="21"/>
    </w:rPr>
  </w:style>
  <w:style w:type="character" w:customStyle="1" w:styleId="353">
    <w:name w:val="123YJ Char"/>
    <w:qFormat/>
    <w:uiPriority w:val="0"/>
    <w:rPr>
      <w:rFonts w:eastAsia="宋体"/>
      <w:kern w:val="2"/>
      <w:sz w:val="18"/>
      <w:szCs w:val="18"/>
      <w:lang w:val="en-US" w:eastAsia="zh-CN" w:bidi="ar-SA"/>
    </w:rPr>
  </w:style>
  <w:style w:type="character" w:customStyle="1" w:styleId="354">
    <w:name w:val="表格-题注（OPCC宋体） Char Char"/>
    <w:link w:val="355"/>
    <w:qFormat/>
    <w:uiPriority w:val="0"/>
    <w:rPr>
      <w:rFonts w:ascii="楷体_GB2312" w:hAnsi="Times New Roman" w:eastAsia="楷体_GB2312" w:cs="宋体"/>
      <w:snapToGrid w:val="0"/>
      <w:szCs w:val="21"/>
    </w:rPr>
  </w:style>
  <w:style w:type="paragraph" w:customStyle="1" w:styleId="355">
    <w:name w:val="表格-题注（OPCC宋体）"/>
    <w:basedOn w:val="1"/>
    <w:link w:val="354"/>
    <w:qFormat/>
    <w:uiPriority w:val="0"/>
    <w:pPr>
      <w:widowControl w:val="0"/>
      <w:spacing w:line="336" w:lineRule="auto"/>
      <w:ind w:firstLine="420" w:firstLineChars="200"/>
      <w:jc w:val="center"/>
    </w:pPr>
    <w:rPr>
      <w:rFonts w:ascii="楷体_GB2312" w:hAnsi="Times New Roman" w:eastAsia="楷体_GB2312"/>
      <w:snapToGrid w:val="0"/>
      <w:sz w:val="20"/>
      <w:szCs w:val="21"/>
    </w:rPr>
  </w:style>
  <w:style w:type="character" w:customStyle="1" w:styleId="356">
    <w:name w:val="font31"/>
    <w:qFormat/>
    <w:uiPriority w:val="0"/>
    <w:rPr>
      <w:rFonts w:hint="default" w:ascii="ˎ̥" w:hAnsi="ˎ̥"/>
      <w:color w:val="000000"/>
      <w:sz w:val="36"/>
      <w:u w:val="none"/>
    </w:rPr>
  </w:style>
  <w:style w:type="character" w:customStyle="1" w:styleId="357">
    <w:name w:val="表内字 Char Char"/>
    <w:link w:val="358"/>
    <w:qFormat/>
    <w:uiPriority w:val="0"/>
    <w:rPr>
      <w:rFonts w:ascii="Times New Roman" w:hAnsi="Times New Roman"/>
      <w:color w:val="000000"/>
      <w:kern w:val="2"/>
      <w:sz w:val="21"/>
      <w:szCs w:val="22"/>
    </w:rPr>
  </w:style>
  <w:style w:type="paragraph" w:customStyle="1" w:styleId="358">
    <w:name w:val="表内字"/>
    <w:link w:val="357"/>
    <w:qFormat/>
    <w:uiPriority w:val="0"/>
    <w:pPr>
      <w:spacing w:line="312" w:lineRule="auto"/>
      <w:jc w:val="center"/>
    </w:pPr>
    <w:rPr>
      <w:rFonts w:ascii="Times New Roman" w:hAnsi="Times New Roman" w:eastAsia="宋体" w:cs="Times New Roman"/>
      <w:color w:val="000000"/>
      <w:kern w:val="2"/>
      <w:sz w:val="21"/>
      <w:szCs w:val="22"/>
      <w:lang w:val="en-US" w:eastAsia="zh-CN" w:bidi="ar-SA"/>
    </w:rPr>
  </w:style>
  <w:style w:type="character" w:customStyle="1" w:styleId="359">
    <w:name w:val="st1"/>
    <w:basedOn w:val="83"/>
    <w:qFormat/>
    <w:uiPriority w:val="0"/>
  </w:style>
  <w:style w:type="character" w:customStyle="1" w:styleId="360">
    <w:name w:val="apple-style-span"/>
    <w:basedOn w:val="83"/>
    <w:qFormat/>
    <w:uiPriority w:val="0"/>
  </w:style>
  <w:style w:type="character" w:customStyle="1" w:styleId="361">
    <w:name w:val="样式 正文首行缩进 + 隶书 Char Char"/>
    <w:link w:val="362"/>
    <w:qFormat/>
    <w:uiPriority w:val="0"/>
    <w:rPr>
      <w:rFonts w:ascii="宋体" w:hAnsi="隶书"/>
      <w:color w:val="000000"/>
      <w:sz w:val="24"/>
      <w:szCs w:val="24"/>
    </w:rPr>
  </w:style>
  <w:style w:type="paragraph" w:customStyle="1" w:styleId="362">
    <w:name w:val="样式 正文首行缩进 + 隶书"/>
    <w:basedOn w:val="31"/>
    <w:link w:val="361"/>
    <w:qFormat/>
    <w:uiPriority w:val="0"/>
    <w:pPr>
      <w:widowControl w:val="0"/>
      <w:spacing w:after="120"/>
      <w:jc w:val="both"/>
    </w:pPr>
    <w:rPr>
      <w:rFonts w:ascii="宋体" w:hAnsi="隶书"/>
      <w:kern w:val="0"/>
      <w:szCs w:val="24"/>
    </w:rPr>
  </w:style>
  <w:style w:type="character" w:customStyle="1" w:styleId="363">
    <w:name w:val="Char Char151"/>
    <w:qFormat/>
    <w:uiPriority w:val="0"/>
    <w:rPr>
      <w:kern w:val="2"/>
      <w:sz w:val="24"/>
      <w:lang w:bidi="ar-SA"/>
    </w:rPr>
  </w:style>
  <w:style w:type="character" w:customStyle="1" w:styleId="364">
    <w:name w:val="正文文本缩进 3 Char Char"/>
    <w:qFormat/>
    <w:uiPriority w:val="0"/>
    <w:rPr>
      <w:rFonts w:ascii="Times New Roman" w:hAnsi="Times New Roman" w:eastAsia="宋体" w:cs="Times New Roman"/>
      <w:sz w:val="24"/>
      <w:szCs w:val="20"/>
    </w:rPr>
  </w:style>
  <w:style w:type="character" w:customStyle="1" w:styleId="365">
    <w:name w:val="报告正文-连续目录 Char Char"/>
    <w:link w:val="366"/>
    <w:qFormat/>
    <w:uiPriority w:val="0"/>
    <w:rPr>
      <w:rFonts w:ascii="Arial" w:hAnsi="Arial"/>
      <w:snapToGrid w:val="0"/>
      <w:sz w:val="24"/>
      <w:szCs w:val="24"/>
    </w:rPr>
  </w:style>
  <w:style w:type="paragraph" w:customStyle="1" w:styleId="366">
    <w:name w:val="报告正文-连续目录"/>
    <w:basedOn w:val="1"/>
    <w:link w:val="365"/>
    <w:qFormat/>
    <w:uiPriority w:val="0"/>
    <w:pPr>
      <w:widowControl w:val="0"/>
      <w:spacing w:line="440" w:lineRule="exact"/>
      <w:ind w:firstLine="200" w:firstLineChars="200"/>
      <w:jc w:val="both"/>
    </w:pPr>
    <w:rPr>
      <w:rFonts w:ascii="Arial" w:hAnsi="Arial" w:cs="Times New Roman"/>
      <w:snapToGrid w:val="0"/>
    </w:rPr>
  </w:style>
  <w:style w:type="character" w:customStyle="1" w:styleId="367">
    <w:name w:val="font41"/>
    <w:qFormat/>
    <w:uiPriority w:val="0"/>
    <w:rPr>
      <w:rFonts w:hint="default" w:ascii="Times New Roman" w:hAnsi="Times New Roman" w:cs="Times New Roman"/>
      <w:color w:val="000000"/>
      <w:sz w:val="21"/>
      <w:szCs w:val="21"/>
      <w:u w:val="none"/>
      <w:vertAlign w:val="superscript"/>
    </w:rPr>
  </w:style>
  <w:style w:type="character" w:customStyle="1" w:styleId="368">
    <w:name w:val="正文文本缩进 2 Char1"/>
    <w:qFormat/>
    <w:uiPriority w:val="0"/>
    <w:rPr>
      <w:rFonts w:ascii="Times New Roman" w:hAnsi="Times New Roman" w:eastAsia="宋体" w:cs="Times New Roman"/>
      <w:szCs w:val="24"/>
    </w:rPr>
  </w:style>
  <w:style w:type="character" w:customStyle="1" w:styleId="369">
    <w:name w:val="font-family:宋体"/>
    <w:basedOn w:val="83"/>
    <w:qFormat/>
    <w:uiPriority w:val="0"/>
  </w:style>
  <w:style w:type="character" w:customStyle="1" w:styleId="370">
    <w:name w:val="称呼 Char1"/>
    <w:semiHidden/>
    <w:qFormat/>
    <w:uiPriority w:val="99"/>
    <w:rPr>
      <w:rFonts w:ascii="Calibri" w:hAnsi="Calibri" w:eastAsia="宋体" w:cs="Times New Roman"/>
    </w:rPr>
  </w:style>
  <w:style w:type="character" w:customStyle="1" w:styleId="371">
    <w:name w:val="表格1 Char Char"/>
    <w:qFormat/>
    <w:uiPriority w:val="0"/>
    <w:rPr>
      <w:rFonts w:ascii="宋体" w:hAnsi="宋体" w:eastAsia="宋体"/>
      <w:snapToGrid w:val="0"/>
      <w:sz w:val="24"/>
      <w:szCs w:val="28"/>
      <w:lang w:bidi="ar-SA"/>
    </w:rPr>
  </w:style>
  <w:style w:type="character" w:customStyle="1" w:styleId="372">
    <w:name w:val="表格小四 Char Char"/>
    <w:link w:val="373"/>
    <w:qFormat/>
    <w:uiPriority w:val="0"/>
    <w:rPr>
      <w:rFonts w:ascii="宋体" w:hAnsi="宋体"/>
      <w:snapToGrid w:val="0"/>
      <w:sz w:val="24"/>
      <w:szCs w:val="28"/>
    </w:rPr>
  </w:style>
  <w:style w:type="paragraph" w:customStyle="1" w:styleId="373">
    <w:name w:val="表格小四"/>
    <w:basedOn w:val="1"/>
    <w:link w:val="372"/>
    <w:qFormat/>
    <w:uiPriority w:val="0"/>
    <w:pPr>
      <w:widowControl w:val="0"/>
      <w:adjustRightInd w:val="0"/>
      <w:snapToGrid w:val="0"/>
      <w:jc w:val="center"/>
    </w:pPr>
    <w:rPr>
      <w:rFonts w:cs="Times New Roman"/>
      <w:snapToGrid w:val="0"/>
      <w:szCs w:val="28"/>
    </w:rPr>
  </w:style>
  <w:style w:type="character" w:customStyle="1" w:styleId="374">
    <w:name w:val="标题 Char"/>
    <w:qFormat/>
    <w:uiPriority w:val="10"/>
    <w:rPr>
      <w:rFonts w:ascii="Cambria" w:hAnsi="Cambria" w:eastAsia="宋体" w:cs="Times New Roman"/>
      <w:b/>
      <w:bCs/>
      <w:sz w:val="32"/>
      <w:szCs w:val="32"/>
    </w:rPr>
  </w:style>
  <w:style w:type="character" w:customStyle="1" w:styleId="375">
    <w:name w:val="表中正文 Char Char Char Char Char Char Char Char Char Char Char Char Char Char Char Char Char Char Char Char Char Char Char Char Char Char Char Char Char Char Char Char Char Char Char Char Char Char Char Char Char Char"/>
    <w:link w:val="376"/>
    <w:qFormat/>
    <w:uiPriority w:val="0"/>
    <w:rPr>
      <w:rFonts w:ascii="宋体" w:hAnsi="Arial" w:eastAsia="仿宋_GB2312"/>
      <w:szCs w:val="24"/>
    </w:rPr>
  </w:style>
  <w:style w:type="paragraph" w:customStyle="1" w:styleId="376">
    <w:name w:val="表中正文 Char Char Char Char Char Char Char Char Char Char Char Char Char Char Char Char Char Char Char Char Char Char Char Char Char Char Char Char Char Char Char Char Char Char Char Char Char Char Char Char"/>
    <w:basedOn w:val="1"/>
    <w:link w:val="375"/>
    <w:qFormat/>
    <w:uiPriority w:val="0"/>
    <w:pPr>
      <w:widowControl w:val="0"/>
      <w:autoSpaceDE w:val="0"/>
      <w:autoSpaceDN w:val="0"/>
      <w:adjustRightInd w:val="0"/>
      <w:snapToGrid w:val="0"/>
      <w:jc w:val="center"/>
      <w:textAlignment w:val="baseline"/>
    </w:pPr>
    <w:rPr>
      <w:rFonts w:hAnsi="Arial" w:eastAsia="仿宋_GB2312" w:cs="Times New Roman"/>
      <w:sz w:val="20"/>
    </w:rPr>
  </w:style>
  <w:style w:type="character" w:customStyle="1" w:styleId="377">
    <w:name w:val="bds_more4"/>
    <w:basedOn w:val="83"/>
    <w:qFormat/>
    <w:uiPriority w:val="0"/>
  </w:style>
  <w:style w:type="character" w:customStyle="1" w:styleId="378">
    <w:name w:val="标题 5 Char1"/>
    <w:qFormat/>
    <w:uiPriority w:val="0"/>
    <w:rPr>
      <w:rFonts w:ascii="Times New Roman" w:hAnsi="Times New Roman" w:eastAsia="宋体" w:cs="Times New Roman"/>
      <w:b/>
      <w:bCs/>
      <w:sz w:val="28"/>
      <w:szCs w:val="28"/>
    </w:rPr>
  </w:style>
  <w:style w:type="character" w:customStyle="1" w:styleId="379">
    <w:name w:val="Char Char9"/>
    <w:qFormat/>
    <w:uiPriority w:val="0"/>
    <w:rPr>
      <w:rFonts w:hint="eastAsia" w:ascii="宋体" w:hAnsi="宋体" w:eastAsia="宋体"/>
      <w:color w:val="000000"/>
      <w:sz w:val="36"/>
      <w:lang w:val="en-US" w:eastAsia="zh-CN" w:bidi="ar-SA"/>
    </w:rPr>
  </w:style>
  <w:style w:type="character" w:customStyle="1" w:styleId="380">
    <w:name w:val="style16 style57"/>
    <w:basedOn w:val="83"/>
    <w:qFormat/>
    <w:uiPriority w:val="0"/>
  </w:style>
  <w:style w:type="character" w:customStyle="1" w:styleId="381">
    <w:name w:val="正文文本 (2) + AngsanaUPC10"/>
    <w:qFormat/>
    <w:uiPriority w:val="99"/>
    <w:rPr>
      <w:rFonts w:ascii="AngsanaUPC" w:hAnsi="AngsanaUPC" w:eastAsia="MingLiU" w:cs="AngsanaUPC"/>
      <w:sz w:val="22"/>
      <w:szCs w:val="22"/>
      <w:u w:val="none"/>
      <w:shd w:val="clear" w:color="auto" w:fill="FFFFFF"/>
      <w:lang w:val="en-US" w:eastAsia="en-US"/>
    </w:rPr>
  </w:style>
  <w:style w:type="character" w:customStyle="1" w:styleId="382">
    <w:name w:val="样式 样式 1.1标题2 Char + 小三 加粗 +"/>
    <w:basedOn w:val="383"/>
    <w:qFormat/>
    <w:uiPriority w:val="0"/>
    <w:rPr>
      <w:rFonts w:ascii="Arial" w:hAnsi="Arial" w:eastAsia="黑体"/>
      <w:kern w:val="2"/>
      <w:sz w:val="30"/>
      <w:szCs w:val="32"/>
      <w:lang w:val="en-US" w:eastAsia="zh-CN" w:bidi="ar-SA"/>
    </w:rPr>
  </w:style>
  <w:style w:type="character" w:customStyle="1" w:styleId="383">
    <w:name w:val="样式 1.1标题2 Char + 小三 加粗"/>
    <w:qFormat/>
    <w:uiPriority w:val="0"/>
    <w:rPr>
      <w:rFonts w:ascii="Arial" w:hAnsi="Arial" w:eastAsia="黑体"/>
      <w:bCs/>
      <w:kern w:val="2"/>
      <w:sz w:val="30"/>
      <w:szCs w:val="32"/>
      <w:lang w:val="en-US" w:eastAsia="zh-CN" w:bidi="ar-SA"/>
    </w:rPr>
  </w:style>
  <w:style w:type="character" w:customStyle="1" w:styleId="384">
    <w:name w:val="正文文本 (9) + 间距 1 pt2"/>
    <w:qFormat/>
    <w:uiPriority w:val="99"/>
    <w:rPr>
      <w:rFonts w:ascii="MingLiU" w:eastAsia="MingLiU" w:cs="MingLiU"/>
      <w:spacing w:val="20"/>
      <w:shd w:val="clear" w:color="auto" w:fill="FFFFFF"/>
    </w:rPr>
  </w:style>
  <w:style w:type="character" w:customStyle="1" w:styleId="385">
    <w:name w:val="textjianju21"/>
    <w:qFormat/>
    <w:uiPriority w:val="0"/>
    <w:rPr>
      <w:color w:val="000000"/>
    </w:rPr>
  </w:style>
  <w:style w:type="character" w:customStyle="1" w:styleId="386">
    <w:name w:val="Page Number1"/>
    <w:basedOn w:val="83"/>
    <w:qFormat/>
    <w:uiPriority w:val="0"/>
  </w:style>
  <w:style w:type="character" w:customStyle="1" w:styleId="387">
    <w:name w:val="style12"/>
    <w:basedOn w:val="83"/>
    <w:qFormat/>
    <w:uiPriority w:val="0"/>
  </w:style>
  <w:style w:type="character" w:customStyle="1" w:styleId="388">
    <w:name w:val="正文文本最新 Char Char Char1 Char Char Char Char Char Char Char Char Char"/>
    <w:qFormat/>
    <w:uiPriority w:val="0"/>
    <w:rPr>
      <w:rFonts w:eastAsia="宋体"/>
      <w:b/>
      <w:bCs/>
      <w:kern w:val="2"/>
      <w:sz w:val="28"/>
      <w:szCs w:val="24"/>
      <w:lang w:val="en-US" w:eastAsia="zh-CN" w:bidi="ar-SA"/>
    </w:rPr>
  </w:style>
  <w:style w:type="character" w:customStyle="1" w:styleId="389">
    <w:name w:val="Char Char1 Char Char Char Char Char Char Char Char Char Char Char Char Char Char"/>
    <w:link w:val="390"/>
    <w:qFormat/>
    <w:uiPriority w:val="0"/>
    <w:rPr>
      <w:rFonts w:ascii="Times New Roman" w:hAnsi="Times New Roman"/>
    </w:rPr>
  </w:style>
  <w:style w:type="paragraph" w:customStyle="1" w:styleId="390">
    <w:name w:val="Char Char1 Char Char Char Char Char Char Char Char Char Char Char Char1"/>
    <w:basedOn w:val="1"/>
    <w:link w:val="389"/>
    <w:qFormat/>
    <w:uiPriority w:val="0"/>
    <w:pPr>
      <w:widowControl w:val="0"/>
    </w:pPr>
    <w:rPr>
      <w:rFonts w:ascii="Times New Roman" w:hAnsi="Times New Roman" w:cs="Times New Roman"/>
      <w:sz w:val="20"/>
      <w:szCs w:val="20"/>
    </w:rPr>
  </w:style>
  <w:style w:type="character" w:customStyle="1" w:styleId="391">
    <w:name w:val="Char Char8"/>
    <w:qFormat/>
    <w:uiPriority w:val="0"/>
    <w:rPr>
      <w:rFonts w:hint="eastAsia" w:ascii="黑体" w:eastAsia="黑体"/>
      <w:kern w:val="2"/>
      <w:sz w:val="24"/>
      <w:szCs w:val="24"/>
      <w:lang w:val="en-US" w:eastAsia="zh-CN" w:bidi="ar-SA"/>
    </w:rPr>
  </w:style>
  <w:style w:type="character" w:customStyle="1" w:styleId="392">
    <w:name w:val="表内正文 Char Char"/>
    <w:qFormat/>
    <w:uiPriority w:val="0"/>
    <w:rPr>
      <w:rFonts w:ascii="仿宋_GB2312" w:eastAsia="仿宋_GB2312"/>
      <w:kern w:val="2"/>
      <w:sz w:val="21"/>
      <w:szCs w:val="24"/>
      <w:lang w:val="en-US" w:eastAsia="zh-CN" w:bidi="ar-SA"/>
    </w:rPr>
  </w:style>
  <w:style w:type="character" w:customStyle="1" w:styleId="393">
    <w:name w:val="正文 Char"/>
    <w:qFormat/>
    <w:uiPriority w:val="0"/>
    <w:rPr>
      <w:rFonts w:ascii="Times New Roman" w:hAnsi="Times New Roman" w:eastAsia="宋体" w:cs="Times New Roman"/>
      <w:snapToGrid w:val="0"/>
      <w:kern w:val="0"/>
      <w:sz w:val="24"/>
      <w:szCs w:val="24"/>
    </w:rPr>
  </w:style>
  <w:style w:type="character" w:customStyle="1" w:styleId="394">
    <w:name w:val="样式1 Char Char Char Char Char Char Char"/>
    <w:link w:val="395"/>
    <w:semiHidden/>
    <w:qFormat/>
    <w:uiPriority w:val="0"/>
    <w:rPr>
      <w:rFonts w:ascii="Times New Roman" w:hAnsi="Times New Roman" w:eastAsia="仿宋_GB2312"/>
      <w:spacing w:val="-20"/>
      <w:sz w:val="18"/>
      <w:szCs w:val="24"/>
    </w:rPr>
  </w:style>
  <w:style w:type="paragraph" w:customStyle="1" w:styleId="395">
    <w:name w:val="样式1 Char Char Char Char Char"/>
    <w:basedOn w:val="1"/>
    <w:link w:val="394"/>
    <w:semiHidden/>
    <w:qFormat/>
    <w:uiPriority w:val="0"/>
    <w:pPr>
      <w:widowControl w:val="0"/>
      <w:jc w:val="center"/>
    </w:pPr>
    <w:rPr>
      <w:rFonts w:ascii="Times New Roman" w:hAnsi="Times New Roman" w:eastAsia="仿宋_GB2312" w:cs="Times New Roman"/>
      <w:spacing w:val="-20"/>
      <w:sz w:val="18"/>
    </w:rPr>
  </w:style>
  <w:style w:type="character" w:customStyle="1" w:styleId="396">
    <w:name w:val="目标题 1) Char1"/>
    <w:qFormat/>
    <w:uiPriority w:val="0"/>
    <w:rPr>
      <w:rFonts w:ascii="Arial" w:hAnsi="Arial" w:eastAsia="黑体"/>
      <w:color w:val="000000"/>
      <w:kern w:val="28"/>
      <w:sz w:val="24"/>
    </w:rPr>
  </w:style>
  <w:style w:type="character" w:customStyle="1" w:styleId="397">
    <w:name w:val="图表标题 Char Char"/>
    <w:link w:val="398"/>
    <w:qFormat/>
    <w:uiPriority w:val="0"/>
    <w:rPr>
      <w:rFonts w:ascii="黑体" w:hAnsi="Times New Roman" w:eastAsia="黑体"/>
      <w:b/>
      <w:color w:val="000000"/>
      <w:sz w:val="24"/>
      <w:szCs w:val="21"/>
    </w:rPr>
  </w:style>
  <w:style w:type="paragraph" w:customStyle="1" w:styleId="398">
    <w:name w:val="图表标题"/>
    <w:basedOn w:val="1"/>
    <w:link w:val="397"/>
    <w:qFormat/>
    <w:uiPriority w:val="0"/>
    <w:pPr>
      <w:widowControl w:val="0"/>
      <w:adjustRightInd w:val="0"/>
      <w:snapToGrid w:val="0"/>
      <w:spacing w:line="360" w:lineRule="auto"/>
      <w:jc w:val="center"/>
    </w:pPr>
    <w:rPr>
      <w:rFonts w:ascii="黑体" w:hAnsi="Times New Roman" w:eastAsia="黑体" w:cs="Times New Roman"/>
      <w:b/>
      <w:color w:val="000000"/>
      <w:szCs w:val="21"/>
    </w:rPr>
  </w:style>
  <w:style w:type="character" w:customStyle="1" w:styleId="399">
    <w:name w:val="正文文本 2 Char2"/>
    <w:semiHidden/>
    <w:qFormat/>
    <w:uiPriority w:val="99"/>
    <w:rPr>
      <w:rFonts w:ascii="Calibri" w:hAnsi="Calibri" w:eastAsia="宋体" w:cs="Times New Roman"/>
    </w:rPr>
  </w:style>
  <w:style w:type="character" w:customStyle="1" w:styleId="400">
    <w:name w:val="规划正文样式 Char Char"/>
    <w:qFormat/>
    <w:uiPriority w:val="0"/>
    <w:rPr>
      <w:rFonts w:eastAsia="宋体"/>
      <w:kern w:val="2"/>
      <w:sz w:val="24"/>
      <w:szCs w:val="24"/>
      <w:lang w:val="en-US" w:eastAsia="zh-CN" w:bidi="ar-SA"/>
    </w:rPr>
  </w:style>
  <w:style w:type="character" w:customStyle="1" w:styleId="401">
    <w:name w:val="注释标题 Char Char"/>
    <w:qFormat/>
    <w:uiPriority w:val="0"/>
    <w:rPr>
      <w:rFonts w:ascii="Times New Roman" w:hAnsi="Times New Roman" w:eastAsia="宋体" w:cs="Times New Roman"/>
      <w:szCs w:val="20"/>
    </w:rPr>
  </w:style>
  <w:style w:type="character" w:customStyle="1" w:styleId="402">
    <w:name w:val="航标 Char Char"/>
    <w:link w:val="403"/>
    <w:qFormat/>
    <w:uiPriority w:val="0"/>
    <w:rPr>
      <w:rFonts w:ascii="仿宋_GB2312" w:hAnsi="Times New Roman" w:eastAsia="仿宋_GB2312"/>
      <w:b/>
      <w:color w:val="000000"/>
      <w:sz w:val="28"/>
    </w:rPr>
  </w:style>
  <w:style w:type="paragraph" w:customStyle="1" w:styleId="403">
    <w:name w:val="航标"/>
    <w:basedOn w:val="1"/>
    <w:next w:val="1"/>
    <w:link w:val="402"/>
    <w:qFormat/>
    <w:uiPriority w:val="0"/>
    <w:pPr>
      <w:widowControl w:val="0"/>
      <w:topLinePunct/>
      <w:spacing w:line="486" w:lineRule="exact"/>
      <w:ind w:firstLine="200" w:firstLineChars="200"/>
    </w:pPr>
    <w:rPr>
      <w:rFonts w:ascii="仿宋_GB2312" w:hAnsi="Times New Roman" w:eastAsia="仿宋_GB2312" w:cs="Times New Roman"/>
      <w:b/>
      <w:color w:val="000000"/>
      <w:sz w:val="28"/>
      <w:szCs w:val="20"/>
    </w:rPr>
  </w:style>
  <w:style w:type="character" w:customStyle="1" w:styleId="404">
    <w:name w:val="表格内容1 Char Char1"/>
    <w:qFormat/>
    <w:uiPriority w:val="0"/>
    <w:rPr>
      <w:rFonts w:eastAsia="宋体"/>
      <w:kern w:val="24"/>
      <w:sz w:val="21"/>
      <w:szCs w:val="24"/>
      <w:lang w:val="en-US" w:eastAsia="zh-CN" w:bidi="ar-SA"/>
    </w:rPr>
  </w:style>
  <w:style w:type="character" w:customStyle="1" w:styleId="405">
    <w:name w:val="000 Char Char"/>
    <w:link w:val="406"/>
    <w:qFormat/>
    <w:uiPriority w:val="0"/>
    <w:rPr>
      <w:rFonts w:ascii="Times New Roman" w:hAnsi="Times New Roman"/>
      <w:sz w:val="24"/>
      <w:szCs w:val="24"/>
    </w:rPr>
  </w:style>
  <w:style w:type="paragraph" w:customStyle="1" w:styleId="406">
    <w:name w:val="000"/>
    <w:basedOn w:val="1"/>
    <w:link w:val="405"/>
    <w:qFormat/>
    <w:uiPriority w:val="0"/>
    <w:pPr>
      <w:widowControl w:val="0"/>
      <w:spacing w:line="360" w:lineRule="auto"/>
      <w:ind w:firstLine="200" w:firstLineChars="200"/>
      <w:jc w:val="both"/>
    </w:pPr>
    <w:rPr>
      <w:rFonts w:ascii="Times New Roman" w:hAnsi="Times New Roman" w:cs="Times New Roman"/>
    </w:rPr>
  </w:style>
  <w:style w:type="character" w:customStyle="1" w:styleId="407">
    <w:name w:val="正文首行缩进 Char2"/>
    <w:qFormat/>
    <w:uiPriority w:val="0"/>
    <w:rPr>
      <w:rFonts w:ascii="Times New Roman" w:hAnsi="Times New Roman" w:eastAsia="宋体" w:cs="Times New Roman"/>
      <w:kern w:val="0"/>
      <w:sz w:val="28"/>
      <w:szCs w:val="20"/>
    </w:rPr>
  </w:style>
  <w:style w:type="character" w:customStyle="1" w:styleId="408">
    <w:name w:val="Char Char"/>
    <w:qFormat/>
    <w:uiPriority w:val="0"/>
    <w:rPr>
      <w:rFonts w:eastAsia="黑体"/>
      <w:b/>
      <w:snapToGrid w:val="0"/>
      <w:sz w:val="24"/>
      <w:szCs w:val="32"/>
      <w:lang w:val="en-US" w:eastAsia="zh-CN" w:bidi="ar-SA"/>
    </w:rPr>
  </w:style>
  <w:style w:type="character" w:customStyle="1" w:styleId="409">
    <w:name w:val="公式说明 Char"/>
    <w:link w:val="410"/>
    <w:qFormat/>
    <w:uiPriority w:val="0"/>
    <w:rPr>
      <w:rFonts w:ascii="Times New Roman" w:hAnsi="Times New Roman" w:eastAsia="仿宋_GB2312"/>
      <w:sz w:val="32"/>
    </w:rPr>
  </w:style>
  <w:style w:type="paragraph" w:customStyle="1" w:styleId="410">
    <w:name w:val="公式说明"/>
    <w:basedOn w:val="1"/>
    <w:link w:val="409"/>
    <w:qFormat/>
    <w:uiPriority w:val="0"/>
    <w:pPr>
      <w:widowControl w:val="0"/>
      <w:tabs>
        <w:tab w:val="left" w:pos="1920"/>
      </w:tabs>
      <w:adjustRightInd w:val="0"/>
      <w:snapToGrid w:val="0"/>
      <w:spacing w:line="620" w:lineRule="exact"/>
      <w:ind w:firstLine="200" w:firstLineChars="200"/>
      <w:jc w:val="both"/>
    </w:pPr>
    <w:rPr>
      <w:rFonts w:ascii="Times New Roman" w:hAnsi="Times New Roman" w:eastAsia="仿宋_GB2312" w:cs="Times New Roman"/>
      <w:sz w:val="32"/>
      <w:szCs w:val="20"/>
    </w:rPr>
  </w:style>
  <w:style w:type="character" w:customStyle="1" w:styleId="411">
    <w:name w:val="正文文字缩进 31 Char Char"/>
    <w:qFormat/>
    <w:uiPriority w:val="0"/>
    <w:rPr>
      <w:rFonts w:eastAsia="宋体"/>
      <w:kern w:val="2"/>
      <w:sz w:val="16"/>
      <w:szCs w:val="16"/>
      <w:lang w:val="en-US" w:eastAsia="zh-CN" w:bidi="ar-SA"/>
    </w:rPr>
  </w:style>
  <w:style w:type="character" w:customStyle="1" w:styleId="412">
    <w:name w:val="正文1 Char Char Char Char"/>
    <w:qFormat/>
    <w:uiPriority w:val="0"/>
    <w:rPr>
      <w:rFonts w:ascii="仿宋_GB2312" w:hAnsi="Times New Roman" w:eastAsia="仿宋_GB2312" w:cs="Times New Roman"/>
      <w:sz w:val="28"/>
      <w:szCs w:val="28"/>
    </w:rPr>
  </w:style>
  <w:style w:type="character" w:customStyle="1" w:styleId="413">
    <w:name w:val="sidecatalog-index2"/>
    <w:qFormat/>
    <w:uiPriority w:val="0"/>
    <w:rPr>
      <w:rFonts w:ascii="Arail" w:hAnsi="Arail" w:eastAsia="Arail" w:cs="Arail"/>
      <w:color w:val="999999"/>
      <w:sz w:val="21"/>
      <w:szCs w:val="21"/>
    </w:rPr>
  </w:style>
  <w:style w:type="character" w:customStyle="1" w:styleId="414">
    <w:name w:val="style51"/>
    <w:qFormat/>
    <w:uiPriority w:val="0"/>
    <w:rPr>
      <w:b/>
      <w:bCs/>
      <w:color w:val="990000"/>
      <w:sz w:val="21"/>
      <w:szCs w:val="21"/>
    </w:rPr>
  </w:style>
  <w:style w:type="character" w:customStyle="1" w:styleId="415">
    <w:name w:val="A4"/>
    <w:qFormat/>
    <w:uiPriority w:val="0"/>
    <w:rPr>
      <w:rFonts w:ascii="新宋体" w:eastAsia="新宋体" w:cs="新宋体"/>
      <w:color w:val="000000"/>
      <w:sz w:val="28"/>
      <w:szCs w:val="28"/>
    </w:rPr>
  </w:style>
  <w:style w:type="character" w:customStyle="1" w:styleId="416">
    <w:name w:val="脚注文本 Char1"/>
    <w:qFormat/>
    <w:uiPriority w:val="99"/>
    <w:rPr>
      <w:rFonts w:ascii="Calibri" w:hAnsi="Calibri" w:eastAsia="宋体" w:cs="Times New Roman"/>
      <w:sz w:val="18"/>
      <w:szCs w:val="18"/>
    </w:rPr>
  </w:style>
  <w:style w:type="character" w:customStyle="1" w:styleId="417">
    <w:name w:val="正文-------- Char Char"/>
    <w:link w:val="418"/>
    <w:qFormat/>
    <w:uiPriority w:val="0"/>
    <w:rPr>
      <w:sz w:val="24"/>
    </w:rPr>
  </w:style>
  <w:style w:type="paragraph" w:customStyle="1" w:styleId="418">
    <w:name w:val="正文--------"/>
    <w:basedOn w:val="1"/>
    <w:link w:val="417"/>
    <w:qFormat/>
    <w:uiPriority w:val="0"/>
    <w:pPr>
      <w:widowControl w:val="0"/>
      <w:spacing w:line="460" w:lineRule="exact"/>
      <w:ind w:firstLine="480" w:firstLineChars="200"/>
    </w:pPr>
    <w:rPr>
      <w:rFonts w:ascii="Calibri" w:hAnsi="Calibri" w:cs="Times New Roman"/>
      <w:szCs w:val="20"/>
    </w:rPr>
  </w:style>
  <w:style w:type="character" w:customStyle="1" w:styleId="419">
    <w:name w:val="正文 + 宋体 Char"/>
    <w:link w:val="420"/>
    <w:qFormat/>
    <w:uiPriority w:val="0"/>
    <w:rPr>
      <w:rFonts w:ascii="宋体" w:hAnsi="宋体" w:cs="宋体"/>
      <w:b/>
      <w:szCs w:val="24"/>
    </w:rPr>
  </w:style>
  <w:style w:type="paragraph" w:customStyle="1" w:styleId="420">
    <w:name w:val="正文 + 宋体"/>
    <w:basedOn w:val="78"/>
    <w:link w:val="419"/>
    <w:qFormat/>
    <w:uiPriority w:val="0"/>
    <w:pPr>
      <w:widowControl w:val="0"/>
      <w:spacing w:after="0" w:line="360" w:lineRule="auto"/>
      <w:ind w:firstLine="200" w:firstLineChars="200"/>
    </w:pPr>
    <w:rPr>
      <w:b/>
      <w:szCs w:val="24"/>
    </w:rPr>
  </w:style>
  <w:style w:type="character" w:customStyle="1" w:styleId="421">
    <w:name w:val="headline-content2"/>
    <w:basedOn w:val="83"/>
    <w:qFormat/>
    <w:uiPriority w:val="0"/>
  </w:style>
  <w:style w:type="character" w:customStyle="1" w:styleId="422">
    <w:name w:val="3级标题 Char"/>
    <w:link w:val="423"/>
    <w:qFormat/>
    <w:locked/>
    <w:uiPriority w:val="0"/>
    <w:rPr>
      <w:rFonts w:ascii="黑体" w:hAnsi="宋体" w:eastAsia="黑体" w:cs="Arial"/>
      <w:bCs/>
      <w:color w:val="000000"/>
      <w:sz w:val="24"/>
    </w:rPr>
  </w:style>
  <w:style w:type="paragraph" w:customStyle="1" w:styleId="423">
    <w:name w:val="3级标题"/>
    <w:basedOn w:val="6"/>
    <w:next w:val="160"/>
    <w:link w:val="422"/>
    <w:qFormat/>
    <w:uiPriority w:val="0"/>
    <w:pPr>
      <w:tabs>
        <w:tab w:val="left" w:pos="1021"/>
      </w:tabs>
    </w:pPr>
    <w:rPr>
      <w:rFonts w:ascii="黑体" w:hAnsi="宋体" w:cs="Arial"/>
      <w:color w:val="000000"/>
      <w:sz w:val="24"/>
      <w:szCs w:val="20"/>
    </w:rPr>
  </w:style>
  <w:style w:type="character" w:customStyle="1" w:styleId="424">
    <w:name w:val="style9 style60"/>
    <w:basedOn w:val="83"/>
    <w:qFormat/>
    <w:uiPriority w:val="0"/>
  </w:style>
  <w:style w:type="character" w:customStyle="1" w:styleId="425">
    <w:name w:val="style621"/>
    <w:qFormat/>
    <w:uiPriority w:val="0"/>
    <w:rPr>
      <w:color w:val="335150"/>
    </w:rPr>
  </w:style>
  <w:style w:type="character" w:customStyle="1" w:styleId="426">
    <w:name w:val="标题 Char3"/>
    <w:qFormat/>
    <w:locked/>
    <w:uiPriority w:val="99"/>
    <w:rPr>
      <w:rFonts w:ascii="Arial" w:hAnsi="Arial"/>
      <w:b/>
      <w:sz w:val="32"/>
    </w:rPr>
  </w:style>
  <w:style w:type="character" w:customStyle="1" w:styleId="427">
    <w:name w:val="正文文本 (2) + 10 pt7"/>
    <w:qFormat/>
    <w:uiPriority w:val="99"/>
    <w:rPr>
      <w:rFonts w:ascii="MingLiU" w:eastAsia="MingLiU" w:cs="MingLiU"/>
      <w:spacing w:val="110"/>
      <w:sz w:val="20"/>
      <w:szCs w:val="20"/>
      <w:u w:val="none"/>
      <w:shd w:val="clear" w:color="auto" w:fill="FFFFFF"/>
    </w:rPr>
  </w:style>
  <w:style w:type="character" w:customStyle="1" w:styleId="428">
    <w:name w:val="表格1 Char Char Char"/>
    <w:link w:val="429"/>
    <w:qFormat/>
    <w:uiPriority w:val="0"/>
    <w:rPr>
      <w:rFonts w:ascii="宋体" w:hAnsi="宋体" w:eastAsia="仿宋_GB2312"/>
      <w:szCs w:val="24"/>
    </w:rPr>
  </w:style>
  <w:style w:type="paragraph" w:customStyle="1" w:styleId="429">
    <w:name w:val="表格1"/>
    <w:basedOn w:val="1"/>
    <w:next w:val="31"/>
    <w:link w:val="428"/>
    <w:qFormat/>
    <w:uiPriority w:val="0"/>
    <w:pPr>
      <w:widowControl w:val="0"/>
      <w:topLinePunct/>
      <w:jc w:val="center"/>
    </w:pPr>
    <w:rPr>
      <w:rFonts w:eastAsia="仿宋_GB2312" w:cs="Times New Roman"/>
      <w:sz w:val="20"/>
    </w:rPr>
  </w:style>
  <w:style w:type="character" w:customStyle="1" w:styleId="430">
    <w:name w:val="报告表格内容 Char Char"/>
    <w:link w:val="431"/>
    <w:qFormat/>
    <w:uiPriority w:val="0"/>
    <w:rPr>
      <w:rFonts w:ascii="Times New Roman" w:hAnsi="Times New Roman"/>
    </w:rPr>
  </w:style>
  <w:style w:type="paragraph" w:customStyle="1" w:styleId="431">
    <w:name w:val="报告表格内容"/>
    <w:basedOn w:val="1"/>
    <w:next w:val="1"/>
    <w:link w:val="430"/>
    <w:qFormat/>
    <w:uiPriority w:val="0"/>
    <w:pPr>
      <w:widowControl w:val="0"/>
      <w:adjustRightInd w:val="0"/>
      <w:snapToGrid w:val="0"/>
      <w:jc w:val="center"/>
    </w:pPr>
    <w:rPr>
      <w:rFonts w:ascii="Times New Roman" w:hAnsi="Times New Roman" w:cs="Times New Roman"/>
      <w:sz w:val="20"/>
      <w:szCs w:val="20"/>
    </w:rPr>
  </w:style>
  <w:style w:type="character" w:customStyle="1" w:styleId="432">
    <w:name w:val="newbody1"/>
    <w:qFormat/>
    <w:uiPriority w:val="0"/>
    <w:rPr>
      <w:sz w:val="21"/>
      <w:szCs w:val="21"/>
    </w:rPr>
  </w:style>
  <w:style w:type="character" w:customStyle="1" w:styleId="433">
    <w:name w:val="正文 Char1 Char Char"/>
    <w:link w:val="434"/>
    <w:qFormat/>
    <w:uiPriority w:val="0"/>
    <w:rPr>
      <w:rFonts w:ascii="Times New Roman" w:hAnsi="Times New Roman"/>
      <w:bCs/>
      <w:color w:val="000000"/>
      <w:sz w:val="24"/>
      <w:szCs w:val="21"/>
    </w:rPr>
  </w:style>
  <w:style w:type="paragraph" w:customStyle="1" w:styleId="434">
    <w:name w:val="正文 Char1"/>
    <w:basedOn w:val="1"/>
    <w:link w:val="433"/>
    <w:qFormat/>
    <w:uiPriority w:val="0"/>
    <w:pPr>
      <w:widowControl w:val="0"/>
      <w:tabs>
        <w:tab w:val="left" w:pos="1834"/>
      </w:tabs>
      <w:adjustRightInd w:val="0"/>
      <w:snapToGrid w:val="0"/>
      <w:spacing w:beforeLines="50" w:afterLines="50" w:line="360" w:lineRule="exact"/>
      <w:ind w:firstLine="480"/>
      <w:jc w:val="both"/>
      <w:textAlignment w:val="baseline"/>
    </w:pPr>
    <w:rPr>
      <w:rFonts w:ascii="Times New Roman" w:hAnsi="Times New Roman" w:cs="Times New Roman"/>
      <w:bCs/>
      <w:color w:val="000000"/>
      <w:szCs w:val="21"/>
    </w:rPr>
  </w:style>
  <w:style w:type="character" w:customStyle="1" w:styleId="435">
    <w:name w:val="正文文本 (2)_"/>
    <w:link w:val="436"/>
    <w:qFormat/>
    <w:uiPriority w:val="99"/>
    <w:rPr>
      <w:rFonts w:ascii="MingLiU" w:eastAsia="MingLiU" w:cs="MingLiU"/>
      <w:sz w:val="26"/>
      <w:szCs w:val="26"/>
      <w:shd w:val="clear" w:color="auto" w:fill="FFFFFF"/>
    </w:rPr>
  </w:style>
  <w:style w:type="paragraph" w:customStyle="1" w:styleId="436">
    <w:name w:val="正文文本 (2)1"/>
    <w:basedOn w:val="1"/>
    <w:link w:val="435"/>
    <w:qFormat/>
    <w:uiPriority w:val="99"/>
    <w:pPr>
      <w:widowControl w:val="0"/>
      <w:shd w:val="clear" w:color="auto" w:fill="FFFFFF"/>
      <w:spacing w:line="240" w:lineRule="atLeast"/>
      <w:ind w:hanging="160"/>
    </w:pPr>
    <w:rPr>
      <w:rFonts w:ascii="MingLiU" w:hAnsi="Calibri" w:eastAsia="MingLiU" w:cs="MingLiU"/>
      <w:sz w:val="26"/>
      <w:szCs w:val="26"/>
    </w:rPr>
  </w:style>
  <w:style w:type="character" w:customStyle="1" w:styleId="437">
    <w:name w:val="德胜正文 Char Char"/>
    <w:link w:val="438"/>
    <w:qFormat/>
    <w:uiPriority w:val="0"/>
    <w:rPr>
      <w:snapToGrid w:val="0"/>
      <w:color w:val="0000FF"/>
      <w:sz w:val="24"/>
      <w:szCs w:val="24"/>
    </w:rPr>
  </w:style>
  <w:style w:type="paragraph" w:customStyle="1" w:styleId="438">
    <w:name w:val="德胜正文"/>
    <w:basedOn w:val="1"/>
    <w:link w:val="437"/>
    <w:qFormat/>
    <w:uiPriority w:val="0"/>
    <w:pPr>
      <w:widowControl w:val="0"/>
      <w:adjustRightInd w:val="0"/>
      <w:snapToGrid w:val="0"/>
      <w:spacing w:line="360" w:lineRule="auto"/>
      <w:ind w:firstLine="200" w:firstLineChars="200"/>
      <w:jc w:val="both"/>
    </w:pPr>
    <w:rPr>
      <w:rFonts w:ascii="Calibri" w:hAnsi="Calibri" w:cs="Times New Roman"/>
      <w:snapToGrid w:val="0"/>
      <w:color w:val="0000FF"/>
    </w:rPr>
  </w:style>
  <w:style w:type="character" w:customStyle="1" w:styleId="439">
    <w:name w:val="正文文本 Char2"/>
    <w:semiHidden/>
    <w:qFormat/>
    <w:uiPriority w:val="0"/>
    <w:rPr>
      <w:rFonts w:ascii="Times New Roman" w:hAnsi="Times New Roman" w:eastAsia="宋体" w:cs="Times New Roman"/>
      <w:szCs w:val="24"/>
    </w:rPr>
  </w:style>
  <w:style w:type="character" w:customStyle="1" w:styleId="440">
    <w:name w:val="标题1"/>
    <w:basedOn w:val="83"/>
    <w:qFormat/>
    <w:uiPriority w:val="0"/>
  </w:style>
  <w:style w:type="character" w:customStyle="1" w:styleId="441">
    <w:name w:val="副标题 Char2"/>
    <w:qFormat/>
    <w:locked/>
    <w:uiPriority w:val="11"/>
    <w:rPr>
      <w:rFonts w:ascii="Arial" w:hAnsi="Arial" w:eastAsia="仿宋_GB2312"/>
      <w:b/>
      <w:bCs/>
      <w:kern w:val="28"/>
      <w:sz w:val="32"/>
      <w:szCs w:val="32"/>
    </w:rPr>
  </w:style>
  <w:style w:type="character" w:customStyle="1" w:styleId="442">
    <w:name w:val="文章正文 Char Char"/>
    <w:link w:val="443"/>
    <w:qFormat/>
    <w:uiPriority w:val="0"/>
    <w:rPr>
      <w:rFonts w:hAnsi="宋体"/>
      <w:kern w:val="2"/>
      <w:sz w:val="24"/>
      <w:szCs w:val="24"/>
    </w:rPr>
  </w:style>
  <w:style w:type="paragraph" w:customStyle="1" w:styleId="443">
    <w:name w:val="文章正文"/>
    <w:basedOn w:val="1"/>
    <w:link w:val="442"/>
    <w:qFormat/>
    <w:uiPriority w:val="0"/>
    <w:pPr>
      <w:widowControl w:val="0"/>
      <w:spacing w:line="360" w:lineRule="auto"/>
      <w:jc w:val="both"/>
    </w:pPr>
    <w:rPr>
      <w:rFonts w:ascii="Calibri" w:cs="Times New Roman"/>
      <w:kern w:val="2"/>
    </w:rPr>
  </w:style>
  <w:style w:type="character" w:customStyle="1" w:styleId="444">
    <w:name w:val="表格 Char2"/>
    <w:qFormat/>
    <w:uiPriority w:val="0"/>
    <w:rPr>
      <w:kern w:val="2"/>
      <w:sz w:val="21"/>
      <w:szCs w:val="21"/>
    </w:rPr>
  </w:style>
  <w:style w:type="character" w:customStyle="1" w:styleId="445">
    <w:name w:val="Char Char241"/>
    <w:qFormat/>
    <w:uiPriority w:val="0"/>
    <w:rPr>
      <w:b/>
      <w:kern w:val="44"/>
      <w:sz w:val="44"/>
    </w:rPr>
  </w:style>
  <w:style w:type="character" w:customStyle="1" w:styleId="446">
    <w:name w:val="正文(首行缩进) Char Char"/>
    <w:link w:val="447"/>
    <w:qFormat/>
    <w:uiPriority w:val="0"/>
    <w:rPr>
      <w:snapToGrid w:val="0"/>
      <w:sz w:val="24"/>
      <w:szCs w:val="24"/>
    </w:rPr>
  </w:style>
  <w:style w:type="paragraph" w:customStyle="1" w:styleId="447">
    <w:name w:val="正文(首行缩进)"/>
    <w:basedOn w:val="1"/>
    <w:link w:val="446"/>
    <w:qFormat/>
    <w:uiPriority w:val="0"/>
    <w:pPr>
      <w:widowControl w:val="0"/>
      <w:tabs>
        <w:tab w:val="left" w:pos="4584"/>
      </w:tabs>
      <w:adjustRightInd w:val="0"/>
      <w:snapToGrid w:val="0"/>
      <w:jc w:val="center"/>
    </w:pPr>
    <w:rPr>
      <w:rFonts w:ascii="Calibri" w:hAnsi="Calibri" w:cs="Times New Roman"/>
      <w:snapToGrid w:val="0"/>
    </w:rPr>
  </w:style>
  <w:style w:type="character" w:customStyle="1" w:styleId="448">
    <w:name w:val="页脚 Char1"/>
    <w:qFormat/>
    <w:uiPriority w:val="0"/>
    <w:rPr>
      <w:rFonts w:ascii="Calibri" w:hAnsi="Calibri" w:eastAsia="宋体" w:cs="Times New Roman"/>
      <w:sz w:val="18"/>
      <w:szCs w:val="18"/>
    </w:rPr>
  </w:style>
  <w:style w:type="character" w:customStyle="1" w:styleId="449">
    <w:name w:val="样式 表格内容1 + Char"/>
    <w:qFormat/>
    <w:uiPriority w:val="0"/>
    <w:rPr>
      <w:rFonts w:ascii="仿宋" w:hAnsi="仿宋" w:eastAsia="仿宋"/>
      <w:kern w:val="2"/>
      <w:sz w:val="21"/>
      <w:szCs w:val="24"/>
      <w:lang w:val="en-US" w:eastAsia="zh-CN"/>
    </w:rPr>
  </w:style>
  <w:style w:type="character" w:customStyle="1" w:styleId="450">
    <w:name w:val="sidecatalog-dot"/>
    <w:basedOn w:val="83"/>
    <w:qFormat/>
    <w:uiPriority w:val="0"/>
  </w:style>
  <w:style w:type="character" w:customStyle="1" w:styleId="451">
    <w:name w:val="正文文本 Char"/>
    <w:qFormat/>
    <w:uiPriority w:val="99"/>
    <w:rPr>
      <w:rFonts w:ascii="Times New Roman" w:hAnsi="Times New Roman" w:eastAsia="宋体" w:cs="Times New Roman"/>
      <w:szCs w:val="24"/>
    </w:rPr>
  </w:style>
  <w:style w:type="character" w:customStyle="1" w:styleId="452">
    <w:name w:val="sidecatalog-dot5"/>
    <w:basedOn w:val="83"/>
    <w:qFormat/>
    <w:uiPriority w:val="0"/>
  </w:style>
  <w:style w:type="character" w:customStyle="1" w:styleId="453">
    <w:name w:val="z-窗体底端 Char1"/>
    <w:semiHidden/>
    <w:qFormat/>
    <w:uiPriority w:val="99"/>
    <w:rPr>
      <w:rFonts w:ascii="Arial" w:hAnsi="Arial" w:eastAsia="宋体" w:cs="Arial"/>
      <w:vanish/>
      <w:sz w:val="16"/>
      <w:szCs w:val="16"/>
    </w:rPr>
  </w:style>
  <w:style w:type="character" w:customStyle="1" w:styleId="454">
    <w:name w:val="Char Char6"/>
    <w:qFormat/>
    <w:uiPriority w:val="0"/>
    <w:rPr>
      <w:rFonts w:hint="default" w:ascii="Times New Roman" w:hAnsi="Times New Roman" w:eastAsia="宋体" w:cs="Times New Roman"/>
      <w:szCs w:val="20"/>
      <w:shd w:val="clear" w:color="auto" w:fill="000080"/>
    </w:rPr>
  </w:style>
  <w:style w:type="character" w:customStyle="1" w:styleId="455">
    <w:name w:val="正文小四首缩1.3行距 Char Char"/>
    <w:link w:val="456"/>
    <w:qFormat/>
    <w:uiPriority w:val="0"/>
    <w:rPr>
      <w:rFonts w:ascii="Times New Roman" w:hAnsi="Times New Roman"/>
      <w:sz w:val="24"/>
      <w:szCs w:val="24"/>
    </w:rPr>
  </w:style>
  <w:style w:type="paragraph" w:customStyle="1" w:styleId="456">
    <w:name w:val="正文小四首缩1.3行距"/>
    <w:basedOn w:val="1"/>
    <w:link w:val="455"/>
    <w:qFormat/>
    <w:uiPriority w:val="0"/>
    <w:pPr>
      <w:widowControl w:val="0"/>
      <w:spacing w:line="312" w:lineRule="auto"/>
      <w:ind w:firstLine="420" w:firstLineChars="200"/>
      <w:jc w:val="both"/>
    </w:pPr>
    <w:rPr>
      <w:rFonts w:ascii="Times New Roman" w:hAnsi="Times New Roman" w:cs="Times New Roman"/>
    </w:rPr>
  </w:style>
  <w:style w:type="character" w:customStyle="1" w:styleId="457">
    <w:name w:val="表格内容-小五（OPCC宋体） Char Char"/>
    <w:link w:val="458"/>
    <w:qFormat/>
    <w:uiPriority w:val="0"/>
    <w:rPr>
      <w:rFonts w:ascii="Times New Roman" w:hAnsi="Times New Roman" w:eastAsia="仿宋_GB2312" w:cs="宋体"/>
      <w:sz w:val="18"/>
      <w:szCs w:val="18"/>
    </w:rPr>
  </w:style>
  <w:style w:type="paragraph" w:customStyle="1" w:styleId="458">
    <w:name w:val="表格内容-小五（OPCC宋体）"/>
    <w:basedOn w:val="1"/>
    <w:link w:val="457"/>
    <w:qFormat/>
    <w:uiPriority w:val="0"/>
    <w:pPr>
      <w:widowControl w:val="0"/>
      <w:jc w:val="center"/>
    </w:pPr>
    <w:rPr>
      <w:rFonts w:ascii="Times New Roman" w:hAnsi="Times New Roman" w:eastAsia="仿宋_GB2312"/>
      <w:sz w:val="18"/>
      <w:szCs w:val="18"/>
    </w:rPr>
  </w:style>
  <w:style w:type="character" w:customStyle="1" w:styleId="459">
    <w:name w:val="desc"/>
    <w:qFormat/>
    <w:uiPriority w:val="0"/>
    <w:rPr>
      <w:color w:val="000000"/>
      <w:sz w:val="18"/>
      <w:szCs w:val="18"/>
    </w:rPr>
  </w:style>
  <w:style w:type="character" w:customStyle="1" w:styleId="460">
    <w:name w:val="样式3 Char Char"/>
    <w:link w:val="461"/>
    <w:qFormat/>
    <w:uiPriority w:val="0"/>
    <w:rPr>
      <w:rFonts w:ascii="Times New Roman" w:hAnsi="Times New Roman"/>
      <w:sz w:val="24"/>
    </w:rPr>
  </w:style>
  <w:style w:type="paragraph" w:customStyle="1" w:styleId="461">
    <w:name w:val="样式3"/>
    <w:basedOn w:val="5"/>
    <w:link w:val="460"/>
    <w:qFormat/>
    <w:uiPriority w:val="0"/>
    <w:pPr>
      <w:widowControl w:val="0"/>
      <w:adjustRightInd w:val="0"/>
      <w:snapToGrid w:val="0"/>
      <w:spacing w:line="360" w:lineRule="auto"/>
      <w:ind w:firstLine="420"/>
      <w:textAlignment w:val="baseline"/>
    </w:pPr>
    <w:rPr>
      <w:rFonts w:ascii="Times New Roman" w:hAnsi="Times New Roman"/>
      <w:sz w:val="24"/>
    </w:rPr>
  </w:style>
  <w:style w:type="character" w:customStyle="1" w:styleId="462">
    <w:name w:val="bb1"/>
    <w:qFormat/>
    <w:uiPriority w:val="0"/>
    <w:rPr>
      <w:sz w:val="23"/>
      <w:szCs w:val="23"/>
    </w:rPr>
  </w:style>
  <w:style w:type="character" w:customStyle="1" w:styleId="463">
    <w:name w:val="表正文 Char1 Char Char"/>
    <w:qFormat/>
    <w:uiPriority w:val="0"/>
    <w:rPr>
      <w:rFonts w:eastAsia="宋体"/>
      <w:sz w:val="28"/>
      <w:lang w:val="en-US" w:eastAsia="zh-CN" w:bidi="ar-SA"/>
    </w:rPr>
  </w:style>
  <w:style w:type="character" w:customStyle="1" w:styleId="464">
    <w:name w:val="图表标题wj Char Char"/>
    <w:link w:val="465"/>
    <w:qFormat/>
    <w:uiPriority w:val="0"/>
    <w:rPr>
      <w:rFonts w:ascii="黑体" w:hAnsi="Times New Roman"/>
      <w:b/>
      <w:kern w:val="2"/>
      <w:sz w:val="24"/>
      <w:szCs w:val="24"/>
    </w:rPr>
  </w:style>
  <w:style w:type="paragraph" w:customStyle="1" w:styleId="465">
    <w:name w:val="图表标题wj"/>
    <w:link w:val="464"/>
    <w:qFormat/>
    <w:uiPriority w:val="0"/>
    <w:pPr>
      <w:adjustRightInd w:val="0"/>
      <w:snapToGrid w:val="0"/>
      <w:jc w:val="center"/>
    </w:pPr>
    <w:rPr>
      <w:rFonts w:ascii="黑体" w:hAnsi="Times New Roman" w:eastAsia="宋体" w:cs="Times New Roman"/>
      <w:b/>
      <w:kern w:val="2"/>
      <w:sz w:val="24"/>
      <w:szCs w:val="24"/>
      <w:lang w:val="en-US" w:eastAsia="zh-CN" w:bidi="ar-SA"/>
    </w:rPr>
  </w:style>
  <w:style w:type="character" w:customStyle="1" w:styleId="466">
    <w:name w:val="文档结构图 Char Char"/>
    <w:link w:val="467"/>
    <w:qFormat/>
    <w:uiPriority w:val="0"/>
    <w:rPr>
      <w:rFonts w:ascii="Times New Roman" w:hAnsi="Times New Roman" w:eastAsia="宋体" w:cs="Times New Roman"/>
      <w:szCs w:val="20"/>
      <w:shd w:val="clear" w:color="auto" w:fill="000080"/>
    </w:rPr>
  </w:style>
  <w:style w:type="paragraph" w:customStyle="1" w:styleId="467">
    <w:name w:val="文档结构图1"/>
    <w:basedOn w:val="1"/>
    <w:link w:val="466"/>
    <w:qFormat/>
    <w:uiPriority w:val="0"/>
    <w:pPr>
      <w:widowControl w:val="0"/>
      <w:jc w:val="both"/>
    </w:pPr>
    <w:rPr>
      <w:rFonts w:ascii="Times New Roman" w:hAnsi="Times New Roman" w:cs="Times New Roman"/>
      <w:sz w:val="20"/>
      <w:szCs w:val="20"/>
    </w:rPr>
  </w:style>
  <w:style w:type="character" w:customStyle="1" w:styleId="468">
    <w:name w:val="正文文本缩进 Char1"/>
    <w:qFormat/>
    <w:uiPriority w:val="99"/>
    <w:rPr>
      <w:rFonts w:ascii="Times New Roman" w:hAnsi="Times New Roman" w:eastAsia="宋体" w:cs="Times New Roman"/>
      <w:szCs w:val="24"/>
    </w:rPr>
  </w:style>
  <w:style w:type="character" w:customStyle="1" w:styleId="469">
    <w:name w:val="批注主题 Char1"/>
    <w:qFormat/>
    <w:uiPriority w:val="99"/>
    <w:rPr>
      <w:rFonts w:ascii="Times New Roman" w:hAnsi="Times New Roman" w:eastAsia="宋体" w:cs="Times New Roman"/>
      <w:b/>
      <w:bCs/>
      <w:szCs w:val="24"/>
    </w:rPr>
  </w:style>
  <w:style w:type="character" w:customStyle="1" w:styleId="470">
    <w:name w:val="f241"/>
    <w:qFormat/>
    <w:uiPriority w:val="0"/>
    <w:rPr>
      <w:sz w:val="36"/>
      <w:szCs w:val="36"/>
    </w:rPr>
  </w:style>
  <w:style w:type="character" w:customStyle="1" w:styleId="471">
    <w:name w:val="unnamed11"/>
    <w:qFormat/>
    <w:uiPriority w:val="0"/>
    <w:rPr>
      <w:color w:val="000000"/>
      <w:spacing w:val="450"/>
      <w:sz w:val="18"/>
      <w:szCs w:val="18"/>
    </w:rPr>
  </w:style>
  <w:style w:type="character" w:customStyle="1" w:styleId="472">
    <w:name w:val="项 Char Char"/>
    <w:qFormat/>
    <w:uiPriority w:val="0"/>
    <w:rPr>
      <w:rFonts w:ascii="Times New Roman" w:hAnsi="Times New Roman" w:eastAsia="宋体" w:cs="Times New Roman"/>
      <w:sz w:val="28"/>
      <w:szCs w:val="20"/>
    </w:rPr>
  </w:style>
  <w:style w:type="character" w:customStyle="1" w:styleId="473">
    <w:name w:val="德胜表头 Char Char"/>
    <w:link w:val="474"/>
    <w:qFormat/>
    <w:uiPriority w:val="0"/>
    <w:rPr>
      <w:b/>
      <w:snapToGrid w:val="0"/>
      <w:color w:val="0000FF"/>
      <w:sz w:val="24"/>
      <w:szCs w:val="24"/>
    </w:rPr>
  </w:style>
  <w:style w:type="paragraph" w:customStyle="1" w:styleId="474">
    <w:name w:val="德胜表头"/>
    <w:basedOn w:val="438"/>
    <w:link w:val="473"/>
    <w:qFormat/>
    <w:uiPriority w:val="0"/>
    <w:pPr>
      <w:spacing w:line="240" w:lineRule="auto"/>
      <w:ind w:firstLine="0" w:firstLineChars="0"/>
      <w:jc w:val="center"/>
    </w:pPr>
    <w:rPr>
      <w:b/>
    </w:rPr>
  </w:style>
  <w:style w:type="character" w:customStyle="1" w:styleId="475">
    <w:name w:val="p21"/>
    <w:qFormat/>
    <w:uiPriority w:val="0"/>
    <w:rPr>
      <w:rFonts w:hint="default"/>
      <w:color w:val="0000A0"/>
    </w:rPr>
  </w:style>
  <w:style w:type="character" w:customStyle="1" w:styleId="476">
    <w:name w:val="Char Char221"/>
    <w:qFormat/>
    <w:uiPriority w:val="0"/>
    <w:rPr>
      <w:rFonts w:eastAsia="宋体"/>
      <w:kern w:val="2"/>
      <w:sz w:val="24"/>
      <w:szCs w:val="24"/>
      <w:lang w:val="en-US" w:eastAsia="zh-CN" w:bidi="ar-SA"/>
    </w:rPr>
  </w:style>
  <w:style w:type="character" w:customStyle="1" w:styleId="477">
    <w:name w:val="标题 4 Char"/>
    <w:qFormat/>
    <w:uiPriority w:val="9"/>
    <w:rPr>
      <w:rFonts w:ascii="Cambria" w:hAnsi="Cambria" w:eastAsia="宋体" w:cs="Times New Roman"/>
      <w:b/>
      <w:bCs/>
      <w:sz w:val="28"/>
      <w:szCs w:val="28"/>
    </w:rPr>
  </w:style>
  <w:style w:type="character" w:customStyle="1" w:styleId="478">
    <w:name w:val="标题 2 Char"/>
    <w:qFormat/>
    <w:uiPriority w:val="0"/>
    <w:rPr>
      <w:rFonts w:ascii="Cambria" w:hAnsi="Cambria" w:eastAsia="宋体" w:cs="Times New Roman"/>
      <w:b/>
      <w:bCs/>
      <w:sz w:val="32"/>
      <w:szCs w:val="32"/>
    </w:rPr>
  </w:style>
  <w:style w:type="character" w:customStyle="1" w:styleId="479">
    <w:name w:val="large1"/>
    <w:qFormat/>
    <w:uiPriority w:val="0"/>
    <w:rPr>
      <w:sz w:val="28"/>
    </w:rPr>
  </w:style>
  <w:style w:type="character" w:customStyle="1" w:styleId="480">
    <w:name w:val="样式 表格内容1 + Char Char"/>
    <w:link w:val="481"/>
    <w:qFormat/>
    <w:uiPriority w:val="0"/>
    <w:rPr>
      <w:rFonts w:ascii="Times New Roman" w:hAnsi="Times New Roman"/>
      <w:kern w:val="24"/>
      <w:szCs w:val="24"/>
      <w:lang w:val="en-US" w:eastAsia="zh-CN"/>
    </w:rPr>
  </w:style>
  <w:style w:type="paragraph" w:customStyle="1" w:styleId="481">
    <w:name w:val="样式 表格内容1 +"/>
    <w:basedOn w:val="482"/>
    <w:link w:val="480"/>
    <w:qFormat/>
    <w:uiPriority w:val="0"/>
    <w:rPr>
      <w:rFonts w:ascii="Times New Roman" w:hAnsi="Times New Roman"/>
    </w:rPr>
  </w:style>
  <w:style w:type="paragraph" w:customStyle="1" w:styleId="482">
    <w:name w:val="表格内容1"/>
    <w:basedOn w:val="1"/>
    <w:link w:val="483"/>
    <w:qFormat/>
    <w:uiPriority w:val="0"/>
    <w:pPr>
      <w:widowControl w:val="0"/>
      <w:jc w:val="center"/>
    </w:pPr>
    <w:rPr>
      <w:rFonts w:ascii="Calibri" w:hAnsi="Calibri" w:cs="Times New Roman"/>
      <w:kern w:val="24"/>
      <w:sz w:val="20"/>
    </w:rPr>
  </w:style>
  <w:style w:type="character" w:customStyle="1" w:styleId="483">
    <w:name w:val="表格内容1 Char Char"/>
    <w:link w:val="482"/>
    <w:qFormat/>
    <w:uiPriority w:val="0"/>
    <w:rPr>
      <w:kern w:val="24"/>
      <w:szCs w:val="24"/>
    </w:rPr>
  </w:style>
  <w:style w:type="character" w:customStyle="1" w:styleId="484">
    <w:name w:val="bititle"/>
    <w:basedOn w:val="83"/>
    <w:qFormat/>
    <w:uiPriority w:val="0"/>
  </w:style>
  <w:style w:type="character" w:customStyle="1" w:styleId="485">
    <w:name w:val="【表格注释】"/>
    <w:qFormat/>
    <w:uiPriority w:val="0"/>
    <w:rPr>
      <w:rFonts w:eastAsia="宋体" w:cs="宋体"/>
      <w:spacing w:val="16"/>
      <w:kern w:val="0"/>
      <w:sz w:val="21"/>
    </w:rPr>
  </w:style>
  <w:style w:type="character" w:customStyle="1" w:styleId="486">
    <w:name w:val="spelle"/>
    <w:basedOn w:val="83"/>
    <w:qFormat/>
    <w:uiPriority w:val="0"/>
  </w:style>
  <w:style w:type="character" w:customStyle="1" w:styleId="487">
    <w:name w:val="javascript"/>
    <w:basedOn w:val="83"/>
    <w:qFormat/>
    <w:uiPriority w:val="0"/>
  </w:style>
  <w:style w:type="character" w:customStyle="1" w:styleId="488">
    <w:name w:val="polysemyred"/>
    <w:qFormat/>
    <w:uiPriority w:val="0"/>
    <w:rPr>
      <w:color w:val="FF6666"/>
      <w:sz w:val="18"/>
      <w:szCs w:val="18"/>
    </w:rPr>
  </w:style>
  <w:style w:type="character" w:customStyle="1" w:styleId="489">
    <w:name w:val="text-8"/>
    <w:basedOn w:val="83"/>
    <w:qFormat/>
    <w:uiPriority w:val="0"/>
  </w:style>
  <w:style w:type="character" w:customStyle="1" w:styleId="490">
    <w:name w:val="上标"/>
    <w:qFormat/>
    <w:uiPriority w:val="0"/>
    <w:rPr>
      <w:vertAlign w:val="superscript"/>
    </w:rPr>
  </w:style>
  <w:style w:type="character" w:customStyle="1" w:styleId="491">
    <w:name w:val="正文首行缩进 Char Char Char"/>
    <w:basedOn w:val="451"/>
    <w:qFormat/>
    <w:uiPriority w:val="0"/>
    <w:rPr>
      <w:rFonts w:ascii="Times New Roman" w:hAnsi="Times New Roman" w:eastAsia="宋体" w:cs="Times New Roman"/>
      <w:szCs w:val="24"/>
    </w:rPr>
  </w:style>
  <w:style w:type="character" w:customStyle="1" w:styleId="492">
    <w:name w:val="Char Char14"/>
    <w:qFormat/>
    <w:uiPriority w:val="0"/>
    <w:rPr>
      <w:sz w:val="18"/>
      <w:szCs w:val="18"/>
    </w:rPr>
  </w:style>
  <w:style w:type="character" w:customStyle="1" w:styleId="493">
    <w:name w:val="正文---------------- Char Char"/>
    <w:link w:val="494"/>
    <w:qFormat/>
    <w:uiPriority w:val="0"/>
    <w:rPr>
      <w:spacing w:val="16"/>
      <w:sz w:val="24"/>
    </w:rPr>
  </w:style>
  <w:style w:type="paragraph" w:customStyle="1" w:styleId="494">
    <w:name w:val="正文----------------"/>
    <w:basedOn w:val="1"/>
    <w:link w:val="493"/>
    <w:qFormat/>
    <w:uiPriority w:val="0"/>
    <w:pPr>
      <w:widowControl w:val="0"/>
      <w:spacing w:line="440" w:lineRule="exact"/>
      <w:ind w:firstLine="544" w:firstLineChars="200"/>
      <w:jc w:val="both"/>
    </w:pPr>
    <w:rPr>
      <w:rFonts w:ascii="Calibri" w:hAnsi="Calibri" w:cs="Times New Roman"/>
      <w:spacing w:val="16"/>
      <w:szCs w:val="20"/>
    </w:rPr>
  </w:style>
  <w:style w:type="character" w:customStyle="1" w:styleId="495">
    <w:name w:val="标题2----------------- Char Char"/>
    <w:link w:val="496"/>
    <w:qFormat/>
    <w:uiPriority w:val="0"/>
    <w:rPr>
      <w:b/>
      <w:bCs/>
      <w:sz w:val="32"/>
    </w:rPr>
  </w:style>
  <w:style w:type="paragraph" w:customStyle="1" w:styleId="496">
    <w:name w:val="标题2-----------------"/>
    <w:basedOn w:val="4"/>
    <w:link w:val="495"/>
    <w:qFormat/>
    <w:uiPriority w:val="0"/>
    <w:pPr>
      <w:keepNext w:val="0"/>
      <w:widowControl w:val="0"/>
      <w:spacing w:before="200" w:after="200" w:line="240" w:lineRule="auto"/>
      <w:jc w:val="both"/>
    </w:pPr>
    <w:rPr>
      <w:rFonts w:eastAsia="宋体"/>
      <w:b/>
      <w:sz w:val="32"/>
      <w:szCs w:val="20"/>
    </w:rPr>
  </w:style>
  <w:style w:type="character" w:customStyle="1" w:styleId="497">
    <w:name w:val="正文文本 (9) + Georgia"/>
    <w:qFormat/>
    <w:uiPriority w:val="99"/>
    <w:rPr>
      <w:rFonts w:ascii="Georgia" w:hAnsi="Georgia" w:eastAsia="MingLiU" w:cs="Georgia"/>
      <w:shd w:val="clear" w:color="auto" w:fill="FFFFFF"/>
      <w:lang w:val="en-US" w:eastAsia="en-US"/>
    </w:rPr>
  </w:style>
  <w:style w:type="character" w:customStyle="1" w:styleId="498">
    <w:name w:val="Char Char5"/>
    <w:qFormat/>
    <w:uiPriority w:val="0"/>
    <w:rPr>
      <w:rFonts w:hint="eastAsia" w:ascii="宋体" w:hAnsi="宋体" w:eastAsia="宋体"/>
      <w:kern w:val="2"/>
      <w:sz w:val="21"/>
      <w:szCs w:val="24"/>
      <w:lang w:val="en-US" w:eastAsia="zh-CN" w:bidi="ar-SA"/>
    </w:rPr>
  </w:style>
  <w:style w:type="character" w:customStyle="1" w:styleId="499">
    <w:name w:val="font71"/>
    <w:qFormat/>
    <w:uiPriority w:val="0"/>
    <w:rPr>
      <w:rFonts w:hint="eastAsia" w:ascii="宋体" w:hAnsi="宋体" w:eastAsia="宋体" w:cs="宋体"/>
      <w:b/>
      <w:color w:val="000000"/>
      <w:sz w:val="20"/>
      <w:szCs w:val="20"/>
      <w:u w:val="none"/>
    </w:rPr>
  </w:style>
  <w:style w:type="character" w:customStyle="1" w:styleId="500">
    <w:name w:val="书籍标题1"/>
    <w:qFormat/>
    <w:uiPriority w:val="0"/>
    <w:rPr>
      <w:b/>
      <w:bCs/>
      <w:smallCaps/>
      <w:spacing w:val="5"/>
    </w:rPr>
  </w:style>
  <w:style w:type="character" w:customStyle="1" w:styleId="501">
    <w:name w:val="font141"/>
    <w:qFormat/>
    <w:uiPriority w:val="0"/>
    <w:rPr>
      <w:rFonts w:hint="eastAsia" w:ascii="宋体" w:hAnsi="宋体" w:eastAsia="宋体"/>
      <w:color w:val="000000"/>
      <w:sz w:val="22"/>
      <w:szCs w:val="22"/>
      <w:u w:val="none"/>
    </w:rPr>
  </w:style>
  <w:style w:type="character" w:customStyle="1" w:styleId="502">
    <w:name w:val="文档结构图 Char1"/>
    <w:qFormat/>
    <w:uiPriority w:val="99"/>
    <w:rPr>
      <w:rFonts w:ascii="宋体" w:hAnsi="Times New Roman" w:eastAsia="宋体" w:cs="Times New Roman"/>
      <w:sz w:val="18"/>
      <w:szCs w:val="18"/>
    </w:rPr>
  </w:style>
  <w:style w:type="character" w:customStyle="1" w:styleId="503">
    <w:name w:val="表格左 Char Char"/>
    <w:link w:val="504"/>
    <w:qFormat/>
    <w:uiPriority w:val="0"/>
    <w:rPr>
      <w:rFonts w:ascii="宋体" w:hAnsi="宋体"/>
      <w:b/>
      <w:szCs w:val="24"/>
    </w:rPr>
  </w:style>
  <w:style w:type="paragraph" w:customStyle="1" w:styleId="504">
    <w:name w:val="表格左"/>
    <w:basedOn w:val="1"/>
    <w:link w:val="503"/>
    <w:qFormat/>
    <w:uiPriority w:val="0"/>
    <w:pPr>
      <w:widowControl w:val="0"/>
      <w:spacing w:line="240" w:lineRule="atLeast"/>
      <w:jc w:val="center"/>
    </w:pPr>
    <w:rPr>
      <w:rFonts w:cs="Times New Roman"/>
      <w:b/>
      <w:sz w:val="20"/>
    </w:rPr>
  </w:style>
  <w:style w:type="character" w:customStyle="1" w:styleId="505">
    <w:name w:val="样式 报告正文 + 首行缩进:  2 字符 Char Char Char"/>
    <w:link w:val="506"/>
    <w:qFormat/>
    <w:locked/>
    <w:uiPriority w:val="0"/>
    <w:rPr>
      <w:rFonts w:ascii="楷体_GB2312" w:eastAsia="楷体_GB2312" w:cs="宋体"/>
      <w:bCs/>
      <w:kern w:val="2"/>
      <w:sz w:val="30"/>
      <w:szCs w:val="24"/>
    </w:rPr>
  </w:style>
  <w:style w:type="paragraph" w:customStyle="1" w:styleId="506">
    <w:name w:val="样式 报告正文 + 首行缩进:  2 字符 Char Char"/>
    <w:basedOn w:val="1"/>
    <w:link w:val="505"/>
    <w:qFormat/>
    <w:uiPriority w:val="0"/>
    <w:pPr>
      <w:widowControl w:val="0"/>
      <w:spacing w:line="312" w:lineRule="auto"/>
      <w:ind w:firstLine="600" w:firstLineChars="200"/>
      <w:jc w:val="both"/>
    </w:pPr>
    <w:rPr>
      <w:rFonts w:ascii="楷体_GB2312" w:hAnsi="Calibri" w:eastAsia="楷体_GB2312"/>
      <w:bCs/>
      <w:kern w:val="2"/>
      <w:sz w:val="30"/>
    </w:rPr>
  </w:style>
  <w:style w:type="character" w:customStyle="1" w:styleId="507">
    <w:name w:val="正文文本缩进 2 Char2"/>
    <w:semiHidden/>
    <w:qFormat/>
    <w:uiPriority w:val="99"/>
    <w:rPr>
      <w:rFonts w:ascii="Calibri" w:hAnsi="Calibri" w:eastAsia="宋体" w:cs="Times New Roman"/>
    </w:rPr>
  </w:style>
  <w:style w:type="character" w:customStyle="1" w:styleId="508">
    <w:name w:val="hei11"/>
    <w:basedOn w:val="83"/>
    <w:qFormat/>
    <w:uiPriority w:val="0"/>
  </w:style>
  <w:style w:type="character" w:customStyle="1" w:styleId="509">
    <w:name w:val="Char Char24"/>
    <w:qFormat/>
    <w:uiPriority w:val="0"/>
    <w:rPr>
      <w:b/>
      <w:kern w:val="44"/>
      <w:sz w:val="44"/>
    </w:rPr>
  </w:style>
  <w:style w:type="character" w:customStyle="1" w:styleId="510">
    <w:name w:val="样式 题注 + (西文) Arial (中文) 黑体 小四 Char Char Char"/>
    <w:qFormat/>
    <w:uiPriority w:val="0"/>
    <w:rPr>
      <w:rFonts w:ascii="Arial" w:hAnsi="Arial" w:eastAsia="黑体" w:cs="Arial"/>
      <w:b/>
      <w:bCs/>
      <w:snapToGrid w:val="0"/>
      <w:color w:val="000000"/>
      <w:kern w:val="2"/>
      <w:sz w:val="24"/>
      <w:szCs w:val="28"/>
      <w:lang w:val="en-US" w:eastAsia="zh-CN" w:bidi="ar-SA"/>
    </w:rPr>
  </w:style>
  <w:style w:type="character" w:customStyle="1" w:styleId="511">
    <w:name w:val="表头------------- Char Char"/>
    <w:link w:val="512"/>
    <w:qFormat/>
    <w:uiPriority w:val="0"/>
    <w:rPr>
      <w:rFonts w:eastAsia="黑体"/>
      <w:sz w:val="24"/>
    </w:rPr>
  </w:style>
  <w:style w:type="paragraph" w:customStyle="1" w:styleId="512">
    <w:name w:val="表头-------------"/>
    <w:basedOn w:val="1"/>
    <w:link w:val="511"/>
    <w:qFormat/>
    <w:uiPriority w:val="0"/>
    <w:pPr>
      <w:widowControl w:val="0"/>
      <w:spacing w:line="460" w:lineRule="exact"/>
      <w:jc w:val="center"/>
    </w:pPr>
    <w:rPr>
      <w:rFonts w:ascii="Calibri" w:hAnsi="Calibri" w:eastAsia="黑体" w:cs="Times New Roman"/>
      <w:szCs w:val="20"/>
    </w:rPr>
  </w:style>
  <w:style w:type="character" w:customStyle="1" w:styleId="513">
    <w:name w:val="尾注文本 Char1"/>
    <w:qFormat/>
    <w:uiPriority w:val="0"/>
    <w:rPr>
      <w:rFonts w:ascii="Times New Roman" w:hAnsi="Times New Roman" w:eastAsia="宋体" w:cs="Times New Roman"/>
      <w:szCs w:val="24"/>
    </w:rPr>
  </w:style>
  <w:style w:type="character" w:customStyle="1" w:styleId="514">
    <w:name w:val="小表中 Char Char"/>
    <w:link w:val="515"/>
    <w:qFormat/>
    <w:uiPriority w:val="0"/>
    <w:rPr>
      <w:rFonts w:ascii="宋体" w:hAnsi="宋体"/>
    </w:rPr>
  </w:style>
  <w:style w:type="paragraph" w:customStyle="1" w:styleId="515">
    <w:name w:val="小表中"/>
    <w:basedOn w:val="1"/>
    <w:link w:val="514"/>
    <w:qFormat/>
    <w:uiPriority w:val="0"/>
    <w:pPr>
      <w:keepNext/>
      <w:widowControl w:val="0"/>
      <w:tabs>
        <w:tab w:val="left" w:pos="1769"/>
      </w:tabs>
      <w:adjustRightInd w:val="0"/>
      <w:snapToGrid w:val="0"/>
      <w:spacing w:line="240" w:lineRule="atLeast"/>
      <w:jc w:val="center"/>
    </w:pPr>
    <w:rPr>
      <w:rFonts w:cs="Times New Roman"/>
      <w:sz w:val="20"/>
      <w:szCs w:val="20"/>
    </w:rPr>
  </w:style>
  <w:style w:type="character" w:customStyle="1" w:styleId="516">
    <w:name w:val="Char Char212"/>
    <w:qFormat/>
    <w:uiPriority w:val="0"/>
    <w:rPr>
      <w:rFonts w:eastAsia="宋体"/>
      <w:kern w:val="2"/>
      <w:sz w:val="21"/>
      <w:szCs w:val="24"/>
      <w:lang w:val="en-US" w:eastAsia="zh-CN" w:bidi="ar-SA"/>
    </w:rPr>
  </w:style>
  <w:style w:type="character" w:customStyle="1" w:styleId="517">
    <w:name w:val="content1"/>
    <w:qFormat/>
    <w:uiPriority w:val="0"/>
    <w:rPr>
      <w:rFonts w:ascii="黑体" w:hAnsi="宋体" w:eastAsia="黑体" w:cs="宋体"/>
      <w:b/>
      <w:kern w:val="2"/>
      <w:sz w:val="14"/>
      <w:szCs w:val="14"/>
      <w:lang w:val="en-US" w:eastAsia="zh-CN" w:bidi="ar-SA"/>
    </w:rPr>
  </w:style>
  <w:style w:type="character" w:customStyle="1" w:styleId="518">
    <w:name w:val="样式 标题 3条标题头标题3H3h33rd level第二层条标题 3 Char小标题小节标题标题 3 C...5 Char"/>
    <w:link w:val="519"/>
    <w:qFormat/>
    <w:uiPriority w:val="0"/>
    <w:rPr>
      <w:rFonts w:ascii="黑体" w:hAnsi="Times New Roman" w:eastAsia="黑体"/>
      <w:color w:val="000000"/>
      <w:sz w:val="24"/>
      <w:szCs w:val="24"/>
    </w:rPr>
  </w:style>
  <w:style w:type="paragraph" w:customStyle="1" w:styleId="519">
    <w:name w:val="样式 标题 3条标题头标题3H3h33rd level第二层条标题 3 Char小标题小节标题标题 3 C...5"/>
    <w:basedOn w:val="6"/>
    <w:link w:val="518"/>
    <w:qFormat/>
    <w:uiPriority w:val="0"/>
    <w:pPr>
      <w:widowControl w:val="0"/>
      <w:spacing w:line="720" w:lineRule="auto"/>
      <w:jc w:val="both"/>
    </w:pPr>
    <w:rPr>
      <w:rFonts w:ascii="黑体"/>
      <w:bCs w:val="0"/>
      <w:color w:val="000000"/>
      <w:sz w:val="24"/>
      <w:szCs w:val="24"/>
    </w:rPr>
  </w:style>
  <w:style w:type="character" w:customStyle="1" w:styleId="520">
    <w:name w:val="Char Char51"/>
    <w:semiHidden/>
    <w:qFormat/>
    <w:uiPriority w:val="0"/>
    <w:rPr>
      <w:rFonts w:ascii="Calibri" w:hAnsi="Calibri" w:eastAsia="宋体"/>
      <w:kern w:val="2"/>
      <w:sz w:val="18"/>
      <w:szCs w:val="18"/>
      <w:lang w:val="en-US" w:eastAsia="zh-CN" w:bidi="ar-SA"/>
    </w:rPr>
  </w:style>
  <w:style w:type="character" w:customStyle="1" w:styleId="521">
    <w:name w:val="样式 标题 3条标题头标题3H3h33rd level第二层条标题 3 Char小标题小节标题标题 3 C...4 Char"/>
    <w:link w:val="522"/>
    <w:qFormat/>
    <w:uiPriority w:val="0"/>
    <w:rPr>
      <w:rFonts w:ascii="黑体" w:hAnsi="Times New Roman" w:eastAsia="黑体"/>
      <w:bCs/>
      <w:color w:val="000000"/>
      <w:sz w:val="24"/>
      <w:szCs w:val="24"/>
    </w:rPr>
  </w:style>
  <w:style w:type="paragraph" w:customStyle="1" w:styleId="522">
    <w:name w:val="样式 标题 3条标题头标题3H3h33rd level第二层条标题 3 Char小标题小节标题标题 3 C...4"/>
    <w:basedOn w:val="6"/>
    <w:link w:val="521"/>
    <w:qFormat/>
    <w:uiPriority w:val="0"/>
    <w:pPr>
      <w:widowControl w:val="0"/>
      <w:spacing w:line="720" w:lineRule="auto"/>
      <w:jc w:val="both"/>
    </w:pPr>
    <w:rPr>
      <w:rFonts w:ascii="黑体"/>
      <w:color w:val="000000"/>
      <w:sz w:val="24"/>
      <w:szCs w:val="24"/>
    </w:rPr>
  </w:style>
  <w:style w:type="character" w:customStyle="1" w:styleId="523">
    <w:name w:val="正文文本 (9) + 间距 0 pt"/>
    <w:qFormat/>
    <w:uiPriority w:val="99"/>
    <w:rPr>
      <w:rFonts w:ascii="MingLiU" w:eastAsia="MingLiU" w:cs="MingLiU"/>
      <w:spacing w:val="10"/>
      <w:sz w:val="20"/>
      <w:szCs w:val="20"/>
      <w:u w:val="none"/>
      <w:shd w:val="clear" w:color="auto" w:fill="FFFFFF"/>
    </w:rPr>
  </w:style>
  <w:style w:type="character" w:customStyle="1" w:styleId="524">
    <w:name w:val="15"/>
    <w:basedOn w:val="83"/>
    <w:qFormat/>
    <w:uiPriority w:val="0"/>
  </w:style>
  <w:style w:type="character" w:customStyle="1" w:styleId="525">
    <w:name w:val="表标题 Char Char"/>
    <w:link w:val="526"/>
    <w:qFormat/>
    <w:uiPriority w:val="0"/>
    <w:rPr>
      <w:rFonts w:ascii="Times New Roman" w:hAnsi="Times New Roman"/>
      <w:szCs w:val="24"/>
    </w:rPr>
  </w:style>
  <w:style w:type="paragraph" w:customStyle="1" w:styleId="526">
    <w:name w:val="表标题"/>
    <w:basedOn w:val="20"/>
    <w:link w:val="525"/>
    <w:qFormat/>
    <w:uiPriority w:val="0"/>
    <w:pPr>
      <w:tabs>
        <w:tab w:val="left" w:pos="360"/>
      </w:tabs>
      <w:topLinePunct w:val="0"/>
      <w:spacing w:line="240" w:lineRule="auto"/>
      <w:ind w:left="0" w:firstLine="0"/>
      <w:jc w:val="center"/>
    </w:pPr>
    <w:rPr>
      <w:rFonts w:ascii="Times New Roman" w:eastAsia="宋体"/>
      <w:kern w:val="0"/>
      <w:sz w:val="20"/>
      <w:szCs w:val="24"/>
    </w:rPr>
  </w:style>
  <w:style w:type="character" w:customStyle="1" w:styleId="527">
    <w:name w:val="Char Char20"/>
    <w:qFormat/>
    <w:uiPriority w:val="0"/>
    <w:rPr>
      <w:rFonts w:ascii="宋体" w:eastAsia="宋体"/>
      <w:color w:val="000000"/>
      <w:sz w:val="36"/>
      <w:lang w:val="en-US" w:eastAsia="zh-CN" w:bidi="ar-SA"/>
    </w:rPr>
  </w:style>
  <w:style w:type="character" w:customStyle="1" w:styleId="528">
    <w:name w:val="表1 Char Char"/>
    <w:link w:val="529"/>
    <w:qFormat/>
    <w:uiPriority w:val="0"/>
    <w:rPr>
      <w:rFonts w:ascii="Times New Roman" w:hAnsi="Times New Roman"/>
      <w:sz w:val="21"/>
    </w:rPr>
  </w:style>
  <w:style w:type="paragraph" w:customStyle="1" w:styleId="529">
    <w:name w:val="表1"/>
    <w:next w:val="1"/>
    <w:link w:val="528"/>
    <w:qFormat/>
    <w:uiPriority w:val="0"/>
    <w:pPr>
      <w:adjustRightInd w:val="0"/>
      <w:snapToGrid w:val="0"/>
      <w:jc w:val="center"/>
    </w:pPr>
    <w:rPr>
      <w:rFonts w:ascii="Times New Roman" w:hAnsi="Times New Roman" w:eastAsia="宋体" w:cs="Times New Roman"/>
      <w:sz w:val="21"/>
      <w:lang w:val="en-US" w:eastAsia="zh-CN" w:bidi="ar-SA"/>
    </w:rPr>
  </w:style>
  <w:style w:type="character" w:customStyle="1" w:styleId="530">
    <w:name w:val="样式 小四 蓝色 首行缩进:  0.85 厘米 行距: 多倍行距 1.4 字行 Char Char"/>
    <w:link w:val="531"/>
    <w:qFormat/>
    <w:uiPriority w:val="0"/>
    <w:rPr>
      <w:color w:val="0000FF"/>
      <w:sz w:val="24"/>
    </w:rPr>
  </w:style>
  <w:style w:type="paragraph" w:customStyle="1" w:styleId="531">
    <w:name w:val="样式 小四 蓝色 首行缩进:  0.85 厘米 行距: 多倍行距 1.4 字行"/>
    <w:basedOn w:val="1"/>
    <w:link w:val="530"/>
    <w:qFormat/>
    <w:uiPriority w:val="0"/>
    <w:pPr>
      <w:widowControl w:val="0"/>
      <w:spacing w:line="336" w:lineRule="auto"/>
      <w:ind w:firstLine="482"/>
      <w:jc w:val="both"/>
    </w:pPr>
    <w:rPr>
      <w:rFonts w:ascii="Calibri" w:hAnsi="Calibri" w:cs="Times New Roman"/>
      <w:color w:val="0000FF"/>
      <w:szCs w:val="20"/>
    </w:rPr>
  </w:style>
  <w:style w:type="character" w:customStyle="1" w:styleId="532">
    <w:name w:val="注释标题 Char2"/>
    <w:semiHidden/>
    <w:qFormat/>
    <w:uiPriority w:val="99"/>
    <w:rPr>
      <w:rFonts w:ascii="Calibri" w:hAnsi="Calibri" w:eastAsia="宋体" w:cs="Times New Roman"/>
    </w:rPr>
  </w:style>
  <w:style w:type="character" w:customStyle="1" w:styleId="533">
    <w:name w:val="正文文本 (14)5"/>
    <w:qFormat/>
    <w:uiPriority w:val="0"/>
    <w:rPr>
      <w:rFonts w:ascii="宋体" w:eastAsia="宋体" w:cs="宋体"/>
      <w:sz w:val="10"/>
      <w:szCs w:val="10"/>
      <w:shd w:val="clear" w:color="auto" w:fill="FFFFFF"/>
    </w:rPr>
  </w:style>
  <w:style w:type="character" w:customStyle="1" w:styleId="534">
    <w:name w:val="Char Char191"/>
    <w:qFormat/>
    <w:uiPriority w:val="0"/>
    <w:rPr>
      <w:rFonts w:eastAsia="黑体"/>
      <w:kern w:val="2"/>
      <w:sz w:val="24"/>
      <w:szCs w:val="24"/>
      <w:lang w:val="en-US" w:eastAsia="zh-CN" w:bidi="ar-SA"/>
    </w:rPr>
  </w:style>
  <w:style w:type="character" w:customStyle="1" w:styleId="535">
    <w:name w:val="1正文段落 Char Char Char"/>
    <w:link w:val="536"/>
    <w:qFormat/>
    <w:uiPriority w:val="0"/>
    <w:rPr>
      <w:snapToGrid w:val="0"/>
      <w:kern w:val="2"/>
      <w:sz w:val="24"/>
      <w:szCs w:val="24"/>
    </w:rPr>
  </w:style>
  <w:style w:type="paragraph" w:customStyle="1" w:styleId="536">
    <w:name w:val="1正文段落 Char"/>
    <w:basedOn w:val="1"/>
    <w:link w:val="535"/>
    <w:qFormat/>
    <w:uiPriority w:val="0"/>
    <w:pPr>
      <w:widowControl w:val="0"/>
      <w:spacing w:line="360" w:lineRule="auto"/>
      <w:ind w:firstLine="200" w:firstLineChars="200"/>
    </w:pPr>
    <w:rPr>
      <w:rFonts w:ascii="Calibri" w:hAnsi="Calibri" w:cs="Times New Roman"/>
      <w:snapToGrid w:val="0"/>
      <w:kern w:val="2"/>
    </w:rPr>
  </w:style>
  <w:style w:type="character" w:customStyle="1" w:styleId="537">
    <w:name w:val="表 Char Char"/>
    <w:link w:val="538"/>
    <w:qFormat/>
    <w:locked/>
    <w:uiPriority w:val="0"/>
    <w:rPr>
      <w:rFonts w:ascii="Times New Roman" w:hAnsi="Times New Roman"/>
      <w:spacing w:val="2"/>
    </w:rPr>
  </w:style>
  <w:style w:type="paragraph" w:customStyle="1" w:styleId="538">
    <w:name w:val="表"/>
    <w:basedOn w:val="1"/>
    <w:link w:val="537"/>
    <w:qFormat/>
    <w:uiPriority w:val="0"/>
    <w:pPr>
      <w:widowControl w:val="0"/>
      <w:snapToGrid w:val="0"/>
      <w:jc w:val="center"/>
    </w:pPr>
    <w:rPr>
      <w:rFonts w:ascii="Times New Roman" w:hAnsi="Times New Roman" w:cs="Times New Roman"/>
      <w:spacing w:val="2"/>
      <w:sz w:val="20"/>
      <w:szCs w:val="20"/>
    </w:rPr>
  </w:style>
  <w:style w:type="character" w:customStyle="1" w:styleId="539">
    <w:name w:val="【标题3】 Char Char"/>
    <w:link w:val="540"/>
    <w:qFormat/>
    <w:uiPriority w:val="0"/>
    <w:rPr>
      <w:b/>
      <w:bCs/>
      <w:sz w:val="30"/>
    </w:rPr>
  </w:style>
  <w:style w:type="paragraph" w:customStyle="1" w:styleId="540">
    <w:name w:val="【标题3】"/>
    <w:basedOn w:val="6"/>
    <w:link w:val="539"/>
    <w:qFormat/>
    <w:uiPriority w:val="0"/>
    <w:pPr>
      <w:keepNext w:val="0"/>
      <w:widowControl w:val="0"/>
      <w:spacing w:before="240" w:after="240" w:line="240" w:lineRule="auto"/>
      <w:jc w:val="both"/>
    </w:pPr>
    <w:rPr>
      <w:rFonts w:ascii="Calibri" w:hAnsi="Calibri" w:eastAsia="宋体"/>
      <w:b/>
      <w:sz w:val="30"/>
      <w:szCs w:val="20"/>
    </w:rPr>
  </w:style>
  <w:style w:type="character" w:customStyle="1" w:styleId="541">
    <w:name w:val="批注文字 Char2"/>
    <w:qFormat/>
    <w:uiPriority w:val="99"/>
    <w:rPr>
      <w:rFonts w:ascii="Calibri" w:hAnsi="Calibri" w:eastAsia="宋体" w:cs="Times New Roman"/>
    </w:rPr>
  </w:style>
  <w:style w:type="character" w:customStyle="1" w:styleId="542">
    <w:name w:val="普通文字 Char Char Char Char3"/>
    <w:qFormat/>
    <w:uiPriority w:val="0"/>
    <w:rPr>
      <w:rFonts w:ascii="宋体" w:hAnsi="Courier New" w:eastAsia="宋体"/>
      <w:kern w:val="2"/>
      <w:sz w:val="28"/>
      <w:lang w:val="en-US" w:eastAsia="zh-CN" w:bidi="ar-SA"/>
    </w:rPr>
  </w:style>
  <w:style w:type="character" w:customStyle="1" w:styleId="543">
    <w:name w:val="表头 Char2"/>
    <w:qFormat/>
    <w:uiPriority w:val="0"/>
    <w:rPr>
      <w:rFonts w:ascii="黑体" w:eastAsia="黑体"/>
      <w:bCs/>
      <w:kern w:val="2"/>
      <w:sz w:val="21"/>
      <w:szCs w:val="24"/>
      <w:lang w:val="en-US" w:eastAsia="zh-CN" w:bidi="ar-SA"/>
    </w:rPr>
  </w:style>
  <w:style w:type="character" w:customStyle="1" w:styleId="544">
    <w:name w:val="Body text 1 Char Char Char"/>
    <w:qFormat/>
    <w:uiPriority w:val="0"/>
    <w:rPr>
      <w:snapToGrid/>
      <w:sz w:val="24"/>
      <w:szCs w:val="24"/>
      <w:lang w:eastAsia="zh-CN"/>
    </w:rPr>
  </w:style>
  <w:style w:type="character" w:customStyle="1" w:styleId="545">
    <w:name w:val="Char Char1"/>
    <w:qFormat/>
    <w:uiPriority w:val="0"/>
    <w:rPr>
      <w:rFonts w:eastAsia="宋体"/>
      <w:kern w:val="2"/>
      <w:sz w:val="21"/>
      <w:szCs w:val="24"/>
      <w:lang w:val="en-US" w:eastAsia="zh-CN" w:bidi="ar-SA"/>
    </w:rPr>
  </w:style>
  <w:style w:type="character" w:customStyle="1" w:styleId="546">
    <w:name w:val="txt"/>
    <w:basedOn w:val="83"/>
    <w:qFormat/>
    <w:uiPriority w:val="0"/>
  </w:style>
  <w:style w:type="character" w:customStyle="1" w:styleId="547">
    <w:name w:val="Char Char11"/>
    <w:qFormat/>
    <w:uiPriority w:val="0"/>
    <w:rPr>
      <w:rFonts w:ascii="Calibri" w:hAnsi="Calibri" w:eastAsia="宋体"/>
      <w:kern w:val="2"/>
      <w:sz w:val="18"/>
      <w:szCs w:val="18"/>
      <w:lang w:val="en-US" w:eastAsia="zh-CN" w:bidi="ar-SA"/>
    </w:rPr>
  </w:style>
  <w:style w:type="character" w:customStyle="1" w:styleId="548">
    <w:name w:val="表内文字 Char Char"/>
    <w:qFormat/>
    <w:uiPriority w:val="0"/>
    <w:rPr>
      <w:rFonts w:ascii="宋体" w:hAnsi="Courier New" w:eastAsia="宋体" w:cs="Courier New"/>
      <w:kern w:val="2"/>
      <w:sz w:val="21"/>
      <w:szCs w:val="21"/>
      <w:lang w:val="en-US" w:eastAsia="zh-CN" w:bidi="ar-SA"/>
    </w:rPr>
  </w:style>
  <w:style w:type="character" w:customStyle="1" w:styleId="549">
    <w:name w:val="14p"/>
    <w:basedOn w:val="83"/>
    <w:qFormat/>
    <w:uiPriority w:val="0"/>
  </w:style>
  <w:style w:type="character" w:customStyle="1" w:styleId="550">
    <w:name w:val="结束语 Char1"/>
    <w:semiHidden/>
    <w:qFormat/>
    <w:uiPriority w:val="99"/>
    <w:rPr>
      <w:rFonts w:ascii="Calibri" w:hAnsi="Calibri" w:eastAsia="宋体" w:cs="Times New Roman"/>
    </w:rPr>
  </w:style>
  <w:style w:type="character" w:customStyle="1" w:styleId="551">
    <w:name w:val="apple-converted-space"/>
    <w:basedOn w:val="83"/>
    <w:qFormat/>
    <w:uiPriority w:val="0"/>
  </w:style>
  <w:style w:type="character" w:customStyle="1" w:styleId="552">
    <w:name w:val="副标题 Char1"/>
    <w:qFormat/>
    <w:uiPriority w:val="0"/>
    <w:rPr>
      <w:rFonts w:ascii="Cambria" w:hAnsi="Cambria" w:eastAsia="宋体" w:cs="Times New Roman"/>
      <w:b/>
      <w:bCs/>
      <w:kern w:val="28"/>
      <w:sz w:val="32"/>
      <w:szCs w:val="32"/>
    </w:rPr>
  </w:style>
  <w:style w:type="character" w:customStyle="1" w:styleId="553">
    <w:name w:val="H4 Char2"/>
    <w:qFormat/>
    <w:uiPriority w:val="0"/>
    <w:rPr>
      <w:rFonts w:ascii="Times New Roman" w:hAnsi="Times New Roman"/>
      <w:b/>
      <w:bCs/>
      <w:kern w:val="2"/>
      <w:sz w:val="24"/>
      <w:szCs w:val="28"/>
    </w:rPr>
  </w:style>
  <w:style w:type="character" w:customStyle="1" w:styleId="554">
    <w:name w:val="表头 + 居中 Char Char"/>
    <w:link w:val="555"/>
    <w:qFormat/>
    <w:uiPriority w:val="0"/>
    <w:rPr>
      <w:rFonts w:ascii="Arial" w:hAnsi="Arial" w:eastAsia="黑体"/>
      <w:szCs w:val="21"/>
    </w:rPr>
  </w:style>
  <w:style w:type="paragraph" w:customStyle="1" w:styleId="555">
    <w:name w:val="表头 + 居中"/>
    <w:basedOn w:val="1"/>
    <w:next w:val="1"/>
    <w:link w:val="554"/>
    <w:qFormat/>
    <w:uiPriority w:val="0"/>
    <w:pPr>
      <w:keepNext/>
      <w:keepLines/>
      <w:widowControl w:val="0"/>
      <w:spacing w:beforeLines="50" w:afterLines="50"/>
      <w:jc w:val="center"/>
    </w:pPr>
    <w:rPr>
      <w:rFonts w:ascii="Arial" w:hAnsi="Arial" w:eastAsia="黑体" w:cs="Times New Roman"/>
      <w:sz w:val="20"/>
      <w:szCs w:val="21"/>
    </w:rPr>
  </w:style>
  <w:style w:type="character" w:customStyle="1" w:styleId="556">
    <w:name w:val="表文字居中 Char Char"/>
    <w:link w:val="557"/>
    <w:qFormat/>
    <w:uiPriority w:val="0"/>
    <w:rPr>
      <w:rFonts w:ascii="Arial" w:hAnsi="Arial" w:eastAsia="Times New Roman"/>
      <w:kern w:val="2"/>
      <w:sz w:val="21"/>
      <w:szCs w:val="24"/>
    </w:rPr>
  </w:style>
  <w:style w:type="paragraph" w:customStyle="1" w:styleId="557">
    <w:name w:val="表文字居中"/>
    <w:link w:val="556"/>
    <w:qFormat/>
    <w:uiPriority w:val="0"/>
    <w:pPr>
      <w:adjustRightInd w:val="0"/>
      <w:spacing w:line="360" w:lineRule="auto"/>
      <w:jc w:val="center"/>
    </w:pPr>
    <w:rPr>
      <w:rFonts w:ascii="Arial" w:hAnsi="Arial" w:eastAsia="Times New Roman" w:cs="Times New Roman"/>
      <w:kern w:val="2"/>
      <w:sz w:val="21"/>
      <w:szCs w:val="24"/>
      <w:lang w:val="en-US" w:eastAsia="zh-CN" w:bidi="ar-SA"/>
    </w:rPr>
  </w:style>
  <w:style w:type="character" w:customStyle="1" w:styleId="558">
    <w:name w:val="标题 Char2"/>
    <w:qFormat/>
    <w:uiPriority w:val="0"/>
    <w:rPr>
      <w:rFonts w:ascii="Cambria" w:hAnsi="Cambria" w:eastAsia="宋体" w:cs="Times New Roman"/>
      <w:b/>
      <w:bCs/>
      <w:sz w:val="32"/>
      <w:szCs w:val="32"/>
    </w:rPr>
  </w:style>
  <w:style w:type="character" w:customStyle="1" w:styleId="559">
    <w:name w:val="表格文字居中 Char1"/>
    <w:link w:val="560"/>
    <w:qFormat/>
    <w:locked/>
    <w:uiPriority w:val="0"/>
    <w:rPr>
      <w:rFonts w:ascii="Times New Roman" w:hAnsi="宋体"/>
      <w:szCs w:val="21"/>
    </w:rPr>
  </w:style>
  <w:style w:type="paragraph" w:customStyle="1" w:styleId="560">
    <w:name w:val="表格文字居中"/>
    <w:basedOn w:val="1"/>
    <w:link w:val="559"/>
    <w:qFormat/>
    <w:uiPriority w:val="0"/>
    <w:pPr>
      <w:widowControl w:val="0"/>
      <w:adjustRightInd w:val="0"/>
      <w:snapToGrid w:val="0"/>
      <w:spacing w:line="320" w:lineRule="exact"/>
      <w:jc w:val="center"/>
    </w:pPr>
    <w:rPr>
      <w:rFonts w:ascii="Times New Roman" w:cs="Times New Roman"/>
      <w:sz w:val="20"/>
      <w:szCs w:val="21"/>
    </w:rPr>
  </w:style>
  <w:style w:type="character" w:customStyle="1" w:styleId="561">
    <w:name w:val="text121"/>
    <w:qFormat/>
    <w:uiPriority w:val="0"/>
    <w:rPr>
      <w:color w:val="333333"/>
      <w:sz w:val="18"/>
      <w:szCs w:val="18"/>
    </w:rPr>
  </w:style>
  <w:style w:type="character" w:customStyle="1" w:styleId="562">
    <w:name w:val="标题 3 Char Char"/>
    <w:qFormat/>
    <w:uiPriority w:val="0"/>
    <w:rPr>
      <w:rFonts w:ascii="仿宋_GB2312" w:eastAsia="仿宋_GB2312"/>
      <w:b/>
      <w:spacing w:val="-2"/>
      <w:kern w:val="2"/>
      <w:sz w:val="28"/>
      <w:szCs w:val="24"/>
      <w:lang w:val="en-US" w:eastAsia="zh-CN" w:bidi="ar-SA"/>
    </w:rPr>
  </w:style>
  <w:style w:type="character" w:customStyle="1" w:styleId="563">
    <w:name w:val="正文 + 首行缩进:  2 字符 Char1"/>
    <w:qFormat/>
    <w:uiPriority w:val="0"/>
    <w:rPr>
      <w:rFonts w:eastAsia="宋体" w:cs="宋体"/>
      <w:color w:val="000000"/>
      <w:kern w:val="2"/>
      <w:sz w:val="24"/>
      <w:lang w:val="en-US" w:eastAsia="zh-CN" w:bidi="ar-SA"/>
    </w:rPr>
  </w:style>
  <w:style w:type="character" w:customStyle="1" w:styleId="564">
    <w:name w:val="正式 Char Char"/>
    <w:link w:val="565"/>
    <w:semiHidden/>
    <w:qFormat/>
    <w:uiPriority w:val="0"/>
    <w:rPr>
      <w:rFonts w:ascii="Times New Roman" w:hAnsi="宋体"/>
      <w:spacing w:val="6"/>
      <w:sz w:val="24"/>
      <w:szCs w:val="21"/>
    </w:rPr>
  </w:style>
  <w:style w:type="paragraph" w:customStyle="1" w:styleId="565">
    <w:name w:val="正式"/>
    <w:basedOn w:val="1"/>
    <w:link w:val="564"/>
    <w:semiHidden/>
    <w:qFormat/>
    <w:uiPriority w:val="0"/>
    <w:pPr>
      <w:widowControl w:val="0"/>
      <w:spacing w:beforeLines="50" w:line="420" w:lineRule="auto"/>
      <w:ind w:firstLine="200" w:firstLineChars="200"/>
      <w:jc w:val="both"/>
    </w:pPr>
    <w:rPr>
      <w:rFonts w:ascii="Times New Roman" w:cs="Times New Roman"/>
      <w:spacing w:val="6"/>
      <w:szCs w:val="21"/>
    </w:rPr>
  </w:style>
  <w:style w:type="character" w:customStyle="1" w:styleId="566">
    <w:name w:val="Char Char231"/>
    <w:qFormat/>
    <w:uiPriority w:val="0"/>
    <w:rPr>
      <w:rFonts w:eastAsia="黑体"/>
      <w:kern w:val="2"/>
      <w:sz w:val="24"/>
      <w:szCs w:val="24"/>
      <w:lang w:val="en-US" w:eastAsia="zh-CN" w:bidi="ar-SA"/>
    </w:rPr>
  </w:style>
  <w:style w:type="character" w:customStyle="1" w:styleId="567">
    <w:name w:val="fs"/>
    <w:basedOn w:val="83"/>
    <w:qFormat/>
    <w:uiPriority w:val="0"/>
  </w:style>
  <w:style w:type="character" w:customStyle="1" w:styleId="568">
    <w:name w:val="正文11 Char"/>
    <w:qFormat/>
    <w:uiPriority w:val="0"/>
    <w:rPr>
      <w:rFonts w:ascii="宋体" w:hAnsi="宋体" w:eastAsia="仿宋_GB2312"/>
      <w:snapToGrid w:val="0"/>
      <w:sz w:val="24"/>
      <w:szCs w:val="24"/>
    </w:rPr>
  </w:style>
  <w:style w:type="character" w:customStyle="1" w:styleId="569">
    <w:name w:val="pt9"/>
    <w:basedOn w:val="83"/>
    <w:qFormat/>
    <w:uiPriority w:val="0"/>
  </w:style>
  <w:style w:type="character" w:customStyle="1" w:styleId="570">
    <w:name w:val="Char Char15"/>
    <w:link w:val="571"/>
    <w:qFormat/>
    <w:uiPriority w:val="0"/>
    <w:rPr>
      <w:sz w:val="24"/>
    </w:rPr>
  </w:style>
  <w:style w:type="paragraph" w:customStyle="1" w:styleId="571">
    <w:name w:val="正文文本11"/>
    <w:basedOn w:val="1"/>
    <w:link w:val="570"/>
    <w:qFormat/>
    <w:uiPriority w:val="0"/>
    <w:pPr>
      <w:widowControl w:val="0"/>
      <w:spacing w:line="240" w:lineRule="atLeast"/>
      <w:jc w:val="center"/>
    </w:pPr>
    <w:rPr>
      <w:rFonts w:ascii="Calibri" w:hAnsi="Calibri" w:cs="Times New Roman"/>
      <w:szCs w:val="20"/>
    </w:rPr>
  </w:style>
  <w:style w:type="character" w:customStyle="1" w:styleId="572">
    <w:name w:val="项标题(1) Char Char"/>
    <w:qFormat/>
    <w:uiPriority w:val="0"/>
    <w:rPr>
      <w:rFonts w:eastAsia="宋体"/>
      <w:sz w:val="24"/>
      <w:lang w:val="en-US" w:eastAsia="zh-CN" w:bidi="ar-SA"/>
    </w:rPr>
  </w:style>
  <w:style w:type="character" w:customStyle="1" w:styleId="573">
    <w:name w:val="表5.6 Char Char"/>
    <w:link w:val="574"/>
    <w:qFormat/>
    <w:uiPriority w:val="0"/>
    <w:rPr>
      <w:rFonts w:ascii="黑体" w:hAnsi="Times New Roman" w:eastAsia="黑体"/>
      <w:b/>
      <w:bCs/>
      <w:color w:val="FF0000"/>
      <w:sz w:val="24"/>
      <w:szCs w:val="24"/>
    </w:rPr>
  </w:style>
  <w:style w:type="paragraph" w:customStyle="1" w:styleId="574">
    <w:name w:val="表5.6"/>
    <w:basedOn w:val="575"/>
    <w:link w:val="573"/>
    <w:qFormat/>
    <w:uiPriority w:val="0"/>
    <w:pPr>
      <w:tabs>
        <w:tab w:val="left" w:pos="360"/>
        <w:tab w:val="left" w:pos="720"/>
        <w:tab w:val="left" w:pos="726"/>
        <w:tab w:val="left" w:pos="1080"/>
        <w:tab w:val="center" w:pos="4060"/>
        <w:tab w:val="right" w:pos="8261"/>
      </w:tabs>
      <w:ind w:left="720" w:hanging="720" w:hangingChars="200"/>
    </w:pPr>
    <w:rPr>
      <w:bCs/>
      <w:color w:val="FF0000"/>
      <w:szCs w:val="24"/>
    </w:rPr>
  </w:style>
  <w:style w:type="paragraph" w:customStyle="1" w:styleId="575">
    <w:name w:val="表2.1"/>
    <w:basedOn w:val="1"/>
    <w:link w:val="576"/>
    <w:qFormat/>
    <w:uiPriority w:val="0"/>
    <w:pPr>
      <w:widowControl w:val="0"/>
      <w:tabs>
        <w:tab w:val="left" w:pos="1080"/>
        <w:tab w:val="center" w:pos="4060"/>
        <w:tab w:val="right" w:pos="8261"/>
      </w:tabs>
      <w:suppressAutoHyphens/>
      <w:adjustRightInd w:val="0"/>
      <w:spacing w:before="240" w:line="0" w:lineRule="atLeast"/>
      <w:ind w:left="420" w:hanging="420"/>
      <w:jc w:val="both"/>
    </w:pPr>
    <w:rPr>
      <w:rFonts w:ascii="黑体" w:hAnsi="Times New Roman" w:eastAsia="黑体" w:cs="Times New Roman"/>
      <w:b/>
      <w:szCs w:val="26"/>
    </w:rPr>
  </w:style>
  <w:style w:type="character" w:customStyle="1" w:styleId="576">
    <w:name w:val="表2.1 Char Char"/>
    <w:link w:val="575"/>
    <w:qFormat/>
    <w:uiPriority w:val="0"/>
    <w:rPr>
      <w:rFonts w:ascii="黑体" w:hAnsi="Times New Roman" w:eastAsia="黑体"/>
      <w:b/>
      <w:sz w:val="24"/>
      <w:szCs w:val="26"/>
    </w:rPr>
  </w:style>
  <w:style w:type="character" w:customStyle="1" w:styleId="577">
    <w:name w:val="Char Char111"/>
    <w:qFormat/>
    <w:uiPriority w:val="0"/>
    <w:rPr>
      <w:rFonts w:ascii="宋体" w:eastAsia="宋体"/>
      <w:color w:val="000000"/>
      <w:sz w:val="36"/>
      <w:lang w:val="en-US" w:eastAsia="zh-CN" w:bidi="ar-SA"/>
    </w:rPr>
  </w:style>
  <w:style w:type="character" w:customStyle="1" w:styleId="578">
    <w:name w:val="font51"/>
    <w:qFormat/>
    <w:uiPriority w:val="0"/>
    <w:rPr>
      <w:rFonts w:hint="default" w:ascii="Times New Roman" w:hAnsi="Times New Roman" w:cs="Times New Roman"/>
      <w:b/>
      <w:bCs/>
      <w:color w:val="000000"/>
      <w:sz w:val="18"/>
      <w:szCs w:val="18"/>
      <w:u w:val="none"/>
    </w:rPr>
  </w:style>
  <w:style w:type="character" w:customStyle="1" w:styleId="579">
    <w:name w:val="highlight1"/>
    <w:qFormat/>
    <w:uiPriority w:val="0"/>
    <w:rPr>
      <w:sz w:val="21"/>
      <w:szCs w:val="21"/>
    </w:rPr>
  </w:style>
  <w:style w:type="character" w:customStyle="1" w:styleId="580">
    <w:name w:val="正文 Char Char"/>
    <w:qFormat/>
    <w:uiPriority w:val="0"/>
    <w:rPr>
      <w:rFonts w:ascii="Times New Roman" w:hAnsi="Times New Roman" w:eastAsia="宋体" w:cs="Times New Roman"/>
      <w:snapToGrid w:val="0"/>
      <w:kern w:val="0"/>
      <w:sz w:val="24"/>
      <w:szCs w:val="24"/>
      <w:lang w:val="en-US" w:eastAsia="zh-CN" w:bidi="ar-SA"/>
    </w:rPr>
  </w:style>
  <w:style w:type="character" w:customStyle="1" w:styleId="581">
    <w:name w:val="正文文本 3 Char1"/>
    <w:qFormat/>
    <w:uiPriority w:val="99"/>
    <w:rPr>
      <w:rFonts w:ascii="Calibri" w:hAnsi="Calibri" w:eastAsia="宋体" w:cs="Times New Roman"/>
      <w:sz w:val="16"/>
      <w:szCs w:val="16"/>
    </w:rPr>
  </w:style>
  <w:style w:type="character" w:customStyle="1" w:styleId="582">
    <w:name w:val="正文文本 (2) + 10 pt9"/>
    <w:qFormat/>
    <w:uiPriority w:val="99"/>
    <w:rPr>
      <w:rFonts w:ascii="MingLiU" w:eastAsia="MingLiU" w:cs="MingLiU"/>
      <w:spacing w:val="20"/>
      <w:sz w:val="20"/>
      <w:szCs w:val="20"/>
      <w:u w:val="none"/>
      <w:shd w:val="clear" w:color="auto" w:fill="FFFFFF"/>
    </w:rPr>
  </w:style>
  <w:style w:type="character" w:customStyle="1" w:styleId="583">
    <w:name w:val="扬巴正文 Char Char"/>
    <w:link w:val="584"/>
    <w:semiHidden/>
    <w:qFormat/>
    <w:uiPriority w:val="0"/>
    <w:rPr>
      <w:rFonts w:ascii="Times New Roman" w:hAnsi="Times New Roman"/>
      <w:sz w:val="24"/>
      <w:szCs w:val="24"/>
    </w:rPr>
  </w:style>
  <w:style w:type="paragraph" w:customStyle="1" w:styleId="584">
    <w:name w:val="扬巴正文"/>
    <w:basedOn w:val="1"/>
    <w:link w:val="583"/>
    <w:semiHidden/>
    <w:qFormat/>
    <w:uiPriority w:val="0"/>
    <w:pPr>
      <w:widowControl w:val="0"/>
      <w:adjustRightInd w:val="0"/>
      <w:snapToGrid w:val="0"/>
      <w:spacing w:line="360" w:lineRule="auto"/>
      <w:ind w:firstLine="200" w:firstLineChars="200"/>
      <w:jc w:val="both"/>
    </w:pPr>
    <w:rPr>
      <w:rFonts w:ascii="Times New Roman" w:hAnsi="Times New Roman" w:cs="Times New Roman"/>
    </w:rPr>
  </w:style>
  <w:style w:type="character" w:customStyle="1" w:styleId="585">
    <w:name w:val="style21"/>
    <w:qFormat/>
    <w:uiPriority w:val="0"/>
    <w:rPr>
      <w:rFonts w:hint="default" w:ascii="Arial" w:hAnsi="Arial" w:cs="Arial"/>
      <w:color w:val="000000"/>
      <w:sz w:val="18"/>
      <w:szCs w:val="18"/>
    </w:rPr>
  </w:style>
  <w:style w:type="character" w:customStyle="1" w:styleId="586">
    <w:name w:val="c-font-big"/>
    <w:basedOn w:val="83"/>
    <w:qFormat/>
    <w:uiPriority w:val="0"/>
  </w:style>
  <w:style w:type="character" w:customStyle="1" w:styleId="587">
    <w:name w:val="Char12"/>
    <w:qFormat/>
    <w:uiPriority w:val="0"/>
    <w:rPr>
      <w:rFonts w:hint="default" w:ascii="Arial" w:hAnsi="Arial" w:eastAsia="黑体" w:cs="Arial"/>
      <w:b/>
      <w:kern w:val="2"/>
      <w:sz w:val="32"/>
      <w:szCs w:val="24"/>
      <w:lang w:val="en-US" w:eastAsia="zh-CN" w:bidi="ar-SA"/>
    </w:rPr>
  </w:style>
  <w:style w:type="character" w:customStyle="1" w:styleId="588">
    <w:name w:val="样式 表格文字居中 Char + 五号 黑色1"/>
    <w:qFormat/>
    <w:uiPriority w:val="0"/>
    <w:rPr>
      <w:rFonts w:ascii="宋体" w:hAnsi="宋体" w:eastAsia="宋体" w:cs="宋体"/>
      <w:color w:val="000000"/>
      <w:kern w:val="2"/>
      <w:sz w:val="24"/>
      <w:szCs w:val="24"/>
      <w:lang w:val="en-US" w:eastAsia="zh-CN" w:bidi="ar-SA"/>
    </w:rPr>
  </w:style>
  <w:style w:type="character" w:customStyle="1" w:styleId="589">
    <w:name w:val="正文文本 (2) + 10 pt14"/>
    <w:qFormat/>
    <w:uiPriority w:val="99"/>
    <w:rPr>
      <w:rFonts w:ascii="MingLiU" w:eastAsia="MingLiU" w:cs="MingLiU"/>
      <w:spacing w:val="-20"/>
      <w:sz w:val="20"/>
      <w:szCs w:val="20"/>
      <w:u w:val="none"/>
      <w:shd w:val="clear" w:color="auto" w:fill="FFFFFF"/>
      <w:lang w:val="en-US" w:eastAsia="en-US"/>
    </w:rPr>
  </w:style>
  <w:style w:type="character" w:customStyle="1" w:styleId="590">
    <w:name w:val="普通文字 Char Char Char Char2"/>
    <w:qFormat/>
    <w:uiPriority w:val="0"/>
    <w:rPr>
      <w:rFonts w:ascii="宋体" w:hAnsi="Courier New" w:eastAsia="宋体"/>
      <w:kern w:val="2"/>
      <w:sz w:val="28"/>
      <w:lang w:val="en-US" w:eastAsia="zh-CN" w:bidi="ar-SA"/>
    </w:rPr>
  </w:style>
  <w:style w:type="character" w:customStyle="1" w:styleId="591">
    <w:name w:val="正文首行缩进 2 Char1"/>
    <w:basedOn w:val="468"/>
    <w:qFormat/>
    <w:uiPriority w:val="99"/>
    <w:rPr>
      <w:rFonts w:ascii="Times New Roman" w:hAnsi="Times New Roman" w:eastAsia="宋体" w:cs="Times New Roman"/>
      <w:szCs w:val="24"/>
    </w:rPr>
  </w:style>
  <w:style w:type="character" w:customStyle="1" w:styleId="592">
    <w:name w:val="Body text 1 Char Char"/>
    <w:link w:val="593"/>
    <w:qFormat/>
    <w:uiPriority w:val="0"/>
    <w:rPr>
      <w:rFonts w:ascii="Times New Roman" w:hAnsi="Times New Roman"/>
      <w:snapToGrid w:val="0"/>
      <w:sz w:val="24"/>
      <w:szCs w:val="24"/>
    </w:rPr>
  </w:style>
  <w:style w:type="paragraph" w:customStyle="1" w:styleId="593">
    <w:name w:val="Body text 1"/>
    <w:basedOn w:val="223"/>
    <w:link w:val="592"/>
    <w:qFormat/>
    <w:uiPriority w:val="0"/>
    <w:pPr>
      <w:tabs>
        <w:tab w:val="clear" w:pos="567"/>
      </w:tabs>
      <w:spacing w:line="360" w:lineRule="auto"/>
      <w:ind w:left="0" w:firstLine="475"/>
    </w:pPr>
    <w:rPr>
      <w:rFonts w:ascii="Times New Roman"/>
      <w:snapToGrid w:val="0"/>
      <w:kern w:val="0"/>
      <w:szCs w:val="24"/>
    </w:rPr>
  </w:style>
  <w:style w:type="character" w:customStyle="1" w:styleId="594">
    <w:name w:val="公式、图------------- Char Char"/>
    <w:link w:val="595"/>
    <w:qFormat/>
    <w:uiPriority w:val="0"/>
    <w:rPr>
      <w:spacing w:val="16"/>
      <w:sz w:val="24"/>
    </w:rPr>
  </w:style>
  <w:style w:type="paragraph" w:customStyle="1" w:styleId="595">
    <w:name w:val="公式、图-------------"/>
    <w:basedOn w:val="1"/>
    <w:link w:val="594"/>
    <w:qFormat/>
    <w:uiPriority w:val="0"/>
    <w:pPr>
      <w:widowControl w:val="0"/>
      <w:jc w:val="center"/>
      <w:textAlignment w:val="center"/>
    </w:pPr>
    <w:rPr>
      <w:rFonts w:ascii="Calibri" w:hAnsi="Calibri" w:cs="Times New Roman"/>
      <w:spacing w:val="16"/>
      <w:szCs w:val="20"/>
    </w:rPr>
  </w:style>
  <w:style w:type="character" w:customStyle="1" w:styleId="596">
    <w:name w:val="style6"/>
    <w:basedOn w:val="83"/>
    <w:qFormat/>
    <w:uiPriority w:val="0"/>
  </w:style>
  <w:style w:type="character" w:customStyle="1" w:styleId="597">
    <w:name w:val="Char Char201"/>
    <w:qFormat/>
    <w:uiPriority w:val="0"/>
    <w:rPr>
      <w:rFonts w:ascii="宋体" w:eastAsia="宋体"/>
      <w:color w:val="000000"/>
      <w:sz w:val="36"/>
      <w:lang w:val="en-US" w:eastAsia="zh-CN" w:bidi="ar-SA"/>
    </w:rPr>
  </w:style>
  <w:style w:type="character" w:styleId="598">
    <w:name w:val="Placeholder Text"/>
    <w:semiHidden/>
    <w:qFormat/>
    <w:uiPriority w:val="99"/>
    <w:rPr>
      <w:color w:val="808080"/>
    </w:rPr>
  </w:style>
  <w:style w:type="character" w:customStyle="1" w:styleId="599">
    <w:name w:val="公式 Char"/>
    <w:link w:val="600"/>
    <w:qFormat/>
    <w:uiPriority w:val="0"/>
    <w:rPr>
      <w:rFonts w:ascii="Times New Roman" w:hAnsi="Times New Roman"/>
      <w:color w:val="000000"/>
      <w:spacing w:val="-8"/>
      <w:kern w:val="2"/>
      <w:sz w:val="18"/>
      <w:szCs w:val="24"/>
    </w:rPr>
  </w:style>
  <w:style w:type="paragraph" w:customStyle="1" w:styleId="600">
    <w:name w:val="公式"/>
    <w:basedOn w:val="1"/>
    <w:next w:val="1"/>
    <w:link w:val="599"/>
    <w:qFormat/>
    <w:uiPriority w:val="0"/>
    <w:pPr>
      <w:widowControl w:val="0"/>
      <w:ind w:left="-2" w:leftChars="-5" w:hanging="8" w:hangingChars="5"/>
      <w:jc w:val="center"/>
    </w:pPr>
    <w:rPr>
      <w:rFonts w:ascii="Times New Roman" w:hAnsi="Times New Roman" w:cs="Times New Roman"/>
      <w:color w:val="000000"/>
      <w:spacing w:val="-8"/>
      <w:kern w:val="2"/>
      <w:sz w:val="18"/>
    </w:rPr>
  </w:style>
  <w:style w:type="character" w:customStyle="1" w:styleId="601">
    <w:name w:val="标题 7 Char1"/>
    <w:qFormat/>
    <w:uiPriority w:val="0"/>
    <w:rPr>
      <w:rFonts w:ascii="Calibri" w:hAnsi="Calibri" w:eastAsia="宋体"/>
      <w:b/>
      <w:color w:val="000000"/>
      <w:kern w:val="28"/>
      <w:sz w:val="24"/>
      <w:lang w:bidi="ar-SA"/>
    </w:rPr>
  </w:style>
  <w:style w:type="character" w:customStyle="1" w:styleId="602">
    <w:name w:val="文档结构图 Char2"/>
    <w:qFormat/>
    <w:uiPriority w:val="99"/>
    <w:rPr>
      <w:rFonts w:ascii="宋体" w:hAnsi="Calibri" w:eastAsia="宋体" w:cs="Times New Roman"/>
      <w:sz w:val="18"/>
      <w:szCs w:val="18"/>
    </w:rPr>
  </w:style>
  <w:style w:type="character" w:customStyle="1" w:styleId="603">
    <w:name w:val="z-窗体顶端 Char"/>
    <w:link w:val="604"/>
    <w:qFormat/>
    <w:uiPriority w:val="0"/>
    <w:rPr>
      <w:rFonts w:ascii="Arial" w:hAnsi="Arial" w:cs="Arial"/>
      <w:vanish/>
      <w:sz w:val="16"/>
      <w:szCs w:val="16"/>
    </w:rPr>
  </w:style>
  <w:style w:type="paragraph" w:customStyle="1" w:styleId="604">
    <w:name w:val="z-窗体顶端1"/>
    <w:basedOn w:val="1"/>
    <w:next w:val="1"/>
    <w:link w:val="603"/>
    <w:qFormat/>
    <w:uiPriority w:val="0"/>
    <w:pPr>
      <w:pBdr>
        <w:bottom w:val="single" w:color="auto" w:sz="6" w:space="1"/>
      </w:pBdr>
      <w:jc w:val="center"/>
    </w:pPr>
    <w:rPr>
      <w:rFonts w:ascii="Arial" w:hAnsi="Arial" w:cs="Arial"/>
      <w:vanish/>
      <w:sz w:val="16"/>
      <w:szCs w:val="16"/>
    </w:rPr>
  </w:style>
  <w:style w:type="character" w:customStyle="1" w:styleId="605">
    <w:name w:val="z-窗体底端 Char"/>
    <w:link w:val="606"/>
    <w:qFormat/>
    <w:uiPriority w:val="0"/>
    <w:rPr>
      <w:rFonts w:ascii="Arial" w:hAnsi="Arial" w:cs="Arial"/>
      <w:vanish/>
      <w:sz w:val="16"/>
      <w:szCs w:val="16"/>
    </w:rPr>
  </w:style>
  <w:style w:type="paragraph" w:customStyle="1" w:styleId="606">
    <w:name w:val="z-窗体底端1"/>
    <w:basedOn w:val="1"/>
    <w:next w:val="1"/>
    <w:link w:val="605"/>
    <w:qFormat/>
    <w:uiPriority w:val="0"/>
    <w:pPr>
      <w:pBdr>
        <w:top w:val="single" w:color="auto" w:sz="6" w:space="1"/>
      </w:pBdr>
      <w:jc w:val="center"/>
    </w:pPr>
    <w:rPr>
      <w:rFonts w:ascii="Arial" w:hAnsi="Arial" w:cs="Arial"/>
      <w:vanish/>
      <w:sz w:val="16"/>
      <w:szCs w:val="16"/>
    </w:rPr>
  </w:style>
  <w:style w:type="character" w:customStyle="1" w:styleId="607">
    <w:name w:val="c1"/>
    <w:qFormat/>
    <w:uiPriority w:val="0"/>
    <w:rPr>
      <w:rFonts w:hint="default" w:ascii="ˎ̥" w:hAnsi="ˎ̥"/>
      <w:color w:val="000000"/>
      <w:sz w:val="21"/>
      <w:szCs w:val="21"/>
      <w:u w:val="none"/>
    </w:rPr>
  </w:style>
  <w:style w:type="character" w:customStyle="1" w:styleId="608">
    <w:name w:val="0031"/>
    <w:qFormat/>
    <w:uiPriority w:val="0"/>
    <w:rPr>
      <w:sz w:val="21"/>
      <w:szCs w:val="21"/>
    </w:rPr>
  </w:style>
  <w:style w:type="character" w:customStyle="1" w:styleId="609">
    <w:name w:val="Char Char16"/>
    <w:qFormat/>
    <w:uiPriority w:val="0"/>
    <w:rPr>
      <w:rFonts w:ascii="黑体" w:hAnsi="宋体" w:eastAsia="黑体"/>
      <w:b/>
      <w:kern w:val="16"/>
      <w:sz w:val="28"/>
      <w:szCs w:val="28"/>
      <w:lang w:val="en-US" w:eastAsia="zh-CN" w:bidi="ar-SA"/>
    </w:rPr>
  </w:style>
  <w:style w:type="character" w:customStyle="1" w:styleId="610">
    <w:name w:val="页脚1 Char"/>
    <w:qFormat/>
    <w:uiPriority w:val="0"/>
    <w:rPr>
      <w:rFonts w:eastAsia="宋体"/>
      <w:kern w:val="2"/>
      <w:sz w:val="18"/>
      <w:szCs w:val="18"/>
      <w:lang w:val="en-US" w:eastAsia="zh-CN" w:bidi="ar-SA"/>
    </w:rPr>
  </w:style>
  <w:style w:type="character" w:customStyle="1" w:styleId="611">
    <w:name w:val="cucd-0 Char1"/>
    <w:link w:val="612"/>
    <w:qFormat/>
    <w:uiPriority w:val="0"/>
    <w:rPr>
      <w:kern w:val="2"/>
      <w:sz w:val="24"/>
      <w:szCs w:val="24"/>
    </w:rPr>
  </w:style>
  <w:style w:type="paragraph" w:customStyle="1" w:styleId="612">
    <w:name w:val="cucd-0"/>
    <w:link w:val="611"/>
    <w:qFormat/>
    <w:uiPriority w:val="0"/>
    <w:pPr>
      <w:spacing w:line="360" w:lineRule="auto"/>
      <w:ind w:firstLine="480" w:firstLineChars="200"/>
    </w:pPr>
    <w:rPr>
      <w:rFonts w:ascii="Calibri" w:hAnsi="Calibri" w:eastAsia="宋体" w:cs="Times New Roman"/>
      <w:kern w:val="2"/>
      <w:sz w:val="24"/>
      <w:szCs w:val="24"/>
      <w:lang w:val="en-US" w:eastAsia="zh-CN" w:bidi="ar-SA"/>
    </w:rPr>
  </w:style>
  <w:style w:type="character" w:customStyle="1" w:styleId="613">
    <w:name w:val="报告正文 Char Char"/>
    <w:link w:val="614"/>
    <w:qFormat/>
    <w:uiPriority w:val="0"/>
    <w:rPr>
      <w:rFonts w:ascii="Times New Roman" w:hAnsi="Times New Roman"/>
      <w:color w:val="000000"/>
      <w:kern w:val="2"/>
      <w:sz w:val="24"/>
    </w:rPr>
  </w:style>
  <w:style w:type="paragraph" w:customStyle="1" w:styleId="614">
    <w:name w:val="报告正文"/>
    <w:basedOn w:val="1"/>
    <w:link w:val="613"/>
    <w:qFormat/>
    <w:uiPriority w:val="0"/>
    <w:pPr>
      <w:widowControl w:val="0"/>
      <w:adjustRightInd w:val="0"/>
      <w:snapToGrid w:val="0"/>
      <w:spacing w:line="312" w:lineRule="auto"/>
      <w:jc w:val="both"/>
    </w:pPr>
    <w:rPr>
      <w:rFonts w:ascii="Times New Roman" w:hAnsi="Times New Roman" w:cs="Times New Roman"/>
      <w:color w:val="000000"/>
      <w:kern w:val="2"/>
      <w:szCs w:val="20"/>
    </w:rPr>
  </w:style>
  <w:style w:type="character" w:customStyle="1" w:styleId="615">
    <w:name w:val="加粗正文 Char"/>
    <w:qFormat/>
    <w:uiPriority w:val="0"/>
    <w:rPr>
      <w:rFonts w:ascii="宋体" w:hAnsi="Courier New" w:eastAsia="宋体" w:cs="Courier New"/>
      <w:kern w:val="2"/>
      <w:sz w:val="21"/>
      <w:szCs w:val="21"/>
      <w:lang w:val="en-US" w:eastAsia="zh-CN" w:bidi="ar-SA"/>
    </w:rPr>
  </w:style>
  <w:style w:type="character" w:customStyle="1" w:styleId="616">
    <w:name w:val="表号 Char1"/>
    <w:link w:val="617"/>
    <w:qFormat/>
    <w:uiPriority w:val="0"/>
    <w:rPr>
      <w:rFonts w:ascii="黑体" w:hAnsi="Times New Roman" w:eastAsia="黑体"/>
      <w:b/>
      <w:sz w:val="24"/>
    </w:rPr>
  </w:style>
  <w:style w:type="paragraph" w:customStyle="1" w:styleId="617">
    <w:name w:val="表号"/>
    <w:basedOn w:val="358"/>
    <w:next w:val="358"/>
    <w:link w:val="616"/>
    <w:qFormat/>
    <w:uiPriority w:val="0"/>
    <w:pPr>
      <w:spacing w:before="120" w:after="120" w:line="240" w:lineRule="atLeast"/>
    </w:pPr>
    <w:rPr>
      <w:rFonts w:ascii="黑体" w:eastAsia="黑体"/>
      <w:b/>
      <w:color w:val="auto"/>
      <w:kern w:val="0"/>
      <w:sz w:val="24"/>
      <w:szCs w:val="20"/>
    </w:rPr>
  </w:style>
  <w:style w:type="character" w:customStyle="1" w:styleId="618">
    <w:name w:val="正文文本 2 Char Char"/>
    <w:qFormat/>
    <w:uiPriority w:val="0"/>
    <w:rPr>
      <w:rFonts w:ascii="Times New Roman" w:hAnsi="Times New Roman" w:eastAsia="宋体" w:cs="Times New Roman"/>
      <w:spacing w:val="16"/>
      <w:sz w:val="24"/>
      <w:szCs w:val="24"/>
    </w:rPr>
  </w:style>
  <w:style w:type="character" w:customStyle="1" w:styleId="619">
    <w:name w:val="正文部分 Char Char"/>
    <w:link w:val="620"/>
    <w:qFormat/>
    <w:uiPriority w:val="0"/>
    <w:rPr>
      <w:rFonts w:ascii="宋体" w:hAnsi="宋体"/>
      <w:bCs/>
      <w:sz w:val="28"/>
      <w:szCs w:val="32"/>
    </w:rPr>
  </w:style>
  <w:style w:type="paragraph" w:customStyle="1" w:styleId="620">
    <w:name w:val="正文部分"/>
    <w:basedOn w:val="1"/>
    <w:link w:val="619"/>
    <w:qFormat/>
    <w:uiPriority w:val="0"/>
    <w:pPr>
      <w:widowControl w:val="0"/>
      <w:spacing w:line="500" w:lineRule="exact"/>
      <w:ind w:firstLine="200" w:firstLineChars="200"/>
    </w:pPr>
    <w:rPr>
      <w:rFonts w:cs="Times New Roman"/>
      <w:bCs/>
      <w:sz w:val="28"/>
      <w:szCs w:val="32"/>
    </w:rPr>
  </w:style>
  <w:style w:type="character" w:customStyle="1" w:styleId="621">
    <w:name w:val="注释标题 Char1"/>
    <w:semiHidden/>
    <w:qFormat/>
    <w:uiPriority w:val="0"/>
    <w:rPr>
      <w:rFonts w:ascii="Times New Roman" w:hAnsi="Times New Roman" w:eastAsia="宋体" w:cs="Times New Roman"/>
      <w:szCs w:val="24"/>
    </w:rPr>
  </w:style>
  <w:style w:type="character" w:customStyle="1" w:styleId="622">
    <w:name w:val="【正文】 Char"/>
    <w:qFormat/>
    <w:uiPriority w:val="0"/>
    <w:rPr>
      <w:rFonts w:ascii="宋体" w:hAnsi="宋体" w:cs="宋体"/>
      <w:sz w:val="24"/>
      <w:szCs w:val="24"/>
    </w:rPr>
  </w:style>
  <w:style w:type="character" w:customStyle="1" w:styleId="623">
    <w:name w:val="h Char"/>
    <w:qFormat/>
    <w:uiPriority w:val="0"/>
    <w:rPr>
      <w:rFonts w:eastAsia="楷体_GB2312"/>
      <w:snapToGrid w:val="0"/>
      <w:sz w:val="18"/>
      <w:szCs w:val="18"/>
      <w:lang w:val="en-US" w:eastAsia="zh-CN" w:bidi="ar-SA"/>
    </w:rPr>
  </w:style>
  <w:style w:type="character" w:customStyle="1" w:styleId="624">
    <w:name w:val="样式 正文首行缩进 + 首行缩进:  2 字符 Char Char"/>
    <w:link w:val="625"/>
    <w:qFormat/>
    <w:uiPriority w:val="0"/>
    <w:rPr>
      <w:rFonts w:ascii="宋体" w:hAnsi="Times New Roman" w:cs="宋体"/>
      <w:color w:val="000000"/>
      <w:sz w:val="28"/>
      <w:szCs w:val="28"/>
    </w:rPr>
  </w:style>
  <w:style w:type="paragraph" w:customStyle="1" w:styleId="625">
    <w:name w:val="样式 正文首行缩进 + 首行缩进:  2 字符"/>
    <w:basedOn w:val="78"/>
    <w:link w:val="624"/>
    <w:qFormat/>
    <w:uiPriority w:val="0"/>
    <w:pPr>
      <w:widowControl w:val="0"/>
      <w:tabs>
        <w:tab w:val="left" w:pos="628"/>
        <w:tab w:val="left" w:pos="1727"/>
        <w:tab w:val="left" w:pos="1884"/>
        <w:tab w:val="left" w:pos="2660"/>
        <w:tab w:val="left" w:pos="5460"/>
      </w:tabs>
      <w:adjustRightInd w:val="0"/>
      <w:snapToGrid w:val="0"/>
      <w:spacing w:after="0" w:line="360" w:lineRule="auto"/>
      <w:ind w:firstLine="560" w:firstLineChars="200"/>
    </w:pPr>
    <w:rPr>
      <w:rFonts w:hAnsi="Times New Roman"/>
      <w:color w:val="000000"/>
      <w:sz w:val="28"/>
      <w:szCs w:val="28"/>
    </w:rPr>
  </w:style>
  <w:style w:type="character" w:customStyle="1" w:styleId="626">
    <w:name w:val="p4"/>
    <w:basedOn w:val="83"/>
    <w:qFormat/>
    <w:uiPriority w:val="0"/>
  </w:style>
  <w:style w:type="character" w:customStyle="1" w:styleId="627">
    <w:name w:val="图表名称 Char Char"/>
    <w:link w:val="628"/>
    <w:qFormat/>
    <w:uiPriority w:val="0"/>
    <w:rPr>
      <w:rFonts w:eastAsia="黑体"/>
      <w:b/>
      <w:kern w:val="2"/>
      <w:sz w:val="21"/>
      <w:szCs w:val="24"/>
    </w:rPr>
  </w:style>
  <w:style w:type="paragraph" w:customStyle="1" w:styleId="628">
    <w:name w:val="图表名称"/>
    <w:basedOn w:val="1"/>
    <w:link w:val="627"/>
    <w:qFormat/>
    <w:uiPriority w:val="0"/>
    <w:pPr>
      <w:widowControl w:val="0"/>
      <w:jc w:val="center"/>
    </w:pPr>
    <w:rPr>
      <w:rFonts w:ascii="Calibri" w:hAnsi="Calibri" w:eastAsia="黑体" w:cs="Times New Roman"/>
      <w:b/>
      <w:kern w:val="2"/>
      <w:sz w:val="21"/>
    </w:rPr>
  </w:style>
  <w:style w:type="character" w:customStyle="1" w:styleId="629">
    <w:name w:val="h4 Char"/>
    <w:qFormat/>
    <w:uiPriority w:val="0"/>
    <w:rPr>
      <w:rFonts w:ascii="黑体" w:hAnsi="宋体" w:eastAsia="黑体" w:cs="宋体"/>
      <w:b/>
      <w:bCs/>
      <w:kern w:val="2"/>
      <w:sz w:val="24"/>
      <w:szCs w:val="24"/>
      <w:lang w:val="en-US" w:eastAsia="zh-CN" w:bidi="ar-SA"/>
    </w:rPr>
  </w:style>
  <w:style w:type="character" w:customStyle="1" w:styleId="630">
    <w:name w:val="【标题2】 Char Char"/>
    <w:link w:val="631"/>
    <w:qFormat/>
    <w:uiPriority w:val="0"/>
    <w:rPr>
      <w:b/>
      <w:bCs/>
      <w:sz w:val="32"/>
    </w:rPr>
  </w:style>
  <w:style w:type="paragraph" w:customStyle="1" w:styleId="631">
    <w:name w:val="【标题2】"/>
    <w:basedOn w:val="4"/>
    <w:link w:val="630"/>
    <w:qFormat/>
    <w:uiPriority w:val="0"/>
    <w:pPr>
      <w:keepNext w:val="0"/>
      <w:widowControl w:val="0"/>
      <w:spacing w:before="120" w:after="120" w:line="240" w:lineRule="auto"/>
      <w:jc w:val="both"/>
    </w:pPr>
    <w:rPr>
      <w:rFonts w:eastAsia="宋体"/>
      <w:b/>
      <w:sz w:val="32"/>
      <w:szCs w:val="20"/>
    </w:rPr>
  </w:style>
  <w:style w:type="character" w:customStyle="1" w:styleId="632">
    <w:name w:val="正文首行缩进 2 + Times New Roman Char1"/>
    <w:link w:val="633"/>
    <w:qFormat/>
    <w:uiPriority w:val="0"/>
    <w:rPr>
      <w:rFonts w:ascii="Times New Roman" w:hAnsi="Times New Roman"/>
      <w:sz w:val="24"/>
      <w:szCs w:val="24"/>
    </w:rPr>
  </w:style>
  <w:style w:type="paragraph" w:customStyle="1" w:styleId="633">
    <w:name w:val="正文首行缩进 2 + Times New Roman"/>
    <w:basedOn w:val="1"/>
    <w:link w:val="632"/>
    <w:qFormat/>
    <w:uiPriority w:val="0"/>
    <w:pPr>
      <w:widowControl w:val="0"/>
      <w:tabs>
        <w:tab w:val="left" w:pos="0"/>
        <w:tab w:val="left" w:pos="870"/>
        <w:tab w:val="left" w:pos="3150"/>
      </w:tabs>
      <w:autoSpaceDE w:val="0"/>
      <w:autoSpaceDN w:val="0"/>
      <w:spacing w:line="360" w:lineRule="auto"/>
      <w:ind w:firstLine="480" w:firstLineChars="200"/>
      <w:jc w:val="both"/>
    </w:pPr>
    <w:rPr>
      <w:rFonts w:ascii="Times New Roman" w:hAnsi="Times New Roman" w:cs="Times New Roman"/>
    </w:rPr>
  </w:style>
  <w:style w:type="character" w:customStyle="1" w:styleId="634">
    <w:name w:val="font111"/>
    <w:qFormat/>
    <w:uiPriority w:val="0"/>
    <w:rPr>
      <w:rFonts w:hint="eastAsia" w:ascii="宋体" w:hAnsi="宋体" w:eastAsia="宋体"/>
      <w:b/>
      <w:bCs/>
      <w:color w:val="000000"/>
      <w:sz w:val="18"/>
      <w:szCs w:val="18"/>
      <w:u w:val="none"/>
    </w:rPr>
  </w:style>
  <w:style w:type="character" w:customStyle="1" w:styleId="635">
    <w:name w:val="副标题 Char3"/>
    <w:qFormat/>
    <w:locked/>
    <w:uiPriority w:val="0"/>
    <w:rPr>
      <w:rFonts w:ascii="Arial" w:hAnsi="Arial" w:eastAsia="仿宋_GB2312"/>
      <w:b/>
      <w:bCs/>
      <w:kern w:val="28"/>
      <w:sz w:val="32"/>
      <w:szCs w:val="32"/>
    </w:rPr>
  </w:style>
  <w:style w:type="character" w:customStyle="1" w:styleId="636">
    <w:name w:val="正文文本 (2) + Georgia91"/>
    <w:qFormat/>
    <w:uiPriority w:val="99"/>
    <w:rPr>
      <w:rFonts w:ascii="Georgia" w:hAnsi="Georgia" w:eastAsia="MingLiU" w:cs="Georgia"/>
      <w:sz w:val="20"/>
      <w:szCs w:val="20"/>
      <w:u w:val="none"/>
      <w:shd w:val="clear" w:color="auto" w:fill="FFFFFF"/>
      <w:lang w:val="en-US" w:eastAsia="en-US"/>
    </w:rPr>
  </w:style>
  <w:style w:type="character" w:customStyle="1" w:styleId="637">
    <w:name w:val="标题 2 Char Char Char Char Char Char Char1"/>
    <w:qFormat/>
    <w:uiPriority w:val="0"/>
    <w:rPr>
      <w:rFonts w:eastAsia="黑体"/>
      <w:b/>
      <w:kern w:val="2"/>
      <w:sz w:val="32"/>
      <w:lang w:val="en-US" w:eastAsia="zh-CN" w:bidi="ar-SA"/>
    </w:rPr>
  </w:style>
  <w:style w:type="character" w:customStyle="1" w:styleId="638">
    <w:name w:val="style11"/>
    <w:qFormat/>
    <w:uiPriority w:val="0"/>
    <w:rPr>
      <w:rFonts w:eastAsia="宋体"/>
      <w:color w:val="000000"/>
      <w:kern w:val="2"/>
      <w:sz w:val="21"/>
      <w:szCs w:val="24"/>
      <w:lang w:val="en-US" w:eastAsia="zh-CN" w:bidi="ar-SA"/>
    </w:rPr>
  </w:style>
  <w:style w:type="character" w:customStyle="1" w:styleId="639">
    <w:name w:val="未命名11"/>
    <w:qFormat/>
    <w:uiPriority w:val="0"/>
    <w:rPr>
      <w:rFonts w:hint="eastAsia" w:ascii="宋体" w:hAnsi="宋体" w:eastAsia="宋体"/>
      <w:sz w:val="18"/>
      <w:szCs w:val="18"/>
    </w:rPr>
  </w:style>
  <w:style w:type="character" w:customStyle="1" w:styleId="640">
    <w:name w:val="r1"/>
    <w:qFormat/>
    <w:uiPriority w:val="0"/>
    <w:rPr>
      <w:sz w:val="20"/>
      <w:szCs w:val="20"/>
    </w:rPr>
  </w:style>
  <w:style w:type="character" w:customStyle="1" w:styleId="641">
    <w:name w:val="标题 11 Char"/>
    <w:qFormat/>
    <w:uiPriority w:val="0"/>
    <w:rPr>
      <w:rFonts w:ascii="黑体" w:eastAsia="黑体"/>
      <w:b/>
      <w:kern w:val="2"/>
      <w:sz w:val="28"/>
      <w:szCs w:val="24"/>
      <w:lang w:val="en-US" w:eastAsia="zh-CN" w:bidi="ar-SA"/>
    </w:rPr>
  </w:style>
  <w:style w:type="character" w:customStyle="1" w:styleId="642">
    <w:name w:val="可研-正文首行缩进 Char Char"/>
    <w:qFormat/>
    <w:uiPriority w:val="0"/>
    <w:rPr>
      <w:rFonts w:ascii="Calibri" w:hAnsi="Calibri" w:eastAsia="宋体"/>
      <w:kern w:val="2"/>
      <w:sz w:val="21"/>
      <w:szCs w:val="22"/>
      <w:lang w:val="en-US" w:eastAsia="zh-CN" w:bidi="ar-SA"/>
    </w:rPr>
  </w:style>
  <w:style w:type="character" w:customStyle="1" w:styleId="643">
    <w:name w:val="Char Char211"/>
    <w:qFormat/>
    <w:uiPriority w:val="0"/>
    <w:rPr>
      <w:rFonts w:eastAsia="宋体"/>
      <w:bCs/>
      <w:snapToGrid w:val="0"/>
      <w:spacing w:val="30"/>
      <w:sz w:val="30"/>
      <w:szCs w:val="30"/>
      <w:lang w:val="en-US" w:eastAsia="zh-CN" w:bidi="ar-SA"/>
    </w:rPr>
  </w:style>
  <w:style w:type="character" w:customStyle="1" w:styleId="644">
    <w:name w:val="规范正文 Char Char"/>
    <w:link w:val="645"/>
    <w:semiHidden/>
    <w:qFormat/>
    <w:uiPriority w:val="0"/>
    <w:rPr>
      <w:sz w:val="24"/>
    </w:rPr>
  </w:style>
  <w:style w:type="paragraph" w:customStyle="1" w:styleId="645">
    <w:name w:val="规范正文"/>
    <w:basedOn w:val="1"/>
    <w:link w:val="644"/>
    <w:semiHidden/>
    <w:qFormat/>
    <w:uiPriority w:val="0"/>
    <w:pPr>
      <w:widowControl w:val="0"/>
      <w:spacing w:line="360" w:lineRule="auto"/>
      <w:ind w:firstLine="480" w:firstLineChars="200"/>
      <w:jc w:val="both"/>
    </w:pPr>
    <w:rPr>
      <w:rFonts w:ascii="Calibri" w:hAnsi="Calibri" w:cs="Times New Roman"/>
      <w:szCs w:val="20"/>
    </w:rPr>
  </w:style>
  <w:style w:type="character" w:customStyle="1" w:styleId="646">
    <w:name w:val="纯文本 Char Char1"/>
    <w:qFormat/>
    <w:uiPriority w:val="0"/>
    <w:rPr>
      <w:rFonts w:ascii="宋体" w:hAnsi="Courier New" w:eastAsia="宋体" w:cs="Courier New"/>
      <w:bCs/>
      <w:iCs/>
      <w:kern w:val="2"/>
      <w:sz w:val="21"/>
      <w:szCs w:val="21"/>
      <w:lang w:val="en-US" w:eastAsia="zh-CN" w:bidi="ar-SA"/>
    </w:rPr>
  </w:style>
  <w:style w:type="character" w:customStyle="1" w:styleId="647">
    <w:name w:val="正文文本 (2) + 10 pt"/>
    <w:qFormat/>
    <w:uiPriority w:val="99"/>
    <w:rPr>
      <w:rFonts w:ascii="MingLiU" w:eastAsia="MingLiU" w:cs="MingLiU"/>
      <w:sz w:val="20"/>
      <w:szCs w:val="20"/>
      <w:u w:val="none"/>
      <w:shd w:val="clear" w:color="auto" w:fill="FFFFFF"/>
    </w:rPr>
  </w:style>
  <w:style w:type="character" w:customStyle="1" w:styleId="648">
    <w:name w:val="题注图名 Char Char"/>
    <w:link w:val="649"/>
    <w:qFormat/>
    <w:uiPriority w:val="0"/>
    <w:rPr>
      <w:rFonts w:ascii="Times New Roman" w:hAnsi="Times New Roman"/>
      <w:b/>
      <w:bCs/>
      <w:lang w:val="zh-CN"/>
    </w:rPr>
  </w:style>
  <w:style w:type="paragraph" w:customStyle="1" w:styleId="649">
    <w:name w:val="题注图名"/>
    <w:basedOn w:val="1"/>
    <w:link w:val="648"/>
    <w:qFormat/>
    <w:uiPriority w:val="0"/>
    <w:pPr>
      <w:widowControl w:val="0"/>
      <w:spacing w:after="120" w:line="300" w:lineRule="auto"/>
      <w:jc w:val="center"/>
    </w:pPr>
    <w:rPr>
      <w:rFonts w:ascii="Times New Roman" w:hAnsi="Times New Roman" w:cs="Times New Roman"/>
      <w:b/>
      <w:bCs/>
      <w:sz w:val="20"/>
      <w:szCs w:val="20"/>
      <w:lang w:val="zh-CN"/>
    </w:rPr>
  </w:style>
  <w:style w:type="character" w:customStyle="1" w:styleId="650">
    <w:name w:val="font-family:仿宋_gb2312"/>
    <w:basedOn w:val="83"/>
    <w:qFormat/>
    <w:uiPriority w:val="0"/>
  </w:style>
  <w:style w:type="character" w:customStyle="1" w:styleId="651">
    <w:name w:val="规范正文 + 加粗 Char Char"/>
    <w:basedOn w:val="644"/>
    <w:link w:val="652"/>
    <w:semiHidden/>
    <w:qFormat/>
    <w:uiPriority w:val="0"/>
    <w:rPr>
      <w:sz w:val="24"/>
    </w:rPr>
  </w:style>
  <w:style w:type="paragraph" w:customStyle="1" w:styleId="652">
    <w:name w:val="规范正文 + 加粗"/>
    <w:basedOn w:val="645"/>
    <w:link w:val="651"/>
    <w:semiHidden/>
    <w:qFormat/>
    <w:uiPriority w:val="0"/>
    <w:pPr>
      <w:ind w:firstLine="0" w:firstLineChars="0"/>
    </w:pPr>
  </w:style>
  <w:style w:type="character" w:customStyle="1" w:styleId="653">
    <w:name w:val="Char Char26"/>
    <w:qFormat/>
    <w:uiPriority w:val="0"/>
    <w:rPr>
      <w:rFonts w:hint="default" w:ascii="Times New Roman" w:hAnsi="Times New Roman" w:eastAsia="宋体" w:cs="Times New Roman"/>
      <w:szCs w:val="24"/>
    </w:rPr>
  </w:style>
  <w:style w:type="character" w:customStyle="1" w:styleId="654">
    <w:name w:val="标题1.1.1.1.1.1 Char"/>
    <w:qFormat/>
    <w:uiPriority w:val="0"/>
    <w:rPr>
      <w:rFonts w:ascii="Cambria" w:hAnsi="Cambria" w:eastAsia="宋体" w:cs="Times New Roman"/>
      <w:b/>
      <w:bCs/>
      <w:kern w:val="2"/>
      <w:sz w:val="24"/>
      <w:szCs w:val="24"/>
    </w:rPr>
  </w:style>
  <w:style w:type="character" w:customStyle="1" w:styleId="655">
    <w:name w:val="表文 Char Char"/>
    <w:link w:val="656"/>
    <w:qFormat/>
    <w:uiPriority w:val="0"/>
    <w:rPr>
      <w:rFonts w:ascii="Times New Roman" w:hAnsi="Times New Roman" w:eastAsia="仿宋_GB2312"/>
      <w:kern w:val="2"/>
      <w:sz w:val="21"/>
      <w:szCs w:val="22"/>
    </w:rPr>
  </w:style>
  <w:style w:type="paragraph" w:customStyle="1" w:styleId="656">
    <w:name w:val="表文"/>
    <w:next w:val="1"/>
    <w:link w:val="655"/>
    <w:qFormat/>
    <w:uiPriority w:val="0"/>
    <w:pPr>
      <w:spacing w:line="360" w:lineRule="exact"/>
    </w:pPr>
    <w:rPr>
      <w:rFonts w:ascii="Times New Roman" w:hAnsi="Times New Roman" w:eastAsia="仿宋_GB2312" w:cs="Times New Roman"/>
      <w:kern w:val="2"/>
      <w:sz w:val="21"/>
      <w:szCs w:val="22"/>
      <w:lang w:val="en-US" w:eastAsia="zh-CN" w:bidi="ar-SA"/>
    </w:rPr>
  </w:style>
  <w:style w:type="character" w:customStyle="1" w:styleId="657">
    <w:name w:val="1.1标题2 Char"/>
    <w:qFormat/>
    <w:uiPriority w:val="0"/>
    <w:rPr>
      <w:rFonts w:ascii="Arial" w:hAnsi="Arial" w:eastAsia="黑体"/>
      <w:bCs/>
      <w:kern w:val="2"/>
      <w:sz w:val="32"/>
      <w:szCs w:val="32"/>
      <w:lang w:val="en-US" w:eastAsia="zh-CN" w:bidi="ar-SA"/>
    </w:rPr>
  </w:style>
  <w:style w:type="character" w:customStyle="1" w:styleId="658">
    <w:name w:val="Char Char17"/>
    <w:qFormat/>
    <w:uiPriority w:val="0"/>
    <w:rPr>
      <w:rFonts w:eastAsia="宋体"/>
      <w:kern w:val="2"/>
      <w:sz w:val="21"/>
      <w:szCs w:val="24"/>
      <w:lang w:val="en-US" w:eastAsia="zh-CN" w:bidi="ar-SA"/>
    </w:rPr>
  </w:style>
  <w:style w:type="character" w:customStyle="1" w:styleId="659">
    <w:name w:val="font161"/>
    <w:qFormat/>
    <w:uiPriority w:val="0"/>
    <w:rPr>
      <w:rFonts w:hint="eastAsia" w:ascii="宋体" w:hAnsi="宋体" w:eastAsia="宋体"/>
      <w:color w:val="FF0000"/>
      <w:sz w:val="18"/>
      <w:szCs w:val="18"/>
      <w:u w:val="none"/>
    </w:rPr>
  </w:style>
  <w:style w:type="character" w:customStyle="1" w:styleId="660">
    <w:name w:val="HTML 地址 Char1"/>
    <w:semiHidden/>
    <w:qFormat/>
    <w:uiPriority w:val="99"/>
    <w:rPr>
      <w:rFonts w:ascii="Calibri" w:hAnsi="Calibri" w:eastAsia="宋体" w:cs="Times New Roman"/>
      <w:i/>
      <w:iCs/>
    </w:rPr>
  </w:style>
  <w:style w:type="character" w:customStyle="1" w:styleId="661">
    <w:name w:val="Char2"/>
    <w:qFormat/>
    <w:uiPriority w:val="0"/>
    <w:rPr>
      <w:rFonts w:eastAsia="宋体"/>
      <w:b/>
      <w:bCs/>
      <w:kern w:val="44"/>
      <w:sz w:val="44"/>
      <w:szCs w:val="44"/>
      <w:lang w:val="en-US" w:eastAsia="zh-CN" w:bidi="ar-SA"/>
    </w:rPr>
  </w:style>
  <w:style w:type="character" w:customStyle="1" w:styleId="662">
    <w:name w:val="Char1"/>
    <w:qFormat/>
    <w:uiPriority w:val="0"/>
    <w:rPr>
      <w:rFonts w:ascii="Arial" w:hAnsi="Arial" w:eastAsia="黑体"/>
      <w:b/>
      <w:kern w:val="2"/>
      <w:sz w:val="32"/>
      <w:szCs w:val="24"/>
      <w:lang w:val="en-US" w:eastAsia="zh-CN" w:bidi="ar-SA"/>
    </w:rPr>
  </w:style>
  <w:style w:type="character" w:customStyle="1" w:styleId="663">
    <w:name w:val="Char Char4"/>
    <w:qFormat/>
    <w:uiPriority w:val="0"/>
    <w:rPr>
      <w:rFonts w:hint="eastAsia" w:ascii="黑体" w:hAnsi="黑体" w:eastAsia="黑体"/>
      <w:b/>
      <w:snapToGrid w:val="0"/>
      <w:sz w:val="24"/>
      <w:szCs w:val="32"/>
      <w:lang w:val="en-US" w:eastAsia="zh-CN" w:bidi="ar-SA"/>
    </w:rPr>
  </w:style>
  <w:style w:type="character" w:customStyle="1" w:styleId="664">
    <w:name w:val="9dpi1"/>
    <w:qFormat/>
    <w:uiPriority w:val="0"/>
    <w:rPr>
      <w:spacing w:val="30"/>
      <w:sz w:val="18"/>
      <w:szCs w:val="18"/>
    </w:rPr>
  </w:style>
  <w:style w:type="character" w:customStyle="1" w:styleId="665">
    <w:name w:val="图 带文本框文字 Char Char"/>
    <w:link w:val="666"/>
    <w:qFormat/>
    <w:uiPriority w:val="0"/>
    <w:rPr>
      <w:rFonts w:ascii="Times New Roman" w:hAnsi="Times New Roman"/>
      <w:snapToGrid w:val="0"/>
      <w:kern w:val="21"/>
      <w:sz w:val="21"/>
      <w:szCs w:val="21"/>
    </w:rPr>
  </w:style>
  <w:style w:type="paragraph" w:customStyle="1" w:styleId="666">
    <w:name w:val="图 带文本框文字"/>
    <w:link w:val="665"/>
    <w:qFormat/>
    <w:uiPriority w:val="0"/>
    <w:pPr>
      <w:adjustRightInd w:val="0"/>
      <w:snapToGrid w:val="0"/>
      <w:jc w:val="center"/>
    </w:pPr>
    <w:rPr>
      <w:rFonts w:ascii="Times New Roman" w:hAnsi="Times New Roman" w:eastAsia="宋体" w:cs="Times New Roman"/>
      <w:snapToGrid w:val="0"/>
      <w:kern w:val="21"/>
      <w:sz w:val="21"/>
      <w:szCs w:val="21"/>
      <w:lang w:val="en-US" w:eastAsia="zh-CN" w:bidi="ar-SA"/>
    </w:rPr>
  </w:style>
  <w:style w:type="character" w:customStyle="1" w:styleId="667">
    <w:name w:val="章节标题 Char1"/>
    <w:qFormat/>
    <w:uiPriority w:val="0"/>
    <w:rPr>
      <w:rFonts w:eastAsia="宋体"/>
      <w:b/>
      <w:sz w:val="24"/>
      <w:szCs w:val="24"/>
      <w:lang w:val="en-US" w:eastAsia="zh-CN" w:bidi="ar-SA"/>
    </w:rPr>
  </w:style>
  <w:style w:type="character" w:customStyle="1" w:styleId="668">
    <w:name w:val="表号 Char"/>
    <w:qFormat/>
    <w:uiPriority w:val="0"/>
    <w:rPr>
      <w:b/>
    </w:rPr>
  </w:style>
  <w:style w:type="character" w:customStyle="1" w:styleId="669">
    <w:name w:val="Char Char7"/>
    <w:qFormat/>
    <w:uiPriority w:val="0"/>
    <w:rPr>
      <w:rFonts w:hint="eastAsia" w:ascii="宋体" w:hAnsi="宋体" w:eastAsia="宋体"/>
      <w:kern w:val="2"/>
      <w:sz w:val="24"/>
      <w:szCs w:val="24"/>
      <w:lang w:val="en-US" w:eastAsia="zh-CN" w:bidi="ar-SA"/>
    </w:rPr>
  </w:style>
  <w:style w:type="character" w:customStyle="1" w:styleId="670">
    <w:name w:val="项标题(1) Char"/>
    <w:qFormat/>
    <w:uiPriority w:val="0"/>
    <w:rPr>
      <w:rFonts w:ascii="Times New Roman" w:hAnsi="Times New Roman"/>
      <w:b/>
      <w:bCs/>
      <w:kern w:val="2"/>
      <w:sz w:val="24"/>
      <w:szCs w:val="24"/>
    </w:rPr>
  </w:style>
  <w:style w:type="character" w:customStyle="1" w:styleId="671">
    <w:name w:val="表格字 Char Char"/>
    <w:link w:val="672"/>
    <w:qFormat/>
    <w:uiPriority w:val="0"/>
    <w:rPr>
      <w:rFonts w:ascii="Times New Roman" w:hAnsi="Times New Roman"/>
    </w:rPr>
  </w:style>
  <w:style w:type="paragraph" w:customStyle="1" w:styleId="672">
    <w:name w:val="表格字"/>
    <w:basedOn w:val="59"/>
    <w:link w:val="671"/>
    <w:qFormat/>
    <w:uiPriority w:val="0"/>
    <w:pPr>
      <w:ind w:left="0" w:firstLine="0"/>
      <w:jc w:val="center"/>
    </w:pPr>
    <w:rPr>
      <w:rFonts w:hint="default" w:ascii="Times New Roman" w:eastAsia="宋体"/>
      <w:kern w:val="0"/>
      <w:sz w:val="20"/>
      <w:szCs w:val="20"/>
    </w:rPr>
  </w:style>
  <w:style w:type="character" w:customStyle="1" w:styleId="673">
    <w:name w:val="Char Char141"/>
    <w:qFormat/>
    <w:uiPriority w:val="0"/>
    <w:rPr>
      <w:rFonts w:eastAsia="宋体"/>
      <w:kern w:val="2"/>
      <w:sz w:val="18"/>
      <w:szCs w:val="18"/>
      <w:lang w:val="en-US" w:eastAsia="zh-CN" w:bidi="ar-SA"/>
    </w:rPr>
  </w:style>
  <w:style w:type="character" w:customStyle="1" w:styleId="674">
    <w:name w:val="样式 样式 样式 样式 (符号) 宋体 13 磅 首行缩进:  2 字符 行距: 1.5 倍行距 + 首行缩进:  2 字符 +... Char Char"/>
    <w:link w:val="675"/>
    <w:qFormat/>
    <w:uiPriority w:val="0"/>
    <w:rPr>
      <w:rFonts w:ascii="宋体" w:hAnsi="宋体"/>
      <w:sz w:val="26"/>
    </w:rPr>
  </w:style>
  <w:style w:type="paragraph" w:customStyle="1" w:styleId="675">
    <w:name w:val="样式 样式 样式 样式 (符号) 宋体 13 磅 首行缩进:  2 字符 行距: 1.5 倍行距 + 首行缩进:  2 字符 +..."/>
    <w:basedOn w:val="1"/>
    <w:link w:val="674"/>
    <w:qFormat/>
    <w:uiPriority w:val="0"/>
    <w:pPr>
      <w:widowControl w:val="0"/>
      <w:ind w:firstLine="563" w:firstLineChars="200"/>
      <w:jc w:val="both"/>
    </w:pPr>
    <w:rPr>
      <w:rFonts w:cs="Times New Roman"/>
      <w:sz w:val="26"/>
      <w:szCs w:val="20"/>
    </w:rPr>
  </w:style>
  <w:style w:type="character" w:customStyle="1" w:styleId="676">
    <w:name w:val="德胜正文顶格小标题 Char Char"/>
    <w:link w:val="677"/>
    <w:qFormat/>
    <w:uiPriority w:val="0"/>
    <w:rPr>
      <w:snapToGrid w:val="0"/>
      <w:color w:val="0000FF"/>
      <w:sz w:val="24"/>
      <w:szCs w:val="24"/>
    </w:rPr>
  </w:style>
  <w:style w:type="paragraph" w:customStyle="1" w:styleId="677">
    <w:name w:val="德胜正文顶格小标题"/>
    <w:basedOn w:val="211"/>
    <w:link w:val="676"/>
    <w:qFormat/>
    <w:uiPriority w:val="0"/>
    <w:pPr>
      <w:spacing w:line="360" w:lineRule="auto"/>
    </w:pPr>
    <w:rPr>
      <w:sz w:val="24"/>
      <w:szCs w:val="24"/>
    </w:rPr>
  </w:style>
  <w:style w:type="character" w:customStyle="1" w:styleId="678">
    <w:name w:val="style91"/>
    <w:qFormat/>
    <w:uiPriority w:val="0"/>
    <w:rPr>
      <w:b/>
      <w:bCs/>
      <w:color w:val="187CC8"/>
    </w:rPr>
  </w:style>
  <w:style w:type="character" w:customStyle="1" w:styleId="679">
    <w:name w:val="表文字 Char Char"/>
    <w:link w:val="680"/>
    <w:qFormat/>
    <w:uiPriority w:val="0"/>
    <w:rPr>
      <w:rFonts w:ascii="Times New Roman" w:hAnsi="Times New Roman" w:eastAsia="汉鼎简书宋"/>
      <w:szCs w:val="21"/>
    </w:rPr>
  </w:style>
  <w:style w:type="paragraph" w:customStyle="1" w:styleId="680">
    <w:name w:val="表文字"/>
    <w:basedOn w:val="1"/>
    <w:link w:val="679"/>
    <w:qFormat/>
    <w:uiPriority w:val="0"/>
    <w:pPr>
      <w:widowControl w:val="0"/>
      <w:topLinePunct/>
      <w:adjustRightInd w:val="0"/>
      <w:spacing w:line="240" w:lineRule="exact"/>
      <w:jc w:val="both"/>
      <w:textAlignment w:val="baseline"/>
    </w:pPr>
    <w:rPr>
      <w:rFonts w:ascii="Times New Roman" w:hAnsi="Times New Roman" w:eastAsia="汉鼎简书宋" w:cs="Times New Roman"/>
      <w:sz w:val="20"/>
      <w:szCs w:val="21"/>
    </w:rPr>
  </w:style>
  <w:style w:type="character" w:customStyle="1" w:styleId="681">
    <w:name w:val="页眉 Char Char"/>
    <w:qFormat/>
    <w:uiPriority w:val="0"/>
    <w:rPr>
      <w:sz w:val="18"/>
      <w:szCs w:val="18"/>
    </w:rPr>
  </w:style>
  <w:style w:type="character" w:customStyle="1" w:styleId="682">
    <w:name w:val="职卫正文 Char Char"/>
    <w:link w:val="683"/>
    <w:qFormat/>
    <w:uiPriority w:val="0"/>
    <w:rPr>
      <w:rFonts w:ascii="仿宋_GB2312" w:hAnsi="宋体" w:eastAsia="仿宋_GB2312"/>
      <w:color w:val="000000"/>
      <w:spacing w:val="-2"/>
      <w:kern w:val="16"/>
      <w:sz w:val="28"/>
      <w:szCs w:val="24"/>
    </w:rPr>
  </w:style>
  <w:style w:type="paragraph" w:customStyle="1" w:styleId="683">
    <w:name w:val="职卫正文"/>
    <w:basedOn w:val="1"/>
    <w:link w:val="682"/>
    <w:qFormat/>
    <w:uiPriority w:val="0"/>
    <w:pPr>
      <w:widowControl w:val="0"/>
      <w:spacing w:line="486" w:lineRule="exact"/>
      <w:ind w:firstLine="200" w:firstLineChars="200"/>
    </w:pPr>
    <w:rPr>
      <w:rFonts w:ascii="仿宋_GB2312" w:eastAsia="仿宋_GB2312" w:cs="Times New Roman"/>
      <w:color w:val="000000"/>
      <w:spacing w:val="-2"/>
      <w:kern w:val="16"/>
      <w:sz w:val="28"/>
    </w:rPr>
  </w:style>
  <w:style w:type="character" w:customStyle="1" w:styleId="684">
    <w:name w:val="图表内容 Char"/>
    <w:link w:val="685"/>
    <w:qFormat/>
    <w:uiPriority w:val="0"/>
    <w:rPr>
      <w:rFonts w:ascii="Times New Roman" w:hAnsi="Times New Roman" w:eastAsia="仿宋_GB2312"/>
    </w:rPr>
  </w:style>
  <w:style w:type="paragraph" w:customStyle="1" w:styleId="685">
    <w:name w:val="图表内容"/>
    <w:basedOn w:val="1"/>
    <w:link w:val="684"/>
    <w:qFormat/>
    <w:uiPriority w:val="0"/>
    <w:pPr>
      <w:widowControl w:val="0"/>
      <w:adjustRightInd w:val="0"/>
      <w:snapToGrid w:val="0"/>
      <w:jc w:val="center"/>
    </w:pPr>
    <w:rPr>
      <w:rFonts w:ascii="Times New Roman" w:hAnsi="Times New Roman" w:eastAsia="仿宋_GB2312" w:cs="Times New Roman"/>
      <w:sz w:val="20"/>
      <w:szCs w:val="20"/>
    </w:rPr>
  </w:style>
  <w:style w:type="character" w:customStyle="1" w:styleId="686">
    <w:name w:val="正文文本缩进 3 Char2"/>
    <w:semiHidden/>
    <w:qFormat/>
    <w:uiPriority w:val="0"/>
    <w:rPr>
      <w:rFonts w:ascii="Times New Roman" w:hAnsi="Times New Roman" w:eastAsia="宋体" w:cs="Times New Roman"/>
      <w:sz w:val="16"/>
      <w:szCs w:val="16"/>
    </w:rPr>
  </w:style>
  <w:style w:type="character" w:customStyle="1" w:styleId="687">
    <w:name w:val="正文. Char Char"/>
    <w:link w:val="688"/>
    <w:qFormat/>
    <w:uiPriority w:val="0"/>
    <w:rPr>
      <w:rFonts w:ascii="Times New Roman" w:hAnsi="Times New Roman"/>
      <w:snapToGrid w:val="0"/>
      <w:color w:val="000000"/>
      <w:sz w:val="24"/>
      <w:szCs w:val="24"/>
      <w:lang w:val="en-US" w:eastAsia="zh-CN"/>
    </w:rPr>
  </w:style>
  <w:style w:type="paragraph" w:customStyle="1" w:styleId="688">
    <w:name w:val="正文."/>
    <w:basedOn w:val="1"/>
    <w:link w:val="687"/>
    <w:qFormat/>
    <w:uiPriority w:val="0"/>
    <w:pPr>
      <w:widowControl w:val="0"/>
      <w:tabs>
        <w:tab w:val="left" w:leader="dot" w:pos="48"/>
      </w:tabs>
      <w:autoSpaceDE w:val="0"/>
      <w:autoSpaceDN w:val="0"/>
      <w:adjustRightInd w:val="0"/>
      <w:spacing w:line="360" w:lineRule="auto"/>
      <w:ind w:firstLine="480"/>
      <w:jc w:val="both"/>
    </w:pPr>
    <w:rPr>
      <w:rFonts w:ascii="Times New Roman" w:hAnsi="Times New Roman" w:cs="Times New Roman"/>
      <w:snapToGrid w:val="0"/>
      <w:color w:val="000000"/>
    </w:rPr>
  </w:style>
  <w:style w:type="character" w:customStyle="1" w:styleId="689">
    <w:name w:val="样式1 Char Char"/>
    <w:qFormat/>
    <w:uiPriority w:val="0"/>
    <w:rPr>
      <w:rFonts w:ascii="宋体" w:eastAsia="宋体"/>
      <w:color w:val="000000"/>
      <w:kern w:val="2"/>
      <w:sz w:val="21"/>
      <w:szCs w:val="21"/>
      <w:lang w:val="zh-CN" w:eastAsia="zh-CN" w:bidi="ar-SA"/>
    </w:rPr>
  </w:style>
  <w:style w:type="character" w:customStyle="1" w:styleId="690">
    <w:name w:val="model11"/>
    <w:qFormat/>
    <w:uiPriority w:val="0"/>
    <w:rPr>
      <w:rFonts w:hint="eastAsia" w:ascii="宋体" w:hAnsi="宋体" w:eastAsia="宋体"/>
      <w:sz w:val="18"/>
      <w:szCs w:val="18"/>
      <w:u w:val="none"/>
    </w:rPr>
  </w:style>
  <w:style w:type="character" w:customStyle="1" w:styleId="691">
    <w:name w:val="表内容 Char Char"/>
    <w:link w:val="692"/>
    <w:qFormat/>
    <w:uiPriority w:val="0"/>
    <w:rPr>
      <w:smallCaps/>
    </w:rPr>
  </w:style>
  <w:style w:type="paragraph" w:customStyle="1" w:styleId="692">
    <w:name w:val="表内容"/>
    <w:basedOn w:val="1"/>
    <w:link w:val="691"/>
    <w:qFormat/>
    <w:uiPriority w:val="0"/>
    <w:pPr>
      <w:autoSpaceDE w:val="0"/>
      <w:autoSpaceDN w:val="0"/>
      <w:adjustRightInd w:val="0"/>
      <w:jc w:val="center"/>
      <w:textAlignment w:val="bottom"/>
    </w:pPr>
    <w:rPr>
      <w:rFonts w:ascii="Calibri" w:hAnsi="Calibri" w:cs="Times New Roman"/>
      <w:smallCaps/>
      <w:sz w:val="20"/>
      <w:szCs w:val="20"/>
    </w:rPr>
  </w:style>
  <w:style w:type="character" w:customStyle="1" w:styleId="693">
    <w:name w:val="无节项 Char Char"/>
    <w:qFormat/>
    <w:uiPriority w:val="0"/>
    <w:rPr>
      <w:rFonts w:eastAsia="仿宋_GB2312"/>
      <w:kern w:val="21"/>
      <w:sz w:val="21"/>
      <w:lang w:val="en-US" w:eastAsia="zh-CN" w:bidi="ar-SA"/>
    </w:rPr>
  </w:style>
  <w:style w:type="character" w:customStyle="1" w:styleId="694">
    <w:name w:val="样式2 Char Char"/>
    <w:qFormat/>
    <w:uiPriority w:val="0"/>
    <w:rPr>
      <w:rFonts w:ascii="黑体" w:hAnsi="仿宋_GB2312" w:eastAsia="黑体"/>
      <w:b/>
      <w:bCs/>
      <w:kern w:val="2"/>
      <w:sz w:val="30"/>
      <w:szCs w:val="30"/>
      <w:lang w:val="en-US" w:eastAsia="zh-CN" w:bidi="ar-SA"/>
    </w:rPr>
  </w:style>
  <w:style w:type="character" w:customStyle="1" w:styleId="695">
    <w:name w:val="样式 宋体 13 磅 首行缩进:  0.99 厘米 Char Char"/>
    <w:link w:val="696"/>
    <w:qFormat/>
    <w:uiPriority w:val="0"/>
    <w:rPr>
      <w:rFonts w:ascii="宋体" w:hAnsi="宋体"/>
      <w:sz w:val="27"/>
      <w:szCs w:val="27"/>
    </w:rPr>
  </w:style>
  <w:style w:type="paragraph" w:customStyle="1" w:styleId="696">
    <w:name w:val="样式 宋体 13 磅 首行缩进:  0.99 厘米"/>
    <w:basedOn w:val="1"/>
    <w:link w:val="695"/>
    <w:qFormat/>
    <w:uiPriority w:val="0"/>
    <w:pPr>
      <w:widowControl w:val="0"/>
      <w:ind w:firstLine="560"/>
      <w:jc w:val="both"/>
    </w:pPr>
    <w:rPr>
      <w:rFonts w:cs="Times New Roman"/>
      <w:sz w:val="27"/>
      <w:szCs w:val="27"/>
    </w:rPr>
  </w:style>
  <w:style w:type="character" w:customStyle="1" w:styleId="697">
    <w:name w:val="Char Char132"/>
    <w:qFormat/>
    <w:uiPriority w:val="0"/>
    <w:rPr>
      <w:sz w:val="18"/>
      <w:szCs w:val="18"/>
    </w:rPr>
  </w:style>
  <w:style w:type="character" w:customStyle="1" w:styleId="698">
    <w:name w:val="plus"/>
    <w:qFormat/>
    <w:uiPriority w:val="0"/>
    <w:rPr>
      <w:b/>
      <w:vanish/>
      <w:color w:val="1F8DEF"/>
      <w:sz w:val="24"/>
      <w:szCs w:val="24"/>
    </w:rPr>
  </w:style>
  <w:style w:type="character" w:customStyle="1" w:styleId="699">
    <w:name w:val="【标题4】 Char Char"/>
    <w:link w:val="700"/>
    <w:qFormat/>
    <w:uiPriority w:val="0"/>
    <w:rPr>
      <w:b/>
      <w:bCs/>
      <w:sz w:val="28"/>
    </w:rPr>
  </w:style>
  <w:style w:type="paragraph" w:customStyle="1" w:styleId="700">
    <w:name w:val="【标题4】"/>
    <w:basedOn w:val="1"/>
    <w:link w:val="699"/>
    <w:qFormat/>
    <w:uiPriority w:val="0"/>
    <w:pPr>
      <w:keepLines/>
      <w:widowControl w:val="0"/>
      <w:spacing w:before="120" w:after="120"/>
      <w:outlineLvl w:val="3"/>
    </w:pPr>
    <w:rPr>
      <w:rFonts w:ascii="Calibri" w:hAnsi="Calibri" w:cs="Times New Roman"/>
      <w:b/>
      <w:bCs/>
      <w:sz w:val="28"/>
      <w:szCs w:val="20"/>
    </w:rPr>
  </w:style>
  <w:style w:type="character" w:customStyle="1" w:styleId="701">
    <w:name w:val="表格四号 Char Char"/>
    <w:link w:val="702"/>
    <w:qFormat/>
    <w:uiPriority w:val="0"/>
    <w:rPr>
      <w:rFonts w:ascii="宋体" w:hAnsi="宋体"/>
      <w:snapToGrid w:val="0"/>
      <w:sz w:val="28"/>
      <w:szCs w:val="28"/>
    </w:rPr>
  </w:style>
  <w:style w:type="paragraph" w:customStyle="1" w:styleId="702">
    <w:name w:val="表格四号"/>
    <w:basedOn w:val="1"/>
    <w:link w:val="701"/>
    <w:qFormat/>
    <w:uiPriority w:val="0"/>
    <w:pPr>
      <w:widowControl w:val="0"/>
      <w:adjustRightInd w:val="0"/>
      <w:snapToGrid w:val="0"/>
      <w:jc w:val="center"/>
    </w:pPr>
    <w:rPr>
      <w:rFonts w:cs="Times New Roman"/>
      <w:snapToGrid w:val="0"/>
      <w:sz w:val="28"/>
      <w:szCs w:val="28"/>
    </w:rPr>
  </w:style>
  <w:style w:type="character" w:customStyle="1" w:styleId="703">
    <w:name w:val="articlebody3"/>
    <w:qFormat/>
    <w:uiPriority w:val="0"/>
    <w:rPr>
      <w:sz w:val="21"/>
      <w:szCs w:val="21"/>
    </w:rPr>
  </w:style>
  <w:style w:type="character" w:customStyle="1" w:styleId="704">
    <w:name w:val="批注主题 Char2"/>
    <w:qFormat/>
    <w:uiPriority w:val="99"/>
    <w:rPr>
      <w:rFonts w:ascii="Calibri" w:hAnsi="Calibri" w:eastAsia="宋体" w:cs="Times New Roman"/>
      <w:b/>
      <w:bCs/>
    </w:rPr>
  </w:style>
  <w:style w:type="character" w:customStyle="1" w:styleId="705">
    <w:name w:val="正文首行缩进2字符 Char1"/>
    <w:link w:val="706"/>
    <w:qFormat/>
    <w:uiPriority w:val="0"/>
    <w:rPr>
      <w:rFonts w:ascii="Times New Roman" w:hAnsi="Times New Roman"/>
      <w:sz w:val="28"/>
      <w:szCs w:val="24"/>
    </w:rPr>
  </w:style>
  <w:style w:type="paragraph" w:customStyle="1" w:styleId="706">
    <w:name w:val="正文首行缩进2字符"/>
    <w:basedOn w:val="1"/>
    <w:link w:val="705"/>
    <w:qFormat/>
    <w:uiPriority w:val="0"/>
    <w:pPr>
      <w:widowControl w:val="0"/>
      <w:spacing w:line="480" w:lineRule="exact"/>
      <w:ind w:firstLine="200" w:firstLineChars="200"/>
      <w:jc w:val="both"/>
    </w:pPr>
    <w:rPr>
      <w:rFonts w:ascii="Times New Roman" w:hAnsi="Times New Roman" w:cs="Times New Roman"/>
      <w:sz w:val="28"/>
    </w:rPr>
  </w:style>
  <w:style w:type="character" w:customStyle="1" w:styleId="707">
    <w:name w:val="表内 Char"/>
    <w:link w:val="708"/>
    <w:qFormat/>
    <w:locked/>
    <w:uiPriority w:val="0"/>
    <w:rPr>
      <w:rFonts w:ascii="Times New Roman" w:hAnsi="Times New Roman"/>
      <w:snapToGrid w:val="0"/>
      <w:kern w:val="2"/>
      <w:sz w:val="21"/>
    </w:rPr>
  </w:style>
  <w:style w:type="paragraph" w:customStyle="1" w:styleId="708">
    <w:name w:val="表内"/>
    <w:basedOn w:val="1"/>
    <w:next w:val="1"/>
    <w:link w:val="707"/>
    <w:qFormat/>
    <w:uiPriority w:val="0"/>
    <w:pPr>
      <w:widowControl w:val="0"/>
      <w:adjustRightInd w:val="0"/>
      <w:snapToGrid w:val="0"/>
      <w:spacing w:before="120" w:after="120" w:line="288" w:lineRule="auto"/>
      <w:jc w:val="center"/>
    </w:pPr>
    <w:rPr>
      <w:rFonts w:ascii="Times New Roman" w:hAnsi="Times New Roman" w:cs="Times New Roman"/>
      <w:snapToGrid w:val="0"/>
      <w:kern w:val="2"/>
      <w:sz w:val="21"/>
      <w:szCs w:val="20"/>
    </w:rPr>
  </w:style>
  <w:style w:type="character" w:customStyle="1" w:styleId="709">
    <w:name w:val="正文文本缩进 2 Char Char"/>
    <w:qFormat/>
    <w:uiPriority w:val="0"/>
    <w:rPr>
      <w:rFonts w:ascii="宋体" w:hAnsi="Times New Roman" w:eastAsia="宋体" w:cs="Times New Roman"/>
      <w:color w:val="000000"/>
      <w:kern w:val="0"/>
      <w:sz w:val="36"/>
      <w:szCs w:val="20"/>
    </w:rPr>
  </w:style>
  <w:style w:type="character" w:customStyle="1" w:styleId="710">
    <w:name w:val="目标题 1) Char Char"/>
    <w:qFormat/>
    <w:uiPriority w:val="0"/>
    <w:rPr>
      <w:rFonts w:ascii="Arial" w:hAnsi="Arial" w:eastAsia="黑体"/>
      <w:kern w:val="2"/>
      <w:sz w:val="24"/>
      <w:szCs w:val="24"/>
    </w:rPr>
  </w:style>
  <w:style w:type="character" w:customStyle="1" w:styleId="711">
    <w:name w:val="日期 Char Char"/>
    <w:qFormat/>
    <w:uiPriority w:val="0"/>
    <w:rPr>
      <w:rFonts w:ascii="Times New Roman" w:hAnsi="Times New Roman" w:eastAsia="宋体" w:cs="Times New Roman"/>
      <w:sz w:val="24"/>
      <w:szCs w:val="20"/>
    </w:rPr>
  </w:style>
  <w:style w:type="character" w:customStyle="1" w:styleId="712">
    <w:name w:val="epapagename"/>
    <w:basedOn w:val="83"/>
    <w:qFormat/>
    <w:uiPriority w:val="0"/>
  </w:style>
  <w:style w:type="character" w:customStyle="1" w:styleId="713">
    <w:name w:val="表格内容1 Char Char Char Char Char"/>
    <w:link w:val="714"/>
    <w:qFormat/>
    <w:uiPriority w:val="0"/>
    <w:rPr>
      <w:rFonts w:ascii="Arial" w:hAnsi="Arial" w:eastAsia="仿宋_GB2312"/>
      <w:kern w:val="24"/>
      <w:szCs w:val="24"/>
    </w:rPr>
  </w:style>
  <w:style w:type="paragraph" w:customStyle="1" w:styleId="714">
    <w:name w:val="表格内容1 Char Char Char"/>
    <w:basedOn w:val="1"/>
    <w:link w:val="713"/>
    <w:qFormat/>
    <w:uiPriority w:val="0"/>
    <w:pPr>
      <w:widowControl w:val="0"/>
      <w:spacing w:line="240" w:lineRule="atLeast"/>
      <w:jc w:val="center"/>
    </w:pPr>
    <w:rPr>
      <w:rFonts w:ascii="Arial" w:hAnsi="Arial" w:eastAsia="仿宋_GB2312" w:cs="Times New Roman"/>
      <w:kern w:val="24"/>
      <w:sz w:val="20"/>
    </w:rPr>
  </w:style>
  <w:style w:type="character" w:customStyle="1" w:styleId="715">
    <w:name w:val="HTML 预设格式 Char1"/>
    <w:qFormat/>
    <w:uiPriority w:val="99"/>
    <w:rPr>
      <w:rFonts w:ascii="Courier New" w:hAnsi="Courier New" w:eastAsia="宋体" w:cs="Courier New"/>
      <w:sz w:val="20"/>
      <w:szCs w:val="20"/>
    </w:rPr>
  </w:style>
  <w:style w:type="character" w:customStyle="1" w:styleId="716">
    <w:name w:val="z-窗体顶端 Char1"/>
    <w:semiHidden/>
    <w:qFormat/>
    <w:uiPriority w:val="99"/>
    <w:rPr>
      <w:rFonts w:ascii="Arial" w:hAnsi="Arial" w:eastAsia="宋体" w:cs="Arial"/>
      <w:vanish/>
      <w:sz w:val="16"/>
      <w:szCs w:val="16"/>
    </w:rPr>
  </w:style>
  <w:style w:type="character" w:customStyle="1" w:styleId="717">
    <w:name w:val="图例 Char Char"/>
    <w:link w:val="718"/>
    <w:qFormat/>
    <w:uiPriority w:val="0"/>
    <w:rPr>
      <w:rFonts w:ascii="Times New Roman" w:hAnsi="Times New Roman"/>
      <w:b/>
      <w:bCs/>
      <w:szCs w:val="24"/>
      <w:lang w:val="zh-CN"/>
    </w:rPr>
  </w:style>
  <w:style w:type="paragraph" w:customStyle="1" w:styleId="718">
    <w:name w:val="图例"/>
    <w:basedOn w:val="649"/>
    <w:link w:val="717"/>
    <w:qFormat/>
    <w:uiPriority w:val="0"/>
    <w:rPr>
      <w:szCs w:val="24"/>
    </w:rPr>
  </w:style>
  <w:style w:type="character" w:customStyle="1" w:styleId="719">
    <w:name w:val="小标题 Char Char"/>
    <w:link w:val="720"/>
    <w:qFormat/>
    <w:uiPriority w:val="0"/>
    <w:rPr>
      <w:rFonts w:ascii="Times New Roman" w:hAnsi="Times New Roman" w:eastAsia="仿宋_GB2312"/>
      <w:b/>
      <w:sz w:val="28"/>
    </w:rPr>
  </w:style>
  <w:style w:type="paragraph" w:customStyle="1" w:styleId="720">
    <w:name w:val="小标题"/>
    <w:basedOn w:val="1"/>
    <w:next w:val="1"/>
    <w:link w:val="719"/>
    <w:qFormat/>
    <w:uiPriority w:val="0"/>
    <w:pPr>
      <w:widowControl w:val="0"/>
      <w:spacing w:line="486" w:lineRule="exact"/>
      <w:ind w:firstLine="200" w:firstLineChars="200"/>
    </w:pPr>
    <w:rPr>
      <w:rFonts w:ascii="Times New Roman" w:hAnsi="Times New Roman" w:eastAsia="仿宋_GB2312" w:cs="Times New Roman"/>
      <w:b/>
      <w:sz w:val="28"/>
      <w:szCs w:val="20"/>
    </w:rPr>
  </w:style>
  <w:style w:type="character" w:customStyle="1" w:styleId="721">
    <w:name w:val="正文11 Char Char Char Char1"/>
    <w:qFormat/>
    <w:uiPriority w:val="0"/>
    <w:rPr>
      <w:rFonts w:ascii="宋体" w:hAnsi="宋体" w:eastAsia="宋体"/>
      <w:snapToGrid w:val="0"/>
      <w:sz w:val="24"/>
      <w:szCs w:val="24"/>
      <w:lang w:val="en-US" w:eastAsia="zh-CN" w:bidi="ar-SA"/>
    </w:rPr>
  </w:style>
  <w:style w:type="character" w:customStyle="1" w:styleId="722">
    <w:name w:val="Char Char29"/>
    <w:qFormat/>
    <w:uiPriority w:val="0"/>
    <w:rPr>
      <w:rFonts w:hint="eastAsia" w:ascii="宋体" w:hAnsi="Times New Roman" w:eastAsia="宋体" w:cs="Times New Roman"/>
      <w:color w:val="000000"/>
      <w:kern w:val="0"/>
      <w:sz w:val="36"/>
      <w:szCs w:val="20"/>
    </w:rPr>
  </w:style>
  <w:style w:type="character" w:customStyle="1" w:styleId="723">
    <w:name w:val="正文缩进 Char1"/>
    <w:link w:val="724"/>
    <w:qFormat/>
    <w:uiPriority w:val="0"/>
    <w:rPr>
      <w:rFonts w:ascii="Times New Roman" w:hAnsi="Times New Roman" w:eastAsia="宋体" w:cs="Times New Roman"/>
      <w:szCs w:val="24"/>
    </w:rPr>
  </w:style>
  <w:style w:type="paragraph" w:customStyle="1" w:styleId="724">
    <w:name w:val="正文缩进1"/>
    <w:basedOn w:val="1"/>
    <w:link w:val="723"/>
    <w:qFormat/>
    <w:uiPriority w:val="0"/>
    <w:pPr>
      <w:widowControl w:val="0"/>
      <w:spacing w:line="360" w:lineRule="exact"/>
      <w:ind w:firstLine="510"/>
      <w:jc w:val="both"/>
    </w:pPr>
    <w:rPr>
      <w:rFonts w:ascii="Times New Roman" w:hAnsi="Times New Roman" w:cs="Times New Roman"/>
      <w:sz w:val="20"/>
    </w:rPr>
  </w:style>
  <w:style w:type="character" w:customStyle="1" w:styleId="725">
    <w:name w:val="日期 Char1"/>
    <w:qFormat/>
    <w:uiPriority w:val="99"/>
    <w:rPr>
      <w:rFonts w:ascii="Times New Roman" w:hAnsi="Times New Roman" w:eastAsia="宋体" w:cs="Times New Roman"/>
      <w:szCs w:val="24"/>
    </w:rPr>
  </w:style>
  <w:style w:type="character" w:customStyle="1" w:styleId="726">
    <w:name w:val="Char Char152"/>
    <w:link w:val="727"/>
    <w:qFormat/>
    <w:uiPriority w:val="0"/>
    <w:rPr>
      <w:sz w:val="24"/>
    </w:rPr>
  </w:style>
  <w:style w:type="paragraph" w:customStyle="1" w:styleId="727">
    <w:name w:val="正文文本1"/>
    <w:basedOn w:val="1"/>
    <w:link w:val="726"/>
    <w:qFormat/>
    <w:uiPriority w:val="0"/>
    <w:pPr>
      <w:widowControl w:val="0"/>
      <w:spacing w:line="240" w:lineRule="atLeast"/>
      <w:jc w:val="center"/>
    </w:pPr>
    <w:rPr>
      <w:rFonts w:ascii="Calibri" w:hAnsi="Calibri" w:cs="Times New Roman"/>
      <w:szCs w:val="20"/>
    </w:rPr>
  </w:style>
  <w:style w:type="character" w:customStyle="1" w:styleId="728">
    <w:name w:val="cucd-B Char Char Char Char"/>
    <w:link w:val="729"/>
    <w:qFormat/>
    <w:uiPriority w:val="0"/>
    <w:rPr>
      <w:rFonts w:ascii="宋体" w:hAnsi="宋体"/>
      <w:color w:val="000000"/>
      <w:sz w:val="21"/>
      <w:szCs w:val="21"/>
    </w:rPr>
  </w:style>
  <w:style w:type="paragraph" w:customStyle="1" w:styleId="729">
    <w:name w:val="cucd-B Char Char"/>
    <w:next w:val="1"/>
    <w:link w:val="728"/>
    <w:qFormat/>
    <w:uiPriority w:val="0"/>
    <w:pPr>
      <w:widowControl w:val="0"/>
      <w:spacing w:beforeLines="50" w:line="240" w:lineRule="atLeast"/>
      <w:jc w:val="both"/>
    </w:pPr>
    <w:rPr>
      <w:rFonts w:ascii="宋体" w:hAnsi="宋体" w:eastAsia="宋体" w:cs="Times New Roman"/>
      <w:color w:val="000000"/>
      <w:sz w:val="21"/>
      <w:szCs w:val="21"/>
      <w:lang w:val="en-US" w:eastAsia="zh-CN" w:bidi="ar-SA"/>
    </w:rPr>
  </w:style>
  <w:style w:type="character" w:customStyle="1" w:styleId="730">
    <w:name w:val="正文文本 3 Char Char"/>
    <w:qFormat/>
    <w:uiPriority w:val="0"/>
    <w:rPr>
      <w:rFonts w:ascii="Times New Roman" w:hAnsi="Times New Roman" w:eastAsia="宋体" w:cs="Times New Roman"/>
      <w:sz w:val="16"/>
      <w:szCs w:val="16"/>
    </w:rPr>
  </w:style>
  <w:style w:type="character" w:customStyle="1" w:styleId="731">
    <w:name w:val="不明显强调1"/>
    <w:qFormat/>
    <w:uiPriority w:val="19"/>
    <w:rPr>
      <w:i/>
      <w:iCs/>
      <w:color w:val="808080"/>
    </w:rPr>
  </w:style>
  <w:style w:type="character" w:customStyle="1" w:styleId="732">
    <w:name w:val="小表右 Char Char"/>
    <w:link w:val="733"/>
    <w:qFormat/>
    <w:uiPriority w:val="0"/>
    <w:rPr>
      <w:rFonts w:ascii="宋体" w:hAnsi="宋体"/>
    </w:rPr>
  </w:style>
  <w:style w:type="paragraph" w:customStyle="1" w:styleId="733">
    <w:name w:val="小表右"/>
    <w:basedOn w:val="1"/>
    <w:link w:val="732"/>
    <w:qFormat/>
    <w:uiPriority w:val="0"/>
    <w:pPr>
      <w:keepNext/>
      <w:widowControl w:val="0"/>
      <w:tabs>
        <w:tab w:val="left" w:pos="719"/>
        <w:tab w:val="left" w:pos="3156"/>
        <w:tab w:val="left" w:pos="4105"/>
        <w:tab w:val="left" w:pos="5054"/>
        <w:tab w:val="left" w:pos="6003"/>
        <w:tab w:val="left" w:pos="7183"/>
        <w:tab w:val="left" w:pos="8159"/>
        <w:tab w:val="left" w:pos="9312"/>
        <w:tab w:val="left" w:pos="10261"/>
        <w:tab w:val="left" w:pos="11210"/>
        <w:tab w:val="left" w:pos="12159"/>
        <w:tab w:val="left" w:pos="13108"/>
        <w:tab w:val="left" w:pos="14057"/>
        <w:tab w:val="left" w:pos="15006"/>
        <w:tab w:val="left" w:pos="15955"/>
        <w:tab w:val="left" w:pos="16904"/>
        <w:tab w:val="left" w:pos="17853"/>
        <w:tab w:val="left" w:pos="18802"/>
        <w:tab w:val="left" w:pos="19751"/>
        <w:tab w:val="left" w:pos="20700"/>
      </w:tabs>
      <w:adjustRightInd w:val="0"/>
      <w:snapToGrid w:val="0"/>
      <w:spacing w:line="240" w:lineRule="atLeast"/>
      <w:ind w:right="28" w:rightChars="10"/>
      <w:jc w:val="right"/>
    </w:pPr>
    <w:rPr>
      <w:rFonts w:cs="Times New Roman"/>
      <w:sz w:val="20"/>
      <w:szCs w:val="20"/>
    </w:rPr>
  </w:style>
  <w:style w:type="character" w:customStyle="1" w:styleId="734">
    <w:name w:val="A3"/>
    <w:qFormat/>
    <w:uiPriority w:val="0"/>
    <w:rPr>
      <w:rFonts w:ascii="BankGothic Lt BT" w:hAnsi="BankGothic Lt BT" w:cs="BankGothic Lt BT"/>
      <w:color w:val="000000"/>
      <w:sz w:val="36"/>
      <w:szCs w:val="36"/>
    </w:rPr>
  </w:style>
  <w:style w:type="character" w:customStyle="1" w:styleId="735">
    <w:name w:val="表格和图片 Char Char"/>
    <w:link w:val="736"/>
    <w:semiHidden/>
    <w:qFormat/>
    <w:uiPriority w:val="0"/>
    <w:rPr>
      <w:color w:val="000000"/>
      <w:sz w:val="24"/>
    </w:rPr>
  </w:style>
  <w:style w:type="paragraph" w:customStyle="1" w:styleId="736">
    <w:name w:val="表格和图片"/>
    <w:basedOn w:val="1"/>
    <w:link w:val="735"/>
    <w:semiHidden/>
    <w:qFormat/>
    <w:uiPriority w:val="0"/>
    <w:pPr>
      <w:widowControl w:val="0"/>
      <w:spacing w:line="360" w:lineRule="auto"/>
      <w:jc w:val="center"/>
    </w:pPr>
    <w:rPr>
      <w:rFonts w:ascii="Calibri" w:hAnsi="Calibri" w:cs="Times New Roman"/>
      <w:color w:val="000000"/>
      <w:szCs w:val="20"/>
    </w:rPr>
  </w:style>
  <w:style w:type="character" w:customStyle="1" w:styleId="737">
    <w:name w:val="large"/>
    <w:basedOn w:val="83"/>
    <w:qFormat/>
    <w:uiPriority w:val="0"/>
  </w:style>
  <w:style w:type="character" w:customStyle="1" w:styleId="738">
    <w:name w:val="background-color:#ffffff"/>
    <w:basedOn w:val="83"/>
    <w:qFormat/>
    <w:uiPriority w:val="0"/>
  </w:style>
  <w:style w:type="character" w:customStyle="1" w:styleId="739">
    <w:name w:val="font21"/>
    <w:qFormat/>
    <w:uiPriority w:val="0"/>
    <w:rPr>
      <w:rFonts w:hint="eastAsia" w:ascii="宋体" w:hAnsi="宋体" w:eastAsia="宋体"/>
      <w:color w:val="000000"/>
      <w:sz w:val="22"/>
      <w:u w:val="none"/>
    </w:rPr>
  </w:style>
  <w:style w:type="character" w:customStyle="1" w:styleId="740">
    <w:name w:val="zy"/>
    <w:basedOn w:val="83"/>
    <w:qFormat/>
    <w:uiPriority w:val="0"/>
  </w:style>
  <w:style w:type="character" w:customStyle="1" w:styleId="741">
    <w:name w:val="zhengwencolor1"/>
    <w:qFormat/>
    <w:uiPriority w:val="0"/>
    <w:rPr>
      <w:color w:val="000000"/>
      <w:sz w:val="16"/>
      <w:szCs w:val="16"/>
    </w:rPr>
  </w:style>
  <w:style w:type="character" w:customStyle="1" w:styleId="742">
    <w:name w:val="正文文本 2 Char1"/>
    <w:qFormat/>
    <w:uiPriority w:val="0"/>
    <w:rPr>
      <w:rFonts w:ascii="Times New Roman" w:hAnsi="Times New Roman" w:eastAsia="宋体" w:cs="Times New Roman"/>
      <w:szCs w:val="24"/>
    </w:rPr>
  </w:style>
  <w:style w:type="character" w:customStyle="1" w:styleId="743">
    <w:name w:val="aaa Char Char"/>
    <w:link w:val="744"/>
    <w:qFormat/>
    <w:uiPriority w:val="0"/>
    <w:rPr>
      <w:rFonts w:ascii="ˎ̥" w:hAnsi="ˎ̥"/>
      <w:bCs/>
      <w:color w:val="000000"/>
      <w:sz w:val="24"/>
    </w:rPr>
  </w:style>
  <w:style w:type="paragraph" w:customStyle="1" w:styleId="744">
    <w:name w:val="aaa"/>
    <w:basedOn w:val="1"/>
    <w:link w:val="743"/>
    <w:qFormat/>
    <w:uiPriority w:val="0"/>
    <w:pPr>
      <w:widowControl w:val="0"/>
      <w:spacing w:beforeLines="50" w:afterLines="50" w:line="360" w:lineRule="auto"/>
      <w:ind w:firstLine="480" w:firstLineChars="200"/>
      <w:jc w:val="both"/>
    </w:pPr>
    <w:rPr>
      <w:rFonts w:ascii="ˎ̥" w:hAnsi="ˎ̥" w:cs="Times New Roman"/>
      <w:bCs/>
      <w:color w:val="000000"/>
      <w:szCs w:val="20"/>
    </w:rPr>
  </w:style>
  <w:style w:type="character" w:customStyle="1" w:styleId="745">
    <w:name w:val="Char Char171"/>
    <w:qFormat/>
    <w:uiPriority w:val="0"/>
    <w:rPr>
      <w:rFonts w:eastAsia="宋体"/>
      <w:kern w:val="2"/>
      <w:sz w:val="21"/>
      <w:szCs w:val="24"/>
      <w:lang w:val="en-US" w:eastAsia="zh-CN" w:bidi="ar-SA"/>
    </w:rPr>
  </w:style>
  <w:style w:type="character" w:customStyle="1" w:styleId="746">
    <w:name w:val="表格内容1 Char Char Char Char"/>
    <w:qFormat/>
    <w:uiPriority w:val="0"/>
    <w:rPr>
      <w:rFonts w:ascii="Arial" w:hAnsi="Arial" w:eastAsia="仿宋_GB2312"/>
      <w:kern w:val="24"/>
      <w:sz w:val="21"/>
      <w:szCs w:val="24"/>
    </w:rPr>
  </w:style>
  <w:style w:type="character" w:customStyle="1" w:styleId="747">
    <w:name w:val="bds_nopic2"/>
    <w:basedOn w:val="83"/>
    <w:qFormat/>
    <w:uiPriority w:val="0"/>
  </w:style>
  <w:style w:type="character" w:customStyle="1" w:styleId="748">
    <w:name w:val="sidecatalog-dot4"/>
    <w:basedOn w:val="83"/>
    <w:qFormat/>
    <w:uiPriority w:val="0"/>
  </w:style>
  <w:style w:type="character" w:customStyle="1" w:styleId="749">
    <w:name w:val="sidecatalog-dot1"/>
    <w:basedOn w:val="83"/>
    <w:qFormat/>
    <w:uiPriority w:val="0"/>
  </w:style>
  <w:style w:type="character" w:customStyle="1" w:styleId="750">
    <w:name w:val="Char Char Char Char1"/>
    <w:qFormat/>
    <w:uiPriority w:val="0"/>
    <w:rPr>
      <w:rFonts w:ascii="宋体" w:hAnsi="Courier New" w:eastAsia="宋体" w:cs="Courier New"/>
      <w:sz w:val="21"/>
      <w:szCs w:val="21"/>
      <w:lang w:val="en-US" w:eastAsia="zh-CN" w:bidi="ar-SA"/>
    </w:rPr>
  </w:style>
  <w:style w:type="character" w:customStyle="1" w:styleId="751">
    <w:name w:val="表格 Char Char Char"/>
    <w:qFormat/>
    <w:locked/>
    <w:uiPriority w:val="0"/>
    <w:rPr>
      <w:sz w:val="21"/>
      <w:lang w:val="en-US" w:eastAsia="zh-CN" w:bidi="ar-SA"/>
    </w:rPr>
  </w:style>
  <w:style w:type="character" w:customStyle="1" w:styleId="752">
    <w:name w:val="Char Char1 Char Char Char Char Char Char Char Char Char Char Char Char Char Char1"/>
    <w:link w:val="753"/>
    <w:qFormat/>
    <w:uiPriority w:val="0"/>
  </w:style>
  <w:style w:type="paragraph" w:customStyle="1" w:styleId="753">
    <w:name w:val="Char Char1 Char Char Char Char Char Char Char Char Char Char Char Char"/>
    <w:basedOn w:val="1"/>
    <w:link w:val="752"/>
    <w:qFormat/>
    <w:uiPriority w:val="0"/>
    <w:pPr>
      <w:widowControl w:val="0"/>
    </w:pPr>
    <w:rPr>
      <w:rFonts w:ascii="Calibri" w:hAnsi="Calibri" w:cs="Times New Roman"/>
      <w:sz w:val="20"/>
      <w:szCs w:val="20"/>
    </w:rPr>
  </w:style>
  <w:style w:type="character" w:customStyle="1" w:styleId="754">
    <w:name w:val="市局正文 Char Char"/>
    <w:link w:val="755"/>
    <w:qFormat/>
    <w:uiPriority w:val="0"/>
    <w:rPr>
      <w:rFonts w:ascii="Times New Roman" w:hAnsi="Times New Roman"/>
      <w:b/>
      <w:sz w:val="24"/>
      <w:szCs w:val="24"/>
      <w:lang w:val="de-DE"/>
    </w:rPr>
  </w:style>
  <w:style w:type="paragraph" w:customStyle="1" w:styleId="755">
    <w:name w:val="市局正文"/>
    <w:basedOn w:val="1"/>
    <w:link w:val="754"/>
    <w:qFormat/>
    <w:uiPriority w:val="0"/>
    <w:pPr>
      <w:keepNext/>
      <w:widowControl w:val="0"/>
      <w:adjustRightInd w:val="0"/>
      <w:snapToGrid w:val="0"/>
      <w:spacing w:line="360" w:lineRule="auto"/>
      <w:jc w:val="center"/>
    </w:pPr>
    <w:rPr>
      <w:rFonts w:ascii="Times New Roman" w:hAnsi="Times New Roman" w:cs="Times New Roman"/>
      <w:b/>
      <w:lang w:val="de-DE"/>
    </w:rPr>
  </w:style>
  <w:style w:type="character" w:customStyle="1" w:styleId="756">
    <w:name w:val="Char Char27"/>
    <w:qFormat/>
    <w:uiPriority w:val="0"/>
    <w:rPr>
      <w:rFonts w:hint="default" w:ascii="Times New Roman" w:hAnsi="Times New Roman" w:eastAsia="宋体" w:cs="Times New Roman"/>
      <w:sz w:val="24"/>
      <w:szCs w:val="24"/>
    </w:rPr>
  </w:style>
  <w:style w:type="character" w:customStyle="1" w:styleId="757">
    <w:name w:val="表格文字1 Char"/>
    <w:qFormat/>
    <w:uiPriority w:val="0"/>
    <w:rPr>
      <w:rFonts w:ascii="宋体" w:hAnsi="Courier New" w:eastAsia="宋体" w:cs="Courier New"/>
      <w:kern w:val="2"/>
      <w:sz w:val="21"/>
      <w:szCs w:val="21"/>
      <w:lang w:val="en-US" w:eastAsia="zh-CN" w:bidi="ar-SA"/>
    </w:rPr>
  </w:style>
  <w:style w:type="character" w:customStyle="1" w:styleId="758">
    <w:name w:val="燕山正文 Char Char"/>
    <w:link w:val="759"/>
    <w:qFormat/>
    <w:uiPriority w:val="0"/>
    <w:rPr>
      <w:rFonts w:ascii="Times New Roman" w:hAnsi="Times New Roman"/>
      <w:sz w:val="24"/>
      <w:szCs w:val="28"/>
      <w:shd w:val="clear" w:color="auto" w:fill="FFFFFF"/>
    </w:rPr>
  </w:style>
  <w:style w:type="paragraph" w:customStyle="1" w:styleId="759">
    <w:name w:val="燕山正文"/>
    <w:basedOn w:val="1"/>
    <w:link w:val="758"/>
    <w:qFormat/>
    <w:uiPriority w:val="0"/>
    <w:pPr>
      <w:widowControl w:val="0"/>
      <w:shd w:val="clear" w:color="auto" w:fill="FFFFFF"/>
      <w:tabs>
        <w:tab w:val="left" w:pos="4680"/>
      </w:tabs>
      <w:adjustRightInd w:val="0"/>
      <w:snapToGrid w:val="0"/>
      <w:spacing w:beforeLines="30" w:afterLines="30" w:line="360" w:lineRule="auto"/>
      <w:ind w:firstLine="480" w:firstLineChars="200"/>
    </w:pPr>
    <w:rPr>
      <w:rFonts w:ascii="Times New Roman" w:hAnsi="Times New Roman" w:cs="Times New Roman"/>
      <w:szCs w:val="28"/>
    </w:rPr>
  </w:style>
  <w:style w:type="character" w:customStyle="1" w:styleId="760">
    <w:name w:val="样式 小三"/>
    <w:qFormat/>
    <w:uiPriority w:val="0"/>
    <w:rPr>
      <w:rFonts w:ascii="宋体" w:eastAsia="宋体"/>
      <w:sz w:val="28"/>
      <w:szCs w:val="28"/>
    </w:rPr>
  </w:style>
  <w:style w:type="character" w:customStyle="1" w:styleId="761">
    <w:name w:val="3zw1"/>
    <w:qFormat/>
    <w:uiPriority w:val="0"/>
    <w:rPr>
      <w:color w:val="000000"/>
      <w:sz w:val="21"/>
      <w:szCs w:val="21"/>
    </w:rPr>
  </w:style>
  <w:style w:type="character" w:customStyle="1" w:styleId="762">
    <w:name w:val="标题 3 Char2"/>
    <w:qFormat/>
    <w:uiPriority w:val="0"/>
    <w:rPr>
      <w:rFonts w:ascii="Calibri" w:hAnsi="Calibri" w:eastAsia="宋体"/>
      <w:b/>
      <w:bCs/>
      <w:kern w:val="2"/>
      <w:sz w:val="32"/>
      <w:szCs w:val="32"/>
      <w:lang w:val="en-US" w:eastAsia="zh-CN" w:bidi="ar-SA"/>
    </w:rPr>
  </w:style>
  <w:style w:type="character" w:customStyle="1" w:styleId="763">
    <w:name w:val="Char Char242"/>
    <w:qFormat/>
    <w:uiPriority w:val="0"/>
    <w:rPr>
      <w:b/>
      <w:kern w:val="44"/>
      <w:sz w:val="44"/>
    </w:rPr>
  </w:style>
  <w:style w:type="character" w:customStyle="1" w:styleId="764">
    <w:name w:val="样式 (符号) 宋体 13 磅"/>
    <w:qFormat/>
    <w:uiPriority w:val="0"/>
    <w:rPr>
      <w:rFonts w:ascii="宋体" w:eastAsia="宋体"/>
      <w:sz w:val="27"/>
      <w:szCs w:val="27"/>
    </w:rPr>
  </w:style>
  <w:style w:type="character" w:customStyle="1" w:styleId="765">
    <w:name w:val="Body Text Indent 2 Char Char"/>
    <w:link w:val="766"/>
    <w:qFormat/>
    <w:uiPriority w:val="0"/>
    <w:rPr>
      <w:rFonts w:ascii="Times New Roman" w:hAnsi="Times New Roman"/>
      <w:sz w:val="24"/>
    </w:rPr>
  </w:style>
  <w:style w:type="paragraph" w:customStyle="1" w:styleId="766">
    <w:name w:val="Body Text Indent 21"/>
    <w:basedOn w:val="1"/>
    <w:link w:val="765"/>
    <w:qFormat/>
    <w:uiPriority w:val="0"/>
    <w:pPr>
      <w:widowControl w:val="0"/>
      <w:spacing w:line="440" w:lineRule="exact"/>
      <w:ind w:firstLine="540" w:firstLineChars="200"/>
    </w:pPr>
    <w:rPr>
      <w:rFonts w:ascii="Times New Roman" w:hAnsi="Times New Roman" w:cs="Times New Roman"/>
      <w:szCs w:val="20"/>
    </w:rPr>
  </w:style>
  <w:style w:type="character" w:customStyle="1" w:styleId="767">
    <w:name w:val="正文文字描述 Char Char"/>
    <w:link w:val="768"/>
    <w:qFormat/>
    <w:uiPriority w:val="0"/>
    <w:rPr>
      <w:color w:val="000000"/>
      <w:spacing w:val="20"/>
      <w:sz w:val="24"/>
      <w:szCs w:val="28"/>
    </w:rPr>
  </w:style>
  <w:style w:type="paragraph" w:customStyle="1" w:styleId="768">
    <w:name w:val="正文文字描述"/>
    <w:basedOn w:val="1"/>
    <w:link w:val="767"/>
    <w:qFormat/>
    <w:uiPriority w:val="0"/>
    <w:pPr>
      <w:widowControl w:val="0"/>
      <w:spacing w:line="480" w:lineRule="exact"/>
      <w:ind w:firstLine="200" w:firstLineChars="200"/>
      <w:jc w:val="both"/>
    </w:pPr>
    <w:rPr>
      <w:rFonts w:ascii="Calibri" w:hAnsi="Calibri" w:cs="Times New Roman"/>
      <w:color w:val="000000"/>
      <w:spacing w:val="20"/>
      <w:szCs w:val="28"/>
    </w:rPr>
  </w:style>
  <w:style w:type="character" w:customStyle="1" w:styleId="769">
    <w:name w:val="样式 (中文) 仿宋_GB2312 四号 行距: 1.5 倍行距 Char Char Char"/>
    <w:qFormat/>
    <w:uiPriority w:val="0"/>
    <w:rPr>
      <w:rFonts w:ascii="宋体" w:hAnsi="宋体" w:eastAsia="宋体"/>
      <w:kern w:val="2"/>
      <w:sz w:val="28"/>
      <w:szCs w:val="24"/>
      <w:lang w:val="en-US" w:eastAsia="zh-CN" w:bidi="ar-SA"/>
    </w:rPr>
  </w:style>
  <w:style w:type="character" w:customStyle="1" w:styleId="770">
    <w:name w:val="表头 Char Char"/>
    <w:qFormat/>
    <w:uiPriority w:val="0"/>
    <w:rPr>
      <w:rFonts w:ascii="宋体" w:hAnsi="宋体" w:eastAsia="宋体"/>
      <w:sz w:val="28"/>
      <w:szCs w:val="28"/>
      <w:lang w:bidi="ar-SA"/>
    </w:rPr>
  </w:style>
  <w:style w:type="character" w:customStyle="1" w:styleId="771">
    <w:name w:val="Footer-Even Char"/>
    <w:qFormat/>
    <w:uiPriority w:val="0"/>
    <w:rPr>
      <w:rFonts w:ascii="Calibri" w:hAnsi="Calibri" w:eastAsia="宋体"/>
      <w:kern w:val="2"/>
      <w:sz w:val="18"/>
      <w:szCs w:val="18"/>
      <w:lang w:val="en-US" w:eastAsia="zh-CN" w:bidi="ar-SA"/>
    </w:rPr>
  </w:style>
  <w:style w:type="character" w:customStyle="1" w:styleId="772">
    <w:name w:val="批注文字 Char1"/>
    <w:qFormat/>
    <w:uiPriority w:val="99"/>
    <w:rPr>
      <w:rFonts w:eastAsia="宋体"/>
      <w:szCs w:val="24"/>
      <w:lang w:bidi="ar-SA"/>
    </w:rPr>
  </w:style>
  <w:style w:type="character" w:customStyle="1" w:styleId="773">
    <w:name w:val="页眉 Char1"/>
    <w:qFormat/>
    <w:uiPriority w:val="0"/>
    <w:rPr>
      <w:rFonts w:ascii="Calibri" w:hAnsi="Calibri" w:eastAsia="宋体" w:cs="Times New Roman"/>
      <w:sz w:val="18"/>
      <w:szCs w:val="18"/>
    </w:rPr>
  </w:style>
  <w:style w:type="character" w:customStyle="1" w:styleId="774">
    <w:name w:val="yinwen1"/>
    <w:semiHidden/>
    <w:qFormat/>
    <w:uiPriority w:val="0"/>
    <w:rPr>
      <w:color w:val="3B4E9E"/>
    </w:rPr>
  </w:style>
  <w:style w:type="character" w:customStyle="1" w:styleId="775">
    <w:name w:val="bds_more"/>
    <w:qFormat/>
    <w:uiPriority w:val="0"/>
    <w:rPr>
      <w:rFonts w:hint="eastAsia" w:ascii="宋体" w:hAnsi="宋体" w:eastAsia="宋体" w:cs="宋体"/>
    </w:rPr>
  </w:style>
  <w:style w:type="character" w:customStyle="1" w:styleId="776">
    <w:name w:val="show-img-bd"/>
    <w:basedOn w:val="83"/>
    <w:qFormat/>
    <w:uiPriority w:val="0"/>
  </w:style>
  <w:style w:type="character" w:customStyle="1" w:styleId="777">
    <w:name w:val="bds_more3"/>
    <w:basedOn w:val="83"/>
    <w:qFormat/>
    <w:uiPriority w:val="0"/>
  </w:style>
  <w:style w:type="character" w:customStyle="1" w:styleId="778">
    <w:name w:val="bds_nopic"/>
    <w:basedOn w:val="83"/>
    <w:qFormat/>
    <w:uiPriority w:val="0"/>
  </w:style>
  <w:style w:type="character" w:customStyle="1" w:styleId="779">
    <w:name w:val="a-size-large"/>
    <w:basedOn w:val="83"/>
    <w:qFormat/>
    <w:uiPriority w:val="0"/>
  </w:style>
  <w:style w:type="character" w:customStyle="1" w:styleId="780">
    <w:name w:val="postbody1"/>
    <w:semiHidden/>
    <w:qFormat/>
    <w:uiPriority w:val="0"/>
    <w:rPr>
      <w:sz w:val="21"/>
      <w:szCs w:val="21"/>
    </w:rPr>
  </w:style>
  <w:style w:type="character" w:customStyle="1" w:styleId="781">
    <w:name w:val="body text 1 Char Char"/>
    <w:semiHidden/>
    <w:qFormat/>
    <w:uiPriority w:val="0"/>
    <w:rPr>
      <w:rFonts w:ascii="Times New Roman" w:hAnsi="Times New Roman" w:eastAsia="宋体" w:cs="Times New Roman"/>
      <w:snapToGrid w:val="0"/>
      <w:kern w:val="0"/>
      <w:sz w:val="24"/>
      <w:szCs w:val="24"/>
    </w:rPr>
  </w:style>
  <w:style w:type="character" w:customStyle="1" w:styleId="782">
    <w:name w:val="font01"/>
    <w:qFormat/>
    <w:uiPriority w:val="0"/>
    <w:rPr>
      <w:rFonts w:hint="default" w:ascii="Times New Roman" w:hAnsi="Times New Roman" w:cs="Times New Roman"/>
      <w:color w:val="FF0000"/>
      <w:sz w:val="18"/>
      <w:szCs w:val="18"/>
      <w:u w:val="none"/>
    </w:rPr>
  </w:style>
  <w:style w:type="character" w:customStyle="1" w:styleId="783">
    <w:name w:val="font201"/>
    <w:qFormat/>
    <w:uiPriority w:val="0"/>
    <w:rPr>
      <w:rFonts w:hint="default" w:ascii="Times New Roman" w:hAnsi="Times New Roman" w:cs="Times New Roman"/>
      <w:color w:val="000000"/>
      <w:sz w:val="18"/>
      <w:szCs w:val="18"/>
      <w:u w:val="none"/>
    </w:rPr>
  </w:style>
  <w:style w:type="character" w:customStyle="1" w:styleId="784">
    <w:name w:val="font121"/>
    <w:qFormat/>
    <w:uiPriority w:val="0"/>
    <w:rPr>
      <w:rFonts w:hint="default" w:ascii="Times New Roman" w:hAnsi="Times New Roman" w:cs="Times New Roman"/>
      <w:b/>
      <w:bCs/>
      <w:color w:val="000000"/>
      <w:sz w:val="18"/>
      <w:szCs w:val="18"/>
      <w:u w:val="none"/>
      <w:vertAlign w:val="superscript"/>
    </w:rPr>
  </w:style>
  <w:style w:type="character" w:customStyle="1" w:styleId="785">
    <w:name w:val="font181"/>
    <w:qFormat/>
    <w:uiPriority w:val="0"/>
    <w:rPr>
      <w:rFonts w:hint="eastAsia" w:ascii="宋体" w:hAnsi="宋体" w:eastAsia="宋体"/>
      <w:color w:val="000000"/>
      <w:sz w:val="18"/>
      <w:szCs w:val="18"/>
      <w:u w:val="none"/>
    </w:rPr>
  </w:style>
  <w:style w:type="character" w:customStyle="1" w:styleId="786">
    <w:name w:val="Char Char12"/>
    <w:semiHidden/>
    <w:qFormat/>
    <w:uiPriority w:val="0"/>
    <w:rPr>
      <w:rFonts w:eastAsia="宋体"/>
      <w:kern w:val="2"/>
      <w:sz w:val="18"/>
      <w:lang w:val="en-US" w:eastAsia="zh-CN" w:bidi="ar-SA"/>
    </w:rPr>
  </w:style>
  <w:style w:type="character" w:customStyle="1" w:styleId="787">
    <w:name w:val="标题 2 Char2"/>
    <w:semiHidden/>
    <w:qFormat/>
    <w:uiPriority w:val="0"/>
    <w:rPr>
      <w:rFonts w:ascii="黑体" w:eastAsia="黑体"/>
      <w:kern w:val="2"/>
      <w:sz w:val="24"/>
    </w:rPr>
  </w:style>
  <w:style w:type="character" w:customStyle="1" w:styleId="788">
    <w:name w:val="正文文本 (2) + 4 pt"/>
    <w:qFormat/>
    <w:uiPriority w:val="99"/>
    <w:rPr>
      <w:rFonts w:ascii="MingLiU" w:eastAsia="MingLiU" w:cs="MingLiU"/>
      <w:w w:val="200"/>
      <w:sz w:val="8"/>
      <w:szCs w:val="8"/>
      <w:u w:val="none"/>
      <w:shd w:val="clear" w:color="auto" w:fill="FFFFFF"/>
    </w:rPr>
  </w:style>
  <w:style w:type="character" w:customStyle="1" w:styleId="789">
    <w:name w:val="表格文字 Char"/>
    <w:qFormat/>
    <w:uiPriority w:val="0"/>
    <w:rPr>
      <w:rFonts w:ascii="Times New Roman" w:hAnsi="Times New Roman"/>
      <w:kern w:val="2"/>
      <w:sz w:val="21"/>
      <w:lang w:val="en-US" w:eastAsia="zh-CN" w:bidi="ar-DZ"/>
    </w:rPr>
  </w:style>
  <w:style w:type="character" w:customStyle="1" w:styleId="790">
    <w:name w:val="图名 Char"/>
    <w:link w:val="791"/>
    <w:qFormat/>
    <w:uiPriority w:val="0"/>
    <w:rPr>
      <w:rFonts w:ascii="宋体" w:hAnsi="宋体"/>
      <w:kern w:val="2"/>
      <w:sz w:val="24"/>
      <w:szCs w:val="24"/>
    </w:rPr>
  </w:style>
  <w:style w:type="paragraph" w:customStyle="1" w:styleId="791">
    <w:name w:val="图名"/>
    <w:link w:val="790"/>
    <w:qFormat/>
    <w:uiPriority w:val="0"/>
    <w:pPr>
      <w:widowControl w:val="0"/>
      <w:topLinePunct/>
      <w:jc w:val="center"/>
    </w:pPr>
    <w:rPr>
      <w:rFonts w:ascii="宋体" w:hAnsi="宋体" w:eastAsia="宋体" w:cs="Times New Roman"/>
      <w:kern w:val="2"/>
      <w:sz w:val="24"/>
      <w:szCs w:val="24"/>
      <w:lang w:val="en-US" w:eastAsia="zh-CN" w:bidi="ar-SA"/>
    </w:rPr>
  </w:style>
  <w:style w:type="character" w:customStyle="1" w:styleId="792">
    <w:name w:val="标题三 Char"/>
    <w:link w:val="793"/>
    <w:qFormat/>
    <w:uiPriority w:val="0"/>
    <w:rPr>
      <w:rFonts w:ascii="Times New Roman" w:hAnsi="Times New Roman" w:eastAsia="黑体"/>
      <w:b/>
      <w:bCs/>
      <w:kern w:val="2"/>
      <w:sz w:val="28"/>
      <w:szCs w:val="28"/>
    </w:rPr>
  </w:style>
  <w:style w:type="paragraph" w:customStyle="1" w:styleId="793">
    <w:name w:val="标题三"/>
    <w:basedOn w:val="181"/>
    <w:link w:val="792"/>
    <w:qFormat/>
    <w:uiPriority w:val="0"/>
    <w:pPr>
      <w:spacing w:beforeLines="50" w:afterLines="50" w:line="360" w:lineRule="auto"/>
      <w:ind w:firstLine="420" w:firstLineChars="200"/>
      <w:outlineLvl w:val="2"/>
    </w:pPr>
    <w:rPr>
      <w:rFonts w:ascii="Times New Roman" w:hAnsi="Times New Roman" w:eastAsia="黑体" w:cs="Times New Roman"/>
      <w:b/>
      <w:bCs/>
      <w:kern w:val="2"/>
      <w:sz w:val="28"/>
      <w:szCs w:val="28"/>
      <w:lang w:val="en-US" w:bidi="ar-SA"/>
    </w:rPr>
  </w:style>
  <w:style w:type="character" w:customStyle="1" w:styleId="794">
    <w:name w:val="普通(网站) Char1"/>
    <w:qFormat/>
    <w:uiPriority w:val="0"/>
    <w:rPr>
      <w:rFonts w:ascii="宋体" w:hAnsi="宋体" w:cs="宋体"/>
      <w:sz w:val="24"/>
      <w:szCs w:val="24"/>
    </w:rPr>
  </w:style>
  <w:style w:type="paragraph" w:customStyle="1" w:styleId="795">
    <w:name w:val="Char13"/>
    <w:basedOn w:val="1"/>
    <w:qFormat/>
    <w:uiPriority w:val="99"/>
    <w:pPr>
      <w:widowControl w:val="0"/>
      <w:jc w:val="both"/>
    </w:pPr>
    <w:rPr>
      <w:rFonts w:ascii="Tahoma" w:hAnsi="Tahoma" w:cs="Times New Roman"/>
      <w:kern w:val="2"/>
      <w:szCs w:val="20"/>
    </w:rPr>
  </w:style>
  <w:style w:type="paragraph" w:customStyle="1" w:styleId="796">
    <w:name w:val="Char Char Char Char"/>
    <w:basedOn w:val="1"/>
    <w:qFormat/>
    <w:uiPriority w:val="0"/>
    <w:pPr>
      <w:widowControl w:val="0"/>
      <w:jc w:val="both"/>
    </w:pPr>
    <w:rPr>
      <w:rFonts w:ascii="Times New Roman" w:hAnsi="Times New Roman" w:cs="Times New Roman"/>
      <w:kern w:val="2"/>
      <w:sz w:val="21"/>
      <w:szCs w:val="21"/>
    </w:rPr>
  </w:style>
  <w:style w:type="paragraph" w:customStyle="1" w:styleId="797">
    <w:name w:val="表标2.6"/>
    <w:next w:val="169"/>
    <w:qFormat/>
    <w:uiPriority w:val="99"/>
    <w:pPr>
      <w:tabs>
        <w:tab w:val="left" w:pos="8207"/>
      </w:tabs>
      <w:adjustRightInd w:val="0"/>
      <w:snapToGrid w:val="0"/>
      <w:spacing w:before="240" w:line="0" w:lineRule="atLeast"/>
      <w:ind w:left="-4" w:firstLine="4"/>
      <w:jc w:val="center"/>
      <w:textAlignment w:val="baseline"/>
    </w:pPr>
    <w:rPr>
      <w:rFonts w:ascii="Times New Roman" w:hAnsi="Times New Roman" w:eastAsia="黑体" w:cs="Times New Roman"/>
      <w:b/>
      <w:color w:val="000000"/>
      <w:kern w:val="2"/>
      <w:sz w:val="24"/>
      <w:szCs w:val="24"/>
      <w:lang w:val="en-US" w:eastAsia="zh-CN" w:bidi="ar-SA"/>
    </w:rPr>
  </w:style>
  <w:style w:type="paragraph" w:customStyle="1" w:styleId="798">
    <w:name w:val="xl55"/>
    <w:basedOn w:val="1"/>
    <w:qFormat/>
    <w:uiPriority w:val="99"/>
    <w:pPr>
      <w:pBdr>
        <w:top w:val="single" w:color="auto" w:sz="8" w:space="0"/>
        <w:left w:val="single" w:color="auto" w:sz="4" w:space="0"/>
        <w:bottom w:val="single" w:color="auto" w:sz="8" w:space="0"/>
      </w:pBdr>
      <w:spacing w:before="100" w:beforeAutospacing="1" w:after="100" w:afterAutospacing="1"/>
      <w:jc w:val="center"/>
    </w:pPr>
    <w:rPr>
      <w:rFonts w:eastAsia="仿宋_GB2312" w:cs="Times New Roman"/>
      <w:position w:val="-6"/>
      <w:szCs w:val="21"/>
    </w:rPr>
  </w:style>
  <w:style w:type="paragraph" w:customStyle="1" w:styleId="799">
    <w:name w:val="样式 页眉 + 宋体 黑色 段前: 0 磅 段后: 0 磅 行距: 固定值 12 磅"/>
    <w:basedOn w:val="52"/>
    <w:qFormat/>
    <w:uiPriority w:val="0"/>
    <w:pPr>
      <w:widowControl w:val="0"/>
      <w:pBdr>
        <w:bottom w:val="none" w:color="auto" w:sz="0" w:space="0"/>
      </w:pBdr>
      <w:tabs>
        <w:tab w:val="clear" w:pos="4153"/>
        <w:tab w:val="clear" w:pos="8306"/>
      </w:tabs>
      <w:spacing w:line="240" w:lineRule="exact"/>
    </w:pPr>
    <w:rPr>
      <w:rFonts w:ascii="宋体" w:hAnsi="宋体"/>
      <w:color w:val="000000"/>
      <w:kern w:val="0"/>
      <w:sz w:val="21"/>
      <w:szCs w:val="20"/>
    </w:rPr>
  </w:style>
  <w:style w:type="paragraph" w:customStyle="1" w:styleId="800">
    <w:name w:val="xl58"/>
    <w:basedOn w:val="1"/>
    <w:qFormat/>
    <w:uiPriority w:val="99"/>
    <w:pPr>
      <w:pBdr>
        <w:top w:val="single" w:color="auto" w:sz="8" w:space="0"/>
        <w:bottom w:val="single" w:color="auto" w:sz="4" w:space="0"/>
        <w:right w:val="single" w:color="auto" w:sz="8" w:space="0"/>
      </w:pBdr>
      <w:spacing w:before="100" w:beforeAutospacing="1" w:after="100" w:afterAutospacing="1"/>
      <w:jc w:val="center"/>
    </w:pPr>
    <w:rPr>
      <w:rFonts w:eastAsia="仿宋_GB2312" w:cs="Times New Roman"/>
      <w:position w:val="-6"/>
      <w:szCs w:val="21"/>
    </w:rPr>
  </w:style>
  <w:style w:type="character" w:customStyle="1" w:styleId="801">
    <w:name w:val="尾注文本 Char2"/>
    <w:basedOn w:val="83"/>
    <w:qFormat/>
    <w:uiPriority w:val="0"/>
    <w:rPr>
      <w:rFonts w:ascii="宋体" w:hAnsi="宋体" w:cs="宋体"/>
      <w:sz w:val="24"/>
      <w:szCs w:val="24"/>
    </w:rPr>
  </w:style>
  <w:style w:type="paragraph" w:customStyle="1" w:styleId="802">
    <w:name w:val="ksheet"/>
    <w:basedOn w:val="1"/>
    <w:qFormat/>
    <w:uiPriority w:val="99"/>
    <w:pPr>
      <w:widowControl w:val="0"/>
      <w:autoSpaceDE w:val="0"/>
      <w:autoSpaceDN w:val="0"/>
      <w:adjustRightInd w:val="0"/>
      <w:spacing w:line="300" w:lineRule="exact"/>
      <w:jc w:val="center"/>
      <w:textAlignment w:val="baseline"/>
    </w:pPr>
    <w:rPr>
      <w:rFonts w:hAnsi="Times New Roman" w:cs="Times New Roman"/>
      <w:snapToGrid w:val="0"/>
      <w:color w:val="000000"/>
      <w:sz w:val="21"/>
      <w:szCs w:val="20"/>
    </w:rPr>
  </w:style>
  <w:style w:type="paragraph" w:customStyle="1" w:styleId="803">
    <w:name w:val="xl26"/>
    <w:basedOn w:val="1"/>
    <w:qFormat/>
    <w:uiPriority w:val="99"/>
    <w:pPr>
      <w:pBdr>
        <w:right w:val="single" w:color="auto" w:sz="4" w:space="0"/>
      </w:pBdr>
      <w:spacing w:before="100" w:beforeAutospacing="1" w:after="100" w:afterAutospacing="1"/>
      <w:jc w:val="center"/>
    </w:pPr>
    <w:rPr>
      <w:rFonts w:ascii="Arial Unicode MS" w:hAnsi="Arial Unicode MS" w:eastAsia="Arial Unicode MS" w:cs="Times New Roman"/>
      <w:szCs w:val="20"/>
    </w:rPr>
  </w:style>
  <w:style w:type="paragraph" w:customStyle="1" w:styleId="804">
    <w:name w:val="表名"/>
    <w:basedOn w:val="1"/>
    <w:next w:val="1"/>
    <w:qFormat/>
    <w:uiPriority w:val="0"/>
    <w:pPr>
      <w:widowControl w:val="0"/>
      <w:tabs>
        <w:tab w:val="left" w:pos="8100"/>
      </w:tabs>
      <w:adjustRightInd w:val="0"/>
      <w:snapToGrid w:val="0"/>
      <w:spacing w:line="360" w:lineRule="auto"/>
      <w:ind w:right="32"/>
      <w:jc w:val="center"/>
    </w:pPr>
    <w:rPr>
      <w:rFonts w:ascii="Times New Roman" w:cs="Times New Roman"/>
      <w:b/>
      <w:snapToGrid w:val="0"/>
      <w:kern w:val="2"/>
    </w:rPr>
  </w:style>
  <w:style w:type="paragraph" w:customStyle="1" w:styleId="805">
    <w:name w:val="Char Char Char1 Char"/>
    <w:basedOn w:val="1"/>
    <w:qFormat/>
    <w:uiPriority w:val="99"/>
    <w:pPr>
      <w:widowControl w:val="0"/>
      <w:jc w:val="both"/>
    </w:pPr>
    <w:rPr>
      <w:rFonts w:ascii="Times New Roman" w:hAnsi="Times New Roman" w:cs="Times New Roman"/>
      <w:kern w:val="2"/>
      <w:sz w:val="21"/>
    </w:rPr>
  </w:style>
  <w:style w:type="paragraph" w:customStyle="1" w:styleId="806">
    <w:name w:val="列表 1"/>
    <w:basedOn w:val="1"/>
    <w:qFormat/>
    <w:uiPriority w:val="99"/>
    <w:pPr>
      <w:widowControl w:val="0"/>
      <w:tabs>
        <w:tab w:val="left" w:pos="432"/>
      </w:tabs>
      <w:spacing w:before="120" w:after="60" w:line="288" w:lineRule="auto"/>
      <w:ind w:left="432" w:hanging="432"/>
      <w:jc w:val="both"/>
    </w:pPr>
    <w:rPr>
      <w:rFonts w:ascii="Arial" w:hAnsi="Arial" w:cs="Times New Roman"/>
      <w:color w:val="FFCC99"/>
      <w:kern w:val="2"/>
      <w:szCs w:val="20"/>
    </w:rPr>
  </w:style>
  <w:style w:type="paragraph" w:customStyle="1" w:styleId="807">
    <w:name w:val="图题"/>
    <w:basedOn w:val="6"/>
    <w:qFormat/>
    <w:uiPriority w:val="99"/>
    <w:pPr>
      <w:keepNext w:val="0"/>
      <w:keepLines w:val="0"/>
      <w:widowControl w:val="0"/>
      <w:adjustRightInd w:val="0"/>
      <w:snapToGrid w:val="0"/>
      <w:spacing w:beforeLines="50" w:afterLines="50" w:line="40" w:lineRule="atLeast"/>
      <w:jc w:val="center"/>
      <w:outlineLvl w:val="9"/>
    </w:pPr>
    <w:rPr>
      <w:rFonts w:ascii="宋体" w:hAnsi="宋体" w:eastAsia="宋体"/>
      <w:b/>
      <w:sz w:val="24"/>
      <w:szCs w:val="28"/>
    </w:rPr>
  </w:style>
  <w:style w:type="character" w:customStyle="1" w:styleId="808">
    <w:name w:val="正文文本 3 Char2"/>
    <w:basedOn w:val="83"/>
    <w:qFormat/>
    <w:uiPriority w:val="0"/>
    <w:rPr>
      <w:rFonts w:ascii="宋体" w:hAnsi="宋体" w:cs="宋体"/>
      <w:sz w:val="16"/>
      <w:szCs w:val="16"/>
    </w:rPr>
  </w:style>
  <w:style w:type="paragraph" w:customStyle="1" w:styleId="809">
    <w:name w:val="表格文字2"/>
    <w:basedOn w:val="1"/>
    <w:qFormat/>
    <w:uiPriority w:val="99"/>
    <w:pPr>
      <w:widowControl w:val="0"/>
      <w:tabs>
        <w:tab w:val="left" w:pos="277"/>
        <w:tab w:val="left" w:pos="600"/>
        <w:tab w:val="left" w:pos="780"/>
        <w:tab w:val="left" w:pos="2517"/>
      </w:tabs>
      <w:adjustRightInd w:val="0"/>
      <w:spacing w:before="60"/>
      <w:jc w:val="center"/>
    </w:pPr>
    <w:rPr>
      <w:rFonts w:ascii="Times New Roman" w:hAnsi="Times New Roman" w:cs="Times New Roman"/>
      <w:sz w:val="21"/>
      <w:szCs w:val="21"/>
    </w:rPr>
  </w:style>
  <w:style w:type="paragraph" w:customStyle="1" w:styleId="810">
    <w:name w:val="封面三号"/>
    <w:basedOn w:val="1"/>
    <w:qFormat/>
    <w:uiPriority w:val="99"/>
    <w:pPr>
      <w:widowControl w:val="0"/>
      <w:jc w:val="center"/>
    </w:pPr>
    <w:rPr>
      <w:spacing w:val="55"/>
      <w:sz w:val="32"/>
      <w:szCs w:val="32"/>
    </w:rPr>
  </w:style>
  <w:style w:type="character" w:customStyle="1" w:styleId="811">
    <w:name w:val="正文文本缩进 3 Char3"/>
    <w:basedOn w:val="83"/>
    <w:qFormat/>
    <w:uiPriority w:val="0"/>
    <w:rPr>
      <w:rFonts w:ascii="宋体" w:hAnsi="宋体" w:cs="宋体"/>
      <w:sz w:val="16"/>
      <w:szCs w:val="16"/>
    </w:rPr>
  </w:style>
  <w:style w:type="paragraph" w:customStyle="1" w:styleId="812">
    <w:name w:val="样式 样式 表标题2.4 + 居中 段前: 1 行 + 两端对齐"/>
    <w:basedOn w:val="813"/>
    <w:qFormat/>
    <w:uiPriority w:val="99"/>
    <w:pPr>
      <w:tabs>
        <w:tab w:val="left" w:pos="726"/>
        <w:tab w:val="center" w:pos="4060"/>
        <w:tab w:val="right" w:pos="8261"/>
      </w:tabs>
      <w:ind w:left="2" w:firstLine="4"/>
      <w:jc w:val="both"/>
    </w:pPr>
  </w:style>
  <w:style w:type="paragraph" w:customStyle="1" w:styleId="813">
    <w:name w:val="样式 表标题2.4 + 居中 段前: 1 行"/>
    <w:basedOn w:val="814"/>
    <w:qFormat/>
    <w:uiPriority w:val="99"/>
    <w:pPr>
      <w:tabs>
        <w:tab w:val="center" w:pos="4060"/>
        <w:tab w:val="right" w:pos="8261"/>
      </w:tabs>
      <w:spacing w:beforeLines="0"/>
      <w:jc w:val="center"/>
    </w:pPr>
    <w:rPr>
      <w:rFonts w:cs="宋体"/>
      <w:bCs/>
      <w:szCs w:val="20"/>
    </w:rPr>
  </w:style>
  <w:style w:type="paragraph" w:customStyle="1" w:styleId="814">
    <w:name w:val="表标题2.4"/>
    <w:basedOn w:val="1"/>
    <w:qFormat/>
    <w:uiPriority w:val="99"/>
    <w:pPr>
      <w:widowControl w:val="0"/>
      <w:tabs>
        <w:tab w:val="center" w:pos="4060"/>
        <w:tab w:val="right" w:pos="8261"/>
      </w:tabs>
      <w:suppressAutoHyphens/>
      <w:adjustRightInd w:val="0"/>
      <w:spacing w:beforeLines="100" w:line="0" w:lineRule="atLeast"/>
      <w:jc w:val="both"/>
    </w:pPr>
    <w:rPr>
      <w:rFonts w:ascii="黑体" w:hAnsi="Times New Roman" w:eastAsia="黑体" w:cs="Times New Roman"/>
      <w:b/>
      <w:spacing w:val="6"/>
    </w:rPr>
  </w:style>
  <w:style w:type="paragraph" w:customStyle="1" w:styleId="815">
    <w:name w:val="表标题5.12"/>
    <w:basedOn w:val="1"/>
    <w:qFormat/>
    <w:uiPriority w:val="99"/>
    <w:pPr>
      <w:widowControl w:val="0"/>
      <w:tabs>
        <w:tab w:val="center" w:pos="4060"/>
        <w:tab w:val="right" w:pos="8261"/>
      </w:tabs>
      <w:suppressAutoHyphens/>
      <w:adjustRightInd w:val="0"/>
      <w:spacing w:beforeLines="100" w:line="0" w:lineRule="atLeast"/>
      <w:jc w:val="both"/>
    </w:pPr>
    <w:rPr>
      <w:rFonts w:ascii="黑体" w:hAnsi="Times New Roman" w:eastAsia="黑体" w:cs="Times New Roman"/>
      <w:b/>
      <w:spacing w:val="6"/>
      <w:szCs w:val="26"/>
    </w:rPr>
  </w:style>
  <w:style w:type="paragraph" w:customStyle="1" w:styleId="816">
    <w:name w:val="列表 B"/>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character" w:customStyle="1" w:styleId="817">
    <w:name w:val="HTML 地址 Char2"/>
    <w:basedOn w:val="83"/>
    <w:qFormat/>
    <w:uiPriority w:val="0"/>
    <w:rPr>
      <w:rFonts w:ascii="宋体" w:hAnsi="宋体" w:cs="宋体"/>
      <w:i/>
      <w:iCs/>
      <w:sz w:val="24"/>
      <w:szCs w:val="24"/>
    </w:rPr>
  </w:style>
  <w:style w:type="paragraph" w:customStyle="1" w:styleId="818">
    <w:name w:val="列表 2L"/>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19">
    <w:name w:val="列表 2Z"/>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character" w:customStyle="1" w:styleId="820">
    <w:name w:val="结束语 Char2"/>
    <w:basedOn w:val="83"/>
    <w:qFormat/>
    <w:uiPriority w:val="0"/>
    <w:rPr>
      <w:rFonts w:ascii="宋体" w:hAnsi="宋体" w:cs="宋体"/>
      <w:sz w:val="24"/>
      <w:szCs w:val="24"/>
    </w:rPr>
  </w:style>
  <w:style w:type="paragraph" w:customStyle="1" w:styleId="821">
    <w:name w:val="sub_body"/>
    <w:qFormat/>
    <w:uiPriority w:val="0"/>
    <w:pPr>
      <w:widowControl w:val="0"/>
      <w:autoSpaceDE w:val="0"/>
      <w:autoSpaceDN w:val="0"/>
      <w:adjustRightInd w:val="0"/>
      <w:spacing w:before="43" w:after="43" w:line="288" w:lineRule="atLeast"/>
      <w:ind w:left="288"/>
      <w:textAlignment w:val="baseline"/>
    </w:pPr>
    <w:rPr>
      <w:rFonts w:ascii="Arial" w:hAnsi="Arial" w:eastAsia="宋体" w:cs="Times New Roman"/>
      <w:color w:val="000000"/>
      <w:lang w:val="en-US" w:eastAsia="zh-CN" w:bidi="ar-SA"/>
    </w:rPr>
  </w:style>
  <w:style w:type="paragraph" w:customStyle="1" w:styleId="822">
    <w:name w:val="Char Char Char1 Char1 Char Char Char"/>
    <w:basedOn w:val="1"/>
    <w:qFormat/>
    <w:uiPriority w:val="0"/>
    <w:pPr>
      <w:widowControl w:val="0"/>
      <w:jc w:val="both"/>
    </w:pPr>
    <w:rPr>
      <w:rFonts w:ascii="Times New Roman" w:hAnsi="Times New Roman" w:cs="Times New Roman"/>
      <w:kern w:val="2"/>
      <w:sz w:val="21"/>
    </w:rPr>
  </w:style>
  <w:style w:type="paragraph" w:customStyle="1" w:styleId="823">
    <w:name w:val="报告名"/>
    <w:basedOn w:val="1"/>
    <w:qFormat/>
    <w:uiPriority w:val="99"/>
    <w:pPr>
      <w:widowControl w:val="0"/>
      <w:tabs>
        <w:tab w:val="left" w:pos="1727"/>
        <w:tab w:val="left" w:pos="1884"/>
      </w:tabs>
      <w:adjustRightInd w:val="0"/>
      <w:spacing w:line="312" w:lineRule="auto"/>
      <w:jc w:val="both"/>
      <w:outlineLvl w:val="0"/>
    </w:pPr>
    <w:rPr>
      <w:rFonts w:ascii="Times New Roman" w:hAnsi="Times New Roman" w:cs="Times New Roman"/>
      <w:b/>
      <w:kern w:val="2"/>
    </w:rPr>
  </w:style>
  <w:style w:type="paragraph" w:customStyle="1" w:styleId="824">
    <w:name w:val="正文样式3"/>
    <w:basedOn w:val="1"/>
    <w:qFormat/>
    <w:uiPriority w:val="99"/>
    <w:pPr>
      <w:widowControl w:val="0"/>
      <w:adjustRightInd w:val="0"/>
      <w:spacing w:line="20" w:lineRule="atLeast"/>
      <w:jc w:val="center"/>
      <w:textAlignment w:val="baseline"/>
    </w:pPr>
    <w:rPr>
      <w:rFonts w:ascii="Times New Roman" w:hAnsi="Times New Roman" w:cs="Times New Roman"/>
      <w:szCs w:val="20"/>
    </w:rPr>
  </w:style>
  <w:style w:type="paragraph" w:customStyle="1" w:styleId="825">
    <w:name w:val="样式 样式 宋体 小四 左 行距: 固定值 24 磅 + 黑色 居中 首行缩进:  2 字符 段前: 5 磅 段后: 5..."/>
    <w:basedOn w:val="826"/>
    <w:qFormat/>
    <w:uiPriority w:val="99"/>
    <w:pPr>
      <w:spacing w:before="100" w:after="100"/>
      <w:ind w:firstLine="0" w:firstLineChars="0"/>
      <w:jc w:val="center"/>
    </w:pPr>
    <w:rPr>
      <w:color w:val="000000"/>
    </w:rPr>
  </w:style>
  <w:style w:type="paragraph" w:customStyle="1" w:styleId="826">
    <w:name w:val="样式 宋体 小四 左 行距: 固定值 24 磅"/>
    <w:basedOn w:val="1"/>
    <w:qFormat/>
    <w:uiPriority w:val="99"/>
    <w:pPr>
      <w:widowControl w:val="0"/>
      <w:spacing w:line="480" w:lineRule="exact"/>
      <w:ind w:firstLine="200" w:firstLineChars="200"/>
    </w:pPr>
    <w:rPr>
      <w:rFonts w:hAnsi="Times New Roman"/>
      <w:szCs w:val="20"/>
    </w:rPr>
  </w:style>
  <w:style w:type="paragraph" w:customStyle="1" w:styleId="827">
    <w:name w:val="内容"/>
    <w:basedOn w:val="1"/>
    <w:link w:val="828"/>
    <w:qFormat/>
    <w:uiPriority w:val="0"/>
    <w:pPr>
      <w:widowControl w:val="0"/>
      <w:spacing w:beforeLines="50" w:afterLines="50"/>
      <w:ind w:firstLine="200" w:firstLineChars="200"/>
      <w:jc w:val="both"/>
    </w:pPr>
    <w:rPr>
      <w:rFonts w:ascii="Times New Roman" w:hAnsi="Times New Roman" w:cs="Times New Roman"/>
      <w:color w:val="000000"/>
      <w:kern w:val="2"/>
    </w:rPr>
  </w:style>
  <w:style w:type="character" w:customStyle="1" w:styleId="828">
    <w:name w:val="内容 Char Char"/>
    <w:link w:val="827"/>
    <w:qFormat/>
    <w:uiPriority w:val="0"/>
    <w:rPr>
      <w:color w:val="000000"/>
      <w:kern w:val="2"/>
      <w:sz w:val="24"/>
      <w:szCs w:val="24"/>
    </w:rPr>
  </w:style>
  <w:style w:type="paragraph" w:customStyle="1" w:styleId="829">
    <w:name w:val="小五表文"/>
    <w:qFormat/>
    <w:uiPriority w:val="99"/>
    <w:pPr>
      <w:spacing w:beforeLines="50"/>
      <w:ind w:firstLine="3304" w:firstLineChars="1180"/>
    </w:pPr>
    <w:rPr>
      <w:rFonts w:ascii="Times New Roman" w:hAnsi="Times New Roman" w:eastAsia="黑体" w:cs="Times New Roman"/>
      <w:bCs/>
      <w:spacing w:val="20"/>
      <w:sz w:val="24"/>
      <w:lang w:val="en-US" w:eastAsia="zh-CN" w:bidi="ar-SA"/>
    </w:rPr>
  </w:style>
  <w:style w:type="paragraph" w:customStyle="1" w:styleId="830">
    <w:name w:val="文章总标题"/>
    <w:basedOn w:val="1"/>
    <w:next w:val="1"/>
    <w:qFormat/>
    <w:uiPriority w:val="99"/>
    <w:pPr>
      <w:spacing w:before="566" w:after="544" w:line="566" w:lineRule="atLeast"/>
      <w:jc w:val="center"/>
      <w:textAlignment w:val="baseline"/>
    </w:pPr>
    <w:rPr>
      <w:rFonts w:ascii="Arial" w:hAnsi="Times New Roman" w:eastAsia="黑体" w:cs="Arial"/>
      <w:bCs/>
      <w:color w:val="000000"/>
      <w:sz w:val="54"/>
      <w:szCs w:val="54"/>
      <w:u w:color="000000"/>
    </w:rPr>
  </w:style>
  <w:style w:type="paragraph" w:customStyle="1" w:styleId="831">
    <w:name w:val="插图标题"/>
    <w:basedOn w:val="1"/>
    <w:qFormat/>
    <w:uiPriority w:val="99"/>
    <w:pPr>
      <w:widowControl w:val="0"/>
      <w:tabs>
        <w:tab w:val="center" w:pos="6804"/>
        <w:tab w:val="right" w:pos="7371"/>
      </w:tabs>
      <w:overflowPunct w:val="0"/>
      <w:adjustRightInd w:val="0"/>
      <w:ind w:firstLine="567"/>
      <w:jc w:val="center"/>
      <w:textAlignment w:val="baseline"/>
    </w:pPr>
    <w:rPr>
      <w:rFonts w:ascii="黑体" w:hAnsi="Times New Roman" w:eastAsia="黑体" w:cs="Times New Roman"/>
      <w:sz w:val="28"/>
      <w:szCs w:val="20"/>
    </w:rPr>
  </w:style>
  <w:style w:type="paragraph" w:customStyle="1" w:styleId="832">
    <w:name w:val="CM62"/>
    <w:basedOn w:val="102"/>
    <w:next w:val="102"/>
    <w:qFormat/>
    <w:uiPriority w:val="99"/>
    <w:pPr>
      <w:autoSpaceDE w:val="0"/>
      <w:autoSpaceDN w:val="0"/>
      <w:spacing w:after="160"/>
    </w:pPr>
    <w:rPr>
      <w:color w:val="auto"/>
    </w:rPr>
  </w:style>
  <w:style w:type="paragraph" w:customStyle="1" w:styleId="833">
    <w:name w:val="xl78"/>
    <w:basedOn w:val="1"/>
    <w:qFormat/>
    <w:uiPriority w:val="99"/>
    <w:pPr>
      <w:pBdr>
        <w:top w:val="single" w:color="auto" w:sz="8" w:space="0"/>
        <w:bottom w:val="single" w:color="auto" w:sz="8" w:space="0"/>
        <w:right w:val="single" w:color="auto" w:sz="8" w:space="0"/>
      </w:pBdr>
      <w:spacing w:before="100" w:beforeAutospacing="1" w:after="100" w:afterAutospacing="1"/>
      <w:jc w:val="center"/>
    </w:pPr>
    <w:rPr>
      <w:rFonts w:ascii="Times New Roman" w:hAnsi="Times New Roman" w:cs="Times New Roman"/>
      <w:color w:val="000000"/>
      <w:sz w:val="18"/>
      <w:szCs w:val="18"/>
    </w:rPr>
  </w:style>
  <w:style w:type="paragraph" w:customStyle="1" w:styleId="834">
    <w:name w:val="小表右密"/>
    <w:basedOn w:val="1"/>
    <w:qFormat/>
    <w:uiPriority w:val="99"/>
    <w:pPr>
      <w:keepNext/>
      <w:widowControl w:val="0"/>
      <w:tabs>
        <w:tab w:val="left" w:pos="719"/>
        <w:tab w:val="left" w:pos="3156"/>
        <w:tab w:val="left" w:pos="4105"/>
        <w:tab w:val="left" w:pos="5054"/>
        <w:tab w:val="left" w:pos="6003"/>
        <w:tab w:val="left" w:pos="7183"/>
        <w:tab w:val="left" w:pos="8159"/>
        <w:tab w:val="left" w:pos="9312"/>
        <w:tab w:val="left" w:pos="10261"/>
        <w:tab w:val="left" w:pos="11210"/>
        <w:tab w:val="left" w:pos="12159"/>
        <w:tab w:val="left" w:pos="13108"/>
        <w:tab w:val="left" w:pos="14057"/>
        <w:tab w:val="left" w:pos="15006"/>
        <w:tab w:val="left" w:pos="15955"/>
        <w:tab w:val="left" w:pos="16904"/>
        <w:tab w:val="left" w:pos="17853"/>
        <w:tab w:val="left" w:pos="18802"/>
        <w:tab w:val="left" w:pos="19751"/>
        <w:tab w:val="left" w:pos="20700"/>
      </w:tabs>
      <w:adjustRightInd w:val="0"/>
      <w:snapToGrid w:val="0"/>
      <w:spacing w:line="240" w:lineRule="atLeast"/>
      <w:ind w:right="28" w:rightChars="10"/>
      <w:jc w:val="right"/>
    </w:pPr>
    <w:rPr>
      <w:rFonts w:cs="Times New Roman"/>
      <w:kern w:val="2"/>
      <w:sz w:val="18"/>
      <w:szCs w:val="18"/>
    </w:rPr>
  </w:style>
  <w:style w:type="character" w:customStyle="1" w:styleId="835">
    <w:name w:val="正文文本 2 Char3"/>
    <w:basedOn w:val="83"/>
    <w:qFormat/>
    <w:uiPriority w:val="0"/>
    <w:rPr>
      <w:rFonts w:ascii="宋体" w:hAnsi="宋体" w:cs="宋体"/>
      <w:sz w:val="24"/>
      <w:szCs w:val="24"/>
    </w:rPr>
  </w:style>
  <w:style w:type="paragraph" w:customStyle="1" w:styleId="836">
    <w:name w:val="Char Char Char Char Char Char Char Char Char Char Char1 Char Char Char Char"/>
    <w:basedOn w:val="1"/>
    <w:qFormat/>
    <w:uiPriority w:val="0"/>
    <w:pPr>
      <w:widowControl w:val="0"/>
      <w:jc w:val="both"/>
    </w:pPr>
    <w:rPr>
      <w:rFonts w:ascii="Times New Roman" w:hAnsi="Times New Roman" w:cs="Times New Roman"/>
      <w:kern w:val="2"/>
      <w:sz w:val="21"/>
    </w:rPr>
  </w:style>
  <w:style w:type="paragraph" w:customStyle="1" w:styleId="837">
    <w:name w:val="样式  + 首行缩进:  0.75 厘米"/>
    <w:basedOn w:val="1"/>
    <w:qFormat/>
    <w:uiPriority w:val="0"/>
    <w:pPr>
      <w:widowControl w:val="0"/>
      <w:ind w:firstLine="425"/>
    </w:pPr>
    <w:rPr>
      <w:rFonts w:ascii="Times New Roman" w:hAnsi="Times New Roman" w:cs="Times New Roman"/>
      <w:bCs/>
      <w:kern w:val="2"/>
    </w:rPr>
  </w:style>
  <w:style w:type="character" w:customStyle="1" w:styleId="838">
    <w:name w:val="注释标题 Char3"/>
    <w:basedOn w:val="83"/>
    <w:qFormat/>
    <w:uiPriority w:val="0"/>
    <w:rPr>
      <w:rFonts w:ascii="宋体" w:hAnsi="宋体" w:cs="宋体"/>
      <w:sz w:val="24"/>
      <w:szCs w:val="24"/>
    </w:rPr>
  </w:style>
  <w:style w:type="paragraph" w:customStyle="1" w:styleId="839">
    <w:name w:val="样式 湛江钢铁表 +"/>
    <w:basedOn w:val="1"/>
    <w:next w:val="1"/>
    <w:qFormat/>
    <w:uiPriority w:val="99"/>
    <w:pPr>
      <w:widowControl w:val="0"/>
      <w:adjustRightInd w:val="0"/>
      <w:snapToGrid w:val="0"/>
      <w:spacing w:beforeLines="20" w:afterLines="20"/>
      <w:jc w:val="center"/>
      <w:textAlignment w:val="baseline"/>
    </w:pPr>
    <w:rPr>
      <w:rFonts w:ascii="Times New Roman" w:hAnsi="Times New Roman" w:eastAsia="仿宋_GB2312" w:cs="Times New Roman"/>
      <w:snapToGrid w:val="0"/>
      <w:sz w:val="21"/>
      <w:szCs w:val="21"/>
    </w:rPr>
  </w:style>
  <w:style w:type="paragraph" w:customStyle="1" w:styleId="840">
    <w:name w:val="调研内容"/>
    <w:basedOn w:val="1"/>
    <w:qFormat/>
    <w:uiPriority w:val="99"/>
    <w:pPr>
      <w:widowControl w:val="0"/>
      <w:spacing w:line="360" w:lineRule="auto"/>
      <w:jc w:val="both"/>
    </w:pPr>
    <w:rPr>
      <w:rFonts w:ascii="Times New Roman" w:hAnsi="Times New Roman" w:cs="Times New Roman"/>
      <w:kern w:val="2"/>
      <w:sz w:val="21"/>
      <w:szCs w:val="20"/>
    </w:rPr>
  </w:style>
  <w:style w:type="paragraph" w:customStyle="1" w:styleId="841">
    <w:name w:val="CM22"/>
    <w:basedOn w:val="102"/>
    <w:next w:val="102"/>
    <w:qFormat/>
    <w:uiPriority w:val="99"/>
    <w:pPr>
      <w:autoSpaceDE w:val="0"/>
      <w:autoSpaceDN w:val="0"/>
    </w:pPr>
    <w:rPr>
      <w:color w:val="auto"/>
    </w:rPr>
  </w:style>
  <w:style w:type="character" w:customStyle="1" w:styleId="842">
    <w:name w:val="签名 Char2"/>
    <w:basedOn w:val="83"/>
    <w:qFormat/>
    <w:uiPriority w:val="0"/>
    <w:rPr>
      <w:rFonts w:ascii="宋体" w:hAnsi="宋体" w:cs="宋体"/>
      <w:sz w:val="24"/>
      <w:szCs w:val="24"/>
    </w:rPr>
  </w:style>
  <w:style w:type="paragraph" w:customStyle="1" w:styleId="843">
    <w:name w:val="正文3"/>
    <w:qFormat/>
    <w:uiPriority w:val="99"/>
    <w:pPr>
      <w:widowControl w:val="0"/>
      <w:adjustRightInd w:val="0"/>
      <w:spacing w:line="360" w:lineRule="atLeast"/>
    </w:pPr>
    <w:rPr>
      <w:rFonts w:hint="eastAsia" w:ascii="宋体" w:hAnsi="Times New Roman" w:eastAsia="宋体" w:cs="Times New Roman"/>
      <w:sz w:val="24"/>
      <w:lang w:val="en-US" w:eastAsia="zh-CN" w:bidi="ar-SA"/>
    </w:rPr>
  </w:style>
  <w:style w:type="paragraph" w:customStyle="1" w:styleId="844">
    <w:name w:val="列表 2J"/>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45">
    <w:name w:val="图文框"/>
    <w:basedOn w:val="1"/>
    <w:qFormat/>
    <w:uiPriority w:val="99"/>
    <w:pPr>
      <w:widowControl w:val="0"/>
      <w:tabs>
        <w:tab w:val="left" w:pos="0"/>
      </w:tabs>
      <w:autoSpaceDE w:val="0"/>
      <w:autoSpaceDN w:val="0"/>
      <w:adjustRightInd w:val="0"/>
      <w:snapToGrid w:val="0"/>
      <w:ind w:right="-107" w:rightChars="-51"/>
      <w:jc w:val="center"/>
      <w:textAlignment w:val="baseline"/>
    </w:pPr>
    <w:rPr>
      <w:rFonts w:cs="Times New Roman"/>
      <w:color w:val="000000"/>
      <w:kern w:val="2"/>
      <w:sz w:val="21"/>
      <w:szCs w:val="21"/>
    </w:rPr>
  </w:style>
  <w:style w:type="character" w:customStyle="1" w:styleId="846">
    <w:name w:val="日期 Char2"/>
    <w:basedOn w:val="83"/>
    <w:qFormat/>
    <w:uiPriority w:val="0"/>
    <w:rPr>
      <w:rFonts w:ascii="宋体" w:hAnsi="宋体" w:cs="宋体"/>
      <w:sz w:val="24"/>
      <w:szCs w:val="24"/>
    </w:rPr>
  </w:style>
  <w:style w:type="paragraph" w:customStyle="1" w:styleId="847">
    <w:name w:val="列表 4Q"/>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848">
    <w:name w:val="表题 Char Char"/>
    <w:basedOn w:val="1"/>
    <w:qFormat/>
    <w:uiPriority w:val="99"/>
    <w:pPr>
      <w:widowControl w:val="0"/>
      <w:spacing w:line="360" w:lineRule="auto"/>
      <w:ind w:firstLine="480" w:firstLineChars="200"/>
      <w:jc w:val="both"/>
    </w:pPr>
    <w:rPr>
      <w:rFonts w:cs="Times New Roman"/>
      <w:bCs/>
      <w:kern w:val="2"/>
    </w:rPr>
  </w:style>
  <w:style w:type="paragraph" w:customStyle="1" w:styleId="849">
    <w:name w:val="列表 4W"/>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850">
    <w:name w:val="正文文字进缩1"/>
    <w:basedOn w:val="1"/>
    <w:qFormat/>
    <w:uiPriority w:val="0"/>
    <w:pPr>
      <w:widowControl w:val="0"/>
      <w:spacing w:line="360" w:lineRule="auto"/>
      <w:ind w:left="555"/>
      <w:jc w:val="both"/>
    </w:pPr>
    <w:rPr>
      <w:rFonts w:ascii="黑体" w:hAnsi="Times New Roman" w:eastAsia="黑体" w:cs="Times New Roman"/>
      <w:b/>
      <w:bCs/>
      <w:iCs/>
      <w:kern w:val="2"/>
      <w:sz w:val="28"/>
    </w:rPr>
  </w:style>
  <w:style w:type="paragraph" w:customStyle="1" w:styleId="851">
    <w:name w:val="xl97"/>
    <w:basedOn w:val="1"/>
    <w:qFormat/>
    <w:uiPriority w:val="99"/>
    <w:pPr>
      <w:pBdr>
        <w:left w:val="single" w:color="auto" w:sz="8"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16"/>
      <w:szCs w:val="16"/>
    </w:rPr>
  </w:style>
  <w:style w:type="paragraph" w:customStyle="1" w:styleId="852">
    <w:name w:val="Char Char Char1 Char3"/>
    <w:basedOn w:val="1"/>
    <w:qFormat/>
    <w:uiPriority w:val="0"/>
    <w:pPr>
      <w:widowControl w:val="0"/>
      <w:jc w:val="both"/>
    </w:pPr>
    <w:rPr>
      <w:rFonts w:ascii="Times New Roman" w:hAnsi="Times New Roman" w:cs="Times New Roman"/>
      <w:kern w:val="2"/>
      <w:sz w:val="21"/>
      <w:szCs w:val="20"/>
    </w:rPr>
  </w:style>
  <w:style w:type="paragraph" w:customStyle="1" w:styleId="853">
    <w:name w:val="表8.1-1"/>
    <w:basedOn w:val="1"/>
    <w:qFormat/>
    <w:uiPriority w:val="99"/>
    <w:pPr>
      <w:widowControl w:val="0"/>
      <w:tabs>
        <w:tab w:val="left" w:pos="726"/>
      </w:tabs>
      <w:adjustRightInd w:val="0"/>
      <w:snapToGrid w:val="0"/>
      <w:spacing w:beforeLines="100" w:line="0" w:lineRule="atLeast"/>
      <w:ind w:left="2" w:firstLine="4"/>
      <w:jc w:val="center"/>
    </w:pPr>
    <w:rPr>
      <w:rFonts w:ascii="黑体" w:hAnsi="Times New Roman" w:eastAsia="黑体" w:cs="Times New Roman"/>
      <w:b/>
      <w:kern w:val="2"/>
    </w:rPr>
  </w:style>
  <w:style w:type="paragraph" w:customStyle="1" w:styleId="854">
    <w:name w:val="正文 + 首行缩进:  2 字符"/>
    <w:basedOn w:val="1"/>
    <w:qFormat/>
    <w:uiPriority w:val="99"/>
    <w:pPr>
      <w:widowControl w:val="0"/>
      <w:spacing w:line="460" w:lineRule="atLeast"/>
      <w:ind w:firstLine="528" w:firstLineChars="200"/>
      <w:jc w:val="both"/>
    </w:pPr>
    <w:rPr>
      <w:rFonts w:ascii="Times New Roman" w:hAnsi="Times New Roman" w:cs="Times New Roman"/>
      <w:spacing w:val="12"/>
      <w:kern w:val="2"/>
      <w:szCs w:val="20"/>
    </w:rPr>
  </w:style>
  <w:style w:type="paragraph" w:customStyle="1" w:styleId="855">
    <w:name w:val="表格02"/>
    <w:basedOn w:val="1"/>
    <w:qFormat/>
    <w:uiPriority w:val="99"/>
    <w:pPr>
      <w:widowControl w:val="0"/>
      <w:spacing w:line="400" w:lineRule="exact"/>
      <w:jc w:val="center"/>
    </w:pPr>
    <w:rPr>
      <w:rFonts w:ascii="Times New Roman" w:hAnsi="Times New Roman" w:cs="Times New Roman"/>
      <w:snapToGrid w:val="0"/>
      <w:kern w:val="2"/>
      <w:lang w:val="en-GB"/>
    </w:rPr>
  </w:style>
  <w:style w:type="paragraph" w:customStyle="1" w:styleId="856">
    <w:name w:val="样式 左  0 字符 首行缩进:  2 字符"/>
    <w:basedOn w:val="1"/>
    <w:qFormat/>
    <w:uiPriority w:val="0"/>
    <w:pPr>
      <w:widowControl w:val="0"/>
      <w:ind w:firstLine="200" w:firstLineChars="200"/>
      <w:jc w:val="both"/>
    </w:pPr>
    <w:rPr>
      <w:rFonts w:ascii="Times New Roman" w:hAnsi="Times New Roman" w:cs="Times New Roman"/>
      <w:kern w:val="2"/>
      <w:sz w:val="28"/>
      <w:szCs w:val="28"/>
    </w:rPr>
  </w:style>
  <w:style w:type="paragraph" w:customStyle="1" w:styleId="857">
    <w:name w:val="Char Char Char Char Char Char Char Char Char Char1"/>
    <w:basedOn w:val="1"/>
    <w:qFormat/>
    <w:uiPriority w:val="99"/>
    <w:pPr>
      <w:widowControl w:val="0"/>
      <w:jc w:val="both"/>
    </w:pPr>
    <w:rPr>
      <w:color w:val="000000"/>
      <w:kern w:val="2"/>
      <w:sz w:val="21"/>
      <w:szCs w:val="21"/>
    </w:rPr>
  </w:style>
  <w:style w:type="paragraph" w:customStyle="1" w:styleId="858">
    <w:name w:val="样式7"/>
    <w:basedOn w:val="6"/>
    <w:qFormat/>
    <w:uiPriority w:val="99"/>
    <w:pPr>
      <w:keepNext w:val="0"/>
      <w:keepLines w:val="0"/>
      <w:adjustRightInd w:val="0"/>
      <w:snapToGrid w:val="0"/>
      <w:spacing w:beforeLines="30" w:afterLines="50" w:line="360" w:lineRule="auto"/>
      <w:textAlignment w:val="baseline"/>
    </w:pPr>
    <w:rPr>
      <w:rFonts w:ascii="宋体" w:hAnsi="Courier New" w:eastAsia="宋体"/>
      <w:b/>
      <w:bCs w:val="0"/>
      <w:sz w:val="24"/>
      <w:szCs w:val="20"/>
    </w:rPr>
  </w:style>
  <w:style w:type="paragraph" w:customStyle="1" w:styleId="859">
    <w:name w:val="表标题8.1"/>
    <w:basedOn w:val="526"/>
    <w:qFormat/>
    <w:uiPriority w:val="99"/>
    <w:pPr>
      <w:tabs>
        <w:tab w:val="center" w:pos="4060"/>
        <w:tab w:val="right" w:pos="8261"/>
        <w:tab w:val="clear" w:pos="360"/>
        <w:tab w:val="clear" w:pos="726"/>
      </w:tabs>
      <w:suppressAutoHyphens/>
      <w:adjustRightInd w:val="0"/>
      <w:spacing w:beforeLines="100" w:line="0" w:lineRule="atLeast"/>
    </w:pPr>
    <w:rPr>
      <w:rFonts w:ascii="黑体" w:eastAsia="黑体" w:cs="宋体"/>
      <w:b/>
      <w:bCs/>
      <w:spacing w:val="6"/>
      <w:sz w:val="24"/>
    </w:rPr>
  </w:style>
  <w:style w:type="character" w:customStyle="1" w:styleId="860">
    <w:name w:val="脚注文本 Char2"/>
    <w:basedOn w:val="83"/>
    <w:qFormat/>
    <w:uiPriority w:val="0"/>
    <w:rPr>
      <w:rFonts w:ascii="宋体" w:hAnsi="宋体" w:cs="宋体"/>
      <w:sz w:val="18"/>
      <w:szCs w:val="18"/>
    </w:rPr>
  </w:style>
  <w:style w:type="paragraph" w:customStyle="1" w:styleId="861">
    <w:name w:val="填表内容"/>
    <w:basedOn w:val="1"/>
    <w:qFormat/>
    <w:uiPriority w:val="99"/>
    <w:pPr>
      <w:widowControl w:val="0"/>
      <w:adjustRightInd w:val="0"/>
      <w:spacing w:line="480" w:lineRule="exact"/>
      <w:ind w:firstLine="560" w:firstLineChars="200"/>
      <w:textAlignment w:val="baseline"/>
    </w:pPr>
    <w:rPr>
      <w:rFonts w:ascii="楷体_GB2312" w:hAnsi="Times New Roman" w:eastAsia="楷体_GB2312" w:cs="Times New Roman"/>
      <w:kern w:val="2"/>
      <w:sz w:val="28"/>
      <w:szCs w:val="20"/>
    </w:rPr>
  </w:style>
  <w:style w:type="paragraph" w:customStyle="1" w:styleId="862">
    <w:name w:val="样式 样式 正文首行缩进正文首行缩进 Char + 首行缩进:  2 字符 + 首行缩进:  2 字符"/>
    <w:basedOn w:val="1"/>
    <w:qFormat/>
    <w:uiPriority w:val="99"/>
    <w:pPr>
      <w:widowControl w:val="0"/>
      <w:adjustRightInd w:val="0"/>
      <w:snapToGrid w:val="0"/>
      <w:spacing w:line="360" w:lineRule="auto"/>
      <w:ind w:firstLine="480" w:firstLineChars="200"/>
      <w:jc w:val="both"/>
      <w:textAlignment w:val="baseline"/>
    </w:pPr>
    <w:rPr>
      <w:rFonts w:hAnsi="Times New Roman"/>
      <w:kern w:val="2"/>
      <w:szCs w:val="20"/>
      <w:lang w:val="zh-CN"/>
    </w:rPr>
  </w:style>
  <w:style w:type="paragraph" w:customStyle="1" w:styleId="863">
    <w:name w:val="章标题(不加入目录内)"/>
    <w:basedOn w:val="76"/>
    <w:qFormat/>
    <w:uiPriority w:val="99"/>
    <w:pPr>
      <w:keepLines/>
      <w:pageBreakBefore/>
      <w:spacing w:after="120"/>
      <w:ind w:right="0" w:firstLine="0"/>
      <w:jc w:val="center"/>
      <w:outlineLvl w:val="9"/>
    </w:pPr>
    <w:rPr>
      <w:rFonts w:ascii="Times New Roman" w:hAnsi="Times New Roman" w:eastAsia="黑体"/>
      <w:sz w:val="36"/>
      <w:szCs w:val="22"/>
    </w:rPr>
  </w:style>
  <w:style w:type="paragraph" w:customStyle="1" w:styleId="864">
    <w:name w:val="xl60"/>
    <w:basedOn w:val="1"/>
    <w:qFormat/>
    <w:uiPriority w:val="99"/>
    <w:pPr>
      <w:pBdr>
        <w:top w:val="single" w:color="auto" w:sz="4" w:space="0"/>
        <w:bottom w:val="single" w:color="auto" w:sz="8" w:space="0"/>
      </w:pBdr>
      <w:spacing w:before="100" w:beforeAutospacing="1" w:after="100" w:afterAutospacing="1"/>
      <w:jc w:val="center"/>
    </w:pPr>
    <w:rPr>
      <w:rFonts w:eastAsia="仿宋_GB2312" w:cs="Times New Roman"/>
      <w:b/>
      <w:bCs/>
      <w:position w:val="-6"/>
    </w:rPr>
  </w:style>
  <w:style w:type="paragraph" w:customStyle="1" w:styleId="865">
    <w:name w:val="xl61"/>
    <w:basedOn w:val="1"/>
    <w:qFormat/>
    <w:uiPriority w:val="99"/>
    <w:pPr>
      <w:pBdr>
        <w:bottom w:val="single" w:color="auto" w:sz="8" w:space="0"/>
        <w:right w:val="single" w:color="auto" w:sz="4" w:space="0"/>
      </w:pBdr>
      <w:spacing w:before="100" w:beforeAutospacing="1" w:after="100" w:afterAutospacing="1"/>
      <w:jc w:val="center"/>
    </w:pPr>
    <w:rPr>
      <w:rFonts w:eastAsia="仿宋_GB2312" w:cs="Times New Roman"/>
      <w:position w:val="-6"/>
      <w:szCs w:val="21"/>
    </w:rPr>
  </w:style>
  <w:style w:type="character" w:customStyle="1" w:styleId="866">
    <w:name w:val="标题 Char5"/>
    <w:basedOn w:val="83"/>
    <w:qFormat/>
    <w:uiPriority w:val="0"/>
    <w:rPr>
      <w:rFonts w:asciiTheme="majorHAnsi" w:hAnsiTheme="majorHAnsi" w:cstheme="majorBidi"/>
      <w:b/>
      <w:bCs/>
      <w:sz w:val="32"/>
      <w:szCs w:val="32"/>
    </w:rPr>
  </w:style>
  <w:style w:type="paragraph" w:customStyle="1" w:styleId="867">
    <w:name w:val="CM4"/>
    <w:basedOn w:val="102"/>
    <w:next w:val="102"/>
    <w:qFormat/>
    <w:uiPriority w:val="99"/>
    <w:pPr>
      <w:autoSpaceDE w:val="0"/>
      <w:autoSpaceDN w:val="0"/>
      <w:spacing w:line="468" w:lineRule="atLeast"/>
    </w:pPr>
    <w:rPr>
      <w:color w:val="auto"/>
    </w:rPr>
  </w:style>
  <w:style w:type="paragraph" w:customStyle="1" w:styleId="868">
    <w:name w:val="Char1 Char Char Char"/>
    <w:basedOn w:val="1"/>
    <w:qFormat/>
    <w:uiPriority w:val="0"/>
    <w:pPr>
      <w:spacing w:after="160" w:line="240" w:lineRule="exact"/>
    </w:pPr>
    <w:rPr>
      <w:rFonts w:ascii="Verdana" w:hAnsi="Verdana" w:cs="Times New Roman"/>
      <w:sz w:val="20"/>
      <w:szCs w:val="20"/>
      <w:lang w:eastAsia="en-US"/>
    </w:rPr>
  </w:style>
  <w:style w:type="character" w:customStyle="1" w:styleId="869">
    <w:name w:val="正文文本缩进 2 Char3"/>
    <w:basedOn w:val="83"/>
    <w:qFormat/>
    <w:uiPriority w:val="0"/>
    <w:rPr>
      <w:rFonts w:ascii="宋体" w:hAnsi="宋体" w:cs="宋体"/>
      <w:sz w:val="24"/>
      <w:szCs w:val="24"/>
    </w:rPr>
  </w:style>
  <w:style w:type="paragraph" w:customStyle="1" w:styleId="870">
    <w:name w:val="样式 样式 标题 1标题 1 Char标1章 + 段前: 0.5 行 段后: 0.5 行 + 段前: 0.5 行 段后: 0...."/>
    <w:basedOn w:val="1"/>
    <w:qFormat/>
    <w:uiPriority w:val="99"/>
    <w:pPr>
      <w:keepNext/>
      <w:tabs>
        <w:tab w:val="left" w:pos="0"/>
      </w:tabs>
      <w:spacing w:beforeLines="50" w:afterLines="50"/>
      <w:jc w:val="both"/>
      <w:outlineLvl w:val="0"/>
    </w:pPr>
    <w:rPr>
      <w:rFonts w:ascii="黑体" w:hAnsi="Arial" w:eastAsia="黑体"/>
      <w:color w:val="000000"/>
      <w:kern w:val="24"/>
      <w:sz w:val="28"/>
      <w:szCs w:val="20"/>
      <w:lang w:val="zh-CN"/>
    </w:rPr>
  </w:style>
  <w:style w:type="paragraph" w:customStyle="1" w:styleId="871">
    <w:name w:val="正文缩进12"/>
    <w:basedOn w:val="1"/>
    <w:qFormat/>
    <w:uiPriority w:val="99"/>
    <w:pPr>
      <w:widowControl w:val="0"/>
      <w:ind w:firstLine="420"/>
      <w:jc w:val="both"/>
    </w:pPr>
    <w:rPr>
      <w:rFonts w:ascii="Times New Roman" w:hAnsi="Times New Roman" w:cs="Times New Roman"/>
      <w:kern w:val="2"/>
      <w:szCs w:val="20"/>
    </w:rPr>
  </w:style>
  <w:style w:type="paragraph" w:customStyle="1" w:styleId="872">
    <w:name w:val="xl22"/>
    <w:basedOn w:val="1"/>
    <w:qFormat/>
    <w:uiPriority w:val="99"/>
    <w:pPr>
      <w:spacing w:before="100" w:beforeAutospacing="1" w:after="100" w:afterAutospacing="1"/>
      <w:jc w:val="center"/>
    </w:pPr>
    <w:rPr>
      <w:rFonts w:ascii="Arial Unicode MS" w:hAnsi="Arial Unicode MS" w:eastAsia="Arial Unicode MS" w:cs="Times New Roman"/>
      <w:sz w:val="21"/>
      <w:szCs w:val="21"/>
    </w:rPr>
  </w:style>
  <w:style w:type="paragraph" w:customStyle="1" w:styleId="873">
    <w:name w:val="连续正文文字"/>
    <w:basedOn w:val="31"/>
    <w:qFormat/>
    <w:uiPriority w:val="99"/>
    <w:pPr>
      <w:keepNext/>
      <w:spacing w:after="220" w:line="280" w:lineRule="exact"/>
      <w:jc w:val="center"/>
    </w:pPr>
    <w:rPr>
      <w:rFonts w:ascii="Times New Roman" w:hAnsi="Times New Roman"/>
      <w:color w:val="auto"/>
      <w:kern w:val="0"/>
      <w:sz w:val="30"/>
      <w:szCs w:val="20"/>
    </w:rPr>
  </w:style>
  <w:style w:type="paragraph" w:customStyle="1" w:styleId="874">
    <w:name w:val="表格内"/>
    <w:basedOn w:val="59"/>
    <w:link w:val="875"/>
    <w:qFormat/>
    <w:uiPriority w:val="0"/>
    <w:pPr>
      <w:snapToGrid w:val="0"/>
      <w:spacing w:line="360" w:lineRule="exact"/>
      <w:jc w:val="center"/>
    </w:pPr>
    <w:rPr>
      <w:rFonts w:ascii="Calibri" w:hAnsi="Calibri"/>
      <w:sz w:val="21"/>
      <w:szCs w:val="21"/>
    </w:rPr>
  </w:style>
  <w:style w:type="character" w:customStyle="1" w:styleId="875">
    <w:name w:val="表格内 Char"/>
    <w:link w:val="874"/>
    <w:qFormat/>
    <w:uiPriority w:val="0"/>
    <w:rPr>
      <w:rFonts w:ascii="Calibri" w:hAnsi="Calibri" w:eastAsia="黑体"/>
      <w:kern w:val="2"/>
      <w:sz w:val="21"/>
      <w:szCs w:val="21"/>
    </w:rPr>
  </w:style>
  <w:style w:type="paragraph" w:customStyle="1" w:styleId="876">
    <w:name w:val="表格2"/>
    <w:basedOn w:val="24"/>
    <w:qFormat/>
    <w:uiPriority w:val="99"/>
    <w:pPr>
      <w:shd w:val="clear" w:color="auto" w:fill="auto"/>
      <w:spacing w:beforeLines="5"/>
      <w:jc w:val="center"/>
    </w:pPr>
    <w:rPr>
      <w:rFonts w:ascii="宋体"/>
      <w:szCs w:val="20"/>
    </w:rPr>
  </w:style>
  <w:style w:type="paragraph" w:customStyle="1" w:styleId="877">
    <w:name w:val="Char Char Char Char Char Char Char Char Char"/>
    <w:basedOn w:val="1"/>
    <w:qFormat/>
    <w:uiPriority w:val="0"/>
    <w:pPr>
      <w:widowControl w:val="0"/>
      <w:jc w:val="both"/>
    </w:pPr>
    <w:rPr>
      <w:rFonts w:ascii="Times New Roman" w:hAnsi="Times New Roman" w:cs="Times New Roman"/>
      <w:kern w:val="2"/>
      <w:sz w:val="21"/>
      <w:szCs w:val="20"/>
    </w:rPr>
  </w:style>
  <w:style w:type="paragraph" w:customStyle="1" w:styleId="878">
    <w:name w:val="Char Char Char Char Char Char Char Char"/>
    <w:basedOn w:val="1"/>
    <w:qFormat/>
    <w:uiPriority w:val="99"/>
    <w:pPr>
      <w:widowControl w:val="0"/>
      <w:jc w:val="both"/>
    </w:pPr>
    <w:rPr>
      <w:rFonts w:ascii="Times New Roman" w:hAnsi="Times New Roman" w:cs="Times New Roman"/>
      <w:kern w:val="2"/>
      <w:sz w:val="21"/>
    </w:rPr>
  </w:style>
  <w:style w:type="paragraph" w:customStyle="1" w:styleId="879">
    <w:name w:val="普通(网站)1"/>
    <w:basedOn w:val="1"/>
    <w:qFormat/>
    <w:uiPriority w:val="0"/>
    <w:pPr>
      <w:spacing w:before="100" w:beforeAutospacing="1" w:after="100" w:afterAutospacing="1"/>
    </w:pPr>
    <w:rPr>
      <w:rFonts w:hint="eastAsia" w:cs="Times New Roman"/>
      <w:kern w:val="2"/>
      <w:szCs w:val="20"/>
    </w:rPr>
  </w:style>
  <w:style w:type="paragraph" w:customStyle="1" w:styleId="880">
    <w:name w:val="表标题16.9"/>
    <w:basedOn w:val="1"/>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spacing w:val="6"/>
      <w:sz w:val="26"/>
      <w:szCs w:val="26"/>
    </w:rPr>
  </w:style>
  <w:style w:type="paragraph" w:customStyle="1" w:styleId="881">
    <w:name w:val="列表 2R"/>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82">
    <w:name w:val="CM60"/>
    <w:basedOn w:val="102"/>
    <w:next w:val="102"/>
    <w:qFormat/>
    <w:uiPriority w:val="99"/>
    <w:pPr>
      <w:autoSpaceDE w:val="0"/>
      <w:autoSpaceDN w:val="0"/>
      <w:spacing w:after="343"/>
    </w:pPr>
    <w:rPr>
      <w:color w:val="auto"/>
    </w:rPr>
  </w:style>
  <w:style w:type="paragraph" w:customStyle="1" w:styleId="883">
    <w:name w:val="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884">
    <w:name w:val="样式111"/>
    <w:qFormat/>
    <w:uiPriority w:val="99"/>
    <w:pPr>
      <w:adjustRightInd w:val="0"/>
      <w:snapToGrid w:val="0"/>
      <w:jc w:val="both"/>
    </w:pPr>
    <w:rPr>
      <w:rFonts w:ascii="宋体" w:hAnsi="Times New Roman" w:eastAsia="宋体" w:cs="Times New Roman"/>
      <w:sz w:val="21"/>
      <w:lang w:val="en-US" w:eastAsia="zh-CN" w:bidi="ar-SA"/>
    </w:rPr>
  </w:style>
  <w:style w:type="paragraph" w:customStyle="1" w:styleId="885">
    <w:name w:val="样式 标题 3条标题1.1.1 + 宋体 加粗 段前: 13 磅 段后: 13 磅 行距: 多倍行距 1.73 字行"/>
    <w:basedOn w:val="6"/>
    <w:qFormat/>
    <w:uiPriority w:val="99"/>
    <w:pPr>
      <w:widowControl w:val="0"/>
      <w:adjustRightInd w:val="0"/>
      <w:snapToGrid w:val="0"/>
      <w:spacing w:beforeLines="50" w:afterLines="50" w:line="416" w:lineRule="auto"/>
      <w:jc w:val="both"/>
    </w:pPr>
    <w:rPr>
      <w:rFonts w:ascii="Arial" w:hAnsi="Arial" w:eastAsia="宋体"/>
      <w:sz w:val="28"/>
      <w:szCs w:val="28"/>
    </w:rPr>
  </w:style>
  <w:style w:type="paragraph" w:customStyle="1" w:styleId="886">
    <w:name w:val="xl71"/>
    <w:basedOn w:val="1"/>
    <w:qFormat/>
    <w:uiPriority w:val="99"/>
    <w:pPr>
      <w:pBdr>
        <w:top w:val="single" w:color="auto" w:sz="8" w:space="0"/>
        <w:left w:val="single" w:color="auto" w:sz="8" w:space="0"/>
      </w:pBdr>
      <w:spacing w:before="100" w:beforeAutospacing="1" w:after="100" w:afterAutospacing="1"/>
      <w:jc w:val="center"/>
    </w:pPr>
    <w:rPr>
      <w:rFonts w:eastAsia="仿宋_GB2312" w:cs="Times New Roman"/>
      <w:position w:val="-6"/>
      <w:szCs w:val="21"/>
    </w:rPr>
  </w:style>
  <w:style w:type="paragraph" w:customStyle="1" w:styleId="887">
    <w:name w:val="表内式样"/>
    <w:qFormat/>
    <w:uiPriority w:val="99"/>
    <w:pPr>
      <w:widowControl w:val="0"/>
      <w:jc w:val="center"/>
    </w:pPr>
    <w:rPr>
      <w:rFonts w:ascii="Times New Roman" w:hAnsi="Times New Roman" w:eastAsia="宋体" w:cs="Times New Roman"/>
      <w:sz w:val="18"/>
      <w:szCs w:val="24"/>
      <w:lang w:val="en-US" w:eastAsia="zh-CN" w:bidi="ar-SA"/>
    </w:rPr>
  </w:style>
  <w:style w:type="character" w:customStyle="1" w:styleId="888">
    <w:name w:val="信息标题 Char1"/>
    <w:basedOn w:val="83"/>
    <w:qFormat/>
    <w:uiPriority w:val="0"/>
    <w:rPr>
      <w:rFonts w:asciiTheme="majorHAnsi" w:hAnsiTheme="majorHAnsi" w:eastAsiaTheme="majorEastAsia" w:cstheme="majorBidi"/>
      <w:sz w:val="24"/>
      <w:szCs w:val="24"/>
      <w:shd w:val="pct20" w:color="auto" w:fill="auto"/>
    </w:rPr>
  </w:style>
  <w:style w:type="paragraph" w:customStyle="1" w:styleId="889">
    <w:name w:val="内蒙2"/>
    <w:basedOn w:val="4"/>
    <w:qFormat/>
    <w:uiPriority w:val="99"/>
    <w:pPr>
      <w:widowControl w:val="0"/>
      <w:spacing w:line="480" w:lineRule="exact"/>
      <w:jc w:val="both"/>
    </w:pPr>
    <w:rPr>
      <w:rFonts w:ascii="Times New Roman" w:hAnsi="Times New Roman"/>
      <w:b/>
      <w:bCs w:val="0"/>
      <w:color w:val="FF0000"/>
      <w:spacing w:val="20"/>
      <w:szCs w:val="28"/>
    </w:rPr>
  </w:style>
  <w:style w:type="character" w:customStyle="1" w:styleId="890">
    <w:name w:val="文档结构图 Char3"/>
    <w:basedOn w:val="83"/>
    <w:qFormat/>
    <w:uiPriority w:val="0"/>
    <w:rPr>
      <w:rFonts w:ascii="Microsoft YaHei UI" w:hAnsi="宋体" w:eastAsia="Microsoft YaHei UI" w:cs="宋体"/>
      <w:sz w:val="18"/>
      <w:szCs w:val="18"/>
    </w:rPr>
  </w:style>
  <w:style w:type="paragraph" w:customStyle="1" w:styleId="891">
    <w:name w:val="CM68"/>
    <w:basedOn w:val="102"/>
    <w:next w:val="102"/>
    <w:qFormat/>
    <w:uiPriority w:val="99"/>
    <w:pPr>
      <w:autoSpaceDE w:val="0"/>
      <w:autoSpaceDN w:val="0"/>
      <w:spacing w:after="265"/>
    </w:pPr>
    <w:rPr>
      <w:color w:val="auto"/>
    </w:rPr>
  </w:style>
  <w:style w:type="character" w:customStyle="1" w:styleId="892">
    <w:name w:val="电子邮件签名 Char2"/>
    <w:basedOn w:val="83"/>
    <w:qFormat/>
    <w:uiPriority w:val="0"/>
    <w:rPr>
      <w:rFonts w:ascii="宋体" w:hAnsi="宋体" w:cs="宋体"/>
      <w:sz w:val="24"/>
      <w:szCs w:val="24"/>
    </w:rPr>
  </w:style>
  <w:style w:type="paragraph" w:customStyle="1" w:styleId="893">
    <w:name w:val="样式 表格备注"/>
    <w:basedOn w:val="1"/>
    <w:qFormat/>
    <w:uiPriority w:val="99"/>
    <w:pPr>
      <w:keepNext/>
      <w:widowControl w:val="0"/>
      <w:tabs>
        <w:tab w:val="left" w:pos="628"/>
        <w:tab w:val="left" w:pos="1727"/>
        <w:tab w:val="left" w:pos="1884"/>
        <w:tab w:val="left" w:pos="4680"/>
        <w:tab w:val="left" w:pos="4900"/>
      </w:tabs>
      <w:adjustRightInd w:val="0"/>
      <w:snapToGrid w:val="0"/>
      <w:spacing w:line="360" w:lineRule="auto"/>
      <w:ind w:firstLine="480" w:firstLineChars="200"/>
      <w:jc w:val="both"/>
    </w:pPr>
    <w:rPr>
      <w:rFonts w:eastAsia="楷体_GB2312" w:cs="Times New Roman"/>
      <w:szCs w:val="20"/>
    </w:rPr>
  </w:style>
  <w:style w:type="paragraph" w:customStyle="1" w:styleId="894">
    <w:name w:val="CM1"/>
    <w:basedOn w:val="102"/>
    <w:next w:val="102"/>
    <w:qFormat/>
    <w:uiPriority w:val="99"/>
    <w:pPr>
      <w:autoSpaceDE w:val="0"/>
      <w:autoSpaceDN w:val="0"/>
    </w:pPr>
    <w:rPr>
      <w:rFonts w:ascii="宋体" w:cs="宋体"/>
      <w:color w:val="auto"/>
    </w:rPr>
  </w:style>
  <w:style w:type="paragraph" w:customStyle="1" w:styleId="895">
    <w:name w:val="xl80"/>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896">
    <w:name w:val="Achievement"/>
    <w:basedOn w:val="31"/>
    <w:qFormat/>
    <w:uiPriority w:val="99"/>
    <w:pPr>
      <w:spacing w:after="60" w:line="220" w:lineRule="atLeast"/>
      <w:ind w:left="245" w:right="-360" w:hanging="245"/>
    </w:pPr>
    <w:rPr>
      <w:rFonts w:ascii="Times New Roman" w:hAnsi="Times New Roman"/>
      <w:color w:val="auto"/>
      <w:kern w:val="0"/>
      <w:sz w:val="20"/>
      <w:szCs w:val="20"/>
    </w:rPr>
  </w:style>
  <w:style w:type="paragraph" w:customStyle="1" w:styleId="897">
    <w:name w:val="Exhibit--Caption"/>
    <w:basedOn w:val="898"/>
    <w:next w:val="31"/>
    <w:semiHidden/>
    <w:qFormat/>
    <w:uiPriority w:val="99"/>
    <w:rPr>
      <w:i/>
    </w:rPr>
  </w:style>
  <w:style w:type="paragraph" w:customStyle="1" w:styleId="898">
    <w:name w:val="Exhibit--Title"/>
    <w:basedOn w:val="899"/>
    <w:next w:val="897"/>
    <w:qFormat/>
    <w:uiPriority w:val="0"/>
    <w:rPr>
      <w:b w:val="0"/>
      <w:sz w:val="20"/>
    </w:rPr>
  </w:style>
  <w:style w:type="paragraph" w:customStyle="1" w:styleId="899">
    <w:name w:val="Exhibit--Number"/>
    <w:basedOn w:val="900"/>
    <w:next w:val="898"/>
    <w:semiHidden/>
    <w:qFormat/>
    <w:uiPriority w:val="99"/>
  </w:style>
  <w:style w:type="paragraph" w:customStyle="1" w:styleId="900">
    <w:name w:val="Main-Head"/>
    <w:basedOn w:val="1"/>
    <w:next w:val="31"/>
    <w:semiHidden/>
    <w:qFormat/>
    <w:uiPriority w:val="99"/>
    <w:pPr>
      <w:widowControl w:val="0"/>
      <w:jc w:val="both"/>
    </w:pPr>
    <w:rPr>
      <w:rFonts w:ascii="Arial Narrow" w:hAnsi="Arial Narrow" w:eastAsia="仿宋_GB2312" w:cs="Times New Roman"/>
      <w:b/>
      <w:kern w:val="2"/>
      <w:sz w:val="22"/>
    </w:rPr>
  </w:style>
  <w:style w:type="paragraph" w:customStyle="1" w:styleId="901">
    <w:name w:val="列表 4R"/>
    <w:basedOn w:val="69"/>
    <w:qFormat/>
    <w:uiPriority w:val="99"/>
    <w:pPr>
      <w:tabs>
        <w:tab w:val="left" w:pos="907"/>
      </w:tabs>
      <w:topLinePunct w:val="0"/>
      <w:spacing w:beforeLines="50" w:afterLines="30" w:line="288" w:lineRule="auto"/>
      <w:ind w:left="907" w:leftChars="0" w:hanging="567" w:firstLineChars="0"/>
      <w:jc w:val="both"/>
    </w:pPr>
    <w:rPr>
      <w:rFonts w:ascii="Arial" w:hAnsi="Arial" w:eastAsia="宋体"/>
      <w:color w:val="CCFFFF"/>
      <w:sz w:val="24"/>
    </w:rPr>
  </w:style>
  <w:style w:type="paragraph" w:customStyle="1" w:styleId="902">
    <w:name w:val="小标题2"/>
    <w:basedOn w:val="1"/>
    <w:qFormat/>
    <w:uiPriority w:val="0"/>
    <w:pPr>
      <w:widowControl w:val="0"/>
      <w:tabs>
        <w:tab w:val="left" w:pos="5400"/>
      </w:tabs>
      <w:overflowPunct w:val="0"/>
      <w:spacing w:line="336" w:lineRule="auto"/>
      <w:ind w:firstLine="480" w:firstLineChars="200"/>
      <w:jc w:val="both"/>
    </w:pPr>
    <w:rPr>
      <w:rFonts w:ascii="Times New Roman" w:hAnsi="Times New Roman" w:cs="Times New Roman"/>
      <w:kern w:val="2"/>
    </w:rPr>
  </w:style>
  <w:style w:type="paragraph" w:customStyle="1" w:styleId="903">
    <w:name w:val="font7"/>
    <w:basedOn w:val="1"/>
    <w:qFormat/>
    <w:uiPriority w:val="99"/>
    <w:pPr>
      <w:spacing w:before="100" w:beforeAutospacing="1" w:after="100" w:afterAutospacing="1"/>
    </w:pPr>
    <w:rPr>
      <w:rFonts w:ascii="Times New Roman" w:hAnsi="Times New Roman" w:eastAsia="Arial Unicode MS" w:cs="Times New Roman"/>
      <w:b/>
      <w:bCs/>
      <w:sz w:val="32"/>
      <w:szCs w:val="32"/>
    </w:rPr>
  </w:style>
  <w:style w:type="paragraph" w:customStyle="1" w:styleId="904">
    <w:name w:val="报告表  段"/>
    <w:basedOn w:val="1"/>
    <w:qFormat/>
    <w:uiPriority w:val="99"/>
    <w:pPr>
      <w:widowControl w:val="0"/>
      <w:adjustRightInd w:val="0"/>
      <w:spacing w:line="360" w:lineRule="auto"/>
      <w:ind w:firstLine="505"/>
      <w:jc w:val="both"/>
      <w:textAlignment w:val="baseline"/>
    </w:pPr>
    <w:rPr>
      <w:rFonts w:hAnsi="Times New Roman" w:cs="Times New Roman"/>
      <w:szCs w:val="20"/>
    </w:rPr>
  </w:style>
  <w:style w:type="character" w:customStyle="1" w:styleId="905">
    <w:name w:val="正文首行缩进 2 Char2"/>
    <w:basedOn w:val="124"/>
    <w:qFormat/>
    <w:uiPriority w:val="0"/>
    <w:rPr>
      <w:rFonts w:ascii="宋体" w:hAnsi="宋体" w:eastAsia="仿宋_GB2312" w:cs="宋体"/>
      <w:spacing w:val="-2"/>
      <w:sz w:val="24"/>
      <w:szCs w:val="24"/>
    </w:rPr>
  </w:style>
  <w:style w:type="character" w:customStyle="1" w:styleId="906">
    <w:name w:val="称呼 Char2"/>
    <w:basedOn w:val="83"/>
    <w:qFormat/>
    <w:uiPriority w:val="0"/>
    <w:rPr>
      <w:rFonts w:ascii="宋体" w:hAnsi="宋体" w:cs="宋体"/>
      <w:sz w:val="24"/>
      <w:szCs w:val="24"/>
    </w:rPr>
  </w:style>
  <w:style w:type="paragraph" w:customStyle="1" w:styleId="907">
    <w:name w:val="列表 E"/>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character" w:customStyle="1" w:styleId="908">
    <w:name w:val="HTML 预设格式 Char2"/>
    <w:basedOn w:val="83"/>
    <w:qFormat/>
    <w:uiPriority w:val="0"/>
    <w:rPr>
      <w:rFonts w:ascii="Courier New" w:hAnsi="Courier New" w:cs="Courier New"/>
    </w:rPr>
  </w:style>
  <w:style w:type="paragraph" w:customStyle="1" w:styleId="909">
    <w:name w:val="粗体字"/>
    <w:basedOn w:val="1"/>
    <w:qFormat/>
    <w:uiPriority w:val="99"/>
    <w:pPr>
      <w:widowControl w:val="0"/>
      <w:spacing w:line="360" w:lineRule="auto"/>
      <w:ind w:firstLine="200" w:firstLineChars="200"/>
      <w:jc w:val="both"/>
    </w:pPr>
    <w:rPr>
      <w:rFonts w:cs="Times New Roman"/>
      <w:b/>
      <w:bCs/>
      <w:szCs w:val="20"/>
    </w:rPr>
  </w:style>
  <w:style w:type="paragraph" w:customStyle="1" w:styleId="910">
    <w:name w:val="样式 样式 宋体 13 磅 白色 首行缩进:  0.74 厘米 + 自动设置 首行缩进:  2 字符"/>
    <w:basedOn w:val="1"/>
    <w:qFormat/>
    <w:uiPriority w:val="99"/>
    <w:pPr>
      <w:widowControl w:val="0"/>
      <w:ind w:firstLine="520" w:firstLineChars="200"/>
      <w:jc w:val="both"/>
    </w:pPr>
    <w:rPr>
      <w:kern w:val="2"/>
      <w:sz w:val="27"/>
      <w:szCs w:val="27"/>
    </w:rPr>
  </w:style>
  <w:style w:type="paragraph" w:customStyle="1" w:styleId="91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912">
    <w:name w:val="图表目录11"/>
    <w:basedOn w:val="250"/>
    <w:next w:val="250"/>
    <w:qFormat/>
    <w:uiPriority w:val="99"/>
    <w:pPr>
      <w:tabs>
        <w:tab w:val="right" w:leader="dot" w:pos="8051"/>
      </w:tabs>
      <w:ind w:left="840" w:hanging="840"/>
    </w:pPr>
  </w:style>
  <w:style w:type="paragraph" w:customStyle="1" w:styleId="913">
    <w:name w:val="正文一"/>
    <w:basedOn w:val="1"/>
    <w:qFormat/>
    <w:uiPriority w:val="99"/>
    <w:pPr>
      <w:widowControl w:val="0"/>
      <w:adjustRightInd w:val="0"/>
      <w:spacing w:line="520" w:lineRule="exact"/>
      <w:ind w:firstLine="200" w:firstLineChars="200"/>
      <w:jc w:val="both"/>
      <w:textAlignment w:val="baseline"/>
    </w:pPr>
    <w:rPr>
      <w:rFonts w:cs="Times New Roman"/>
    </w:rPr>
  </w:style>
  <w:style w:type="paragraph" w:customStyle="1" w:styleId="914">
    <w:name w:val="排序（1）（2）"/>
    <w:basedOn w:val="1"/>
    <w:qFormat/>
    <w:uiPriority w:val="99"/>
    <w:pPr>
      <w:widowControl w:val="0"/>
      <w:spacing w:line="460" w:lineRule="atLeast"/>
      <w:jc w:val="both"/>
    </w:pPr>
    <w:rPr>
      <w:rFonts w:ascii="Times New Roman" w:hAnsi="Times New Roman" w:cs="Times New Roman"/>
      <w:spacing w:val="12"/>
      <w:kern w:val="2"/>
    </w:rPr>
  </w:style>
  <w:style w:type="paragraph" w:customStyle="1" w:styleId="915">
    <w:name w:val="xl101"/>
    <w:basedOn w:val="1"/>
    <w:qFormat/>
    <w:uiPriority w:val="99"/>
    <w:pPr>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916">
    <w:name w:val="样式 正文首行缩进 + 四号 首行缩进:  1 字符 段后: 2.5 磅 行距: 1.5 倍行距"/>
    <w:basedOn w:val="78"/>
    <w:qFormat/>
    <w:uiPriority w:val="99"/>
    <w:pPr>
      <w:widowControl w:val="0"/>
      <w:spacing w:after="0" w:line="360" w:lineRule="auto"/>
      <w:ind w:firstLine="100"/>
    </w:pPr>
    <w:rPr>
      <w:rFonts w:ascii="Times New Roman" w:hAnsi="Times New Roman"/>
      <w:sz w:val="28"/>
    </w:rPr>
  </w:style>
  <w:style w:type="paragraph" w:customStyle="1" w:styleId="917">
    <w:name w:val="南郊正文"/>
    <w:basedOn w:val="1"/>
    <w:next w:val="1"/>
    <w:qFormat/>
    <w:uiPriority w:val="99"/>
    <w:pPr>
      <w:widowControl w:val="0"/>
      <w:jc w:val="both"/>
    </w:pPr>
    <w:rPr>
      <w:rFonts w:ascii="Times New Roman" w:hAnsi="Times New Roman" w:cs="Times New Roman"/>
      <w:kern w:val="2"/>
    </w:rPr>
  </w:style>
  <w:style w:type="paragraph" w:customStyle="1" w:styleId="918">
    <w:name w:val="表标题3.10"/>
    <w:basedOn w:val="814"/>
    <w:qFormat/>
    <w:uiPriority w:val="99"/>
  </w:style>
  <w:style w:type="paragraph" w:customStyle="1" w:styleId="919">
    <w:name w:val="Char Char Char Char Char Char Char Char Char Char"/>
    <w:basedOn w:val="1"/>
    <w:qFormat/>
    <w:uiPriority w:val="0"/>
    <w:pPr>
      <w:widowControl w:val="0"/>
      <w:jc w:val="both"/>
    </w:pPr>
    <w:rPr>
      <w:color w:val="000000"/>
      <w:kern w:val="2"/>
      <w:sz w:val="21"/>
      <w:szCs w:val="21"/>
    </w:rPr>
  </w:style>
  <w:style w:type="paragraph" w:customStyle="1" w:styleId="920">
    <w:name w:val="xl98"/>
    <w:basedOn w:val="1"/>
    <w:qFormat/>
    <w:uiPriority w:val="99"/>
    <w:pPr>
      <w:pBdr>
        <w:left w:val="single" w:color="auto" w:sz="8" w:space="0"/>
        <w:bottom w:val="single" w:color="auto" w:sz="8"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16"/>
      <w:szCs w:val="16"/>
    </w:rPr>
  </w:style>
  <w:style w:type="paragraph" w:customStyle="1" w:styleId="921">
    <w:name w:val="列表 2N"/>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922">
    <w:name w:val="列表 5N"/>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923">
    <w:name w:val="条(二级)"/>
    <w:basedOn w:val="4"/>
    <w:next w:val="1"/>
    <w:qFormat/>
    <w:uiPriority w:val="99"/>
    <w:pPr>
      <w:widowControl w:val="0"/>
      <w:autoSpaceDE w:val="0"/>
      <w:autoSpaceDN w:val="0"/>
      <w:adjustRightInd w:val="0"/>
      <w:spacing w:line="460" w:lineRule="exact"/>
      <w:textAlignment w:val="baseline"/>
      <w:outlineLvl w:val="9"/>
    </w:pPr>
    <w:rPr>
      <w:rFonts w:ascii="宋体" w:hAnsi="Times New Roman" w:eastAsia="宋体"/>
      <w:b/>
      <w:bCs w:val="0"/>
      <w:spacing w:val="3"/>
      <w:kern w:val="24"/>
      <w:sz w:val="26"/>
      <w:szCs w:val="20"/>
    </w:rPr>
  </w:style>
  <w:style w:type="paragraph" w:customStyle="1" w:styleId="924">
    <w:name w:val="新标题2"/>
    <w:basedOn w:val="1"/>
    <w:next w:val="78"/>
    <w:qFormat/>
    <w:uiPriority w:val="99"/>
    <w:pPr>
      <w:widowControl w:val="0"/>
      <w:spacing w:beforeLines="50" w:afterLines="50" w:line="360" w:lineRule="auto"/>
      <w:ind w:firstLine="200" w:firstLineChars="200"/>
      <w:jc w:val="center"/>
    </w:pPr>
  </w:style>
  <w:style w:type="paragraph" w:customStyle="1" w:styleId="925">
    <w:name w:val="条(三级)"/>
    <w:basedOn w:val="923"/>
    <w:next w:val="926"/>
    <w:qFormat/>
    <w:uiPriority w:val="99"/>
    <w:rPr>
      <w:b w:val="0"/>
    </w:rPr>
  </w:style>
  <w:style w:type="paragraph" w:customStyle="1" w:styleId="926">
    <w:name w:val="条(四级)"/>
    <w:basedOn w:val="1"/>
    <w:next w:val="1"/>
    <w:qFormat/>
    <w:uiPriority w:val="99"/>
    <w:pPr>
      <w:keepNext/>
      <w:keepLines/>
      <w:widowControl w:val="0"/>
      <w:autoSpaceDE w:val="0"/>
      <w:autoSpaceDN w:val="0"/>
      <w:adjustRightInd w:val="0"/>
      <w:spacing w:line="460" w:lineRule="exact"/>
      <w:textAlignment w:val="baseline"/>
    </w:pPr>
    <w:rPr>
      <w:rFonts w:hAnsi="Times New Roman" w:cs="Times New Roman"/>
      <w:spacing w:val="3"/>
      <w:kern w:val="24"/>
      <w:sz w:val="26"/>
      <w:szCs w:val="20"/>
    </w:rPr>
  </w:style>
  <w:style w:type="paragraph" w:customStyle="1" w:styleId="927">
    <w:name w:val="Char Char Char1 Char Char Char Char Char Char Char2"/>
    <w:basedOn w:val="1"/>
    <w:qFormat/>
    <w:uiPriority w:val="99"/>
    <w:pPr>
      <w:widowControl w:val="0"/>
      <w:jc w:val="both"/>
    </w:pPr>
    <w:rPr>
      <w:rFonts w:ascii="Times New Roman" w:hAnsi="Times New Roman" w:cs="Times New Roman"/>
      <w:kern w:val="2"/>
      <w:sz w:val="21"/>
    </w:rPr>
  </w:style>
  <w:style w:type="paragraph" w:customStyle="1" w:styleId="928">
    <w:name w:val="Char Char Char Char Char Char1 Char"/>
    <w:basedOn w:val="1"/>
    <w:qFormat/>
    <w:uiPriority w:val="0"/>
    <w:pPr>
      <w:spacing w:after="160" w:line="240" w:lineRule="exact"/>
    </w:pPr>
    <w:rPr>
      <w:rFonts w:ascii="Arial" w:hAnsi="Arial" w:eastAsia="Times New Roman" w:cs="Times New Roman"/>
      <w:b/>
      <w:szCs w:val="20"/>
      <w:lang w:eastAsia="en-US"/>
    </w:rPr>
  </w:style>
  <w:style w:type="paragraph" w:customStyle="1" w:styleId="929">
    <w:name w:val="xl53"/>
    <w:basedOn w:val="1"/>
    <w:qFormat/>
    <w:uiPriority w:val="99"/>
    <w:pPr>
      <w:pBdr>
        <w:top w:val="single" w:color="auto" w:sz="8" w:space="0"/>
        <w:left w:val="single" w:color="auto" w:sz="4" w:space="0"/>
        <w:bottom w:val="single" w:color="auto" w:sz="8" w:space="0"/>
      </w:pBdr>
      <w:spacing w:before="100" w:beforeAutospacing="1" w:after="100" w:afterAutospacing="1"/>
    </w:pPr>
    <w:rPr>
      <w:rFonts w:eastAsia="仿宋_GB2312" w:cs="Times New Roman"/>
      <w:b/>
      <w:bCs/>
      <w:position w:val="-6"/>
      <w:szCs w:val="21"/>
    </w:rPr>
  </w:style>
  <w:style w:type="paragraph" w:customStyle="1" w:styleId="930">
    <w:name w:val="标题样式3"/>
    <w:basedOn w:val="6"/>
    <w:qFormat/>
    <w:uiPriority w:val="99"/>
    <w:pPr>
      <w:keepNext w:val="0"/>
      <w:widowControl w:val="0"/>
      <w:spacing w:line="360" w:lineRule="auto"/>
      <w:jc w:val="both"/>
    </w:pPr>
    <w:rPr>
      <w:rFonts w:ascii="黑体" w:cs="黑体"/>
      <w:b/>
      <w:color w:val="000000"/>
      <w:sz w:val="28"/>
      <w:szCs w:val="28"/>
      <w:lang w:val="zh-CN"/>
    </w:rPr>
  </w:style>
  <w:style w:type="paragraph" w:customStyle="1" w:styleId="931">
    <w:name w:val="Char Char Char1 Char Char Char"/>
    <w:basedOn w:val="1"/>
    <w:qFormat/>
    <w:uiPriority w:val="0"/>
    <w:pPr>
      <w:widowControl w:val="0"/>
      <w:jc w:val="both"/>
    </w:pPr>
    <w:rPr>
      <w:rFonts w:ascii="Times New Roman" w:hAnsi="Times New Roman" w:cs="Times New Roman"/>
      <w:kern w:val="2"/>
      <w:sz w:val="21"/>
    </w:rPr>
  </w:style>
  <w:style w:type="paragraph" w:customStyle="1" w:styleId="932">
    <w:name w:val="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933">
    <w:name w:val="列表 5R"/>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934">
    <w:name w:val="xl64"/>
    <w:basedOn w:val="1"/>
    <w:qFormat/>
    <w:uiPriority w:val="99"/>
    <w:pPr>
      <w:pBdr>
        <w:left w:val="single" w:color="auto" w:sz="4" w:space="0"/>
      </w:pBdr>
      <w:spacing w:before="100" w:beforeAutospacing="1" w:after="100" w:afterAutospacing="1"/>
      <w:jc w:val="right"/>
    </w:pPr>
    <w:rPr>
      <w:rFonts w:eastAsia="仿宋_GB2312" w:cs="Times New Roman"/>
      <w:position w:val="-6"/>
    </w:rPr>
  </w:style>
  <w:style w:type="paragraph" w:customStyle="1" w:styleId="935">
    <w:name w:val="封面标准文稿类别"/>
    <w:semiHidden/>
    <w:qFormat/>
    <w:uiPriority w:val="99"/>
    <w:pPr>
      <w:spacing w:before="440" w:line="400" w:lineRule="exact"/>
      <w:jc w:val="center"/>
    </w:pPr>
    <w:rPr>
      <w:rFonts w:ascii="宋体" w:hAnsi="Times New Roman" w:eastAsia="宋体" w:cs="Times New Roman"/>
      <w:sz w:val="24"/>
      <w:lang w:val="en-US" w:eastAsia="zh-CN" w:bidi="ar-SA"/>
    </w:rPr>
  </w:style>
  <w:style w:type="paragraph" w:customStyle="1" w:styleId="936">
    <w:name w:val="xl51"/>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937">
    <w:name w:val="标题11"/>
    <w:basedOn w:val="1"/>
    <w:next w:val="1"/>
    <w:qFormat/>
    <w:uiPriority w:val="99"/>
    <w:pPr>
      <w:widowControl w:val="0"/>
      <w:spacing w:beforeLines="100" w:afterLines="50" w:line="360" w:lineRule="auto"/>
      <w:outlineLvl w:val="0"/>
    </w:pPr>
    <w:rPr>
      <w:rFonts w:ascii="仿宋_GB2312" w:hAnsi="Times New Roman" w:eastAsia="黑体" w:cs="Times New Roman"/>
      <w:b/>
      <w:kern w:val="2"/>
      <w:sz w:val="28"/>
      <w:szCs w:val="20"/>
    </w:rPr>
  </w:style>
  <w:style w:type="paragraph" w:customStyle="1" w:styleId="938">
    <w:name w:val="样式 标题 2 + Times New Roman 小三 居中 行距: 固定值 20 磅"/>
    <w:basedOn w:val="4"/>
    <w:qFormat/>
    <w:uiPriority w:val="99"/>
    <w:pPr>
      <w:spacing w:before="260" w:after="260" w:line="400" w:lineRule="exact"/>
      <w:ind w:firstLine="538" w:firstLineChars="192"/>
    </w:pPr>
    <w:rPr>
      <w:rFonts w:ascii="Times New Roman" w:hAnsi="Times New Roman" w:cs="宋体"/>
      <w:b/>
      <w:bCs w:val="0"/>
      <w:sz w:val="30"/>
      <w:szCs w:val="20"/>
    </w:rPr>
  </w:style>
  <w:style w:type="paragraph" w:customStyle="1" w:styleId="939">
    <w:name w:val="Char Char Char Char Char Char1 Char1"/>
    <w:basedOn w:val="1"/>
    <w:qFormat/>
    <w:uiPriority w:val="99"/>
    <w:pPr>
      <w:widowControl w:val="0"/>
      <w:jc w:val="both"/>
    </w:pPr>
    <w:rPr>
      <w:rFonts w:ascii="Times New Roman" w:hAnsi="Times New Roman" w:cs="Times New Roman"/>
      <w:kern w:val="2"/>
      <w:sz w:val="21"/>
    </w:rPr>
  </w:style>
  <w:style w:type="paragraph" w:customStyle="1" w:styleId="940">
    <w:name w:val="标题样工7"/>
    <w:basedOn w:val="1"/>
    <w:qFormat/>
    <w:uiPriority w:val="99"/>
    <w:pPr>
      <w:jc w:val="both"/>
    </w:pPr>
    <w:rPr>
      <w:rFonts w:ascii="华文楷体" w:hAnsi="华文楷体" w:eastAsia="仿宋_GB2312" w:cs="Times New Roman"/>
      <w:position w:val="-6"/>
      <w:szCs w:val="20"/>
    </w:rPr>
  </w:style>
  <w:style w:type="paragraph" w:customStyle="1" w:styleId="941">
    <w:name w:val="xl109"/>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942">
    <w:name w:val="xl49"/>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943">
    <w:name w:val="CM8"/>
    <w:basedOn w:val="102"/>
    <w:next w:val="102"/>
    <w:qFormat/>
    <w:uiPriority w:val="99"/>
    <w:pPr>
      <w:autoSpaceDE w:val="0"/>
      <w:autoSpaceDN w:val="0"/>
      <w:spacing w:line="466" w:lineRule="atLeast"/>
    </w:pPr>
    <w:rPr>
      <w:color w:val="auto"/>
    </w:rPr>
  </w:style>
  <w:style w:type="paragraph" w:customStyle="1" w:styleId="944">
    <w:name w:val="CM17"/>
    <w:basedOn w:val="102"/>
    <w:next w:val="102"/>
    <w:qFormat/>
    <w:uiPriority w:val="99"/>
    <w:pPr>
      <w:autoSpaceDE w:val="0"/>
      <w:autoSpaceDN w:val="0"/>
    </w:pPr>
    <w:rPr>
      <w:color w:val="auto"/>
    </w:rPr>
  </w:style>
  <w:style w:type="paragraph" w:customStyle="1" w:styleId="945">
    <w:name w:val="湛江钢铁表标题"/>
    <w:basedOn w:val="1"/>
    <w:qFormat/>
    <w:uiPriority w:val="99"/>
    <w:pPr>
      <w:widowControl w:val="0"/>
      <w:spacing w:beforeLines="50" w:line="360" w:lineRule="auto"/>
      <w:ind w:firstLine="480" w:firstLineChars="200"/>
      <w:jc w:val="center"/>
    </w:pPr>
    <w:rPr>
      <w:rFonts w:ascii="Times New Roman" w:hAnsi="Times New Roman" w:eastAsia="仿宋_GB2312" w:cs="Times New Roman"/>
      <w:color w:val="000000"/>
    </w:rPr>
  </w:style>
  <w:style w:type="paragraph" w:customStyle="1" w:styleId="946">
    <w:name w:val="样式 四号 行距: 1.5 倍行距"/>
    <w:basedOn w:val="1"/>
    <w:qFormat/>
    <w:uiPriority w:val="0"/>
    <w:pPr>
      <w:widowControl w:val="0"/>
      <w:spacing w:line="360" w:lineRule="auto"/>
      <w:ind w:firstLine="560" w:firstLineChars="200"/>
      <w:jc w:val="both"/>
    </w:pPr>
    <w:rPr>
      <w:rFonts w:ascii="Times New Roman" w:hAnsi="Times New Roman"/>
      <w:kern w:val="2"/>
      <w:sz w:val="28"/>
      <w:szCs w:val="20"/>
    </w:rPr>
  </w:style>
  <w:style w:type="paragraph" w:customStyle="1" w:styleId="947">
    <w:name w:val="表中文字----------------"/>
    <w:basedOn w:val="1"/>
    <w:qFormat/>
    <w:uiPriority w:val="99"/>
    <w:pPr>
      <w:widowControl w:val="0"/>
      <w:jc w:val="center"/>
    </w:pPr>
    <w:rPr>
      <w:rFonts w:ascii="Times New Roman" w:hAnsi="Times New Roman" w:cs="Times New Roman"/>
      <w:kern w:val="2"/>
      <w:sz w:val="21"/>
      <w:szCs w:val="20"/>
    </w:rPr>
  </w:style>
  <w:style w:type="paragraph" w:customStyle="1" w:styleId="948">
    <w:name w:val="nub2.4"/>
    <w:qFormat/>
    <w:uiPriority w:val="0"/>
    <w:pPr>
      <w:widowControl w:val="0"/>
      <w:tabs>
        <w:tab w:val="left" w:pos="288"/>
        <w:tab w:val="left" w:pos="1721"/>
        <w:tab w:val="left" w:pos="2776"/>
        <w:tab w:val="left" w:pos="3568"/>
        <w:tab w:val="left" w:pos="4392"/>
        <w:tab w:val="left" w:pos="5052"/>
        <w:tab w:val="left" w:pos="5943"/>
        <w:tab w:val="left" w:pos="6553"/>
        <w:tab w:val="left" w:pos="6982"/>
        <w:tab w:val="left" w:pos="7807"/>
      </w:tabs>
      <w:autoSpaceDE w:val="0"/>
      <w:autoSpaceDN w:val="0"/>
      <w:adjustRightInd w:val="0"/>
      <w:spacing w:before="43" w:after="43" w:line="302" w:lineRule="atLeast"/>
      <w:ind w:left="604"/>
    </w:pPr>
    <w:rPr>
      <w:rFonts w:ascii="Arial" w:hAnsi="Arial" w:eastAsia="宋体" w:cs="Times New Roman"/>
      <w:color w:val="000000"/>
      <w:lang w:val="en-US" w:eastAsia="zh-CN" w:bidi="ar-SA"/>
    </w:rPr>
  </w:style>
  <w:style w:type="paragraph" w:customStyle="1" w:styleId="949">
    <w:name w:val="样式 标题 3 + 宋体 小四 非加粗"/>
    <w:basedOn w:val="6"/>
    <w:qFormat/>
    <w:uiPriority w:val="99"/>
    <w:pPr>
      <w:widowControl w:val="0"/>
      <w:tabs>
        <w:tab w:val="left" w:pos="720"/>
      </w:tabs>
      <w:spacing w:before="260" w:after="260" w:line="416" w:lineRule="auto"/>
      <w:ind w:left="720" w:hanging="720"/>
      <w:jc w:val="both"/>
    </w:pPr>
    <w:rPr>
      <w:rFonts w:ascii="宋体" w:hAnsi="宋体" w:eastAsia="宋体"/>
      <w:bCs w:val="0"/>
      <w:sz w:val="24"/>
    </w:rPr>
  </w:style>
  <w:style w:type="paragraph" w:customStyle="1" w:styleId="950">
    <w:name w:val="xl68"/>
    <w:basedOn w:val="1"/>
    <w:qFormat/>
    <w:uiPriority w:val="99"/>
    <w:pPr>
      <w:pBdr>
        <w:bottom w:val="single" w:color="auto" w:sz="4" w:space="0"/>
        <w:right w:val="single" w:color="auto" w:sz="8" w:space="0"/>
      </w:pBdr>
      <w:spacing w:before="100" w:beforeAutospacing="1" w:after="100" w:afterAutospacing="1"/>
      <w:jc w:val="center"/>
    </w:pPr>
    <w:rPr>
      <w:rFonts w:eastAsia="仿宋_GB2312" w:cs="Times New Roman"/>
      <w:position w:val="-6"/>
      <w:szCs w:val="21"/>
    </w:rPr>
  </w:style>
  <w:style w:type="paragraph" w:customStyle="1" w:styleId="951">
    <w:name w:val="小5"/>
    <w:basedOn w:val="1"/>
    <w:qFormat/>
    <w:uiPriority w:val="99"/>
    <w:pPr>
      <w:adjustRightInd w:val="0"/>
      <w:snapToGrid w:val="0"/>
      <w:spacing w:line="400" w:lineRule="exact"/>
      <w:jc w:val="center"/>
    </w:pPr>
    <w:rPr>
      <w:rFonts w:cs="Times New Roman"/>
      <w:sz w:val="21"/>
      <w:szCs w:val="21"/>
    </w:rPr>
  </w:style>
  <w:style w:type="paragraph" w:customStyle="1" w:styleId="952">
    <w:name w:val="列表 2U"/>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953">
    <w:name w:val="表内小5中"/>
    <w:basedOn w:val="1"/>
    <w:qFormat/>
    <w:uiPriority w:val="99"/>
    <w:pPr>
      <w:widowControl w:val="0"/>
      <w:jc w:val="both"/>
    </w:pPr>
    <w:rPr>
      <w:rFonts w:hAnsi="Times New Roman" w:cs="Times New Roman"/>
      <w:kern w:val="2"/>
      <w:sz w:val="18"/>
      <w:szCs w:val="18"/>
    </w:rPr>
  </w:style>
  <w:style w:type="paragraph" w:customStyle="1" w:styleId="954">
    <w:name w:val="样式 标题 2节标题 1.1标题节第一层条H2Heading 2 HiddenHeading 2 CCBSPIM2..."/>
    <w:basedOn w:val="4"/>
    <w:qFormat/>
    <w:uiPriority w:val="99"/>
    <w:pPr>
      <w:widowControl w:val="0"/>
      <w:spacing w:before="260" w:after="260" w:line="415" w:lineRule="auto"/>
      <w:jc w:val="both"/>
    </w:pPr>
    <w:rPr>
      <w:rFonts w:ascii="Arial" w:hAnsi="Arial"/>
      <w:b/>
      <w:sz w:val="32"/>
      <w:szCs w:val="20"/>
    </w:rPr>
  </w:style>
  <w:style w:type="paragraph" w:customStyle="1" w:styleId="955">
    <w:name w:val="font11"/>
    <w:basedOn w:val="1"/>
    <w:qFormat/>
    <w:uiPriority w:val="99"/>
    <w:pPr>
      <w:spacing w:before="100" w:beforeAutospacing="1" w:after="100" w:afterAutospacing="1"/>
    </w:pPr>
    <w:rPr>
      <w:rFonts w:hint="eastAsia" w:cs="Arial Unicode MS"/>
      <w:b/>
      <w:bCs/>
      <w:sz w:val="20"/>
      <w:szCs w:val="20"/>
    </w:rPr>
  </w:style>
  <w:style w:type="paragraph" w:customStyle="1" w:styleId="956">
    <w:name w:val="表格内容格式"/>
    <w:basedOn w:val="1"/>
    <w:qFormat/>
    <w:uiPriority w:val="99"/>
    <w:pPr>
      <w:widowControl w:val="0"/>
      <w:adjustRightInd w:val="0"/>
      <w:snapToGrid w:val="0"/>
      <w:jc w:val="center"/>
      <w:textAlignment w:val="baseline"/>
    </w:pPr>
    <w:rPr>
      <w:rFonts w:cs="Times New Roman"/>
      <w:snapToGrid w:val="0"/>
      <w:sz w:val="21"/>
      <w:szCs w:val="20"/>
    </w:rPr>
  </w:style>
  <w:style w:type="paragraph" w:customStyle="1" w:styleId="957">
    <w:name w:val="xl76"/>
    <w:basedOn w:val="1"/>
    <w:qFormat/>
    <w:uiPriority w:val="99"/>
    <w:pPr>
      <w:pBdr>
        <w:top w:val="single" w:color="auto" w:sz="8"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958">
    <w:name w:val="xl56"/>
    <w:basedOn w:val="1"/>
    <w:qFormat/>
    <w:uiPriority w:val="99"/>
    <w:pPr>
      <w:pBdr>
        <w:top w:val="single" w:color="auto" w:sz="8" w:space="0"/>
        <w:left w:val="single" w:color="auto" w:sz="4" w:space="0"/>
        <w:bottom w:val="single" w:color="auto" w:sz="4" w:space="0"/>
      </w:pBdr>
      <w:spacing w:before="100" w:beforeAutospacing="1" w:after="100" w:afterAutospacing="1"/>
      <w:jc w:val="center"/>
    </w:pPr>
    <w:rPr>
      <w:rFonts w:eastAsia="仿宋_GB2312" w:cs="Times New Roman"/>
      <w:position w:val="-6"/>
      <w:szCs w:val="21"/>
    </w:rPr>
  </w:style>
  <w:style w:type="paragraph" w:customStyle="1" w:styleId="959">
    <w:name w:val="报告书正文"/>
    <w:basedOn w:val="1"/>
    <w:qFormat/>
    <w:uiPriority w:val="0"/>
    <w:pPr>
      <w:widowControl w:val="0"/>
      <w:adjustRightInd w:val="0"/>
      <w:spacing w:line="360" w:lineRule="exact"/>
      <w:ind w:firstLine="454"/>
      <w:jc w:val="both"/>
      <w:textAlignment w:val="baseline"/>
    </w:pPr>
    <w:rPr>
      <w:rFonts w:ascii="Times New Roman" w:hAnsi="Times New Roman" w:cs="Times New Roman"/>
      <w:szCs w:val="20"/>
    </w:rPr>
  </w:style>
  <w:style w:type="paragraph" w:customStyle="1" w:styleId="960">
    <w:name w:val="列表 4M"/>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961">
    <w:name w:val="Job Title"/>
    <w:next w:val="896"/>
    <w:qFormat/>
    <w:uiPriority w:val="99"/>
    <w:pPr>
      <w:spacing w:after="40" w:line="220" w:lineRule="atLeast"/>
    </w:pPr>
    <w:rPr>
      <w:rFonts w:ascii="Arial" w:hAnsi="Arial" w:eastAsia="宋体" w:cs="Times New Roman"/>
      <w:b/>
      <w:spacing w:val="-10"/>
      <w:lang w:val="en-US" w:eastAsia="zh-CN" w:bidi="ar-SA"/>
    </w:rPr>
  </w:style>
  <w:style w:type="paragraph" w:customStyle="1" w:styleId="962">
    <w:name w:val="列表 M"/>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963">
    <w:name w:val="编制人员"/>
    <w:basedOn w:val="1"/>
    <w:qFormat/>
    <w:uiPriority w:val="99"/>
    <w:pPr>
      <w:keepNext/>
      <w:widowControl w:val="0"/>
      <w:tabs>
        <w:tab w:val="left" w:pos="2190"/>
      </w:tabs>
      <w:adjustRightInd w:val="0"/>
      <w:snapToGrid w:val="0"/>
      <w:spacing w:line="360" w:lineRule="auto"/>
      <w:jc w:val="center"/>
    </w:pPr>
    <w:rPr>
      <w:rFonts w:ascii="黑体" w:eastAsia="黑体" w:cs="Times New Roman"/>
      <w:kern w:val="2"/>
      <w:sz w:val="32"/>
      <w:szCs w:val="28"/>
    </w:rPr>
  </w:style>
  <w:style w:type="paragraph" w:customStyle="1" w:styleId="964">
    <w:name w:val="样式 正文缩进 + 小四1"/>
    <w:basedOn w:val="5"/>
    <w:qFormat/>
    <w:uiPriority w:val="99"/>
    <w:pPr>
      <w:keepNext/>
      <w:widowControl w:val="0"/>
      <w:tabs>
        <w:tab w:val="left" w:pos="1727"/>
        <w:tab w:val="left" w:pos="1884"/>
      </w:tabs>
      <w:spacing w:line="360" w:lineRule="auto"/>
      <w:ind w:firstLine="480"/>
      <w:outlineLvl w:val="0"/>
    </w:pPr>
    <w:rPr>
      <w:rFonts w:ascii="宋体" w:hAnsi="宋体" w:cs="宋体"/>
      <w:snapToGrid w:val="0"/>
      <w:color w:val="000000"/>
    </w:rPr>
  </w:style>
  <w:style w:type="character" w:customStyle="1" w:styleId="965">
    <w:name w:val="z-窗体顶端 Char2"/>
    <w:basedOn w:val="83"/>
    <w:semiHidden/>
    <w:qFormat/>
    <w:uiPriority w:val="99"/>
    <w:rPr>
      <w:rFonts w:ascii="Arial" w:hAnsi="Arial" w:cs="Arial"/>
      <w:vanish/>
      <w:sz w:val="16"/>
      <w:szCs w:val="16"/>
    </w:rPr>
  </w:style>
  <w:style w:type="paragraph" w:customStyle="1" w:styleId="966">
    <w:name w:val="内蒙4="/>
    <w:basedOn w:val="1"/>
    <w:qFormat/>
    <w:uiPriority w:val="99"/>
    <w:pPr>
      <w:widowControl w:val="0"/>
      <w:spacing w:line="480" w:lineRule="exact"/>
      <w:jc w:val="both"/>
      <w:outlineLvl w:val="3"/>
    </w:pPr>
    <w:rPr>
      <w:rFonts w:ascii="Times New Roman" w:cs="Times New Roman"/>
      <w:b/>
      <w:color w:val="FF0000"/>
      <w:spacing w:val="20"/>
      <w:kern w:val="2"/>
    </w:rPr>
  </w:style>
  <w:style w:type="paragraph" w:customStyle="1" w:styleId="967">
    <w:name w:val="小四表文左齐"/>
    <w:basedOn w:val="1"/>
    <w:qFormat/>
    <w:uiPriority w:val="99"/>
    <w:pPr>
      <w:jc w:val="center"/>
    </w:pPr>
    <w:rPr>
      <w:rFonts w:ascii="Times New Roman" w:hAnsi="Times New Roman" w:eastAsia="仿宋_GB2312" w:cs="Times New Roman"/>
      <w:bCs/>
      <w:spacing w:val="6"/>
      <w:kern w:val="16"/>
      <w:sz w:val="28"/>
      <w:szCs w:val="21"/>
    </w:rPr>
  </w:style>
  <w:style w:type="paragraph" w:customStyle="1" w:styleId="968">
    <w:name w:val="xl57"/>
    <w:basedOn w:val="1"/>
    <w:qFormat/>
    <w:uiPriority w:val="99"/>
    <w:pPr>
      <w:pBdr>
        <w:top w:val="single" w:color="auto" w:sz="8" w:space="0"/>
        <w:bottom w:val="single" w:color="auto" w:sz="4" w:space="0"/>
      </w:pBdr>
      <w:spacing w:before="100" w:beforeAutospacing="1" w:after="100" w:afterAutospacing="1"/>
      <w:jc w:val="center"/>
    </w:pPr>
    <w:rPr>
      <w:rFonts w:eastAsia="仿宋_GB2312" w:cs="Times New Roman"/>
      <w:position w:val="-6"/>
      <w:szCs w:val="21"/>
    </w:rPr>
  </w:style>
  <w:style w:type="paragraph" w:customStyle="1" w:styleId="969">
    <w:name w:val="样式 标题 2h22Header 2nd PageA.B.C.h2 main h标题2 + 仿宋_GB2312 行距..."/>
    <w:basedOn w:val="4"/>
    <w:qFormat/>
    <w:uiPriority w:val="0"/>
    <w:pPr>
      <w:spacing w:before="260" w:after="260" w:line="360" w:lineRule="auto"/>
      <w:ind w:firstLine="455" w:firstLineChars="162"/>
    </w:pPr>
    <w:rPr>
      <w:rFonts w:ascii="仿宋_GB2312" w:hAnsi="ˎ̥" w:eastAsia="仿宋_GB2312"/>
      <w:szCs w:val="20"/>
    </w:rPr>
  </w:style>
  <w:style w:type="paragraph" w:customStyle="1" w:styleId="970">
    <w:name w:val="Char1 Char Char Char Char Char1 Char1"/>
    <w:basedOn w:val="1"/>
    <w:qFormat/>
    <w:uiPriority w:val="99"/>
    <w:pPr>
      <w:widowControl w:val="0"/>
      <w:jc w:val="both"/>
    </w:pPr>
    <w:rPr>
      <w:rFonts w:ascii="Tahoma" w:hAnsi="Tahoma" w:cs="Times New Roman"/>
      <w:kern w:val="2"/>
      <w:szCs w:val="20"/>
    </w:rPr>
  </w:style>
  <w:style w:type="paragraph" w:customStyle="1" w:styleId="971">
    <w:name w:val="样式 标题 1 + 两端对齐"/>
    <w:basedOn w:val="3"/>
    <w:qFormat/>
    <w:uiPriority w:val="99"/>
    <w:pPr>
      <w:keepLines/>
      <w:widowControl w:val="0"/>
      <w:tabs>
        <w:tab w:val="left" w:pos="720"/>
      </w:tabs>
      <w:spacing w:beforeLines="100" w:afterLines="100" w:line="312" w:lineRule="auto"/>
      <w:ind w:left="-4" w:firstLine="4"/>
    </w:pPr>
    <w:rPr>
      <w:rFonts w:ascii="Times New Roman" w:hAnsi="Times New Roman" w:cs="宋体"/>
      <w:bCs/>
      <w:kern w:val="44"/>
      <w:szCs w:val="20"/>
    </w:rPr>
  </w:style>
  <w:style w:type="paragraph" w:customStyle="1" w:styleId="972">
    <w:name w:val="121111111111"/>
    <w:basedOn w:val="1"/>
    <w:qFormat/>
    <w:uiPriority w:val="99"/>
    <w:pPr>
      <w:widowControl w:val="0"/>
      <w:spacing w:line="460" w:lineRule="exact"/>
      <w:jc w:val="center"/>
    </w:pPr>
    <w:rPr>
      <w:rFonts w:ascii="Times New Roman" w:hAnsi="Times New Roman" w:eastAsia="黑体" w:cs="Times New Roman"/>
      <w:color w:val="000000"/>
      <w:spacing w:val="16"/>
      <w:kern w:val="2"/>
    </w:rPr>
  </w:style>
  <w:style w:type="paragraph" w:customStyle="1" w:styleId="973">
    <w:name w:val="Main"/>
    <w:basedOn w:val="1"/>
    <w:qFormat/>
    <w:uiPriority w:val="0"/>
    <w:pPr>
      <w:widowControl w:val="0"/>
      <w:spacing w:line="480" w:lineRule="atLeast"/>
      <w:ind w:left="400" w:leftChars="400" w:right="400" w:firstLine="200"/>
      <w:jc w:val="both"/>
    </w:pPr>
    <w:rPr>
      <w:rFonts w:hint="eastAsia" w:ascii="Tahoma" w:hAnsi="Tahoma" w:cs="Times New Roman"/>
      <w:kern w:val="2"/>
      <w:sz w:val="21"/>
      <w:szCs w:val="21"/>
    </w:rPr>
  </w:style>
  <w:style w:type="paragraph" w:customStyle="1" w:styleId="974">
    <w:name w:val="表标题1.7－2"/>
    <w:basedOn w:val="1"/>
    <w:qFormat/>
    <w:uiPriority w:val="99"/>
    <w:pPr>
      <w:widowControl w:val="0"/>
      <w:spacing w:beforeLines="100" w:line="0" w:lineRule="atLeast"/>
      <w:jc w:val="both"/>
    </w:pPr>
    <w:rPr>
      <w:rFonts w:ascii="Times New Roman" w:hAnsi="Times New Roman" w:cs="Times New Roman"/>
      <w:color w:val="000000"/>
      <w:kern w:val="2"/>
    </w:rPr>
  </w:style>
  <w:style w:type="paragraph" w:customStyle="1" w:styleId="975">
    <w:name w:val="样式 标题 3H3条标题1.1.11.1.1标题 3H31H32H33u3标题 3 Char Char Char...1"/>
    <w:basedOn w:val="6"/>
    <w:qFormat/>
    <w:uiPriority w:val="99"/>
    <w:pPr>
      <w:spacing w:beforeLines="100" w:afterLines="50" w:line="240" w:lineRule="auto"/>
    </w:pPr>
    <w:rPr>
      <w:rFonts w:cs="宋体"/>
      <w:b/>
      <w:kern w:val="28"/>
      <w:sz w:val="30"/>
      <w:szCs w:val="20"/>
    </w:rPr>
  </w:style>
  <w:style w:type="paragraph" w:customStyle="1" w:styleId="976">
    <w:name w:val="xl67"/>
    <w:basedOn w:val="1"/>
    <w:qFormat/>
    <w:uiPriority w:val="99"/>
    <w:pPr>
      <w:pBdr>
        <w:bottom w:val="single" w:color="auto" w:sz="8" w:space="0"/>
      </w:pBdr>
      <w:spacing w:before="100" w:beforeAutospacing="1" w:after="100" w:afterAutospacing="1"/>
      <w:jc w:val="right"/>
    </w:pPr>
    <w:rPr>
      <w:rFonts w:eastAsia="仿宋_GB2312" w:cs="Times New Roman"/>
      <w:position w:val="-6"/>
      <w:szCs w:val="21"/>
    </w:rPr>
  </w:style>
  <w:style w:type="paragraph" w:customStyle="1" w:styleId="977">
    <w:name w:val="表内5中9"/>
    <w:basedOn w:val="1"/>
    <w:qFormat/>
    <w:uiPriority w:val="99"/>
    <w:pPr>
      <w:widowControl w:val="0"/>
      <w:adjustRightInd w:val="0"/>
      <w:snapToGrid w:val="0"/>
      <w:jc w:val="center"/>
    </w:pPr>
    <w:rPr>
      <w:rFonts w:ascii="Times New Roman" w:cs="Times New Roman"/>
      <w:snapToGrid w:val="0"/>
      <w:sz w:val="18"/>
      <w:szCs w:val="18"/>
    </w:rPr>
  </w:style>
  <w:style w:type="paragraph" w:customStyle="1" w:styleId="978">
    <w:name w:val="简单回函地址"/>
    <w:basedOn w:val="1"/>
    <w:qFormat/>
    <w:uiPriority w:val="99"/>
    <w:pPr>
      <w:widowControl w:val="0"/>
      <w:jc w:val="both"/>
    </w:pPr>
    <w:rPr>
      <w:rFonts w:cs="Times New Roman"/>
      <w:kern w:val="2"/>
      <w:szCs w:val="32"/>
    </w:rPr>
  </w:style>
  <w:style w:type="paragraph" w:customStyle="1" w:styleId="979">
    <w:name w:val="样式 页眉 + 宋体 黑色 段前: 0 磅 段后: 0 磅 行距: 固定值 12 磅2"/>
    <w:basedOn w:val="52"/>
    <w:qFormat/>
    <w:uiPriority w:val="0"/>
    <w:pPr>
      <w:widowControl w:val="0"/>
      <w:pBdr>
        <w:bottom w:val="none" w:color="auto" w:sz="0" w:space="0"/>
      </w:pBdr>
      <w:tabs>
        <w:tab w:val="clear" w:pos="4153"/>
        <w:tab w:val="clear" w:pos="8306"/>
      </w:tabs>
      <w:spacing w:line="240" w:lineRule="exact"/>
    </w:pPr>
    <w:rPr>
      <w:rFonts w:ascii="宋体" w:hAnsi="宋体"/>
      <w:color w:val="000000"/>
      <w:kern w:val="0"/>
      <w:sz w:val="21"/>
      <w:szCs w:val="20"/>
    </w:rPr>
  </w:style>
  <w:style w:type="paragraph" w:customStyle="1" w:styleId="980">
    <w:name w:val="tian"/>
    <w:basedOn w:val="1"/>
    <w:qFormat/>
    <w:uiPriority w:val="99"/>
    <w:pPr>
      <w:widowControl w:val="0"/>
      <w:jc w:val="both"/>
    </w:pPr>
    <w:rPr>
      <w:rFonts w:ascii="Times New Roman" w:hAnsi="Times New Roman" w:cs="Times New Roman"/>
      <w:kern w:val="2"/>
      <w:szCs w:val="20"/>
    </w:rPr>
  </w:style>
  <w:style w:type="paragraph" w:customStyle="1" w:styleId="981">
    <w:name w:val="xl75"/>
    <w:basedOn w:val="1"/>
    <w:qFormat/>
    <w:uiPriority w:val="99"/>
    <w:pPr>
      <w:pBdr>
        <w:top w:val="single" w:color="auto" w:sz="4" w:space="0"/>
        <w:bottom w:val="single" w:color="auto" w:sz="4" w:space="0"/>
        <w:right w:val="single" w:color="auto" w:sz="4" w:space="0"/>
      </w:pBdr>
      <w:spacing w:before="100" w:beforeAutospacing="1" w:after="100" w:afterAutospacing="1"/>
    </w:pPr>
    <w:rPr>
      <w:rFonts w:eastAsia="仿宋_GB2312" w:cs="Times New Roman"/>
      <w:position w:val="-6"/>
    </w:rPr>
  </w:style>
  <w:style w:type="paragraph" w:customStyle="1" w:styleId="982">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sz w:val="18"/>
      <w:szCs w:val="18"/>
    </w:rPr>
  </w:style>
  <w:style w:type="paragraph" w:customStyle="1" w:styleId="983">
    <w:name w:val="4级样式"/>
    <w:basedOn w:val="7"/>
    <w:qFormat/>
    <w:uiPriority w:val="0"/>
    <w:pPr>
      <w:widowControl w:val="0"/>
      <w:spacing w:line="360" w:lineRule="auto"/>
      <w:jc w:val="both"/>
    </w:pPr>
    <w:rPr>
      <w:rFonts w:ascii="黑体" w:hAnsi="黑体" w:eastAsia="黑体" w:cs="Times New Roman"/>
      <w:szCs w:val="24"/>
    </w:rPr>
  </w:style>
  <w:style w:type="paragraph" w:customStyle="1" w:styleId="984">
    <w:name w:val="表内字新"/>
    <w:next w:val="1"/>
    <w:qFormat/>
    <w:uiPriority w:val="99"/>
    <w:pPr>
      <w:suppressAutoHyphens/>
      <w:adjustRightInd w:val="0"/>
      <w:spacing w:line="0" w:lineRule="atLeast"/>
      <w:jc w:val="center"/>
    </w:pPr>
    <w:rPr>
      <w:rFonts w:ascii="Times New Roman" w:hAnsi="Times New Roman" w:eastAsia="宋体" w:cs="Times New Roman"/>
      <w:sz w:val="21"/>
      <w:lang w:val="en-US" w:eastAsia="zh-CN" w:bidi="ar-SA"/>
    </w:rPr>
  </w:style>
  <w:style w:type="paragraph" w:customStyle="1" w:styleId="985">
    <w:name w:val="样式 标题 1 + 自动设置"/>
    <w:basedOn w:val="3"/>
    <w:qFormat/>
    <w:uiPriority w:val="99"/>
    <w:pPr>
      <w:keepNext/>
      <w:keepLines/>
      <w:widowControl w:val="0"/>
      <w:tabs>
        <w:tab w:val="left" w:pos="700"/>
        <w:tab w:val="left" w:pos="1440"/>
      </w:tabs>
      <w:autoSpaceDE w:val="0"/>
      <w:autoSpaceDN w:val="0"/>
      <w:adjustRightInd w:val="0"/>
      <w:spacing w:line="700" w:lineRule="exact"/>
      <w:ind w:left="431" w:hanging="431"/>
      <w:jc w:val="center"/>
    </w:pPr>
    <w:rPr>
      <w:rFonts w:ascii="Times New Roman" w:hAnsi="Times New Roman" w:eastAsia="宋体"/>
      <w:bCs/>
      <w:kern w:val="44"/>
      <w:szCs w:val="20"/>
    </w:rPr>
  </w:style>
  <w:style w:type="paragraph" w:customStyle="1" w:styleId="986">
    <w:name w:val="标题样式1"/>
    <w:basedOn w:val="31"/>
    <w:qFormat/>
    <w:uiPriority w:val="99"/>
    <w:pPr>
      <w:widowControl w:val="0"/>
      <w:adjustRightInd w:val="0"/>
      <w:snapToGrid w:val="0"/>
      <w:spacing w:line="0" w:lineRule="atLeast"/>
      <w:jc w:val="center"/>
      <w:textAlignment w:val="baseline"/>
    </w:pPr>
    <w:rPr>
      <w:rFonts w:ascii="Times New Roman" w:hAnsi="Times New Roman"/>
      <w:b/>
      <w:bCs/>
      <w:snapToGrid w:val="0"/>
      <w:color w:val="auto"/>
      <w:kern w:val="0"/>
      <w:szCs w:val="20"/>
    </w:rPr>
  </w:style>
  <w:style w:type="paragraph" w:customStyle="1" w:styleId="987">
    <w:name w:val="表格03"/>
    <w:basedOn w:val="1"/>
    <w:qFormat/>
    <w:uiPriority w:val="0"/>
    <w:pPr>
      <w:widowControl w:val="0"/>
      <w:spacing w:line="400" w:lineRule="atLeast"/>
      <w:jc w:val="center"/>
    </w:pPr>
    <w:rPr>
      <w:rFonts w:ascii="Times New Roman" w:hAnsi="Times New Roman" w:cs="Times New Roman"/>
      <w:kern w:val="2"/>
      <w:sz w:val="21"/>
      <w:szCs w:val="21"/>
    </w:rPr>
  </w:style>
  <w:style w:type="paragraph" w:customStyle="1" w:styleId="988">
    <w:name w:val="样式4"/>
    <w:basedOn w:val="5"/>
    <w:qFormat/>
    <w:uiPriority w:val="99"/>
    <w:pPr>
      <w:widowControl w:val="0"/>
      <w:adjustRightInd w:val="0"/>
      <w:snapToGrid w:val="0"/>
      <w:spacing w:line="360" w:lineRule="auto"/>
      <w:ind w:firstLine="420"/>
      <w:textAlignment w:val="baseline"/>
    </w:pPr>
    <w:rPr>
      <w:rFonts w:ascii="Times New Roman" w:hAnsi="Times New Roman"/>
      <w:sz w:val="24"/>
    </w:rPr>
  </w:style>
  <w:style w:type="paragraph" w:customStyle="1" w:styleId="989">
    <w:name w:val="CM10"/>
    <w:basedOn w:val="102"/>
    <w:next w:val="102"/>
    <w:qFormat/>
    <w:uiPriority w:val="99"/>
    <w:pPr>
      <w:autoSpaceDE w:val="0"/>
      <w:autoSpaceDN w:val="0"/>
      <w:spacing w:line="468" w:lineRule="atLeast"/>
    </w:pPr>
    <w:rPr>
      <w:color w:val="auto"/>
    </w:rPr>
  </w:style>
  <w:style w:type="paragraph" w:customStyle="1" w:styleId="990">
    <w:name w:val="默认段落字体 Para Char Char Char Char Char Char Char Char Char Char Char Char Char Char Char Char"/>
    <w:basedOn w:val="1"/>
    <w:qFormat/>
    <w:uiPriority w:val="99"/>
    <w:pPr>
      <w:widowControl w:val="0"/>
      <w:spacing w:line="360" w:lineRule="auto"/>
      <w:ind w:firstLine="200" w:firstLineChars="200"/>
      <w:jc w:val="both"/>
    </w:pPr>
    <w:rPr>
      <w:kern w:val="2"/>
    </w:rPr>
  </w:style>
  <w:style w:type="paragraph" w:customStyle="1" w:styleId="991">
    <w:name w:val="lyh 正文"/>
    <w:basedOn w:val="64"/>
    <w:qFormat/>
    <w:uiPriority w:val="0"/>
    <w:pPr>
      <w:adjustRightInd w:val="0"/>
      <w:snapToGrid w:val="0"/>
      <w:spacing w:after="0" w:line="360" w:lineRule="auto"/>
      <w:ind w:left="0" w:leftChars="0" w:firstLine="200" w:firstLineChars="200"/>
    </w:pPr>
    <w:rPr>
      <w:rFonts w:ascii="宋体"/>
      <w:sz w:val="28"/>
      <w:szCs w:val="28"/>
    </w:rPr>
  </w:style>
  <w:style w:type="paragraph" w:customStyle="1" w:styleId="992">
    <w:name w:val="Char1 Char Char Char Char Char1 Char"/>
    <w:basedOn w:val="1"/>
    <w:qFormat/>
    <w:uiPriority w:val="0"/>
    <w:pPr>
      <w:widowControl w:val="0"/>
      <w:jc w:val="both"/>
    </w:pPr>
    <w:rPr>
      <w:rFonts w:ascii="Tahoma" w:hAnsi="Tahoma" w:cs="Times New Roman"/>
      <w:kern w:val="2"/>
      <w:szCs w:val="20"/>
    </w:rPr>
  </w:style>
  <w:style w:type="paragraph" w:customStyle="1" w:styleId="993">
    <w:name w:val="CM70"/>
    <w:basedOn w:val="102"/>
    <w:next w:val="102"/>
    <w:qFormat/>
    <w:uiPriority w:val="99"/>
    <w:pPr>
      <w:autoSpaceDE w:val="0"/>
      <w:autoSpaceDN w:val="0"/>
      <w:spacing w:after="300"/>
    </w:pPr>
    <w:rPr>
      <w:color w:val="auto"/>
    </w:rPr>
  </w:style>
  <w:style w:type="paragraph" w:customStyle="1" w:styleId="994">
    <w:name w:val="样式 燕山正文 + 首行缩进:  2 字符"/>
    <w:basedOn w:val="1"/>
    <w:qFormat/>
    <w:uiPriority w:val="99"/>
    <w:pPr>
      <w:widowControl w:val="0"/>
      <w:tabs>
        <w:tab w:val="left" w:pos="4680"/>
      </w:tabs>
      <w:adjustRightInd w:val="0"/>
      <w:snapToGrid w:val="0"/>
      <w:spacing w:beforeLines="30" w:afterLines="30" w:line="360" w:lineRule="auto"/>
      <w:ind w:firstLine="480" w:firstLineChars="200"/>
    </w:pPr>
    <w:rPr>
      <w:rFonts w:ascii="Times New Roman" w:hAnsi="Times New Roman" w:cs="Times New Roman"/>
      <w:kern w:val="2"/>
      <w:szCs w:val="20"/>
    </w:rPr>
  </w:style>
  <w:style w:type="paragraph" w:customStyle="1" w:styleId="995">
    <w:name w:val="表格标题2"/>
    <w:basedOn w:val="350"/>
    <w:next w:val="350"/>
    <w:qFormat/>
    <w:uiPriority w:val="0"/>
    <w:pPr>
      <w:spacing w:line="240" w:lineRule="auto"/>
    </w:pPr>
    <w:rPr>
      <w:rFonts w:eastAsia="宋体"/>
      <w:b/>
    </w:rPr>
  </w:style>
  <w:style w:type="paragraph" w:customStyle="1" w:styleId="996">
    <w:name w:val="表内5"/>
    <w:basedOn w:val="324"/>
    <w:qFormat/>
    <w:uiPriority w:val="99"/>
    <w:pPr>
      <w:tabs>
        <w:tab w:val="left" w:pos="4305"/>
        <w:tab w:val="clear" w:pos="0"/>
      </w:tabs>
      <w:adjustRightInd w:val="0"/>
      <w:snapToGrid w:val="0"/>
      <w:spacing w:line="400" w:lineRule="exact"/>
      <w:ind w:firstLine="480" w:firstLineChars="200"/>
      <w:jc w:val="center"/>
    </w:pPr>
    <w:rPr>
      <w:rFonts w:ascii="宋体" w:hAnsi="宋体"/>
      <w:b w:val="0"/>
      <w:color w:val="000000"/>
      <w:sz w:val="21"/>
      <w:szCs w:val="21"/>
      <w:shd w:val="pct10" w:color="auto" w:fill="FFFFFF"/>
    </w:rPr>
  </w:style>
  <w:style w:type="paragraph" w:customStyle="1" w:styleId="997">
    <w:name w:val="xl74"/>
    <w:basedOn w:val="1"/>
    <w:qFormat/>
    <w:uiPriority w:val="99"/>
    <w:pPr>
      <w:pBdr>
        <w:right w:val="single" w:color="auto" w:sz="4" w:space="0"/>
      </w:pBdr>
      <w:spacing w:before="100" w:beforeAutospacing="1" w:after="100" w:afterAutospacing="1"/>
    </w:pPr>
    <w:rPr>
      <w:rFonts w:eastAsia="仿宋_GB2312" w:cs="Times New Roman"/>
      <w:position w:val="-6"/>
    </w:rPr>
  </w:style>
  <w:style w:type="paragraph" w:customStyle="1" w:styleId="998">
    <w:name w:val="列表 3K"/>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999">
    <w:name w:val="图表目录1"/>
    <w:basedOn w:val="160"/>
    <w:next w:val="160"/>
    <w:qFormat/>
    <w:uiPriority w:val="99"/>
    <w:pPr>
      <w:tabs>
        <w:tab w:val="right" w:leader="dot" w:pos="8051"/>
      </w:tabs>
      <w:ind w:left="840" w:hanging="840"/>
    </w:pPr>
    <w:rPr>
      <w:rFonts w:eastAsia="Times New Roman"/>
      <w:szCs w:val="22"/>
    </w:rPr>
  </w:style>
  <w:style w:type="paragraph" w:customStyle="1" w:styleId="1000">
    <w:name w:val="样式 标题 21.1标题 21.1标题2标题 2 Char1节_Heading 2标2二级标题1.1标题一..."/>
    <w:basedOn w:val="4"/>
    <w:qFormat/>
    <w:uiPriority w:val="99"/>
    <w:pPr>
      <w:widowControl w:val="0"/>
      <w:tabs>
        <w:tab w:val="left" w:pos="840"/>
      </w:tabs>
      <w:spacing w:before="120" w:after="120" w:line="312" w:lineRule="auto"/>
      <w:ind w:left="840" w:hanging="420"/>
      <w:jc w:val="both"/>
    </w:pPr>
    <w:rPr>
      <w:rFonts w:ascii="Arial" w:hAnsi="Arial"/>
      <w:b/>
      <w:color w:val="000000"/>
      <w:sz w:val="24"/>
      <w:szCs w:val="24"/>
    </w:rPr>
  </w:style>
  <w:style w:type="paragraph" w:customStyle="1" w:styleId="1001">
    <w:name w:val="表格文本"/>
    <w:basedOn w:val="1"/>
    <w:next w:val="1"/>
    <w:qFormat/>
    <w:uiPriority w:val="99"/>
    <w:pPr>
      <w:widowControl w:val="0"/>
      <w:spacing w:line="240" w:lineRule="exact"/>
      <w:jc w:val="both"/>
    </w:pPr>
    <w:rPr>
      <w:rFonts w:ascii="Times New Roman" w:hAnsi="Times New Roman" w:cs="Times New Roman"/>
      <w:kern w:val="2"/>
      <w:sz w:val="21"/>
      <w:szCs w:val="20"/>
    </w:rPr>
  </w:style>
  <w:style w:type="paragraph" w:customStyle="1" w:styleId="1002">
    <w:name w:val="CM29"/>
    <w:basedOn w:val="102"/>
    <w:next w:val="102"/>
    <w:qFormat/>
    <w:uiPriority w:val="99"/>
    <w:pPr>
      <w:autoSpaceDE w:val="0"/>
      <w:autoSpaceDN w:val="0"/>
      <w:spacing w:line="456" w:lineRule="atLeast"/>
    </w:pPr>
    <w:rPr>
      <w:rFonts w:ascii="宋体" w:cs="宋体"/>
      <w:color w:val="auto"/>
    </w:rPr>
  </w:style>
  <w:style w:type="paragraph" w:customStyle="1" w:styleId="1003">
    <w:name w:val="In Table (II)"/>
    <w:basedOn w:val="1004"/>
    <w:qFormat/>
    <w:uiPriority w:val="99"/>
    <w:pPr>
      <w:tabs>
        <w:tab w:val="left" w:pos="2200"/>
        <w:tab w:val="left" w:pos="3960"/>
        <w:tab w:val="left" w:pos="5280"/>
      </w:tabs>
      <w:spacing w:beforeLines="25" w:afterLines="25"/>
      <w:ind w:left="52" w:leftChars="20"/>
      <w:jc w:val="left"/>
    </w:pPr>
    <w:rPr>
      <w:bCs/>
    </w:rPr>
  </w:style>
  <w:style w:type="paragraph" w:customStyle="1" w:styleId="1004">
    <w:name w:val="In Table"/>
    <w:basedOn w:val="1"/>
    <w:qFormat/>
    <w:uiPriority w:val="99"/>
    <w:pPr>
      <w:widowControl w:val="0"/>
      <w:tabs>
        <w:tab w:val="left" w:pos="3960"/>
        <w:tab w:val="left" w:pos="5280"/>
      </w:tabs>
      <w:spacing w:before="96" w:after="96" w:line="0" w:lineRule="atLeast"/>
      <w:jc w:val="center"/>
    </w:pPr>
    <w:rPr>
      <w:rFonts w:ascii="Tahoma" w:hAnsi="Tahoma" w:eastAsia="华文中宋" w:cs="Times New Roman"/>
      <w:kern w:val="2"/>
      <w:sz w:val="21"/>
      <w:szCs w:val="20"/>
    </w:rPr>
  </w:style>
  <w:style w:type="paragraph" w:customStyle="1" w:styleId="1005">
    <w:name w:val="CM9"/>
    <w:basedOn w:val="102"/>
    <w:next w:val="102"/>
    <w:qFormat/>
    <w:uiPriority w:val="0"/>
    <w:pPr>
      <w:autoSpaceDE w:val="0"/>
      <w:autoSpaceDN w:val="0"/>
      <w:spacing w:line="468" w:lineRule="atLeast"/>
    </w:pPr>
    <w:rPr>
      <w:color w:val="auto"/>
    </w:rPr>
  </w:style>
  <w:style w:type="paragraph" w:customStyle="1" w:styleId="1006">
    <w:name w:val="Char Char210"/>
    <w:basedOn w:val="1"/>
    <w:qFormat/>
    <w:uiPriority w:val="0"/>
    <w:pPr>
      <w:widowControl w:val="0"/>
      <w:spacing w:beforeLines="100"/>
      <w:jc w:val="both"/>
    </w:pPr>
    <w:rPr>
      <w:rFonts w:ascii="Times New Roman" w:hAnsi="Times New Roman" w:cs="Times New Roman"/>
      <w:kern w:val="2"/>
      <w:sz w:val="21"/>
    </w:rPr>
  </w:style>
  <w:style w:type="paragraph" w:customStyle="1" w:styleId="1007">
    <w:name w:val="样式 黑体 加粗 居中"/>
    <w:basedOn w:val="1"/>
    <w:qFormat/>
    <w:uiPriority w:val="99"/>
    <w:pPr>
      <w:widowControl w:val="0"/>
      <w:spacing w:line="312" w:lineRule="auto"/>
      <w:ind w:firstLine="573"/>
      <w:jc w:val="center"/>
    </w:pPr>
    <w:rPr>
      <w:rFonts w:ascii="Times New Roman" w:hAnsi="Times New Roman" w:eastAsia="黑体"/>
      <w:b/>
      <w:bCs/>
      <w:kern w:val="2"/>
    </w:rPr>
  </w:style>
  <w:style w:type="paragraph" w:customStyle="1" w:styleId="1008">
    <w:name w:val="标题6"/>
    <w:basedOn w:val="1"/>
    <w:next w:val="78"/>
    <w:qFormat/>
    <w:uiPriority w:val="99"/>
    <w:pPr>
      <w:keepNext/>
      <w:widowControl w:val="0"/>
      <w:spacing w:line="360" w:lineRule="auto"/>
      <w:ind w:firstLine="567"/>
      <w:outlineLvl w:val="5"/>
    </w:pPr>
    <w:rPr>
      <w:rFonts w:ascii="Times New Roman" w:hAnsi="Times New Roman" w:cs="Times New Roman"/>
      <w:kern w:val="2"/>
      <w:sz w:val="28"/>
      <w:szCs w:val="21"/>
    </w:rPr>
  </w:style>
  <w:style w:type="paragraph" w:customStyle="1" w:styleId="1009">
    <w:name w:val="标题5"/>
    <w:basedOn w:val="160"/>
    <w:qFormat/>
    <w:uiPriority w:val="99"/>
    <w:pPr>
      <w:snapToGrid w:val="0"/>
      <w:spacing w:beforeLines="50" w:line="360" w:lineRule="auto"/>
      <w:ind w:firstLine="520" w:firstLineChars="200"/>
      <w:jc w:val="both"/>
      <w:textAlignment w:val="auto"/>
    </w:pPr>
    <w:rPr>
      <w:rFonts w:ascii="Times New Roman"/>
      <w:snapToGrid w:val="0"/>
      <w:color w:val="000000"/>
      <w:szCs w:val="24"/>
    </w:rPr>
  </w:style>
  <w:style w:type="paragraph" w:customStyle="1" w:styleId="1010">
    <w:name w:val="Char Char Char Char Char Char Char Char Char Char Char Char1 Char"/>
    <w:basedOn w:val="1"/>
    <w:next w:val="1"/>
    <w:qFormat/>
    <w:uiPriority w:val="0"/>
    <w:pPr>
      <w:widowControl w:val="0"/>
      <w:spacing w:line="336" w:lineRule="auto"/>
      <w:ind w:firstLine="200" w:firstLineChars="200"/>
      <w:jc w:val="both"/>
    </w:pPr>
    <w:rPr>
      <w:rFonts w:eastAsia="汉鼎简书宋"/>
      <w:kern w:val="2"/>
    </w:rPr>
  </w:style>
  <w:style w:type="paragraph" w:customStyle="1" w:styleId="1011">
    <w:name w:val="正文标题3"/>
    <w:basedOn w:val="6"/>
    <w:qFormat/>
    <w:uiPriority w:val="99"/>
    <w:pPr>
      <w:widowControl w:val="0"/>
      <w:spacing w:line="240" w:lineRule="auto"/>
      <w:jc w:val="both"/>
    </w:pPr>
    <w:rPr>
      <w:sz w:val="28"/>
    </w:rPr>
  </w:style>
  <w:style w:type="paragraph" w:customStyle="1" w:styleId="1012">
    <w:name w:val="正文文字缩进1"/>
    <w:basedOn w:val="46"/>
    <w:qFormat/>
    <w:uiPriority w:val="0"/>
    <w:pPr>
      <w:spacing w:after="0" w:line="360" w:lineRule="auto"/>
      <w:ind w:left="0" w:leftChars="0" w:firstLine="560"/>
    </w:pPr>
    <w:rPr>
      <w:rFonts w:ascii="黑体" w:hAnsi="Arial Black" w:eastAsia="黑体"/>
      <w:b/>
      <w:bCs/>
      <w:sz w:val="28"/>
      <w:szCs w:val="20"/>
    </w:rPr>
  </w:style>
  <w:style w:type="paragraph" w:customStyle="1" w:styleId="1013">
    <w:name w:val="前言"/>
    <w:basedOn w:val="103"/>
    <w:qFormat/>
    <w:uiPriority w:val="99"/>
    <w:pPr>
      <w:widowControl/>
      <w:adjustRightInd/>
      <w:snapToGrid/>
      <w:ind w:firstLine="300" w:firstLineChars="300"/>
      <w:jc w:val="left"/>
      <w:outlineLvl w:val="0"/>
    </w:pPr>
    <w:rPr>
      <w:rFonts w:ascii="仿宋_GB2312" w:eastAsia="宋体"/>
      <w:b/>
      <w:bCs/>
      <w:szCs w:val="28"/>
    </w:rPr>
  </w:style>
  <w:style w:type="paragraph" w:customStyle="1" w:styleId="1014">
    <w:name w:val="默认段落字体 Para Char Char Char Char"/>
    <w:basedOn w:val="1"/>
    <w:qFormat/>
    <w:uiPriority w:val="99"/>
    <w:pPr>
      <w:widowControl w:val="0"/>
      <w:jc w:val="both"/>
    </w:pPr>
    <w:rPr>
      <w:rFonts w:ascii="Times New Roman" w:hAnsi="Times New Roman" w:cs="Times New Roman"/>
      <w:kern w:val="2"/>
      <w:sz w:val="21"/>
    </w:rPr>
  </w:style>
  <w:style w:type="paragraph" w:customStyle="1" w:styleId="1015">
    <w:name w:val="表标题1"/>
    <w:basedOn w:val="1"/>
    <w:qFormat/>
    <w:uiPriority w:val="99"/>
    <w:pPr>
      <w:keepNext/>
      <w:widowControl w:val="0"/>
      <w:adjustRightInd w:val="0"/>
      <w:spacing w:before="60" w:after="60" w:line="397" w:lineRule="atLeast"/>
      <w:jc w:val="center"/>
      <w:textAlignment w:val="baseline"/>
    </w:pPr>
    <w:rPr>
      <w:rFonts w:ascii="Times New Roman" w:hAnsi="Times New Roman" w:cs="Times New Roman"/>
      <w:b/>
      <w:szCs w:val="20"/>
    </w:rPr>
  </w:style>
  <w:style w:type="paragraph" w:customStyle="1" w:styleId="1016">
    <w:name w:val="样式 样式 标题 1 + 两端对齐 + 居中"/>
    <w:basedOn w:val="1"/>
    <w:qFormat/>
    <w:uiPriority w:val="99"/>
    <w:pPr>
      <w:keepLines/>
      <w:widowControl w:val="0"/>
      <w:tabs>
        <w:tab w:val="left" w:pos="1424"/>
      </w:tabs>
      <w:spacing w:before="840" w:after="360" w:line="312" w:lineRule="auto"/>
      <w:ind w:left="573"/>
      <w:jc w:val="center"/>
      <w:outlineLvl w:val="0"/>
    </w:pPr>
    <w:rPr>
      <w:rFonts w:ascii="Times New Roman" w:hAnsi="Times New Roman" w:eastAsia="黑体"/>
      <w:b/>
      <w:bCs/>
      <w:kern w:val="44"/>
      <w:sz w:val="36"/>
      <w:szCs w:val="36"/>
    </w:rPr>
  </w:style>
  <w:style w:type="paragraph" w:customStyle="1" w:styleId="1017">
    <w:name w:val="正文-使用"/>
    <w:basedOn w:val="1"/>
    <w:qFormat/>
    <w:uiPriority w:val="0"/>
    <w:pPr>
      <w:widowControl w:val="0"/>
      <w:spacing w:line="360" w:lineRule="auto"/>
      <w:ind w:firstLine="482" w:firstLineChars="200"/>
      <w:jc w:val="both"/>
    </w:pPr>
    <w:rPr>
      <w:rFonts w:ascii="Times New Roman" w:hAnsi="Times New Roman" w:cs="Times New Roman"/>
      <w:kern w:val="2"/>
      <w:szCs w:val="20"/>
    </w:rPr>
  </w:style>
  <w:style w:type="paragraph" w:customStyle="1" w:styleId="1018">
    <w:name w:val="xl89"/>
    <w:basedOn w:val="1"/>
    <w:qFormat/>
    <w:uiPriority w:val="99"/>
    <w:pPr>
      <w:pBdr>
        <w:top w:val="single" w:color="auto" w:sz="4" w:space="0"/>
        <w:bottom w:val="single" w:color="auto" w:sz="4"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019">
    <w:name w:val="样式 小四"/>
    <w:basedOn w:val="1"/>
    <w:qFormat/>
    <w:uiPriority w:val="99"/>
    <w:pPr>
      <w:widowControl w:val="0"/>
      <w:ind w:firstLine="200" w:firstLineChars="200"/>
      <w:jc w:val="both"/>
    </w:pPr>
    <w:rPr>
      <w:rFonts w:ascii="Times New Roman" w:hAnsi="Times New Roman"/>
      <w:kern w:val="2"/>
      <w:szCs w:val="20"/>
    </w:rPr>
  </w:style>
  <w:style w:type="paragraph" w:customStyle="1" w:styleId="1020">
    <w:name w:val="表中文字"/>
    <w:basedOn w:val="1"/>
    <w:link w:val="1021"/>
    <w:qFormat/>
    <w:uiPriority w:val="99"/>
    <w:pPr>
      <w:widowControl w:val="0"/>
      <w:topLinePunct/>
      <w:spacing w:line="360" w:lineRule="auto"/>
      <w:jc w:val="center"/>
    </w:pPr>
    <w:rPr>
      <w:rFonts w:ascii="仿宋_GB2312" w:hAnsi="Times New Roman" w:eastAsia="仿宋_GB2312" w:cs="Times New Roman"/>
      <w:kern w:val="2"/>
      <w:sz w:val="28"/>
      <w:szCs w:val="20"/>
    </w:rPr>
  </w:style>
  <w:style w:type="character" w:customStyle="1" w:styleId="1021">
    <w:name w:val="表中文字 Char"/>
    <w:link w:val="1020"/>
    <w:qFormat/>
    <w:uiPriority w:val="99"/>
    <w:rPr>
      <w:rFonts w:ascii="仿宋_GB2312" w:eastAsia="仿宋_GB2312"/>
      <w:kern w:val="2"/>
      <w:sz w:val="28"/>
    </w:rPr>
  </w:style>
  <w:style w:type="paragraph" w:customStyle="1" w:styleId="1022">
    <w:name w:val="Section Title"/>
    <w:basedOn w:val="1"/>
    <w:next w:val="1"/>
    <w:qFormat/>
    <w:uiPriority w:val="99"/>
    <w:pPr>
      <w:pBdr>
        <w:top w:val="single" w:color="FFFFFF" w:sz="6" w:space="2"/>
        <w:left w:val="single" w:color="FFFFFF" w:sz="6" w:space="2"/>
        <w:bottom w:val="single" w:color="FFFFFF" w:sz="6" w:space="2"/>
        <w:right w:val="single" w:color="FFFFFF" w:sz="6" w:space="2"/>
      </w:pBdr>
      <w:shd w:val="pct10" w:color="auto" w:fill="auto"/>
      <w:spacing w:before="120" w:line="280" w:lineRule="atLeast"/>
    </w:pPr>
    <w:rPr>
      <w:rFonts w:ascii="Arial" w:hAnsi="Arial" w:cs="Times New Roman"/>
      <w:b/>
      <w:spacing w:val="-10"/>
      <w:position w:val="7"/>
      <w:sz w:val="20"/>
      <w:szCs w:val="20"/>
    </w:rPr>
  </w:style>
  <w:style w:type="paragraph" w:customStyle="1" w:styleId="1023">
    <w:name w:val="样式 段落1 + 自动设置"/>
    <w:basedOn w:val="215"/>
    <w:qFormat/>
    <w:uiPriority w:val="99"/>
    <w:pPr>
      <w:ind w:firstLine="840" w:firstLineChars="400"/>
    </w:pPr>
    <w:rPr>
      <w:rFonts w:ascii="黑体" w:hAnsi="宋体"/>
      <w:bCs w:val="0"/>
      <w:spacing w:val="0"/>
      <w:szCs w:val="21"/>
    </w:rPr>
  </w:style>
  <w:style w:type="paragraph" w:customStyle="1" w:styleId="1024">
    <w:name w:val="02"/>
    <w:basedOn w:val="4"/>
    <w:qFormat/>
    <w:uiPriority w:val="99"/>
    <w:pPr>
      <w:widowControl w:val="0"/>
      <w:spacing w:line="480" w:lineRule="auto"/>
      <w:jc w:val="both"/>
    </w:pPr>
    <w:rPr>
      <w:rFonts w:ascii="Times New Roman" w:hAnsi="Times New Roman" w:eastAsia="宋体"/>
      <w:b/>
      <w:color w:val="333333"/>
      <w:sz w:val="24"/>
      <w:szCs w:val="20"/>
    </w:rPr>
  </w:style>
  <w:style w:type="paragraph" w:customStyle="1" w:styleId="1025">
    <w:name w:val="样式 样式 小四 段后: 6 磅 行距: 1.5 倍行距 + 首行缩进:  2 字符"/>
    <w:basedOn w:val="1"/>
    <w:qFormat/>
    <w:uiPriority w:val="99"/>
    <w:pPr>
      <w:keepNext/>
      <w:widowControl w:val="0"/>
      <w:spacing w:line="360" w:lineRule="auto"/>
      <w:ind w:firstLine="200" w:firstLineChars="200"/>
    </w:pPr>
    <w:rPr>
      <w:kern w:val="2"/>
      <w:sz w:val="28"/>
      <w:szCs w:val="20"/>
    </w:rPr>
  </w:style>
  <w:style w:type="paragraph" w:customStyle="1" w:styleId="1026">
    <w:name w:val="注×："/>
    <w:qFormat/>
    <w:uiPriority w:val="99"/>
    <w:pPr>
      <w:widowControl w:val="0"/>
      <w:tabs>
        <w:tab w:val="left" w:pos="630"/>
      </w:tabs>
      <w:autoSpaceDE w:val="0"/>
      <w:autoSpaceDN w:val="0"/>
      <w:jc w:val="both"/>
    </w:pPr>
    <w:rPr>
      <w:rFonts w:ascii="宋体" w:hAnsi="Times New Roman" w:eastAsia="宋体" w:cs="Times New Roman"/>
      <w:sz w:val="18"/>
      <w:lang w:val="en-US" w:eastAsia="zh-CN" w:bidi="ar-SA"/>
    </w:rPr>
  </w:style>
  <w:style w:type="paragraph" w:customStyle="1" w:styleId="1027">
    <w:name w:val="xl44"/>
    <w:basedOn w:val="1"/>
    <w:qFormat/>
    <w:uiPriority w:val="99"/>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28">
    <w:name w:val="表号文字"/>
    <w:basedOn w:val="1"/>
    <w:qFormat/>
    <w:uiPriority w:val="99"/>
    <w:pPr>
      <w:widowControl w:val="0"/>
      <w:adjustRightInd w:val="0"/>
      <w:snapToGrid w:val="0"/>
      <w:spacing w:before="120" w:line="300" w:lineRule="auto"/>
    </w:pPr>
    <w:rPr>
      <w:rFonts w:ascii="Times New Roman" w:hAnsi="Times New Roman" w:eastAsia="黑体" w:cs="Times New Roman"/>
      <w:kern w:val="2"/>
    </w:rPr>
  </w:style>
  <w:style w:type="paragraph" w:customStyle="1" w:styleId="1029">
    <w:name w:val="0"/>
    <w:basedOn w:val="1"/>
    <w:qFormat/>
    <w:uiPriority w:val="0"/>
    <w:pPr>
      <w:jc w:val="both"/>
    </w:pPr>
    <w:rPr>
      <w:rFonts w:ascii="Times New Roman" w:hAnsi="Times New Roman" w:cs="Times New Roman"/>
      <w:sz w:val="21"/>
      <w:szCs w:val="20"/>
    </w:rPr>
  </w:style>
  <w:style w:type="paragraph" w:customStyle="1" w:styleId="1030">
    <w:name w:val="列表 2W"/>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31">
    <w:name w:val="列表 2T"/>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32">
    <w:name w:val="Char4 Char Char Char Char Char Char"/>
    <w:basedOn w:val="1"/>
    <w:qFormat/>
    <w:uiPriority w:val="0"/>
    <w:pPr>
      <w:widowControl w:val="0"/>
      <w:spacing w:line="360" w:lineRule="auto"/>
      <w:ind w:firstLine="200" w:firstLineChars="200"/>
      <w:jc w:val="both"/>
    </w:pPr>
    <w:rPr>
      <w:kern w:val="2"/>
    </w:rPr>
  </w:style>
  <w:style w:type="paragraph" w:customStyle="1" w:styleId="1033">
    <w:name w:val="列表 5A"/>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034">
    <w:name w:val="xl29"/>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35">
    <w:name w:val="CM13"/>
    <w:basedOn w:val="102"/>
    <w:next w:val="102"/>
    <w:qFormat/>
    <w:uiPriority w:val="99"/>
    <w:pPr>
      <w:autoSpaceDE w:val="0"/>
      <w:autoSpaceDN w:val="0"/>
      <w:spacing w:line="468" w:lineRule="atLeast"/>
    </w:pPr>
    <w:rPr>
      <w:color w:val="auto"/>
    </w:rPr>
  </w:style>
  <w:style w:type="paragraph" w:customStyle="1" w:styleId="1036">
    <w:name w:val="表头样式"/>
    <w:basedOn w:val="1"/>
    <w:qFormat/>
    <w:uiPriority w:val="99"/>
    <w:pPr>
      <w:keepNext/>
      <w:spacing w:beforeLines="50" w:afterLines="50" w:line="520" w:lineRule="exact"/>
      <w:ind w:firstLine="280" w:firstLineChars="100"/>
      <w:jc w:val="both"/>
    </w:pPr>
    <w:rPr>
      <w:bCs/>
      <w:kern w:val="2"/>
      <w:sz w:val="28"/>
      <w:szCs w:val="28"/>
    </w:rPr>
  </w:style>
  <w:style w:type="paragraph" w:customStyle="1" w:styleId="1037">
    <w:name w:val="灯泡注释(打印无效)"/>
    <w:basedOn w:val="78"/>
    <w:qFormat/>
    <w:uiPriority w:val="99"/>
    <w:pPr>
      <w:widowControl w:val="0"/>
      <w:snapToGrid w:val="0"/>
      <w:spacing w:after="0"/>
      <w:ind w:firstLine="0" w:firstLineChars="0"/>
    </w:pPr>
    <w:rPr>
      <w:rFonts w:ascii="Times New Roman" w:hAnsi="Times New Roman"/>
      <w:i/>
      <w:vanish/>
      <w:color w:val="FF0000"/>
      <w:szCs w:val="21"/>
    </w:rPr>
  </w:style>
  <w:style w:type="paragraph" w:customStyle="1" w:styleId="1038">
    <w:name w:val="图文字"/>
    <w:basedOn w:val="1"/>
    <w:next w:val="1"/>
    <w:qFormat/>
    <w:uiPriority w:val="0"/>
    <w:pPr>
      <w:widowControl w:val="0"/>
      <w:snapToGrid w:val="0"/>
      <w:jc w:val="both"/>
    </w:pPr>
    <w:rPr>
      <w:rFonts w:ascii="Arial" w:hAnsi="Arial" w:eastAsia="楷体_GB2312" w:cs="Times New Roman"/>
      <w:kern w:val="2"/>
      <w:szCs w:val="20"/>
    </w:rPr>
  </w:style>
  <w:style w:type="paragraph" w:customStyle="1" w:styleId="1039">
    <w:name w:val="表中样式"/>
    <w:basedOn w:val="1"/>
    <w:qFormat/>
    <w:uiPriority w:val="99"/>
    <w:pPr>
      <w:spacing w:line="240" w:lineRule="exact"/>
      <w:ind w:left="-25" w:leftChars="-25" w:right="-31" w:rightChars="-31"/>
      <w:jc w:val="center"/>
    </w:pPr>
    <w:rPr>
      <w:bCs/>
      <w:sz w:val="21"/>
      <w:szCs w:val="32"/>
    </w:rPr>
  </w:style>
  <w:style w:type="paragraph" w:customStyle="1" w:styleId="1040">
    <w:name w:val="表标题5.14"/>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041">
    <w:name w:val="Char Char Char1 Char Char Char1"/>
    <w:basedOn w:val="1"/>
    <w:qFormat/>
    <w:uiPriority w:val="99"/>
    <w:pPr>
      <w:widowControl w:val="0"/>
      <w:jc w:val="both"/>
    </w:pPr>
    <w:rPr>
      <w:rFonts w:ascii="Times New Roman" w:hAnsi="Times New Roman" w:cs="Times New Roman"/>
      <w:kern w:val="2"/>
      <w:sz w:val="21"/>
    </w:rPr>
  </w:style>
  <w:style w:type="paragraph" w:customStyle="1" w:styleId="1042">
    <w:name w:val="xl100"/>
    <w:basedOn w:val="1"/>
    <w:qFormat/>
    <w:uiPriority w:val="99"/>
    <w:pPr>
      <w:pBdr>
        <w:top w:val="single" w:color="auto" w:sz="8" w:space="0"/>
        <w:bottom w:val="single" w:color="auto" w:sz="4"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043">
    <w:name w:val="样式 标题 4款标题1.1.1.1 南陵标题 4标题 4 CharH4PIM 4h4First Subheadin..."/>
    <w:basedOn w:val="7"/>
    <w:qFormat/>
    <w:uiPriority w:val="0"/>
    <w:pPr>
      <w:keepNext w:val="0"/>
      <w:keepLines w:val="0"/>
      <w:widowControl w:val="0"/>
      <w:spacing w:line="360" w:lineRule="auto"/>
      <w:jc w:val="both"/>
    </w:pPr>
    <w:rPr>
      <w:rFonts w:ascii="黑体" w:eastAsia="黑体" w:cs="Times New Roman"/>
      <w:bCs/>
      <w:color w:val="000000"/>
      <w:lang w:val="en-US"/>
    </w:rPr>
  </w:style>
  <w:style w:type="paragraph" w:customStyle="1" w:styleId="1044">
    <w:name w:val="列表 4S"/>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045">
    <w:name w:val="条文2"/>
    <w:basedOn w:val="7"/>
    <w:qFormat/>
    <w:uiPriority w:val="99"/>
    <w:pPr>
      <w:keepNext w:val="0"/>
      <w:keepLines w:val="0"/>
      <w:widowControl w:val="0"/>
      <w:tabs>
        <w:tab w:val="left" w:pos="360"/>
      </w:tabs>
      <w:adjustRightInd w:val="0"/>
      <w:spacing w:line="460" w:lineRule="exact"/>
      <w:ind w:left="1151" w:hanging="425"/>
      <w:textAlignment w:val="baseline"/>
      <w:outlineLvl w:val="9"/>
    </w:pPr>
    <w:rPr>
      <w:rFonts w:ascii="宋体" w:hAnsi="Arial" w:cs="Times New Roman"/>
      <w:spacing w:val="3"/>
      <w:kern w:val="24"/>
      <w:lang w:val="en-US"/>
    </w:rPr>
  </w:style>
  <w:style w:type="paragraph" w:customStyle="1" w:styleId="1046">
    <w:name w:val="Char4 Char Char Char Char Char Char2"/>
    <w:basedOn w:val="1"/>
    <w:qFormat/>
    <w:uiPriority w:val="99"/>
    <w:pPr>
      <w:widowControl w:val="0"/>
      <w:spacing w:line="360" w:lineRule="auto"/>
      <w:ind w:firstLine="200" w:firstLineChars="200"/>
      <w:jc w:val="both"/>
    </w:pPr>
    <w:rPr>
      <w:kern w:val="2"/>
    </w:rPr>
  </w:style>
  <w:style w:type="paragraph" w:customStyle="1" w:styleId="1047">
    <w:name w:val="表格11"/>
    <w:basedOn w:val="358"/>
    <w:qFormat/>
    <w:uiPriority w:val="99"/>
    <w:pPr>
      <w:widowControl w:val="0"/>
      <w:spacing w:line="240" w:lineRule="auto"/>
    </w:pPr>
    <w:rPr>
      <w:rFonts w:ascii="黑体" w:eastAsia="仿宋_GB2312"/>
      <w:szCs w:val="28"/>
    </w:rPr>
  </w:style>
  <w:style w:type="paragraph" w:customStyle="1" w:styleId="1048">
    <w:name w:val="xl87"/>
    <w:basedOn w:val="1"/>
    <w:qFormat/>
    <w:uiPriority w:val="99"/>
    <w:pPr>
      <w:pBdr>
        <w:top w:val="single" w:color="auto" w:sz="8" w:space="0"/>
        <w:bottom w:val="single" w:color="auto" w:sz="4"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049">
    <w:name w:val="列表 2V"/>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50">
    <w:name w:val="列表 4A"/>
    <w:basedOn w:val="69"/>
    <w:qFormat/>
    <w:uiPriority w:val="99"/>
    <w:pPr>
      <w:tabs>
        <w:tab w:val="left" w:pos="360"/>
      </w:tabs>
      <w:topLinePunct w:val="0"/>
      <w:spacing w:beforeLines="50" w:afterLines="30" w:line="288" w:lineRule="auto"/>
      <w:ind w:left="360" w:leftChars="0" w:hanging="360"/>
      <w:jc w:val="both"/>
    </w:pPr>
    <w:rPr>
      <w:rFonts w:ascii="Arial" w:hAnsi="Arial" w:eastAsia="宋体"/>
      <w:color w:val="CCFFFF"/>
      <w:sz w:val="24"/>
    </w:rPr>
  </w:style>
  <w:style w:type="paragraph" w:customStyle="1" w:styleId="1051">
    <w:name w:val="正文王"/>
    <w:basedOn w:val="1"/>
    <w:qFormat/>
    <w:uiPriority w:val="99"/>
    <w:pPr>
      <w:tabs>
        <w:tab w:val="left" w:pos="7080"/>
      </w:tabs>
      <w:adjustRightInd w:val="0"/>
      <w:snapToGrid w:val="0"/>
      <w:spacing w:line="360" w:lineRule="auto"/>
      <w:ind w:firstLine="480" w:firstLineChars="200"/>
      <w:jc w:val="both"/>
    </w:pPr>
    <w:rPr>
      <w:rFonts w:ascii="Times New Roman" w:hAnsi="Times New Roman" w:eastAsia="仿宋_GB2312" w:cs="Times New Roman"/>
      <w:snapToGrid w:val="0"/>
      <w:szCs w:val="28"/>
    </w:rPr>
  </w:style>
  <w:style w:type="paragraph" w:customStyle="1" w:styleId="1052">
    <w:name w:val="表标题17.21"/>
    <w:basedOn w:val="1"/>
    <w:qFormat/>
    <w:uiPriority w:val="99"/>
    <w:pPr>
      <w:widowControl w:val="0"/>
      <w:tabs>
        <w:tab w:val="left" w:pos="284"/>
        <w:tab w:val="center" w:pos="4060"/>
        <w:tab w:val="right" w:pos="8261"/>
      </w:tabs>
      <w:suppressAutoHyphens/>
      <w:adjustRightInd w:val="0"/>
      <w:spacing w:before="240" w:line="0" w:lineRule="atLeast"/>
      <w:jc w:val="center"/>
    </w:pPr>
    <w:rPr>
      <w:rFonts w:ascii="黑体" w:hAnsi="Times New Roman" w:eastAsia="黑体" w:cs="Times New Roman"/>
      <w:b/>
      <w:spacing w:val="6"/>
    </w:rPr>
  </w:style>
  <w:style w:type="paragraph" w:customStyle="1" w:styleId="1053">
    <w:name w:val="style18"/>
    <w:basedOn w:val="1"/>
    <w:qFormat/>
    <w:uiPriority w:val="99"/>
    <w:pPr>
      <w:spacing w:before="100" w:beforeAutospacing="1" w:after="100" w:afterAutospacing="1"/>
    </w:pPr>
    <w:rPr>
      <w:rFonts w:cs="Times New Roman"/>
      <w:color w:val="000000"/>
      <w:sz w:val="21"/>
      <w:szCs w:val="21"/>
    </w:rPr>
  </w:style>
  <w:style w:type="paragraph" w:customStyle="1" w:styleId="1054">
    <w:name w:val="样式8"/>
    <w:basedOn w:val="6"/>
    <w:qFormat/>
    <w:uiPriority w:val="99"/>
    <w:pPr>
      <w:keepNext w:val="0"/>
      <w:keepLines w:val="0"/>
      <w:adjustRightInd w:val="0"/>
      <w:snapToGrid w:val="0"/>
      <w:spacing w:beforeLines="20" w:afterLines="50" w:line="360" w:lineRule="auto"/>
      <w:textAlignment w:val="baseline"/>
    </w:pPr>
    <w:rPr>
      <w:rFonts w:ascii="宋体" w:hAnsi="Courier New" w:eastAsia="宋体"/>
      <w:b/>
      <w:bCs w:val="0"/>
      <w:sz w:val="24"/>
      <w:szCs w:val="20"/>
    </w:rPr>
  </w:style>
  <w:style w:type="paragraph" w:customStyle="1" w:styleId="1055">
    <w:name w:val="标标题1.9"/>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cs="Times New Roman"/>
      <w:b/>
      <w:spacing w:val="6"/>
      <w:sz w:val="26"/>
      <w:szCs w:val="26"/>
    </w:rPr>
  </w:style>
  <w:style w:type="paragraph" w:customStyle="1" w:styleId="1056">
    <w:name w:val="CM66"/>
    <w:basedOn w:val="102"/>
    <w:next w:val="102"/>
    <w:qFormat/>
    <w:uiPriority w:val="99"/>
    <w:pPr>
      <w:autoSpaceDE w:val="0"/>
      <w:autoSpaceDN w:val="0"/>
      <w:spacing w:after="215"/>
    </w:pPr>
    <w:rPr>
      <w:color w:val="auto"/>
    </w:rPr>
  </w:style>
  <w:style w:type="paragraph" w:customStyle="1" w:styleId="1057">
    <w:name w:val="表右"/>
    <w:basedOn w:val="1"/>
    <w:qFormat/>
    <w:uiPriority w:val="99"/>
    <w:pPr>
      <w:keepNext/>
      <w:widowControl w:val="0"/>
      <w:tabs>
        <w:tab w:val="left" w:pos="2190"/>
      </w:tabs>
      <w:adjustRightInd w:val="0"/>
      <w:snapToGrid w:val="0"/>
      <w:spacing w:line="240" w:lineRule="atLeast"/>
      <w:ind w:right="20" w:rightChars="20"/>
      <w:jc w:val="right"/>
    </w:pPr>
    <w:rPr>
      <w:rFonts w:cs="Times New Roman"/>
      <w:kern w:val="2"/>
      <w:szCs w:val="28"/>
    </w:rPr>
  </w:style>
  <w:style w:type="paragraph" w:customStyle="1" w:styleId="1058">
    <w:name w:val="副题目"/>
    <w:basedOn w:val="57"/>
    <w:qFormat/>
    <w:uiPriority w:val="99"/>
    <w:pPr>
      <w:keepNext/>
      <w:keepLines/>
      <w:spacing w:beforeLines="100" w:after="100" w:afterAutospacing="1" w:line="600" w:lineRule="atLeast"/>
      <w:outlineLvl w:val="9"/>
    </w:pPr>
    <w:rPr>
      <w:rFonts w:ascii="Arial" w:hAnsi="Arial" w:eastAsia="经典叠圆体简" w:cs="Times New Roman"/>
      <w:b w:val="0"/>
      <w:bCs w:val="0"/>
      <w:iCs/>
      <w:color w:val="CC99FF"/>
      <w:spacing w:val="36"/>
      <w:sz w:val="36"/>
      <w:szCs w:val="20"/>
      <w:lang w:bidi="he-IL"/>
    </w:rPr>
  </w:style>
  <w:style w:type="paragraph" w:customStyle="1" w:styleId="1059">
    <w:name w:val="样式 标题3"/>
    <w:basedOn w:val="6"/>
    <w:qFormat/>
    <w:uiPriority w:val="0"/>
    <w:pPr>
      <w:widowControl w:val="0"/>
      <w:spacing w:beforeLines="50" w:afterLines="50" w:line="360" w:lineRule="auto"/>
      <w:ind w:firstLine="200"/>
    </w:pPr>
    <w:rPr>
      <w:rFonts w:ascii="宋体" w:hAnsi="宋体" w:eastAsia="宋体" w:cs="宋体"/>
      <w:b/>
      <w:sz w:val="28"/>
      <w:szCs w:val="24"/>
    </w:rPr>
  </w:style>
  <w:style w:type="paragraph" w:customStyle="1" w:styleId="1060">
    <w:name w:val="列表 H"/>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061">
    <w:name w:val="CM61"/>
    <w:basedOn w:val="102"/>
    <w:next w:val="102"/>
    <w:qFormat/>
    <w:uiPriority w:val="99"/>
    <w:pPr>
      <w:autoSpaceDE w:val="0"/>
      <w:autoSpaceDN w:val="0"/>
      <w:spacing w:after="78"/>
    </w:pPr>
    <w:rPr>
      <w:color w:val="auto"/>
    </w:rPr>
  </w:style>
  <w:style w:type="paragraph" w:customStyle="1" w:styleId="1062">
    <w:name w:val="xl30"/>
    <w:basedOn w:val="1"/>
    <w:qFormat/>
    <w:uiPriority w:val="99"/>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63">
    <w:name w:val="普通(Web)1"/>
    <w:basedOn w:val="1"/>
    <w:qFormat/>
    <w:uiPriority w:val="99"/>
    <w:rPr>
      <w:rFonts w:eastAsia="仿宋_GB2312"/>
      <w:color w:val="000000"/>
    </w:rPr>
  </w:style>
  <w:style w:type="paragraph" w:customStyle="1" w:styleId="1064">
    <w:name w:val="xl94"/>
    <w:basedOn w:val="1"/>
    <w:qFormat/>
    <w:uiPriority w:val="99"/>
    <w:pPr>
      <w:spacing w:before="100" w:beforeAutospacing="1" w:after="100" w:afterAutospacing="1"/>
      <w:jc w:val="center"/>
    </w:pPr>
    <w:rPr>
      <w:rFonts w:ascii="Times New Roman" w:hAnsi="Times New Roman" w:eastAsia="Arial Unicode MS" w:cs="Times New Roman"/>
      <w:sz w:val="20"/>
      <w:szCs w:val="20"/>
    </w:rPr>
  </w:style>
  <w:style w:type="paragraph" w:customStyle="1" w:styleId="1065">
    <w:name w:val="标题2.5"/>
    <w:basedOn w:val="1066"/>
    <w:next w:val="312"/>
    <w:qFormat/>
    <w:uiPriority w:val="99"/>
    <w:pPr>
      <w:topLinePunct/>
      <w:spacing w:beforeLines="0" w:line="360" w:lineRule="auto"/>
    </w:pPr>
    <w:rPr>
      <w:rFonts w:ascii="仿宋_GB2312"/>
      <w:b w:val="0"/>
    </w:rPr>
  </w:style>
  <w:style w:type="paragraph" w:customStyle="1" w:styleId="1066">
    <w:name w:val="标题2"/>
    <w:basedOn w:val="1"/>
    <w:next w:val="1"/>
    <w:semiHidden/>
    <w:qFormat/>
    <w:uiPriority w:val="99"/>
    <w:pPr>
      <w:widowControl w:val="0"/>
      <w:spacing w:beforeLines="100" w:afterLines="100" w:line="640" w:lineRule="exact"/>
      <w:outlineLvl w:val="1"/>
    </w:pPr>
    <w:rPr>
      <w:rFonts w:ascii="黑体" w:hAnsi="Times New Roman" w:eastAsia="黑体" w:cs="Times New Roman"/>
      <w:b/>
      <w:color w:val="000000"/>
      <w:kern w:val="2"/>
      <w:sz w:val="28"/>
      <w:szCs w:val="28"/>
    </w:rPr>
  </w:style>
  <w:style w:type="paragraph" w:customStyle="1" w:styleId="1067">
    <w:name w:val="表格中"/>
    <w:basedOn w:val="1"/>
    <w:qFormat/>
    <w:uiPriority w:val="99"/>
    <w:pPr>
      <w:widowControl w:val="0"/>
      <w:snapToGrid w:val="0"/>
      <w:spacing w:line="360" w:lineRule="auto"/>
      <w:jc w:val="both"/>
    </w:pPr>
    <w:rPr>
      <w:rFonts w:cs="Times New Roman"/>
      <w:spacing w:val="-20"/>
      <w:kern w:val="2"/>
      <w:sz w:val="28"/>
      <w:szCs w:val="28"/>
    </w:rPr>
  </w:style>
  <w:style w:type="paragraph" w:customStyle="1" w:styleId="1068">
    <w:name w:val="表格编号"/>
    <w:basedOn w:val="1"/>
    <w:qFormat/>
    <w:uiPriority w:val="99"/>
    <w:pPr>
      <w:widowControl w:val="0"/>
      <w:spacing w:line="400" w:lineRule="exact"/>
      <w:jc w:val="both"/>
    </w:pPr>
    <w:rPr>
      <w:rFonts w:ascii="Times New Roman" w:hAnsi="Times New Roman" w:cs="Times New Roman"/>
      <w:sz w:val="28"/>
      <w:szCs w:val="28"/>
    </w:rPr>
  </w:style>
  <w:style w:type="paragraph" w:customStyle="1" w:styleId="1069">
    <w:name w:val="表字"/>
    <w:basedOn w:val="1"/>
    <w:qFormat/>
    <w:uiPriority w:val="99"/>
    <w:pPr>
      <w:widowControl w:val="0"/>
      <w:jc w:val="center"/>
    </w:pPr>
    <w:rPr>
      <w:rFonts w:hAnsi="Times New Roman" w:cs="Times New Roman"/>
      <w:kern w:val="2"/>
      <w:sz w:val="21"/>
      <w:szCs w:val="20"/>
    </w:rPr>
  </w:style>
  <w:style w:type="paragraph" w:customStyle="1" w:styleId="1070">
    <w:name w:val="xl33"/>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eastAsia="仿宋_GB2312" w:cs="Times New Roman"/>
      <w:szCs w:val="20"/>
    </w:rPr>
  </w:style>
  <w:style w:type="paragraph" w:customStyle="1" w:styleId="1071">
    <w:name w:val="xl69"/>
    <w:basedOn w:val="1"/>
    <w:qFormat/>
    <w:uiPriority w:val="99"/>
    <w:pPr>
      <w:pBdr>
        <w:bottom w:val="single" w:color="auto" w:sz="4" w:space="0"/>
      </w:pBdr>
      <w:spacing w:before="100" w:beforeAutospacing="1" w:after="100" w:afterAutospacing="1"/>
      <w:jc w:val="right"/>
    </w:pPr>
    <w:rPr>
      <w:rFonts w:eastAsia="仿宋_GB2312" w:cs="Times New Roman"/>
      <w:b/>
      <w:bCs/>
      <w:position w:val="-6"/>
    </w:rPr>
  </w:style>
  <w:style w:type="paragraph" w:customStyle="1" w:styleId="1072">
    <w:name w:val="样式 标题 4 + 左侧:  0 厘米 悬挂缩进: 8.64 字符 段前: 6 磅 段后: 6 磅 行距: 单倍行距"/>
    <w:basedOn w:val="7"/>
    <w:qFormat/>
    <w:uiPriority w:val="99"/>
    <w:pPr>
      <w:widowControl w:val="0"/>
      <w:tabs>
        <w:tab w:val="left" w:pos="360"/>
      </w:tabs>
      <w:spacing w:before="120" w:after="120" w:line="312" w:lineRule="auto"/>
      <w:jc w:val="both"/>
    </w:pPr>
    <w:rPr>
      <w:rFonts w:ascii="Arial" w:hAnsi="Arial" w:eastAsia="黑体"/>
      <w:b/>
      <w:bCs/>
      <w:kern w:val="2"/>
      <w:lang w:val="en-US"/>
    </w:rPr>
  </w:style>
  <w:style w:type="paragraph" w:customStyle="1" w:styleId="1073">
    <w:name w:val="样式 标题 4款标题1.1.1.1 南陵标题 4标题 4 CharH4PIM 4h4First Subheadin...2"/>
    <w:basedOn w:val="7"/>
    <w:qFormat/>
    <w:uiPriority w:val="0"/>
    <w:pPr>
      <w:keepNext w:val="0"/>
      <w:keepLines w:val="0"/>
      <w:widowControl w:val="0"/>
      <w:spacing w:line="360" w:lineRule="auto"/>
      <w:jc w:val="both"/>
    </w:pPr>
    <w:rPr>
      <w:rFonts w:ascii="黑体" w:eastAsia="黑体"/>
      <w:color w:val="000000"/>
      <w:kern w:val="2"/>
      <w:szCs w:val="24"/>
      <w:lang w:val="en-US"/>
    </w:rPr>
  </w:style>
  <w:style w:type="paragraph" w:customStyle="1" w:styleId="1074">
    <w:name w:val="xl105"/>
    <w:basedOn w:val="1"/>
    <w:qFormat/>
    <w:uiPriority w:val="99"/>
    <w:pPr>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075">
    <w:name w:val="表后空行"/>
    <w:basedOn w:val="1"/>
    <w:next w:val="1"/>
    <w:qFormat/>
    <w:uiPriority w:val="99"/>
    <w:pPr>
      <w:widowControl w:val="0"/>
      <w:jc w:val="both"/>
    </w:pPr>
    <w:rPr>
      <w:rFonts w:ascii="Times New Roman" w:hAnsi="Times New Roman" w:cs="Times New Roman"/>
      <w:kern w:val="18"/>
      <w:sz w:val="18"/>
    </w:rPr>
  </w:style>
  <w:style w:type="paragraph" w:customStyle="1" w:styleId="1076">
    <w:name w:val="项目点符号"/>
    <w:basedOn w:val="1"/>
    <w:qFormat/>
    <w:uiPriority w:val="99"/>
    <w:pPr>
      <w:widowControl w:val="0"/>
      <w:snapToGrid w:val="0"/>
      <w:jc w:val="both"/>
    </w:pPr>
    <w:rPr>
      <w:rFonts w:ascii="Times New Roman" w:hAnsi="Times New Roman" w:cs="Times New Roman"/>
      <w:bCs/>
      <w:sz w:val="21"/>
      <w:szCs w:val="21"/>
    </w:rPr>
  </w:style>
  <w:style w:type="paragraph" w:customStyle="1" w:styleId="1077">
    <w:name w:val="CM23"/>
    <w:basedOn w:val="102"/>
    <w:next w:val="102"/>
    <w:qFormat/>
    <w:uiPriority w:val="99"/>
    <w:pPr>
      <w:autoSpaceDE w:val="0"/>
      <w:autoSpaceDN w:val="0"/>
    </w:pPr>
    <w:rPr>
      <w:color w:val="auto"/>
    </w:rPr>
  </w:style>
  <w:style w:type="paragraph" w:customStyle="1" w:styleId="1078">
    <w:name w:val="样式 样式 注意 + 首行缩进:  2 字符 + 首行缩进:  2 字符"/>
    <w:basedOn w:val="78"/>
    <w:next w:val="78"/>
    <w:qFormat/>
    <w:uiPriority w:val="99"/>
    <w:pPr>
      <w:widowControl w:val="0"/>
      <w:tabs>
        <w:tab w:val="left" w:pos="628"/>
        <w:tab w:val="left" w:pos="1727"/>
        <w:tab w:val="left" w:pos="1884"/>
        <w:tab w:val="left" w:pos="2514"/>
        <w:tab w:val="left" w:pos="4900"/>
      </w:tabs>
      <w:autoSpaceDE w:val="0"/>
      <w:autoSpaceDN w:val="0"/>
      <w:adjustRightInd w:val="0"/>
      <w:snapToGrid w:val="0"/>
      <w:spacing w:after="0" w:line="360" w:lineRule="auto"/>
      <w:ind w:left="-2" w:leftChars="-1" w:right="-99" w:rightChars="-47" w:firstLine="480" w:firstLineChars="0"/>
    </w:pPr>
    <w:rPr>
      <w:color w:val="000000"/>
      <w:szCs w:val="21"/>
      <w:lang w:val="zh-CN"/>
    </w:rPr>
  </w:style>
  <w:style w:type="paragraph" w:customStyle="1" w:styleId="1079">
    <w:name w:val="表11"/>
    <w:basedOn w:val="12"/>
    <w:qFormat/>
    <w:uiPriority w:val="99"/>
    <w:pPr>
      <w:keepNext w:val="0"/>
      <w:keepLines w:val="0"/>
      <w:topLinePunct w:val="0"/>
      <w:adjustRightInd w:val="0"/>
      <w:snapToGrid w:val="0"/>
      <w:spacing w:before="0" w:after="0" w:line="360" w:lineRule="exact"/>
      <w:ind w:firstLine="0" w:firstLineChars="0"/>
      <w:outlineLvl w:val="9"/>
    </w:pPr>
    <w:rPr>
      <w:rFonts w:ascii="Times New Roman" w:hAnsi="Times New Roman" w:eastAsia="宋体"/>
      <w:sz w:val="21"/>
    </w:rPr>
  </w:style>
  <w:style w:type="paragraph" w:customStyle="1" w:styleId="1080">
    <w:name w:val="小表中密"/>
    <w:basedOn w:val="1"/>
    <w:qFormat/>
    <w:uiPriority w:val="99"/>
    <w:pPr>
      <w:keepNext/>
      <w:widowControl w:val="0"/>
      <w:adjustRightInd w:val="0"/>
      <w:snapToGrid w:val="0"/>
      <w:spacing w:line="240" w:lineRule="atLeast"/>
      <w:jc w:val="center"/>
    </w:pPr>
    <w:rPr>
      <w:rFonts w:cs="Times New Roman"/>
      <w:kern w:val="2"/>
      <w:sz w:val="18"/>
      <w:szCs w:val="18"/>
    </w:rPr>
  </w:style>
  <w:style w:type="paragraph" w:customStyle="1" w:styleId="1081">
    <w:name w:val="四级标题"/>
    <w:basedOn w:val="7"/>
    <w:next w:val="854"/>
    <w:qFormat/>
    <w:uiPriority w:val="0"/>
    <w:pPr>
      <w:keepNext w:val="0"/>
      <w:keepLines w:val="0"/>
      <w:widowControl w:val="0"/>
      <w:snapToGrid w:val="0"/>
      <w:spacing w:line="480" w:lineRule="exact"/>
      <w:jc w:val="both"/>
    </w:pPr>
    <w:rPr>
      <w:rFonts w:eastAsia="黑体" w:cs="Times New Roman"/>
      <w:bCs/>
      <w:color w:val="0070C0"/>
      <w:kern w:val="2"/>
      <w:szCs w:val="28"/>
      <w:lang w:val="en-US"/>
    </w:rPr>
  </w:style>
  <w:style w:type="paragraph" w:customStyle="1" w:styleId="1082">
    <w:name w:val="样式 表标12.2 + 段前: 1 行"/>
    <w:basedOn w:val="1"/>
    <w:qFormat/>
    <w:uiPriority w:val="99"/>
    <w:pPr>
      <w:widowControl w:val="0"/>
      <w:tabs>
        <w:tab w:val="left" w:pos="280"/>
        <w:tab w:val="left" w:pos="726"/>
      </w:tabs>
      <w:adjustRightInd w:val="0"/>
      <w:snapToGrid w:val="0"/>
      <w:spacing w:beforeLines="100" w:line="0" w:lineRule="atLeast"/>
      <w:ind w:left="2" w:firstLine="4"/>
      <w:jc w:val="center"/>
    </w:pPr>
    <w:rPr>
      <w:rFonts w:ascii="黑体" w:eastAsia="黑体"/>
      <w:b/>
      <w:bCs/>
      <w:kern w:val="2"/>
      <w:szCs w:val="20"/>
    </w:rPr>
  </w:style>
  <w:style w:type="paragraph" w:customStyle="1" w:styleId="1083">
    <w:name w:val="样式 燕山正文 + 首行缩进:  3.5 字符1"/>
    <w:basedOn w:val="759"/>
    <w:qFormat/>
    <w:uiPriority w:val="99"/>
    <w:pPr>
      <w:shd w:val="clear" w:color="auto" w:fill="auto"/>
      <w:ind w:firstLine="200"/>
      <w:jc w:val="both"/>
    </w:pPr>
    <w:rPr>
      <w:color w:val="000000"/>
      <w:sz w:val="28"/>
      <w:szCs w:val="20"/>
    </w:rPr>
  </w:style>
  <w:style w:type="paragraph" w:customStyle="1" w:styleId="1084">
    <w:name w:val="样式 标题 1 + 宋体 二号 加粗 两端对齐 段前: 17 磅 段后: 16.5 磅 行距: 多倍行距 2.41 ..."/>
    <w:basedOn w:val="3"/>
    <w:qFormat/>
    <w:uiPriority w:val="99"/>
    <w:pPr>
      <w:keepNext/>
      <w:keepLines/>
      <w:widowControl w:val="0"/>
      <w:spacing w:beforeLines="100" w:afterLines="100" w:line="578" w:lineRule="auto"/>
      <w:jc w:val="both"/>
    </w:pPr>
    <w:rPr>
      <w:rFonts w:ascii="Arial" w:hAnsi="Arial" w:eastAsia="宋体"/>
      <w:bCs/>
      <w:kern w:val="44"/>
      <w:sz w:val="44"/>
      <w:szCs w:val="44"/>
    </w:rPr>
  </w:style>
  <w:style w:type="paragraph" w:customStyle="1" w:styleId="1085">
    <w:name w:val="Company Name"/>
    <w:basedOn w:val="1"/>
    <w:next w:val="1"/>
    <w:qFormat/>
    <w:uiPriority w:val="99"/>
    <w:pPr>
      <w:tabs>
        <w:tab w:val="left" w:pos="2160"/>
        <w:tab w:val="right" w:pos="6480"/>
      </w:tabs>
      <w:spacing w:before="220" w:after="40" w:line="220" w:lineRule="atLeast"/>
      <w:ind w:right="-360"/>
    </w:pPr>
    <w:rPr>
      <w:rFonts w:ascii="Times New Roman" w:hAnsi="Times New Roman" w:cs="Times New Roman"/>
      <w:sz w:val="20"/>
      <w:szCs w:val="20"/>
    </w:rPr>
  </w:style>
  <w:style w:type="paragraph" w:customStyle="1" w:styleId="1086">
    <w:name w:val="表格字2"/>
    <w:basedOn w:val="1"/>
    <w:qFormat/>
    <w:uiPriority w:val="0"/>
    <w:pPr>
      <w:widowControl w:val="0"/>
      <w:jc w:val="both"/>
    </w:pPr>
    <w:rPr>
      <w:rFonts w:cs="Times New Roman"/>
      <w:color w:val="000000"/>
      <w:kern w:val="16"/>
      <w:sz w:val="21"/>
      <w:szCs w:val="21"/>
    </w:rPr>
  </w:style>
  <w:style w:type="paragraph" w:customStyle="1" w:styleId="1087">
    <w:name w:val="表内5中4"/>
    <w:basedOn w:val="996"/>
    <w:qFormat/>
    <w:uiPriority w:val="99"/>
    <w:pPr>
      <w:tabs>
        <w:tab w:val="clear" w:pos="4305"/>
      </w:tabs>
      <w:spacing w:line="240" w:lineRule="auto"/>
      <w:ind w:firstLine="0" w:firstLineChars="0"/>
    </w:pPr>
    <w:rPr>
      <w:rFonts w:hAnsi="Times New Roman"/>
      <w:bCs/>
      <w:color w:val="auto"/>
      <w:szCs w:val="20"/>
      <w:shd w:val="clear" w:color="auto" w:fill="auto"/>
    </w:rPr>
  </w:style>
  <w:style w:type="paragraph" w:customStyle="1" w:styleId="1088">
    <w:name w:val="样式 标题 4 + 宋体 小四 非加粗"/>
    <w:basedOn w:val="7"/>
    <w:qFormat/>
    <w:uiPriority w:val="99"/>
    <w:pPr>
      <w:widowControl w:val="0"/>
      <w:tabs>
        <w:tab w:val="left" w:pos="360"/>
        <w:tab w:val="left" w:pos="1984"/>
      </w:tabs>
      <w:spacing w:before="280" w:after="290" w:line="376" w:lineRule="auto"/>
      <w:ind w:left="1984" w:hanging="708"/>
      <w:jc w:val="both"/>
    </w:pPr>
    <w:rPr>
      <w:rFonts w:ascii="宋体" w:hAnsi="宋体" w:cs="Times New Roman"/>
      <w:szCs w:val="28"/>
      <w:lang w:val="en-US"/>
    </w:rPr>
  </w:style>
  <w:style w:type="paragraph" w:customStyle="1" w:styleId="1089">
    <w:name w:val="列表 J"/>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090">
    <w:name w:val="xl27"/>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91">
    <w:name w:val="章标题"/>
    <w:next w:val="1"/>
    <w:qFormat/>
    <w:uiPriority w:val="0"/>
    <w:pPr>
      <w:tabs>
        <w:tab w:val="left" w:pos="425"/>
      </w:tabs>
      <w:spacing w:beforeLines="50" w:afterLines="50"/>
      <w:ind w:left="425" w:hanging="425"/>
      <w:jc w:val="both"/>
      <w:outlineLvl w:val="1"/>
    </w:pPr>
    <w:rPr>
      <w:rFonts w:ascii="黑体" w:hAnsi="Times New Roman" w:eastAsia="黑体" w:cs="Times New Roman"/>
      <w:sz w:val="21"/>
      <w:lang w:val="en-US" w:eastAsia="zh-CN" w:bidi="ar-SA"/>
    </w:rPr>
  </w:style>
  <w:style w:type="paragraph" w:customStyle="1" w:styleId="1092">
    <w:name w:val="正文段落（缩进）"/>
    <w:basedOn w:val="1"/>
    <w:next w:val="41"/>
    <w:qFormat/>
    <w:uiPriority w:val="99"/>
    <w:pPr>
      <w:widowControl w:val="0"/>
      <w:spacing w:line="360" w:lineRule="auto"/>
    </w:pPr>
    <w:rPr>
      <w:rFonts w:ascii="Times New Roman" w:hAnsi="Times New Roman" w:cs="Times New Roman"/>
      <w:szCs w:val="20"/>
    </w:rPr>
  </w:style>
  <w:style w:type="paragraph" w:customStyle="1" w:styleId="1093">
    <w:name w:val="[1]正文"/>
    <w:basedOn w:val="1"/>
    <w:qFormat/>
    <w:uiPriority w:val="99"/>
    <w:pPr>
      <w:widowControl w:val="0"/>
      <w:adjustRightInd w:val="0"/>
      <w:snapToGrid w:val="0"/>
      <w:spacing w:line="500" w:lineRule="exact"/>
      <w:ind w:firstLine="200" w:firstLineChars="200"/>
    </w:pPr>
    <w:rPr>
      <w:rFonts w:ascii="Times New Roman" w:hAnsi="Times New Roman" w:cs="Times New Roman"/>
      <w:sz w:val="28"/>
      <w:szCs w:val="28"/>
    </w:rPr>
  </w:style>
  <w:style w:type="paragraph" w:customStyle="1" w:styleId="1094">
    <w:name w:val="Char Char Char1 Char1"/>
    <w:basedOn w:val="1"/>
    <w:qFormat/>
    <w:uiPriority w:val="99"/>
    <w:pPr>
      <w:widowControl w:val="0"/>
      <w:jc w:val="both"/>
    </w:pPr>
    <w:rPr>
      <w:rFonts w:ascii="Times New Roman" w:hAnsi="Times New Roman" w:cs="Times New Roman"/>
      <w:kern w:val="2"/>
      <w:sz w:val="21"/>
    </w:rPr>
  </w:style>
  <w:style w:type="paragraph" w:customStyle="1" w:styleId="1095">
    <w:name w:val="CM2"/>
    <w:basedOn w:val="102"/>
    <w:next w:val="102"/>
    <w:qFormat/>
    <w:uiPriority w:val="99"/>
    <w:pPr>
      <w:autoSpaceDE w:val="0"/>
      <w:autoSpaceDN w:val="0"/>
      <w:spacing w:line="468" w:lineRule="atLeast"/>
    </w:pPr>
    <w:rPr>
      <w:color w:val="auto"/>
    </w:rPr>
  </w:style>
  <w:style w:type="paragraph" w:customStyle="1" w:styleId="1096">
    <w:name w:val="font9"/>
    <w:basedOn w:val="1"/>
    <w:qFormat/>
    <w:uiPriority w:val="99"/>
    <w:pPr>
      <w:spacing w:before="100" w:beforeAutospacing="1" w:after="100" w:afterAutospacing="1"/>
    </w:pPr>
    <w:rPr>
      <w:rFonts w:hint="eastAsia" w:cs="Arial Unicode MS"/>
      <w:b/>
      <w:bCs/>
      <w:sz w:val="44"/>
      <w:szCs w:val="44"/>
    </w:rPr>
  </w:style>
  <w:style w:type="paragraph" w:customStyle="1" w:styleId="1097">
    <w:name w:val="样式 加粗 黑色 首行缩进:  0 厘米"/>
    <w:basedOn w:val="1"/>
    <w:qFormat/>
    <w:uiPriority w:val="99"/>
    <w:pPr>
      <w:widowControl w:val="0"/>
      <w:tabs>
        <w:tab w:val="left" w:pos="425"/>
      </w:tabs>
      <w:spacing w:line="312" w:lineRule="auto"/>
      <w:ind w:left="425" w:hanging="425"/>
      <w:jc w:val="both"/>
    </w:pPr>
    <w:rPr>
      <w:rFonts w:ascii="Times New Roman" w:hAnsi="Times New Roman"/>
      <w:b/>
      <w:bCs/>
      <w:color w:val="000000"/>
      <w:kern w:val="2"/>
      <w:szCs w:val="20"/>
    </w:rPr>
  </w:style>
  <w:style w:type="paragraph" w:customStyle="1" w:styleId="1098">
    <w:name w:val="Char Char Char Char Char Char Char Char 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1099">
    <w:name w:val="No Title"/>
    <w:basedOn w:val="1"/>
    <w:qFormat/>
    <w:uiPriority w:val="99"/>
    <w:pPr>
      <w:pBdr>
        <w:top w:val="single" w:color="FFFFFF" w:sz="6" w:space="2"/>
        <w:left w:val="single" w:color="FFFFFF" w:sz="6" w:space="2"/>
        <w:bottom w:val="single" w:color="FFFFFF" w:sz="6" w:space="2"/>
        <w:right w:val="single" w:color="FFFFFF" w:sz="6" w:space="2"/>
      </w:pBdr>
      <w:spacing w:before="120" w:line="280" w:lineRule="atLeast"/>
    </w:pPr>
    <w:rPr>
      <w:rFonts w:ascii="Arial" w:hAnsi="Arial" w:cs="Times New Roman"/>
      <w:b/>
      <w:spacing w:val="-10"/>
      <w:position w:val="7"/>
      <w:sz w:val="20"/>
      <w:szCs w:val="20"/>
    </w:rPr>
  </w:style>
  <w:style w:type="paragraph" w:customStyle="1" w:styleId="1100">
    <w:name w:val="CM3"/>
    <w:basedOn w:val="102"/>
    <w:next w:val="102"/>
    <w:qFormat/>
    <w:uiPriority w:val="99"/>
    <w:pPr>
      <w:autoSpaceDE w:val="0"/>
      <w:autoSpaceDN w:val="0"/>
      <w:spacing w:line="468" w:lineRule="atLeast"/>
    </w:pPr>
    <w:rPr>
      <w:color w:val="auto"/>
    </w:rPr>
  </w:style>
  <w:style w:type="paragraph" w:customStyle="1" w:styleId="1101">
    <w:name w:val="hei12"/>
    <w:basedOn w:val="1"/>
    <w:qFormat/>
    <w:uiPriority w:val="99"/>
    <w:pPr>
      <w:spacing w:before="100" w:beforeAutospacing="1" w:after="100" w:afterAutospacing="1" w:line="360" w:lineRule="atLeast"/>
    </w:pPr>
    <w:rPr>
      <w:rFonts w:ascii="Verdana" w:hAnsi="Verdana" w:cs="Times New Roman"/>
      <w:color w:val="000000"/>
      <w:sz w:val="22"/>
      <w:szCs w:val="20"/>
    </w:rPr>
  </w:style>
  <w:style w:type="paragraph" w:customStyle="1" w:styleId="1102">
    <w:name w:val="font5"/>
    <w:basedOn w:val="1"/>
    <w:link w:val="1103"/>
    <w:qFormat/>
    <w:uiPriority w:val="99"/>
    <w:pPr>
      <w:spacing w:before="100" w:beforeAutospacing="1" w:after="100" w:afterAutospacing="1"/>
    </w:pPr>
    <w:rPr>
      <w:rFonts w:hint="eastAsia" w:cs="Arial Unicode MS"/>
      <w:sz w:val="18"/>
      <w:szCs w:val="18"/>
    </w:rPr>
  </w:style>
  <w:style w:type="character" w:customStyle="1" w:styleId="1103">
    <w:name w:val="font5 Char1"/>
    <w:link w:val="1102"/>
    <w:qFormat/>
    <w:uiPriority w:val="99"/>
    <w:rPr>
      <w:rFonts w:ascii="宋体" w:hAnsi="宋体" w:cs="Arial Unicode MS"/>
      <w:sz w:val="18"/>
      <w:szCs w:val="18"/>
    </w:rPr>
  </w:style>
  <w:style w:type="paragraph" w:customStyle="1" w:styleId="1104">
    <w:name w:val="正文首行缩进1"/>
    <w:basedOn w:val="31"/>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4"/>
    </w:rPr>
  </w:style>
  <w:style w:type="paragraph" w:customStyle="1" w:styleId="1105">
    <w:name w:val="Char11"/>
    <w:basedOn w:val="1"/>
    <w:qFormat/>
    <w:uiPriority w:val="99"/>
    <w:pPr>
      <w:widowControl w:val="0"/>
      <w:jc w:val="both"/>
    </w:pPr>
    <w:rPr>
      <w:rFonts w:ascii="Tahoma" w:hAnsi="Tahoma" w:cs="Times New Roman"/>
      <w:kern w:val="2"/>
      <w:szCs w:val="20"/>
    </w:rPr>
  </w:style>
  <w:style w:type="paragraph" w:customStyle="1" w:styleId="1106">
    <w:name w:val="样式 表头样式 + 两端对齐 段前: 0.5 行 段后: 0.5 行 首行缩进:  1 字符"/>
    <w:basedOn w:val="1036"/>
    <w:qFormat/>
    <w:uiPriority w:val="99"/>
    <w:pPr>
      <w:keepLines/>
      <w:spacing w:beforeLines="0"/>
      <w:ind w:firstLine="560" w:firstLineChars="200"/>
    </w:pPr>
    <w:rPr>
      <w:bCs w:val="0"/>
      <w:sz w:val="24"/>
      <w:szCs w:val="20"/>
    </w:rPr>
  </w:style>
  <w:style w:type="paragraph" w:customStyle="1" w:styleId="1107">
    <w:name w:val="列表 4U"/>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108">
    <w:name w:val="xl52"/>
    <w:basedOn w:val="1"/>
    <w:qFormat/>
    <w:uiPriority w:val="99"/>
    <w:pPr>
      <w:pBdr>
        <w:top w:val="single" w:color="auto" w:sz="8" w:space="0"/>
        <w:bottom w:val="single" w:color="auto" w:sz="8" w:space="0"/>
        <w:right w:val="single" w:color="auto" w:sz="4" w:space="0"/>
      </w:pBdr>
      <w:spacing w:before="100" w:beforeAutospacing="1" w:after="100" w:afterAutospacing="1"/>
      <w:jc w:val="right"/>
    </w:pPr>
    <w:rPr>
      <w:rFonts w:eastAsia="仿宋_GB2312" w:cs="Times New Roman"/>
      <w:position w:val="-6"/>
      <w:szCs w:val="21"/>
    </w:rPr>
  </w:style>
  <w:style w:type="paragraph" w:customStyle="1" w:styleId="1109">
    <w:name w:val="表2"/>
    <w:basedOn w:val="31"/>
    <w:qFormat/>
    <w:uiPriority w:val="99"/>
    <w:pPr>
      <w:tabs>
        <w:tab w:val="left" w:pos="1260"/>
      </w:tabs>
      <w:autoSpaceDE w:val="0"/>
      <w:autoSpaceDN w:val="0"/>
      <w:adjustRightInd w:val="0"/>
      <w:snapToGrid w:val="0"/>
      <w:ind w:right="-91"/>
      <w:jc w:val="both"/>
      <w:textAlignment w:val="bottom"/>
    </w:pPr>
    <w:rPr>
      <w:rFonts w:ascii="Times New Roman" w:hAnsi="Times New Roman" w:eastAsia="仿宋_GB2312" w:cs="Arial"/>
      <w:color w:val="auto"/>
      <w:kern w:val="0"/>
      <w:sz w:val="20"/>
      <w:szCs w:val="21"/>
    </w:rPr>
  </w:style>
  <w:style w:type="paragraph" w:customStyle="1" w:styleId="1110">
    <w:name w:val="样式 表内小5中 + 下划线 居中"/>
    <w:basedOn w:val="953"/>
    <w:qFormat/>
    <w:uiPriority w:val="99"/>
    <w:pPr>
      <w:jc w:val="center"/>
    </w:pPr>
    <w:rPr>
      <w:szCs w:val="20"/>
      <w:u w:val="single"/>
    </w:rPr>
  </w:style>
  <w:style w:type="paragraph" w:customStyle="1" w:styleId="1111">
    <w:name w:val="尾消息标题"/>
    <w:basedOn w:val="1"/>
    <w:next w:val="31"/>
    <w:qFormat/>
    <w:uiPriority w:val="99"/>
    <w:pPr>
      <w:pBdr>
        <w:bottom w:val="single" w:color="auto" w:sz="6" w:space="19"/>
        <w:between w:val="single" w:color="auto" w:sz="6" w:space="19"/>
      </w:pBdr>
      <w:tabs>
        <w:tab w:val="left" w:pos="1260"/>
        <w:tab w:val="left" w:pos="2940"/>
      </w:tabs>
      <w:spacing w:line="0" w:lineRule="atLeast"/>
    </w:pPr>
    <w:rPr>
      <w:rFonts w:ascii="Times New Roman" w:hAnsi="Times New Roman" w:cs="Times New Roman"/>
      <w:sz w:val="18"/>
      <w:szCs w:val="18"/>
    </w:rPr>
  </w:style>
  <w:style w:type="paragraph" w:customStyle="1" w:styleId="1112">
    <w:name w:val="样式 标题 1 + 两端对齐1"/>
    <w:basedOn w:val="3"/>
    <w:qFormat/>
    <w:uiPriority w:val="99"/>
    <w:pPr>
      <w:keepLines/>
      <w:widowControl w:val="0"/>
      <w:tabs>
        <w:tab w:val="left" w:pos="720"/>
      </w:tabs>
      <w:spacing w:beforeLines="100" w:afterLines="100" w:line="312" w:lineRule="auto"/>
      <w:ind w:left="-4" w:firstLine="4"/>
      <w:jc w:val="both"/>
    </w:pPr>
    <w:rPr>
      <w:rFonts w:ascii="Times New Roman" w:hAnsi="Times New Roman" w:cs="宋体"/>
      <w:bCs/>
      <w:kern w:val="44"/>
      <w:szCs w:val="20"/>
    </w:rPr>
  </w:style>
  <w:style w:type="paragraph" w:customStyle="1" w:styleId="1113">
    <w:name w:val="特殊标题３"/>
    <w:basedOn w:val="1"/>
    <w:qFormat/>
    <w:uiPriority w:val="0"/>
    <w:pPr>
      <w:widowControl w:val="0"/>
      <w:overflowPunct w:val="0"/>
      <w:autoSpaceDE w:val="0"/>
      <w:autoSpaceDN w:val="0"/>
      <w:adjustRightInd w:val="0"/>
      <w:spacing w:line="360" w:lineRule="auto"/>
      <w:jc w:val="both"/>
    </w:pPr>
    <w:rPr>
      <w:rFonts w:ascii="Times New Roman" w:hAnsi="Times New Roman" w:eastAsia="仿宋_GB2312" w:cs="Times New Roman"/>
      <w:sz w:val="28"/>
      <w:szCs w:val="20"/>
    </w:rPr>
  </w:style>
  <w:style w:type="paragraph" w:customStyle="1" w:styleId="1114">
    <w:name w:val="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115">
    <w:name w:val="正文样式1"/>
    <w:basedOn w:val="1"/>
    <w:qFormat/>
    <w:uiPriority w:val="99"/>
    <w:pPr>
      <w:widowControl w:val="0"/>
      <w:ind w:firstLine="200" w:firstLineChars="200"/>
      <w:jc w:val="both"/>
    </w:pPr>
    <w:rPr>
      <w:rFonts w:ascii="Times New Roman" w:hAnsi="Times New Roman" w:eastAsia="仿宋_GB2312" w:cs="Times New Roman"/>
      <w:kern w:val="2"/>
    </w:rPr>
  </w:style>
  <w:style w:type="paragraph" w:customStyle="1" w:styleId="1116">
    <w:name w:val="xl73"/>
    <w:basedOn w:val="1"/>
    <w:qFormat/>
    <w:uiPriority w:val="99"/>
    <w:pPr>
      <w:pBdr>
        <w:top w:val="single" w:color="auto" w:sz="4" w:space="0"/>
        <w:left w:val="single" w:color="auto" w:sz="4" w:space="0"/>
        <w:bottom w:val="single" w:color="auto" w:sz="4" w:space="0"/>
      </w:pBdr>
      <w:spacing w:before="100" w:beforeAutospacing="1" w:after="100" w:afterAutospacing="1"/>
      <w:jc w:val="right"/>
    </w:pPr>
    <w:rPr>
      <w:rFonts w:eastAsia="仿宋_GB2312" w:cs="Times New Roman"/>
      <w:position w:val="-6"/>
    </w:rPr>
  </w:style>
  <w:style w:type="paragraph" w:customStyle="1" w:styleId="1117">
    <w:name w:val="Char Char Char1 Char Char Char Char Char Char Char1"/>
    <w:basedOn w:val="1"/>
    <w:qFormat/>
    <w:uiPriority w:val="99"/>
    <w:pPr>
      <w:widowControl w:val="0"/>
      <w:jc w:val="both"/>
    </w:pPr>
    <w:rPr>
      <w:rFonts w:ascii="Times New Roman" w:hAnsi="Times New Roman" w:cs="Times New Roman"/>
      <w:kern w:val="2"/>
      <w:sz w:val="21"/>
    </w:rPr>
  </w:style>
  <w:style w:type="paragraph" w:customStyle="1" w:styleId="1118">
    <w:name w:val="列表 4G"/>
    <w:basedOn w:val="69"/>
    <w:qFormat/>
    <w:uiPriority w:val="99"/>
    <w:pPr>
      <w:tabs>
        <w:tab w:val="left" w:pos="645"/>
      </w:tabs>
      <w:topLinePunct w:val="0"/>
      <w:spacing w:beforeLines="50" w:afterLines="30" w:line="288" w:lineRule="auto"/>
      <w:ind w:left="645" w:leftChars="0" w:hanging="645" w:firstLineChars="0"/>
      <w:jc w:val="both"/>
    </w:pPr>
    <w:rPr>
      <w:rFonts w:ascii="Arial" w:hAnsi="Arial" w:eastAsia="宋体"/>
      <w:color w:val="CCFFFF"/>
      <w:sz w:val="24"/>
    </w:rPr>
  </w:style>
  <w:style w:type="paragraph" w:customStyle="1" w:styleId="1119">
    <w:name w:val="Char Char Char Char Char Char Char1"/>
    <w:basedOn w:val="1"/>
    <w:qFormat/>
    <w:uiPriority w:val="0"/>
    <w:pPr>
      <w:widowControl w:val="0"/>
      <w:jc w:val="both"/>
    </w:pPr>
    <w:rPr>
      <w:rFonts w:ascii="Times New Roman" w:hAnsi="Times New Roman" w:cs="Times New Roman"/>
      <w:kern w:val="2"/>
      <w:sz w:val="21"/>
    </w:rPr>
  </w:style>
  <w:style w:type="paragraph" w:customStyle="1" w:styleId="1120">
    <w:name w:val="表 头"/>
    <w:basedOn w:val="1"/>
    <w:qFormat/>
    <w:uiPriority w:val="99"/>
    <w:pPr>
      <w:widowControl w:val="0"/>
      <w:adjustRightInd w:val="0"/>
      <w:spacing w:before="120" w:after="120" w:line="360" w:lineRule="atLeast"/>
      <w:jc w:val="center"/>
    </w:pPr>
    <w:rPr>
      <w:rFonts w:ascii="Times New Roman" w:hAnsi="Times New Roman" w:eastAsia="黑体" w:cs="Times New Roman"/>
      <w:spacing w:val="10"/>
      <w:szCs w:val="20"/>
    </w:rPr>
  </w:style>
  <w:style w:type="paragraph" w:customStyle="1" w:styleId="1121">
    <w:name w:val="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2">
    <w:name w:val="xl3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int="eastAsia" w:ascii="仿宋_GB2312" w:hAnsi="Arial Unicode MS" w:eastAsia="仿宋_GB2312" w:cs="Arial Unicode MS"/>
      <w:szCs w:val="20"/>
    </w:rPr>
  </w:style>
  <w:style w:type="paragraph" w:customStyle="1" w:styleId="1123">
    <w:name w:val="表头王"/>
    <w:basedOn w:val="1"/>
    <w:qFormat/>
    <w:uiPriority w:val="99"/>
    <w:pPr>
      <w:widowControl w:val="0"/>
      <w:adjustRightInd w:val="0"/>
      <w:snapToGrid w:val="0"/>
      <w:spacing w:line="360" w:lineRule="auto"/>
      <w:jc w:val="center"/>
    </w:pPr>
    <w:rPr>
      <w:rFonts w:ascii="黑体" w:eastAsia="黑体" w:cs="Times New Roman"/>
      <w:b/>
      <w:kern w:val="2"/>
    </w:rPr>
  </w:style>
  <w:style w:type="paragraph" w:customStyle="1" w:styleId="1124">
    <w:name w:val="S表格"/>
    <w:basedOn w:val="1"/>
    <w:qFormat/>
    <w:uiPriority w:val="99"/>
    <w:pPr>
      <w:widowControl w:val="0"/>
      <w:spacing w:before="240" w:line="360" w:lineRule="auto"/>
      <w:jc w:val="both"/>
      <w:outlineLvl w:val="2"/>
    </w:pPr>
    <w:rPr>
      <w:rFonts w:ascii="Times New Roman" w:hAnsi="Times New Roman" w:cs="Times New Roman"/>
      <w:bCs/>
      <w:kern w:val="2"/>
    </w:rPr>
  </w:style>
  <w:style w:type="paragraph" w:customStyle="1" w:styleId="1125">
    <w:name w:val="xl59"/>
    <w:basedOn w:val="1"/>
    <w:qFormat/>
    <w:uiPriority w:val="99"/>
    <w:pPr>
      <w:pBdr>
        <w:top w:val="single" w:color="auto" w:sz="8" w:space="0"/>
        <w:bottom w:val="single" w:color="auto" w:sz="4" w:space="0"/>
        <w:right w:val="single" w:color="auto" w:sz="4" w:space="0"/>
      </w:pBdr>
      <w:spacing w:before="100" w:beforeAutospacing="1" w:after="100" w:afterAutospacing="1"/>
      <w:jc w:val="center"/>
    </w:pPr>
    <w:rPr>
      <w:rFonts w:eastAsia="仿宋_GB2312" w:cs="Times New Roman"/>
      <w:position w:val="-6"/>
      <w:szCs w:val="21"/>
    </w:rPr>
  </w:style>
  <w:style w:type="paragraph" w:customStyle="1" w:styleId="1126">
    <w:name w:val="Char Char Char2 Char Char Char Char Char Char Char Char Char Char"/>
    <w:basedOn w:val="1"/>
    <w:qFormat/>
    <w:uiPriority w:val="99"/>
    <w:pPr>
      <w:widowControl w:val="0"/>
      <w:jc w:val="both"/>
    </w:pPr>
    <w:rPr>
      <w:rFonts w:ascii="Times New Roman" w:hAnsi="Times New Roman" w:cs="Times New Roman"/>
      <w:kern w:val="2"/>
      <w:sz w:val="21"/>
    </w:rPr>
  </w:style>
  <w:style w:type="paragraph" w:customStyle="1" w:styleId="1127">
    <w:name w:val="Institution"/>
    <w:basedOn w:val="1"/>
    <w:next w:val="896"/>
    <w:qFormat/>
    <w:uiPriority w:val="99"/>
    <w:pPr>
      <w:tabs>
        <w:tab w:val="left" w:pos="2160"/>
        <w:tab w:val="right" w:pos="6480"/>
      </w:tabs>
      <w:spacing w:before="220" w:after="60" w:line="220" w:lineRule="atLeast"/>
      <w:ind w:right="-360"/>
    </w:pPr>
    <w:rPr>
      <w:rFonts w:ascii="Times New Roman" w:hAnsi="Times New Roman" w:cs="Times New Roman"/>
      <w:sz w:val="20"/>
      <w:szCs w:val="20"/>
    </w:rPr>
  </w:style>
  <w:style w:type="paragraph" w:customStyle="1" w:styleId="1128">
    <w:name w:val="13点"/>
    <w:basedOn w:val="1"/>
    <w:qFormat/>
    <w:uiPriority w:val="99"/>
    <w:pPr>
      <w:widowControl w:val="0"/>
      <w:adjustRightInd w:val="0"/>
      <w:snapToGrid w:val="0"/>
      <w:jc w:val="center"/>
    </w:pPr>
    <w:rPr>
      <w:rFonts w:cs="Times New Roman"/>
      <w:kern w:val="2"/>
      <w:szCs w:val="28"/>
    </w:rPr>
  </w:style>
  <w:style w:type="paragraph" w:customStyle="1" w:styleId="1129">
    <w:name w:val="正文表标题"/>
    <w:next w:val="7"/>
    <w:qFormat/>
    <w:uiPriority w:val="99"/>
    <w:pPr>
      <w:jc w:val="center"/>
    </w:pPr>
    <w:rPr>
      <w:rFonts w:ascii="黑体" w:hAnsi="Times New Roman" w:eastAsia="黑体" w:cs="Times New Roman"/>
      <w:sz w:val="21"/>
      <w:lang w:val="en-US" w:eastAsia="zh-CN" w:bidi="ar-SA"/>
    </w:rPr>
  </w:style>
  <w:style w:type="paragraph" w:customStyle="1" w:styleId="1130">
    <w:name w:val="列表 5T"/>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131">
    <w:name w:val="yxp_表格内文字"/>
    <w:basedOn w:val="1"/>
    <w:qFormat/>
    <w:uiPriority w:val="0"/>
    <w:pPr>
      <w:widowControl w:val="0"/>
      <w:jc w:val="both"/>
    </w:pPr>
    <w:rPr>
      <w:rFonts w:ascii="Times New Roman" w:hAnsi="Times New Roman"/>
      <w:sz w:val="28"/>
    </w:rPr>
  </w:style>
  <w:style w:type="paragraph" w:customStyle="1" w:styleId="1132">
    <w:name w:val="表标题2.2"/>
    <w:basedOn w:val="1"/>
    <w:qFormat/>
    <w:uiPriority w:val="99"/>
    <w:pPr>
      <w:tabs>
        <w:tab w:val="left" w:pos="726"/>
        <w:tab w:val="left" w:pos="8207"/>
      </w:tabs>
      <w:adjustRightInd w:val="0"/>
      <w:snapToGrid w:val="0"/>
      <w:spacing w:before="240" w:line="0" w:lineRule="atLeast"/>
      <w:ind w:left="2" w:firstLine="4"/>
      <w:jc w:val="center"/>
      <w:textAlignment w:val="baseline"/>
    </w:pPr>
    <w:rPr>
      <w:rFonts w:ascii="Times New Roman" w:hAnsi="Times New Roman" w:eastAsia="黑体" w:cs="Times New Roman"/>
      <w:b/>
      <w:color w:val="000000"/>
      <w:kern w:val="2"/>
    </w:rPr>
  </w:style>
  <w:style w:type="paragraph" w:customStyle="1" w:styleId="1133">
    <w:name w:val="font0"/>
    <w:basedOn w:val="1"/>
    <w:qFormat/>
    <w:uiPriority w:val="99"/>
    <w:pPr>
      <w:spacing w:before="100" w:beforeAutospacing="1" w:after="100" w:afterAutospacing="1"/>
    </w:pPr>
    <w:rPr>
      <w:rFonts w:hint="eastAsia" w:cs="Arial Unicode MS"/>
      <w:szCs w:val="20"/>
    </w:rPr>
  </w:style>
  <w:style w:type="paragraph" w:customStyle="1" w:styleId="1134">
    <w:name w:val="0005左缩2"/>
    <w:basedOn w:val="1"/>
    <w:qFormat/>
    <w:uiPriority w:val="99"/>
    <w:pPr>
      <w:autoSpaceDE w:val="0"/>
      <w:autoSpaceDN w:val="0"/>
      <w:adjustRightInd w:val="0"/>
      <w:spacing w:afterLines="30" w:line="500" w:lineRule="exact"/>
      <w:ind w:firstLine="200" w:firstLineChars="200"/>
      <w:jc w:val="both"/>
    </w:pPr>
    <w:rPr>
      <w:rFonts w:cs="Times New Roman"/>
      <w:kern w:val="2"/>
      <w:sz w:val="28"/>
      <w:szCs w:val="28"/>
    </w:rPr>
  </w:style>
  <w:style w:type="paragraph" w:customStyle="1" w:styleId="1135">
    <w:name w:val="样式 样式 样式 正文首行缩进 + 黑体 四号 黑色 + 右侧:  -0.47 字符 + 左侧:  1.52 厘米 首行缩进:..."/>
    <w:basedOn w:val="7"/>
    <w:next w:val="7"/>
    <w:qFormat/>
    <w:uiPriority w:val="99"/>
    <w:pPr>
      <w:widowControl w:val="0"/>
      <w:tabs>
        <w:tab w:val="left" w:pos="360"/>
        <w:tab w:val="left" w:pos="1680"/>
        <w:tab w:val="left" w:pos="3316"/>
      </w:tabs>
      <w:spacing w:line="360" w:lineRule="auto"/>
      <w:ind w:left="1680" w:hanging="420"/>
      <w:jc w:val="both"/>
    </w:pPr>
    <w:rPr>
      <w:rFonts w:ascii="宋体" w:hAnsi="Arial" w:cs="Times New Roman"/>
      <w:bCs/>
      <w:kern w:val="2"/>
      <w:sz w:val="28"/>
      <w:lang w:val="en-US"/>
    </w:rPr>
  </w:style>
  <w:style w:type="paragraph" w:customStyle="1" w:styleId="1136">
    <w:name w:val="表4.14－1"/>
    <w:basedOn w:val="1"/>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spacing w:val="6"/>
      <w:szCs w:val="20"/>
    </w:rPr>
  </w:style>
  <w:style w:type="paragraph" w:customStyle="1" w:styleId="1137">
    <w:name w:val="样式5"/>
    <w:basedOn w:val="5"/>
    <w:link w:val="1138"/>
    <w:qFormat/>
    <w:uiPriority w:val="99"/>
    <w:pPr>
      <w:widowControl w:val="0"/>
      <w:adjustRightInd w:val="0"/>
      <w:snapToGrid w:val="0"/>
      <w:spacing w:line="360" w:lineRule="auto"/>
      <w:ind w:firstLine="420"/>
      <w:textAlignment w:val="baseline"/>
    </w:pPr>
    <w:rPr>
      <w:rFonts w:ascii="Times New Roman" w:hAnsi="Times New Roman"/>
      <w:sz w:val="24"/>
    </w:rPr>
  </w:style>
  <w:style w:type="character" w:customStyle="1" w:styleId="1138">
    <w:name w:val="样式5 Char"/>
    <w:link w:val="1137"/>
    <w:qFormat/>
    <w:uiPriority w:val="99"/>
    <w:rPr>
      <w:sz w:val="24"/>
    </w:rPr>
  </w:style>
  <w:style w:type="paragraph" w:customStyle="1" w:styleId="1139">
    <w:name w:val="样式 样式 首行缩进:  2 字符 + 首行缩进:  2 字符"/>
    <w:basedOn w:val="1"/>
    <w:qFormat/>
    <w:uiPriority w:val="99"/>
    <w:pPr>
      <w:widowControl w:val="0"/>
      <w:ind w:firstLine="587" w:firstLineChars="200"/>
      <w:jc w:val="both"/>
    </w:pPr>
    <w:rPr>
      <w:rFonts w:hAnsi="Times New Roman" w:cs="Times New Roman"/>
      <w:kern w:val="2"/>
      <w:sz w:val="27"/>
      <w:szCs w:val="27"/>
    </w:rPr>
  </w:style>
  <w:style w:type="paragraph" w:customStyle="1" w:styleId="1140">
    <w:name w:val="列表 2E"/>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41">
    <w:name w:val="样式 样式 样式 正文首行缩进 + 首行缩进:  2 字符 + 首行缩进:  2 字符 + 首行缩进:  2 字符"/>
    <w:basedOn w:val="1"/>
    <w:qFormat/>
    <w:uiPriority w:val="99"/>
    <w:pPr>
      <w:tabs>
        <w:tab w:val="left" w:pos="628"/>
        <w:tab w:val="left" w:pos="1727"/>
        <w:tab w:val="left" w:pos="1884"/>
        <w:tab w:val="left" w:pos="2660"/>
        <w:tab w:val="left" w:pos="5460"/>
      </w:tabs>
      <w:autoSpaceDE w:val="0"/>
      <w:snapToGrid w:val="0"/>
      <w:spacing w:line="360" w:lineRule="auto"/>
      <w:ind w:firstLine="200" w:firstLineChars="200"/>
    </w:pPr>
    <w:rPr>
      <w:rFonts w:hAnsi="Times New Roman"/>
      <w:snapToGrid w:val="0"/>
      <w:color w:val="000000"/>
      <w:sz w:val="28"/>
      <w:szCs w:val="20"/>
    </w:rPr>
  </w:style>
  <w:style w:type="paragraph" w:customStyle="1" w:styleId="1142">
    <w:name w:val="正文表格"/>
    <w:basedOn w:val="1"/>
    <w:qFormat/>
    <w:uiPriority w:val="0"/>
    <w:pPr>
      <w:keepNext/>
      <w:keepLines/>
      <w:widowControl w:val="0"/>
      <w:tabs>
        <w:tab w:val="center" w:pos="6804"/>
      </w:tabs>
      <w:overflowPunct w:val="0"/>
      <w:adjustRightInd w:val="0"/>
      <w:spacing w:before="80"/>
      <w:jc w:val="center"/>
      <w:textAlignment w:val="bottom"/>
    </w:pPr>
    <w:rPr>
      <w:rFonts w:ascii="Times New Roman" w:hAnsi="Times New Roman" w:cs="Times New Roman"/>
      <w:sz w:val="28"/>
      <w:szCs w:val="20"/>
    </w:rPr>
  </w:style>
  <w:style w:type="paragraph" w:customStyle="1" w:styleId="1143">
    <w:name w:val="CM11"/>
    <w:basedOn w:val="102"/>
    <w:next w:val="102"/>
    <w:qFormat/>
    <w:uiPriority w:val="99"/>
    <w:pPr>
      <w:autoSpaceDE w:val="0"/>
      <w:autoSpaceDN w:val="0"/>
      <w:spacing w:line="456" w:lineRule="atLeast"/>
    </w:pPr>
    <w:rPr>
      <w:rFonts w:ascii="宋体" w:cs="宋体"/>
      <w:color w:val="auto"/>
    </w:rPr>
  </w:style>
  <w:style w:type="paragraph" w:customStyle="1" w:styleId="1144">
    <w:name w:val="Personal Info"/>
    <w:basedOn w:val="896"/>
    <w:qFormat/>
    <w:uiPriority w:val="99"/>
    <w:pPr>
      <w:spacing w:before="220"/>
    </w:pPr>
  </w:style>
  <w:style w:type="paragraph" w:customStyle="1" w:styleId="1145">
    <w:name w:val="符号说明"/>
    <w:basedOn w:val="1"/>
    <w:qFormat/>
    <w:uiPriority w:val="99"/>
    <w:pPr>
      <w:widowControl w:val="0"/>
      <w:tabs>
        <w:tab w:val="left" w:pos="1260"/>
        <w:tab w:val="left" w:pos="3780"/>
        <w:tab w:val="left" w:pos="4680"/>
      </w:tabs>
      <w:spacing w:line="360" w:lineRule="auto"/>
      <w:ind w:firstLine="840" w:firstLineChars="400"/>
      <w:jc w:val="both"/>
    </w:pPr>
    <w:rPr>
      <w:rFonts w:ascii="Times New Roman" w:hAnsi="Times New Roman" w:cs="Times New Roman"/>
      <w:kern w:val="2"/>
      <w:sz w:val="21"/>
      <w:szCs w:val="21"/>
    </w:rPr>
  </w:style>
  <w:style w:type="paragraph" w:customStyle="1" w:styleId="1146">
    <w:name w:val="二级条标题"/>
    <w:basedOn w:val="1147"/>
    <w:next w:val="1"/>
    <w:qFormat/>
    <w:uiPriority w:val="99"/>
    <w:pPr>
      <w:tabs>
        <w:tab w:val="left" w:pos="360"/>
        <w:tab w:val="left" w:pos="709"/>
        <w:tab w:val="left" w:pos="851"/>
        <w:tab w:val="left" w:pos="903"/>
        <w:tab w:val="left" w:pos="1260"/>
        <w:tab w:val="left" w:pos="1680"/>
      </w:tabs>
      <w:ind w:left="1680"/>
      <w:outlineLvl w:val="3"/>
    </w:pPr>
  </w:style>
  <w:style w:type="paragraph" w:customStyle="1" w:styleId="1147">
    <w:name w:val="一级条标题"/>
    <w:basedOn w:val="3"/>
    <w:next w:val="1"/>
    <w:qFormat/>
    <w:uiPriority w:val="99"/>
    <w:pPr>
      <w:tabs>
        <w:tab w:val="left" w:pos="360"/>
        <w:tab w:val="left" w:pos="709"/>
        <w:tab w:val="left" w:pos="903"/>
        <w:tab w:val="left" w:pos="1260"/>
      </w:tabs>
      <w:spacing w:beforeLines="100" w:afterLines="100"/>
      <w:ind w:left="1260" w:hanging="420"/>
      <w:jc w:val="both"/>
      <w:outlineLvl w:val="2"/>
    </w:pPr>
    <w:rPr>
      <w:rFonts w:ascii="黑体" w:hAnsi="Times New Roman"/>
      <w:b/>
      <w:kern w:val="0"/>
      <w:sz w:val="21"/>
      <w:szCs w:val="20"/>
    </w:rPr>
  </w:style>
  <w:style w:type="paragraph" w:customStyle="1" w:styleId="1148">
    <w:name w:val="表内宋5中"/>
    <w:basedOn w:val="5"/>
    <w:qFormat/>
    <w:uiPriority w:val="99"/>
    <w:pPr>
      <w:widowControl w:val="0"/>
      <w:autoSpaceDE w:val="0"/>
      <w:autoSpaceDN w:val="0"/>
      <w:adjustRightInd w:val="0"/>
      <w:snapToGrid w:val="0"/>
      <w:spacing w:line="240" w:lineRule="auto"/>
      <w:ind w:firstLine="0"/>
      <w:jc w:val="center"/>
    </w:pPr>
    <w:rPr>
      <w:rFonts w:ascii="宋体" w:hAnsi="宋体"/>
      <w:sz w:val="20"/>
    </w:rPr>
  </w:style>
  <w:style w:type="paragraph" w:customStyle="1" w:styleId="1149">
    <w:name w:val="环正文"/>
    <w:basedOn w:val="1"/>
    <w:semiHidden/>
    <w:qFormat/>
    <w:uiPriority w:val="99"/>
    <w:pPr>
      <w:tabs>
        <w:tab w:val="left" w:pos="5094"/>
      </w:tabs>
      <w:adjustRightInd w:val="0"/>
      <w:spacing w:line="440" w:lineRule="exact"/>
      <w:ind w:firstLine="464" w:firstLineChars="200"/>
      <w:jc w:val="both"/>
      <w:textAlignment w:val="baseline"/>
    </w:pPr>
    <w:rPr>
      <w:rFonts w:cs="Times New Roman"/>
      <w:color w:val="000000"/>
      <w:spacing w:val="-4"/>
      <w:szCs w:val="20"/>
    </w:rPr>
  </w:style>
  <w:style w:type="paragraph" w:customStyle="1" w:styleId="1150">
    <w:name w:val="WPS Plain"/>
    <w:qFormat/>
    <w:uiPriority w:val="99"/>
    <w:rPr>
      <w:rFonts w:ascii="Times New Roman" w:hAnsi="Times New Roman" w:eastAsia="宋体" w:cs="Times New Roman"/>
      <w:lang w:val="en-US" w:eastAsia="zh-CN" w:bidi="ar-SA"/>
    </w:rPr>
  </w:style>
  <w:style w:type="paragraph" w:customStyle="1" w:styleId="1151">
    <w:name w:val="样式 标题 4常用标题 4 + 段前: 6 磅 段后: 6 磅 行距: 固定值 26 磅"/>
    <w:basedOn w:val="7"/>
    <w:qFormat/>
    <w:uiPriority w:val="99"/>
    <w:pPr>
      <w:widowControl w:val="0"/>
      <w:tabs>
        <w:tab w:val="left" w:pos="360"/>
        <w:tab w:val="left" w:pos="800"/>
        <w:tab w:val="left" w:pos="1440"/>
      </w:tabs>
      <w:spacing w:before="120" w:after="120" w:line="520" w:lineRule="exact"/>
      <w:jc w:val="both"/>
    </w:pPr>
    <w:rPr>
      <w:rFonts w:ascii="Arial" w:hAnsi="Arial" w:eastAsia="黑体"/>
      <w:bCs/>
      <w:sz w:val="28"/>
      <w:lang w:val="en-US"/>
    </w:rPr>
  </w:style>
  <w:style w:type="paragraph" w:customStyle="1" w:styleId="1152">
    <w:name w:val="内蒙正文"/>
    <w:basedOn w:val="1"/>
    <w:qFormat/>
    <w:uiPriority w:val="99"/>
    <w:pPr>
      <w:widowControl w:val="0"/>
      <w:spacing w:line="480" w:lineRule="exact"/>
      <w:ind w:firstLine="560" w:firstLineChars="200"/>
      <w:jc w:val="both"/>
    </w:pPr>
    <w:rPr>
      <w:rFonts w:ascii="Times New Roman" w:eastAsia="Times New Roman" w:cs="Times New Roman"/>
      <w:color w:val="FF0000"/>
      <w:spacing w:val="20"/>
      <w:kern w:val="2"/>
    </w:rPr>
  </w:style>
  <w:style w:type="paragraph" w:customStyle="1" w:styleId="1153">
    <w:name w:val="xl70"/>
    <w:basedOn w:val="1"/>
    <w:qFormat/>
    <w:uiPriority w:val="99"/>
    <w:pPr>
      <w:pBdr>
        <w:bottom w:val="single" w:color="auto" w:sz="4" w:space="0"/>
      </w:pBdr>
      <w:spacing w:before="100" w:beforeAutospacing="1" w:after="100" w:afterAutospacing="1"/>
      <w:jc w:val="right"/>
    </w:pPr>
    <w:rPr>
      <w:rFonts w:eastAsia="仿宋_GB2312" w:cs="Times New Roman"/>
      <w:position w:val="-6"/>
      <w:szCs w:val="21"/>
    </w:rPr>
  </w:style>
  <w:style w:type="paragraph" w:customStyle="1" w:styleId="1154">
    <w:name w:val="样式 表标题3.10 + 段前: 1 行"/>
    <w:basedOn w:val="918"/>
    <w:qFormat/>
    <w:uiPriority w:val="99"/>
    <w:pPr>
      <w:tabs>
        <w:tab w:val="left" w:pos="726"/>
        <w:tab w:val="clear" w:pos="4060"/>
        <w:tab w:val="clear" w:pos="8261"/>
      </w:tabs>
      <w:ind w:left="2" w:firstLine="4"/>
    </w:pPr>
    <w:rPr>
      <w:rFonts w:cs="宋体"/>
      <w:bCs/>
      <w:spacing w:val="0"/>
    </w:rPr>
  </w:style>
  <w:style w:type="paragraph" w:customStyle="1" w:styleId="1155">
    <w:name w:val="码头表"/>
    <w:basedOn w:val="1"/>
    <w:qFormat/>
    <w:uiPriority w:val="99"/>
    <w:pPr>
      <w:widowControl w:val="0"/>
      <w:jc w:val="center"/>
    </w:pPr>
    <w:rPr>
      <w:rFonts w:cs="Times New Roman"/>
      <w:color w:val="000000"/>
      <w:kern w:val="2"/>
      <w:sz w:val="18"/>
    </w:rPr>
  </w:style>
  <w:style w:type="paragraph" w:customStyle="1" w:styleId="1156">
    <w:name w:val="lyh正文"/>
    <w:basedOn w:val="1"/>
    <w:qFormat/>
    <w:uiPriority w:val="0"/>
    <w:pPr>
      <w:widowControl w:val="0"/>
      <w:adjustRightInd w:val="0"/>
      <w:snapToGrid w:val="0"/>
      <w:spacing w:line="360" w:lineRule="auto"/>
      <w:ind w:firstLine="200" w:firstLineChars="200"/>
    </w:pPr>
    <w:rPr>
      <w:rFonts w:cs="Times New Roman"/>
      <w:bCs/>
      <w:kern w:val="2"/>
      <w:sz w:val="28"/>
      <w:szCs w:val="32"/>
    </w:rPr>
  </w:style>
  <w:style w:type="paragraph" w:customStyle="1" w:styleId="1157">
    <w:name w:val="表格标题"/>
    <w:basedOn w:val="1"/>
    <w:next w:val="1"/>
    <w:link w:val="1158"/>
    <w:qFormat/>
    <w:uiPriority w:val="0"/>
    <w:pPr>
      <w:adjustRightInd w:val="0"/>
      <w:snapToGrid w:val="0"/>
      <w:ind w:firstLine="200" w:firstLineChars="200"/>
      <w:jc w:val="center"/>
    </w:pPr>
    <w:rPr>
      <w:rFonts w:ascii="Times New Roman" w:hAnsi="Times New Roman" w:eastAsia="黑体" w:cs="黑体"/>
      <w:b/>
      <w:sz w:val="21"/>
      <w:szCs w:val="22"/>
    </w:rPr>
  </w:style>
  <w:style w:type="character" w:customStyle="1" w:styleId="1158">
    <w:name w:val="表格标题 Char Char"/>
    <w:link w:val="1157"/>
    <w:qFormat/>
    <w:uiPriority w:val="0"/>
    <w:rPr>
      <w:rFonts w:eastAsia="黑体" w:cs="黑体"/>
      <w:b/>
      <w:sz w:val="21"/>
      <w:szCs w:val="22"/>
    </w:rPr>
  </w:style>
  <w:style w:type="paragraph" w:customStyle="1" w:styleId="1159">
    <w:name w:val="CM65"/>
    <w:basedOn w:val="102"/>
    <w:next w:val="102"/>
    <w:qFormat/>
    <w:uiPriority w:val="99"/>
    <w:pPr>
      <w:autoSpaceDE w:val="0"/>
      <w:autoSpaceDN w:val="0"/>
      <w:spacing w:after="418"/>
    </w:pPr>
    <w:rPr>
      <w:color w:val="auto"/>
    </w:rPr>
  </w:style>
  <w:style w:type="paragraph" w:customStyle="1" w:styleId="1160">
    <w:name w:val="样式 标题 2 + Times New Roman 小三 居中 行距: 单倍行距"/>
    <w:basedOn w:val="4"/>
    <w:qFormat/>
    <w:uiPriority w:val="99"/>
    <w:pPr>
      <w:spacing w:before="260" w:after="260" w:line="240" w:lineRule="auto"/>
      <w:ind w:firstLine="538" w:firstLineChars="192"/>
    </w:pPr>
    <w:rPr>
      <w:rFonts w:ascii="Times New Roman" w:hAnsi="Times New Roman" w:cs="宋体"/>
      <w:b/>
      <w:bCs w:val="0"/>
      <w:sz w:val="30"/>
      <w:szCs w:val="20"/>
    </w:rPr>
  </w:style>
  <w:style w:type="paragraph" w:customStyle="1" w:styleId="1161">
    <w:name w:val="表格式"/>
    <w:basedOn w:val="59"/>
    <w:qFormat/>
    <w:uiPriority w:val="99"/>
    <w:pPr>
      <w:spacing w:beforeLines="50" w:afterLines="50" w:line="200" w:lineRule="exact"/>
      <w:ind w:left="0" w:firstLine="0"/>
      <w:jc w:val="center"/>
    </w:pPr>
    <w:rPr>
      <w:rFonts w:hint="default" w:ascii="Times New Roman" w:eastAsia="宋体"/>
      <w:kern w:val="0"/>
      <w:sz w:val="20"/>
      <w:szCs w:val="20"/>
    </w:rPr>
  </w:style>
  <w:style w:type="paragraph" w:customStyle="1" w:styleId="1162">
    <w:name w:val="样式 样式 题注 + (西文) 宋体 + 段后: 1 行"/>
    <w:basedOn w:val="1"/>
    <w:qFormat/>
    <w:uiPriority w:val="99"/>
    <w:pPr>
      <w:keepNext/>
      <w:widowControl w:val="0"/>
      <w:spacing w:line="360" w:lineRule="auto"/>
      <w:ind w:firstLine="200" w:firstLineChars="200"/>
    </w:pPr>
    <w:rPr>
      <w:color w:val="000000"/>
      <w:kern w:val="2"/>
      <w:sz w:val="28"/>
      <w:szCs w:val="20"/>
    </w:rPr>
  </w:style>
  <w:style w:type="paragraph" w:customStyle="1" w:styleId="1163">
    <w:name w:val="列表 2G"/>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64">
    <w:name w:val="列表1"/>
    <w:basedOn w:val="34"/>
    <w:qFormat/>
    <w:uiPriority w:val="0"/>
    <w:pPr>
      <w:widowControl/>
      <w:snapToGrid/>
      <w:jc w:val="left"/>
    </w:pPr>
    <w:rPr>
      <w:rFonts w:ascii="Times New Roman"/>
      <w:kern w:val="0"/>
    </w:rPr>
  </w:style>
  <w:style w:type="paragraph" w:customStyle="1" w:styleId="1165">
    <w:name w:val="封面标准文稿编辑信息"/>
    <w:qFormat/>
    <w:uiPriority w:val="99"/>
    <w:pPr>
      <w:spacing w:before="180" w:line="180" w:lineRule="exact"/>
      <w:jc w:val="center"/>
    </w:pPr>
    <w:rPr>
      <w:rFonts w:ascii="宋体" w:hAnsi="Times New Roman" w:eastAsia="宋体" w:cs="Times New Roman"/>
      <w:sz w:val="21"/>
      <w:lang w:val="en-US" w:eastAsia="zh-CN" w:bidi="ar-SA"/>
    </w:rPr>
  </w:style>
  <w:style w:type="paragraph" w:customStyle="1" w:styleId="1166">
    <w:name w:val="CM12"/>
    <w:basedOn w:val="1"/>
    <w:next w:val="1"/>
    <w:qFormat/>
    <w:uiPriority w:val="99"/>
    <w:pPr>
      <w:widowControl w:val="0"/>
      <w:autoSpaceDE w:val="0"/>
      <w:autoSpaceDN w:val="0"/>
      <w:adjustRightInd w:val="0"/>
      <w:spacing w:line="456" w:lineRule="atLeast"/>
    </w:pPr>
    <w:rPr>
      <w:rFonts w:hAnsi="Times New Roman"/>
    </w:rPr>
  </w:style>
  <w:style w:type="paragraph" w:customStyle="1" w:styleId="1167">
    <w:name w:val="标题样式2"/>
    <w:basedOn w:val="4"/>
    <w:qFormat/>
    <w:uiPriority w:val="99"/>
    <w:pPr>
      <w:keepNext w:val="0"/>
      <w:keepLines w:val="0"/>
      <w:widowControl w:val="0"/>
      <w:tabs>
        <w:tab w:val="left" w:pos="1260"/>
        <w:tab w:val="left" w:pos="4142"/>
        <w:tab w:val="left" w:pos="6833"/>
        <w:tab w:val="left" w:pos="9030"/>
        <w:tab w:val="left" w:pos="9287"/>
      </w:tabs>
      <w:overflowPunct w:val="0"/>
      <w:topLinePunct/>
      <w:autoSpaceDE w:val="0"/>
      <w:autoSpaceDN w:val="0"/>
      <w:adjustRightInd w:val="0"/>
      <w:snapToGrid w:val="0"/>
      <w:spacing w:beforeLines="5" w:afterLines="5" w:line="360" w:lineRule="atLeast"/>
      <w:ind w:left="1260" w:hanging="420"/>
      <w:jc w:val="center"/>
      <w:textAlignment w:val="baseline"/>
      <w:outlineLvl w:val="9"/>
    </w:pPr>
    <w:rPr>
      <w:rFonts w:ascii="Times New Roman" w:hAnsi="Times New Roman" w:eastAsia="宋体"/>
      <w:sz w:val="24"/>
      <w:szCs w:val="20"/>
    </w:rPr>
  </w:style>
  <w:style w:type="paragraph" w:customStyle="1" w:styleId="1168">
    <w:name w:val="T表格"/>
    <w:semiHidden/>
    <w:qFormat/>
    <w:uiPriority w:val="99"/>
    <w:pPr>
      <w:adjustRightInd w:val="0"/>
      <w:snapToGrid w:val="0"/>
      <w:spacing w:line="360" w:lineRule="auto"/>
      <w:jc w:val="center"/>
    </w:pPr>
    <w:rPr>
      <w:rFonts w:ascii="Times New Roman" w:hAnsi="Times New Roman" w:eastAsia="宋体" w:cs="Times New Roman"/>
      <w:color w:val="000000"/>
      <w:sz w:val="21"/>
      <w:lang w:val="en-US" w:eastAsia="zh-CN" w:bidi="ar-SA"/>
    </w:rPr>
  </w:style>
  <w:style w:type="paragraph" w:customStyle="1" w:styleId="1169">
    <w:name w:val="Name"/>
    <w:basedOn w:val="1"/>
    <w:next w:val="1"/>
    <w:qFormat/>
    <w:uiPriority w:val="99"/>
    <w:pPr>
      <w:spacing w:after="440" w:line="240" w:lineRule="atLeast"/>
      <w:ind w:left="2160"/>
    </w:pPr>
    <w:rPr>
      <w:rFonts w:ascii="Times New Roman" w:hAnsi="Times New Roman" w:cs="Times New Roman"/>
      <w:spacing w:val="-20"/>
      <w:sz w:val="48"/>
      <w:szCs w:val="20"/>
    </w:rPr>
  </w:style>
  <w:style w:type="paragraph" w:customStyle="1" w:styleId="1170">
    <w:name w:val="表16.4-1"/>
    <w:basedOn w:val="1"/>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spacing w:val="6"/>
      <w:szCs w:val="20"/>
    </w:rPr>
  </w:style>
  <w:style w:type="paragraph" w:customStyle="1" w:styleId="1171">
    <w:name w:val="小表左密"/>
    <w:basedOn w:val="1"/>
    <w:qFormat/>
    <w:uiPriority w:val="99"/>
    <w:pPr>
      <w:keepNext/>
      <w:widowControl w:val="0"/>
      <w:adjustRightInd w:val="0"/>
      <w:snapToGrid w:val="0"/>
      <w:spacing w:line="240" w:lineRule="atLeast"/>
      <w:jc w:val="both"/>
    </w:pPr>
    <w:rPr>
      <w:rFonts w:cs="Times New Roman"/>
      <w:kern w:val="2"/>
      <w:sz w:val="18"/>
      <w:szCs w:val="18"/>
    </w:rPr>
  </w:style>
  <w:style w:type="paragraph" w:customStyle="1" w:styleId="1172">
    <w:name w:val="样式 标题 1 + 黑体 三号"/>
    <w:basedOn w:val="3"/>
    <w:qFormat/>
    <w:uiPriority w:val="99"/>
    <w:pPr>
      <w:keepNext/>
      <w:keepLines/>
      <w:topLinePunct/>
      <w:autoSpaceDE w:val="0"/>
      <w:autoSpaceDN w:val="0"/>
      <w:adjustRightInd w:val="0"/>
      <w:snapToGrid w:val="0"/>
      <w:spacing w:before="340" w:after="330"/>
      <w:ind w:firstLine="538" w:firstLineChars="224"/>
      <w:jc w:val="both"/>
    </w:pPr>
    <w:rPr>
      <w:rFonts w:ascii="黑体" w:hAnsi="黑体"/>
      <w:b/>
      <w:snapToGrid w:val="0"/>
      <w:kern w:val="44"/>
      <w:szCs w:val="44"/>
    </w:rPr>
  </w:style>
  <w:style w:type="paragraph" w:customStyle="1" w:styleId="1173">
    <w:name w:val="xl66"/>
    <w:basedOn w:val="1"/>
    <w:qFormat/>
    <w:uiPriority w:val="99"/>
    <w:pPr>
      <w:pBdr>
        <w:bottom w:val="single" w:color="auto" w:sz="8" w:space="0"/>
      </w:pBdr>
      <w:spacing w:before="100" w:beforeAutospacing="1" w:after="100" w:afterAutospacing="1"/>
      <w:jc w:val="right"/>
    </w:pPr>
    <w:rPr>
      <w:rFonts w:eastAsia="仿宋_GB2312" w:cs="Times New Roman"/>
      <w:b/>
      <w:bCs/>
      <w:position w:val="-6"/>
      <w:szCs w:val="21"/>
    </w:rPr>
  </w:style>
  <w:style w:type="paragraph" w:customStyle="1" w:styleId="1174">
    <w:name w:val="环保篇"/>
    <w:basedOn w:val="1"/>
    <w:qFormat/>
    <w:uiPriority w:val="99"/>
    <w:pPr>
      <w:widowControl w:val="0"/>
      <w:tabs>
        <w:tab w:val="left" w:pos="360"/>
      </w:tabs>
      <w:adjustRightInd w:val="0"/>
      <w:spacing w:line="360" w:lineRule="auto"/>
      <w:jc w:val="both"/>
      <w:textAlignment w:val="baseline"/>
    </w:pPr>
    <w:rPr>
      <w:rFonts w:ascii="Times New Roman" w:hAnsi="Times New Roman" w:cs="Times New Roman"/>
      <w:kern w:val="2"/>
      <w:sz w:val="28"/>
      <w:szCs w:val="20"/>
    </w:rPr>
  </w:style>
  <w:style w:type="paragraph" w:customStyle="1" w:styleId="1175">
    <w:name w:val="表标题5.9"/>
    <w:basedOn w:val="1"/>
    <w:qFormat/>
    <w:uiPriority w:val="99"/>
    <w:pPr>
      <w:widowControl w:val="0"/>
      <w:tabs>
        <w:tab w:val="left" w:pos="1653"/>
      </w:tabs>
      <w:spacing w:beforeLines="100" w:line="0" w:lineRule="atLeast"/>
      <w:ind w:left="993" w:hanging="420"/>
      <w:jc w:val="both"/>
    </w:pPr>
    <w:rPr>
      <w:rFonts w:ascii="Times New Roman" w:hAnsi="Times New Roman" w:eastAsia="黑体" w:cs="Times New Roman"/>
      <w:b/>
      <w:kern w:val="2"/>
    </w:rPr>
  </w:style>
  <w:style w:type="paragraph" w:customStyle="1" w:styleId="1176">
    <w:name w:val="说明书正文"/>
    <w:basedOn w:val="1"/>
    <w:link w:val="1177"/>
    <w:qFormat/>
    <w:uiPriority w:val="99"/>
    <w:pPr>
      <w:widowControl w:val="0"/>
      <w:spacing w:line="560" w:lineRule="exact"/>
      <w:ind w:firstLine="200" w:firstLineChars="200"/>
      <w:jc w:val="both"/>
    </w:pPr>
    <w:rPr>
      <w:rFonts w:ascii="Arial Unicode MS" w:hAnsi="Arial Unicode MS" w:eastAsia="幼圆"/>
      <w:kern w:val="2"/>
      <w:szCs w:val="28"/>
    </w:rPr>
  </w:style>
  <w:style w:type="character" w:customStyle="1" w:styleId="1177">
    <w:name w:val="说明书正文 Char"/>
    <w:link w:val="1176"/>
    <w:qFormat/>
    <w:uiPriority w:val="99"/>
    <w:rPr>
      <w:rFonts w:ascii="Arial Unicode MS" w:hAnsi="Arial Unicode MS" w:eastAsia="幼圆" w:cs="宋体"/>
      <w:kern w:val="2"/>
      <w:sz w:val="24"/>
      <w:szCs w:val="28"/>
    </w:rPr>
  </w:style>
  <w:style w:type="paragraph" w:customStyle="1" w:styleId="1178">
    <w:name w:val="样式 表格文字居中 + 右侧:  -0.06 字符1"/>
    <w:basedOn w:val="560"/>
    <w:qFormat/>
    <w:uiPriority w:val="99"/>
    <w:pPr>
      <w:keepNext/>
      <w:adjustRightInd/>
      <w:snapToGrid/>
      <w:spacing w:line="0" w:lineRule="atLeast"/>
      <w:ind w:left="-6"/>
    </w:pPr>
    <w:rPr>
      <w:rFonts w:cs="宋体"/>
      <w:kern w:val="2"/>
      <w:sz w:val="18"/>
      <w:szCs w:val="20"/>
    </w:rPr>
  </w:style>
  <w:style w:type="paragraph" w:customStyle="1" w:styleId="1179">
    <w:name w:val="列表 5I"/>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180">
    <w:name w:val="样式 正文首行缩进 + 四号 首行缩进:  2 字符"/>
    <w:basedOn w:val="78"/>
    <w:qFormat/>
    <w:uiPriority w:val="99"/>
    <w:pPr>
      <w:widowControl w:val="0"/>
      <w:tabs>
        <w:tab w:val="left" w:pos="628"/>
        <w:tab w:val="left" w:pos="1727"/>
        <w:tab w:val="left" w:pos="1884"/>
        <w:tab w:val="left" w:pos="4900"/>
      </w:tabs>
      <w:autoSpaceDE w:val="0"/>
      <w:autoSpaceDN w:val="0"/>
      <w:adjustRightInd w:val="0"/>
      <w:snapToGrid w:val="0"/>
      <w:spacing w:after="0" w:line="360" w:lineRule="auto"/>
      <w:ind w:firstLine="0" w:firstLineChars="0"/>
      <w:jc w:val="left"/>
    </w:pPr>
    <w:rPr>
      <w:color w:val="000000"/>
      <w:sz w:val="28"/>
      <w:szCs w:val="28"/>
      <w:lang w:val="zh-CN"/>
    </w:rPr>
  </w:style>
  <w:style w:type="paragraph" w:customStyle="1" w:styleId="1181">
    <w:name w:val="样式 标题 51)项标5标题 5 Char1) Char项 Char一级项 +"/>
    <w:basedOn w:val="8"/>
    <w:qFormat/>
    <w:uiPriority w:val="99"/>
    <w:pPr>
      <w:keepNext w:val="0"/>
      <w:keepLines w:val="0"/>
      <w:tabs>
        <w:tab w:val="left" w:pos="2138"/>
      </w:tabs>
      <w:topLinePunct w:val="0"/>
      <w:adjustRightInd w:val="0"/>
      <w:spacing w:before="0" w:after="0" w:line="360" w:lineRule="auto"/>
      <w:ind w:hanging="992" w:firstLineChars="0"/>
      <w:textAlignment w:val="baseline"/>
    </w:pPr>
    <w:rPr>
      <w:rFonts w:ascii="宋体" w:hAnsi="宋体" w:eastAsia="宋体"/>
      <w:b w:val="0"/>
      <w:bCs w:val="0"/>
      <w:color w:val="000000"/>
    </w:rPr>
  </w:style>
  <w:style w:type="paragraph" w:customStyle="1" w:styleId="1182">
    <w:name w:val="xl3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183">
    <w:name w:val="列表 2D"/>
    <w:basedOn w:val="34"/>
    <w:qFormat/>
    <w:uiPriority w:val="99"/>
    <w:pPr>
      <w:tabs>
        <w:tab w:val="left" w:pos="885"/>
      </w:tabs>
      <w:snapToGrid/>
      <w:spacing w:before="100" w:beforeAutospacing="1" w:after="100" w:afterAutospacing="1" w:line="288" w:lineRule="auto"/>
      <w:ind w:left="885" w:hanging="315"/>
      <w:jc w:val="both"/>
    </w:pPr>
    <w:rPr>
      <w:rFonts w:ascii="Arial" w:hAnsi="Arial"/>
      <w:color w:val="FFFF99"/>
      <w:sz w:val="24"/>
    </w:rPr>
  </w:style>
  <w:style w:type="paragraph" w:customStyle="1" w:styleId="1184">
    <w:name w:val="列表 3L"/>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185">
    <w:name w:val="我的标题3"/>
    <w:basedOn w:val="1"/>
    <w:qFormat/>
    <w:uiPriority w:val="99"/>
    <w:pPr>
      <w:widowControl w:val="0"/>
      <w:jc w:val="both"/>
    </w:pPr>
    <w:rPr>
      <w:rFonts w:ascii="Times New Roman" w:hAnsi="Times New Roman" w:cs="Times New Roman"/>
      <w:b/>
      <w:kern w:val="2"/>
      <w:sz w:val="28"/>
    </w:rPr>
  </w:style>
  <w:style w:type="paragraph" w:customStyle="1" w:styleId="1186">
    <w:name w:val="Char Char Char1 Char12"/>
    <w:basedOn w:val="1"/>
    <w:qFormat/>
    <w:uiPriority w:val="0"/>
    <w:pPr>
      <w:widowControl w:val="0"/>
      <w:jc w:val="both"/>
    </w:pPr>
    <w:rPr>
      <w:rFonts w:ascii="Times New Roman" w:hAnsi="Times New Roman" w:cs="Times New Roman"/>
      <w:kern w:val="2"/>
      <w:sz w:val="21"/>
    </w:rPr>
  </w:style>
  <w:style w:type="paragraph" w:customStyle="1" w:styleId="1187">
    <w:name w:val="xl46"/>
    <w:basedOn w:val="1"/>
    <w:qFormat/>
    <w:uiPriority w:val="99"/>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188">
    <w:name w:val="101"/>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189">
    <w:name w:val="表内5中"/>
    <w:basedOn w:val="1"/>
    <w:qFormat/>
    <w:uiPriority w:val="99"/>
    <w:pPr>
      <w:widowControl w:val="0"/>
      <w:jc w:val="center"/>
    </w:pPr>
    <w:rPr>
      <w:rFonts w:hAnsi="Times New Roman" w:cs="Times New Roman"/>
      <w:kern w:val="2"/>
      <w:sz w:val="21"/>
      <w:szCs w:val="21"/>
    </w:rPr>
  </w:style>
  <w:style w:type="paragraph" w:customStyle="1" w:styleId="1190">
    <w:name w:val="样式 仿宋_GB2312 四号 行距: 1.5 倍行距 首行缩进:  2 字符"/>
    <w:basedOn w:val="1"/>
    <w:qFormat/>
    <w:uiPriority w:val="0"/>
    <w:pPr>
      <w:widowControl w:val="0"/>
      <w:spacing w:line="360" w:lineRule="auto"/>
      <w:ind w:firstLine="560" w:firstLineChars="200"/>
      <w:jc w:val="both"/>
    </w:pPr>
    <w:rPr>
      <w:rFonts w:ascii="仿宋_GB2312" w:hAnsi="Times New Roman" w:eastAsia="仿宋_GB2312" w:cs="Times New Roman"/>
      <w:kern w:val="2"/>
      <w:sz w:val="28"/>
      <w:szCs w:val="20"/>
    </w:rPr>
  </w:style>
  <w:style w:type="paragraph" w:customStyle="1" w:styleId="1191">
    <w:name w:val="列表 2B"/>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92">
    <w:name w:val="样式 表标题5.12 + 居中 段前: 1 行"/>
    <w:basedOn w:val="815"/>
    <w:qFormat/>
    <w:uiPriority w:val="99"/>
    <w:pPr>
      <w:tabs>
        <w:tab w:val="left" w:pos="726"/>
        <w:tab w:val="clear" w:pos="4060"/>
        <w:tab w:val="clear" w:pos="8261"/>
      </w:tabs>
      <w:spacing w:beforeLines="0"/>
      <w:ind w:left="2" w:firstLine="4"/>
      <w:jc w:val="center"/>
    </w:pPr>
    <w:rPr>
      <w:rFonts w:cs="宋体"/>
      <w:bCs/>
      <w:szCs w:val="20"/>
    </w:rPr>
  </w:style>
  <w:style w:type="paragraph" w:customStyle="1" w:styleId="1193">
    <w:name w:val="xl63"/>
    <w:basedOn w:val="1"/>
    <w:qFormat/>
    <w:uiPriority w:val="99"/>
    <w:pPr>
      <w:pBdr>
        <w:left w:val="single" w:color="auto" w:sz="4" w:space="0"/>
        <w:bottom w:val="single" w:color="auto" w:sz="8" w:space="0"/>
      </w:pBdr>
      <w:spacing w:before="100" w:beforeAutospacing="1" w:after="100" w:afterAutospacing="1"/>
      <w:jc w:val="center"/>
    </w:pPr>
    <w:rPr>
      <w:rFonts w:eastAsia="仿宋_GB2312" w:cs="Times New Roman"/>
      <w:b/>
      <w:bCs/>
      <w:position w:val="-6"/>
    </w:rPr>
  </w:style>
  <w:style w:type="paragraph" w:customStyle="1" w:styleId="1194">
    <w:name w:val="Char Char Char Char Char Char Char Char Char Char Char Char1 Char Char Char Char Char Char Char Char Char Char Char Char1 Char1"/>
    <w:basedOn w:val="1"/>
    <w:next w:val="1"/>
    <w:qFormat/>
    <w:uiPriority w:val="99"/>
    <w:pPr>
      <w:widowControl w:val="0"/>
      <w:spacing w:line="336" w:lineRule="auto"/>
      <w:ind w:firstLine="200" w:firstLineChars="200"/>
      <w:jc w:val="both"/>
    </w:pPr>
    <w:rPr>
      <w:rFonts w:eastAsia="汉鼎简书宋"/>
      <w:kern w:val="2"/>
    </w:rPr>
  </w:style>
  <w:style w:type="paragraph" w:customStyle="1" w:styleId="1195">
    <w:name w:val="Company Name One"/>
    <w:basedOn w:val="1085"/>
    <w:next w:val="1"/>
    <w:qFormat/>
    <w:uiPriority w:val="99"/>
  </w:style>
  <w:style w:type="paragraph" w:customStyle="1" w:styleId="1196">
    <w:name w:val="材料正文"/>
    <w:basedOn w:val="1"/>
    <w:link w:val="1197"/>
    <w:qFormat/>
    <w:uiPriority w:val="99"/>
    <w:pPr>
      <w:widowControl w:val="0"/>
      <w:adjustRightInd w:val="0"/>
      <w:snapToGrid w:val="0"/>
      <w:spacing w:line="480" w:lineRule="exact"/>
      <w:ind w:firstLine="480" w:firstLineChars="200"/>
      <w:jc w:val="both"/>
    </w:pPr>
    <w:rPr>
      <w:rFonts w:ascii="Times New Roman" w:hAnsi="Times New Roman" w:eastAsia="方正仿宋简体"/>
      <w:kern w:val="2"/>
      <w:szCs w:val="20"/>
    </w:rPr>
  </w:style>
  <w:style w:type="character" w:customStyle="1" w:styleId="1197">
    <w:name w:val="材料正文 Char"/>
    <w:link w:val="1196"/>
    <w:qFormat/>
    <w:uiPriority w:val="99"/>
    <w:rPr>
      <w:rFonts w:eastAsia="方正仿宋简体" w:cs="宋体"/>
      <w:kern w:val="2"/>
      <w:sz w:val="24"/>
    </w:rPr>
  </w:style>
  <w:style w:type="paragraph" w:customStyle="1" w:styleId="1198">
    <w:name w:val="列表 4N"/>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199">
    <w:name w:val="正文样式一"/>
    <w:basedOn w:val="1"/>
    <w:qFormat/>
    <w:uiPriority w:val="99"/>
    <w:pPr>
      <w:widowControl w:val="0"/>
      <w:adjustRightInd w:val="0"/>
      <w:spacing w:line="400" w:lineRule="atLeast"/>
      <w:ind w:firstLine="510"/>
      <w:jc w:val="both"/>
      <w:textAlignment w:val="baseline"/>
    </w:pPr>
    <w:rPr>
      <w:rFonts w:ascii="Times New Roman" w:hAnsi="Times New Roman" w:cs="Times New Roman"/>
      <w:szCs w:val="20"/>
    </w:rPr>
  </w:style>
  <w:style w:type="paragraph" w:customStyle="1" w:styleId="1200">
    <w:name w:val="样式 样式 样式 标题 3条标题头标题3H3h33rd level第二层条标题 3 Char小标题小节标题标题 3 C...3 ..."/>
    <w:basedOn w:val="244"/>
    <w:qFormat/>
    <w:uiPriority w:val="0"/>
    <w:rPr>
      <w:color w:val="000000"/>
    </w:rPr>
  </w:style>
  <w:style w:type="paragraph" w:customStyle="1" w:styleId="1201">
    <w:name w:val="条文1"/>
    <w:basedOn w:val="1"/>
    <w:qFormat/>
    <w:uiPriority w:val="99"/>
    <w:pPr>
      <w:widowControl w:val="0"/>
      <w:autoSpaceDE w:val="0"/>
      <w:autoSpaceDN w:val="0"/>
      <w:adjustRightInd w:val="0"/>
      <w:spacing w:line="460" w:lineRule="exact"/>
      <w:ind w:left="907" w:hanging="425"/>
      <w:textAlignment w:val="baseline"/>
    </w:pPr>
    <w:rPr>
      <w:rFonts w:hAnsi="Times New Roman" w:cs="Times New Roman"/>
      <w:spacing w:val="3"/>
      <w:kern w:val="24"/>
      <w:sz w:val="26"/>
      <w:szCs w:val="20"/>
    </w:rPr>
  </w:style>
  <w:style w:type="paragraph" w:customStyle="1" w:styleId="1202">
    <w:name w:val="font10"/>
    <w:basedOn w:val="1"/>
    <w:qFormat/>
    <w:uiPriority w:val="99"/>
    <w:pPr>
      <w:spacing w:before="100" w:beforeAutospacing="1" w:after="100" w:afterAutospacing="1"/>
    </w:pPr>
    <w:rPr>
      <w:rFonts w:hint="eastAsia" w:cs="Arial Unicode MS"/>
      <w:b/>
      <w:bCs/>
      <w:sz w:val="36"/>
      <w:szCs w:val="36"/>
    </w:rPr>
  </w:style>
  <w:style w:type="paragraph" w:customStyle="1" w:styleId="1203">
    <w:name w:val="Char Char Char1 Char1 Char Char Char2"/>
    <w:basedOn w:val="1"/>
    <w:qFormat/>
    <w:uiPriority w:val="99"/>
    <w:pPr>
      <w:widowControl w:val="0"/>
      <w:jc w:val="both"/>
    </w:pPr>
    <w:rPr>
      <w:rFonts w:ascii="Times New Roman" w:hAnsi="Times New Roman" w:cs="Times New Roman"/>
      <w:kern w:val="2"/>
      <w:sz w:val="21"/>
    </w:rPr>
  </w:style>
  <w:style w:type="paragraph" w:customStyle="1" w:styleId="1204">
    <w:name w:val="SCIDI正文"/>
    <w:basedOn w:val="1"/>
    <w:qFormat/>
    <w:uiPriority w:val="99"/>
    <w:pPr>
      <w:widowControl w:val="0"/>
      <w:adjustRightInd w:val="0"/>
      <w:snapToGrid w:val="0"/>
      <w:spacing w:line="360" w:lineRule="auto"/>
      <w:ind w:firstLine="560" w:firstLineChars="200"/>
      <w:jc w:val="both"/>
    </w:pPr>
    <w:rPr>
      <w:rFonts w:ascii="Times New Roman" w:hAnsi="Times New Roman" w:eastAsia="仿宋_GB2312" w:cs="Times New Roman"/>
      <w:kern w:val="2"/>
      <w:sz w:val="28"/>
      <w:szCs w:val="20"/>
    </w:rPr>
  </w:style>
  <w:style w:type="paragraph" w:customStyle="1" w:styleId="1205">
    <w:name w:val="标题10"/>
    <w:basedOn w:val="1"/>
    <w:next w:val="1"/>
    <w:qFormat/>
    <w:uiPriority w:val="0"/>
    <w:pPr>
      <w:widowControl w:val="0"/>
      <w:tabs>
        <w:tab w:val="left" w:pos="360"/>
      </w:tabs>
      <w:snapToGrid w:val="0"/>
      <w:spacing w:before="120" w:after="120"/>
      <w:jc w:val="both"/>
    </w:pPr>
    <w:rPr>
      <w:rFonts w:ascii="Times New Roman" w:hAnsi="Times New Roman" w:eastAsia="楷体_GB2312" w:cs="Times New Roman"/>
      <w:b/>
      <w:bCs/>
      <w:kern w:val="2"/>
      <w:sz w:val="30"/>
      <w:szCs w:val="30"/>
    </w:rPr>
  </w:style>
  <w:style w:type="paragraph" w:customStyle="1" w:styleId="1206">
    <w:name w:val="列表 3A"/>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207">
    <w:name w:val="表标题4.5"/>
    <w:basedOn w:val="1"/>
    <w:qFormat/>
    <w:uiPriority w:val="99"/>
    <w:pPr>
      <w:widowControl w:val="0"/>
      <w:tabs>
        <w:tab w:val="center" w:pos="4060"/>
        <w:tab w:val="right" w:pos="8261"/>
      </w:tabs>
      <w:suppressAutoHyphens/>
      <w:adjustRightInd w:val="0"/>
      <w:spacing w:before="240" w:line="0" w:lineRule="atLeast"/>
      <w:jc w:val="both"/>
    </w:pPr>
    <w:rPr>
      <w:rFonts w:ascii="黑体" w:hAnsi="Times New Roman" w:eastAsia="黑体" w:cs="Times New Roman"/>
      <w:b/>
      <w:spacing w:val="6"/>
      <w:sz w:val="26"/>
      <w:szCs w:val="26"/>
    </w:rPr>
  </w:style>
  <w:style w:type="paragraph" w:customStyle="1" w:styleId="1208">
    <w:name w:val="列表D"/>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209">
    <w:name w:val="font16"/>
    <w:basedOn w:val="1"/>
    <w:qFormat/>
    <w:uiPriority w:val="99"/>
    <w:pPr>
      <w:spacing w:before="100" w:beforeAutospacing="1" w:after="100" w:afterAutospacing="1"/>
    </w:pPr>
    <w:rPr>
      <w:rFonts w:hint="eastAsia" w:cs="Arial Unicode MS"/>
      <w:sz w:val="20"/>
      <w:szCs w:val="20"/>
      <w:u w:val="single"/>
    </w:rPr>
  </w:style>
  <w:style w:type="paragraph" w:customStyle="1" w:styleId="1210">
    <w:name w:val="样式 表标题4.5 + 居中"/>
    <w:basedOn w:val="1207"/>
    <w:qFormat/>
    <w:uiPriority w:val="99"/>
    <w:pPr>
      <w:tabs>
        <w:tab w:val="left" w:pos="726"/>
        <w:tab w:val="clear" w:pos="4060"/>
        <w:tab w:val="clear" w:pos="8261"/>
      </w:tabs>
      <w:ind w:left="2" w:firstLine="4"/>
      <w:jc w:val="center"/>
    </w:pPr>
    <w:rPr>
      <w:rFonts w:cs="宋体"/>
      <w:bCs/>
      <w:szCs w:val="20"/>
    </w:rPr>
  </w:style>
  <w:style w:type="paragraph" w:customStyle="1" w:styleId="1211">
    <w:name w:val="Char Char Char1"/>
    <w:basedOn w:val="1"/>
    <w:qFormat/>
    <w:uiPriority w:val="0"/>
    <w:pPr>
      <w:widowControl w:val="0"/>
      <w:spacing w:beforeLines="100"/>
      <w:jc w:val="both"/>
    </w:pPr>
    <w:rPr>
      <w:rFonts w:ascii="Times New Roman" w:hAnsi="Times New Roman" w:cs="Times New Roman"/>
      <w:kern w:val="2"/>
      <w:sz w:val="21"/>
    </w:rPr>
  </w:style>
  <w:style w:type="paragraph" w:customStyle="1" w:styleId="1212">
    <w:name w:val="标标题13.1"/>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cs="Times New Roman"/>
      <w:b/>
      <w:spacing w:val="6"/>
    </w:rPr>
  </w:style>
  <w:style w:type="paragraph" w:customStyle="1" w:styleId="1213">
    <w:name w:val="图片"/>
    <w:basedOn w:val="1"/>
    <w:next w:val="1"/>
    <w:qFormat/>
    <w:uiPriority w:val="99"/>
    <w:pPr>
      <w:keepNext/>
      <w:spacing w:line="360" w:lineRule="auto"/>
      <w:jc w:val="center"/>
    </w:pPr>
    <w:rPr>
      <w:rFonts w:ascii="Times New Roman" w:hAnsi="Times New Roman" w:eastAsia="仿宋_GB2312" w:cs="Times New Roman"/>
      <w:b/>
      <w:bCs/>
      <w:color w:val="000000"/>
      <w:kern w:val="2"/>
      <w:szCs w:val="20"/>
      <w:lang w:val="zh-CN"/>
    </w:rPr>
  </w:style>
  <w:style w:type="paragraph" w:customStyle="1" w:styleId="1214">
    <w:name w:val="列表 4X"/>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15">
    <w:name w:val="xl3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szCs w:val="20"/>
    </w:rPr>
  </w:style>
  <w:style w:type="paragraph" w:customStyle="1" w:styleId="1216">
    <w:name w:val="列表 5O"/>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17">
    <w:name w:val="样式 正文文字 + 左 首行缩进:  2 字符 行距: 1.5 倍行距"/>
    <w:basedOn w:val="31"/>
    <w:qFormat/>
    <w:uiPriority w:val="99"/>
    <w:pPr>
      <w:widowControl w:val="0"/>
      <w:spacing w:line="360" w:lineRule="auto"/>
      <w:ind w:firstLine="560" w:firstLineChars="200"/>
    </w:pPr>
    <w:rPr>
      <w:rFonts w:ascii="Times New Roman" w:hAnsi="Times New Roman"/>
      <w:color w:val="auto"/>
      <w:kern w:val="0"/>
      <w:szCs w:val="24"/>
    </w:rPr>
  </w:style>
  <w:style w:type="paragraph" w:customStyle="1" w:styleId="1218">
    <w:name w:val="Char1 Char Char Char Char Char Char2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219">
    <w:name w:val="样式 燕山正文 + 首行缩进:  3.5 字符"/>
    <w:basedOn w:val="759"/>
    <w:qFormat/>
    <w:uiPriority w:val="99"/>
    <w:pPr>
      <w:shd w:val="clear" w:color="auto" w:fill="auto"/>
      <w:jc w:val="both"/>
    </w:pPr>
    <w:rPr>
      <w:color w:val="000000"/>
      <w:szCs w:val="20"/>
    </w:rPr>
  </w:style>
  <w:style w:type="paragraph" w:customStyle="1" w:styleId="1220">
    <w:name w:val="正文首行缩进2"/>
    <w:basedOn w:val="31"/>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4"/>
    </w:rPr>
  </w:style>
  <w:style w:type="paragraph" w:customStyle="1" w:styleId="1221">
    <w:name w:val="表标题2.1"/>
    <w:basedOn w:val="797"/>
    <w:qFormat/>
    <w:uiPriority w:val="99"/>
    <w:pPr>
      <w:tabs>
        <w:tab w:val="left" w:pos="3060"/>
        <w:tab w:val="clear" w:pos="8207"/>
      </w:tabs>
      <w:ind w:left="2400" w:hanging="420"/>
    </w:pPr>
  </w:style>
  <w:style w:type="paragraph" w:customStyle="1" w:styleId="1222">
    <w:name w:val="表标题5.3"/>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223">
    <w:name w:val="样式1"/>
    <w:basedOn w:val="1"/>
    <w:qFormat/>
    <w:uiPriority w:val="99"/>
    <w:pPr>
      <w:widowControl w:val="0"/>
      <w:spacing w:line="560" w:lineRule="exact"/>
      <w:ind w:firstLine="567"/>
      <w:jc w:val="both"/>
    </w:pPr>
    <w:rPr>
      <w:rFonts w:ascii="Times New Roman" w:hAnsi="Times New Roman" w:cs="Times New Roman"/>
      <w:kern w:val="2"/>
      <w:szCs w:val="20"/>
    </w:rPr>
  </w:style>
  <w:style w:type="paragraph" w:customStyle="1" w:styleId="1224">
    <w:name w:val="标题 3，第三标题"/>
    <w:basedOn w:val="1"/>
    <w:qFormat/>
    <w:uiPriority w:val="99"/>
    <w:pPr>
      <w:widowControl w:val="0"/>
      <w:tabs>
        <w:tab w:val="left" w:pos="628"/>
        <w:tab w:val="left" w:pos="1727"/>
        <w:tab w:val="left" w:pos="1840"/>
        <w:tab w:val="left" w:pos="1884"/>
        <w:tab w:val="left" w:pos="2520"/>
        <w:tab w:val="left" w:pos="2660"/>
        <w:tab w:val="left" w:pos="5460"/>
      </w:tabs>
      <w:snapToGrid w:val="0"/>
      <w:spacing w:beforeLines="50" w:afterLines="50" w:line="440" w:lineRule="exact"/>
      <w:ind w:left="1840" w:hanging="720"/>
      <w:outlineLvl w:val="2"/>
    </w:pPr>
    <w:rPr>
      <w:rFonts w:ascii="Times New Roman" w:hAnsi="Times New Roman" w:eastAsia="黑体"/>
      <w:kern w:val="2"/>
      <w:szCs w:val="20"/>
    </w:rPr>
  </w:style>
  <w:style w:type="paragraph" w:customStyle="1" w:styleId="1225">
    <w:name w:val="报告表格"/>
    <w:basedOn w:val="1"/>
    <w:qFormat/>
    <w:uiPriority w:val="99"/>
    <w:pPr>
      <w:widowControl w:val="0"/>
      <w:autoSpaceDE w:val="0"/>
      <w:autoSpaceDN w:val="0"/>
      <w:adjustRightInd w:val="0"/>
      <w:spacing w:before="40" w:after="40"/>
      <w:jc w:val="center"/>
      <w:textAlignment w:val="bottom"/>
    </w:pPr>
    <w:rPr>
      <w:rFonts w:ascii="Times New Roman" w:hAnsi="Times New Roman" w:cs="Times New Roman"/>
      <w:sz w:val="21"/>
      <w:szCs w:val="20"/>
    </w:rPr>
  </w:style>
  <w:style w:type="paragraph" w:customStyle="1" w:styleId="1226">
    <w:name w:val="段"/>
    <w:semiHidden/>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27">
    <w:name w:val="1正文段落"/>
    <w:basedOn w:val="1"/>
    <w:qFormat/>
    <w:uiPriority w:val="99"/>
    <w:pPr>
      <w:widowControl w:val="0"/>
      <w:spacing w:line="360" w:lineRule="auto"/>
      <w:ind w:firstLine="200" w:firstLineChars="200"/>
    </w:pPr>
    <w:rPr>
      <w:rFonts w:ascii="Times New Roman" w:hAnsi="Times New Roman" w:cs="Times New Roman"/>
      <w:snapToGrid w:val="0"/>
    </w:rPr>
  </w:style>
  <w:style w:type="paragraph" w:customStyle="1" w:styleId="1228">
    <w:name w:val="表标题4.9"/>
    <w:basedOn w:val="1"/>
    <w:qFormat/>
    <w:uiPriority w:val="99"/>
    <w:pPr>
      <w:widowControl w:val="0"/>
      <w:tabs>
        <w:tab w:val="center" w:pos="4060"/>
        <w:tab w:val="right" w:pos="8261"/>
      </w:tabs>
      <w:suppressAutoHyphens/>
      <w:adjustRightInd w:val="0"/>
      <w:spacing w:before="240" w:line="0" w:lineRule="atLeast"/>
      <w:jc w:val="both"/>
    </w:pPr>
    <w:rPr>
      <w:rFonts w:ascii="黑体" w:hAnsi="Times New Roman" w:eastAsia="黑体" w:cs="Times New Roman"/>
      <w:b/>
      <w:spacing w:val="6"/>
      <w:sz w:val="26"/>
      <w:szCs w:val="26"/>
    </w:rPr>
  </w:style>
  <w:style w:type="paragraph" w:customStyle="1" w:styleId="1229">
    <w:name w:val="样式 表格文字居中 + 段前: 自动 行距: 单倍行距"/>
    <w:basedOn w:val="1"/>
    <w:qFormat/>
    <w:uiPriority w:val="99"/>
    <w:pPr>
      <w:widowControl w:val="0"/>
      <w:tabs>
        <w:tab w:val="left" w:pos="0"/>
        <w:tab w:val="left" w:pos="628"/>
        <w:tab w:val="left" w:pos="700"/>
        <w:tab w:val="left" w:pos="1400"/>
        <w:tab w:val="left" w:pos="1884"/>
      </w:tabs>
      <w:adjustRightInd w:val="0"/>
      <w:snapToGrid w:val="0"/>
    </w:pPr>
    <w:rPr>
      <w:kern w:val="2"/>
      <w:sz w:val="21"/>
      <w:szCs w:val="28"/>
    </w:rPr>
  </w:style>
  <w:style w:type="paragraph" w:customStyle="1" w:styleId="1230">
    <w:name w:val="德胜三级标题"/>
    <w:basedOn w:val="1"/>
    <w:qFormat/>
    <w:uiPriority w:val="99"/>
    <w:pPr>
      <w:keepNext/>
      <w:keepLines/>
      <w:widowControl w:val="0"/>
      <w:adjustRightInd w:val="0"/>
      <w:snapToGrid w:val="0"/>
      <w:spacing w:line="360" w:lineRule="auto"/>
      <w:outlineLvl w:val="2"/>
    </w:pPr>
    <w:rPr>
      <w:rFonts w:ascii="Times New Roman" w:hAnsi="Times New Roman" w:cs="Times New Roman"/>
      <w:b/>
      <w:bCs/>
      <w:snapToGrid w:val="0"/>
      <w:color w:val="0000FF"/>
    </w:rPr>
  </w:style>
  <w:style w:type="paragraph" w:customStyle="1" w:styleId="1231">
    <w:name w:val="font6"/>
    <w:basedOn w:val="1"/>
    <w:qFormat/>
    <w:uiPriority w:val="99"/>
    <w:pPr>
      <w:spacing w:before="100" w:beforeAutospacing="1" w:after="100" w:afterAutospacing="1"/>
    </w:pPr>
    <w:rPr>
      <w:rFonts w:hint="eastAsia" w:cs="Arial Unicode MS"/>
      <w:b/>
      <w:bCs/>
      <w:sz w:val="32"/>
      <w:szCs w:val="32"/>
    </w:rPr>
  </w:style>
  <w:style w:type="paragraph" w:customStyle="1" w:styleId="1232">
    <w:name w:val="xl2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233">
    <w:name w:val="标题1.5"/>
    <w:basedOn w:val="937"/>
    <w:next w:val="312"/>
    <w:qFormat/>
    <w:uiPriority w:val="99"/>
    <w:rPr>
      <w:szCs w:val="28"/>
    </w:rPr>
  </w:style>
  <w:style w:type="paragraph" w:customStyle="1" w:styleId="1234">
    <w:name w:val="xl62"/>
    <w:basedOn w:val="1"/>
    <w:qFormat/>
    <w:uiPriority w:val="99"/>
    <w:pPr>
      <w:pBdr>
        <w:top w:val="single" w:color="auto" w:sz="4" w:space="0"/>
        <w:left w:val="single" w:color="auto" w:sz="4" w:space="0"/>
      </w:pBdr>
      <w:spacing w:before="100" w:beforeAutospacing="1" w:after="100" w:afterAutospacing="1"/>
      <w:jc w:val="center"/>
    </w:pPr>
    <w:rPr>
      <w:rFonts w:eastAsia="仿宋_GB2312" w:cs="Times New Roman"/>
      <w:b/>
      <w:bCs/>
      <w:position w:val="-6"/>
    </w:rPr>
  </w:style>
  <w:style w:type="paragraph" w:customStyle="1" w:styleId="1235">
    <w:name w:val="xl35"/>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Cs w:val="20"/>
    </w:rPr>
  </w:style>
  <w:style w:type="paragraph" w:customStyle="1" w:styleId="1236">
    <w:name w:val="附录"/>
    <w:basedOn w:val="3"/>
    <w:next w:val="1"/>
    <w:qFormat/>
    <w:uiPriority w:val="99"/>
    <w:pPr>
      <w:keepNext/>
      <w:keepLines/>
      <w:tabs>
        <w:tab w:val="left" w:pos="720"/>
      </w:tabs>
      <w:spacing w:after="220" w:line="700" w:lineRule="exact"/>
      <w:ind w:left="680" w:hanging="680"/>
      <w:jc w:val="center"/>
    </w:pPr>
    <w:rPr>
      <w:rFonts w:ascii="Times New Roman" w:hAnsi="Times New Roman" w:eastAsia="宋体"/>
      <w:spacing w:val="-10"/>
      <w:kern w:val="28"/>
      <w:sz w:val="30"/>
      <w:szCs w:val="20"/>
    </w:rPr>
  </w:style>
  <w:style w:type="paragraph" w:customStyle="1" w:styleId="1237">
    <w:name w:val="xl42"/>
    <w:basedOn w:val="1"/>
    <w:qFormat/>
    <w:uiPriority w:val="99"/>
    <w:pPr>
      <w:spacing w:before="100" w:beforeAutospacing="1" w:after="100" w:afterAutospacing="1"/>
      <w:textAlignment w:val="center"/>
    </w:pPr>
    <w:rPr>
      <w:rFonts w:ascii="Arial Unicode MS" w:hAnsi="Arial Unicode MS" w:eastAsia="Arial Unicode MS" w:cs="Arial Unicode MS"/>
      <w:b/>
      <w:bCs/>
      <w:sz w:val="32"/>
      <w:szCs w:val="32"/>
    </w:rPr>
  </w:style>
  <w:style w:type="paragraph" w:customStyle="1" w:styleId="1238">
    <w:name w:val="样式 标题 3H3H31H32H33u3条标题1.1.1Heading 3 - oldBold Headbh..."/>
    <w:basedOn w:val="6"/>
    <w:qFormat/>
    <w:uiPriority w:val="99"/>
    <w:pPr>
      <w:widowControl w:val="0"/>
      <w:adjustRightInd w:val="0"/>
      <w:snapToGrid w:val="0"/>
      <w:spacing w:beforeLines="25" w:afterLines="25" w:line="312" w:lineRule="auto"/>
      <w:jc w:val="both"/>
    </w:pPr>
    <w:rPr>
      <w:rFonts w:ascii="宋体" w:cs="宋体"/>
      <w:b/>
      <w:spacing w:val="16"/>
      <w:sz w:val="28"/>
      <w:szCs w:val="20"/>
    </w:rPr>
  </w:style>
  <w:style w:type="paragraph" w:customStyle="1" w:styleId="1239">
    <w:name w:val="样式 标题 7 + 段前: 0.5 行1"/>
    <w:basedOn w:val="10"/>
    <w:qFormat/>
    <w:uiPriority w:val="99"/>
    <w:pPr>
      <w:keepNext w:val="0"/>
      <w:widowControl/>
      <w:tabs>
        <w:tab w:val="left" w:pos="420"/>
        <w:tab w:val="left" w:pos="1820"/>
      </w:tabs>
      <w:adjustRightInd w:val="0"/>
      <w:snapToGrid w:val="0"/>
      <w:spacing w:before="120" w:line="300" w:lineRule="auto"/>
      <w:ind w:left="0" w:firstLine="1120" w:firstLineChars="400"/>
      <w:outlineLvl w:val="3"/>
    </w:pPr>
    <w:rPr>
      <w:rFonts w:ascii="宋体" w:hAnsi="宋体"/>
      <w:b w:val="0"/>
      <w:bCs w:val="0"/>
      <w:color w:val="000000"/>
    </w:rPr>
  </w:style>
  <w:style w:type="paragraph" w:customStyle="1" w:styleId="1240">
    <w:name w:val="xl90"/>
    <w:basedOn w:val="1"/>
    <w:qFormat/>
    <w:uiPriority w:val="99"/>
    <w:pPr>
      <w:pBdr>
        <w:top w:val="single" w:color="auto" w:sz="4" w:space="0"/>
        <w:left w:val="single" w:color="auto" w:sz="8" w:space="0"/>
        <w:bottom w:val="single" w:color="auto" w:sz="8" w:space="0"/>
      </w:pBdr>
      <w:spacing w:before="100" w:beforeAutospacing="1" w:after="100" w:afterAutospacing="1"/>
    </w:pPr>
    <w:rPr>
      <w:rFonts w:ascii="Times New Roman" w:hAnsi="Times New Roman" w:eastAsia="Arial Unicode MS" w:cs="Times New Roman"/>
      <w:sz w:val="16"/>
      <w:szCs w:val="16"/>
    </w:rPr>
  </w:style>
  <w:style w:type="paragraph" w:customStyle="1" w:styleId="1241">
    <w:name w:val="列表 4O"/>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42">
    <w:name w:val="列表 5S"/>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43">
    <w:name w:val="样式1 + 四号 居中"/>
    <w:basedOn w:val="1"/>
    <w:qFormat/>
    <w:uiPriority w:val="0"/>
    <w:pPr>
      <w:widowControl w:val="0"/>
      <w:spacing w:line="336" w:lineRule="auto"/>
      <w:jc w:val="center"/>
    </w:pPr>
    <w:rPr>
      <w:rFonts w:ascii="Times New Roman" w:hAnsi="Times New Roman" w:cs="Times New Roman"/>
      <w:kern w:val="2"/>
      <w:sz w:val="28"/>
      <w:szCs w:val="20"/>
    </w:rPr>
  </w:style>
  <w:style w:type="paragraph" w:customStyle="1" w:styleId="1244">
    <w:name w:val="xl48"/>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245">
    <w:name w:val="xl91"/>
    <w:basedOn w:val="1"/>
    <w:qFormat/>
    <w:uiPriority w:val="99"/>
    <w:pPr>
      <w:pBdr>
        <w:top w:val="single" w:color="auto" w:sz="4" w:space="0"/>
        <w:bottom w:val="single" w:color="auto" w:sz="8"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246">
    <w:name w:val="font13"/>
    <w:basedOn w:val="1"/>
    <w:qFormat/>
    <w:uiPriority w:val="99"/>
    <w:pPr>
      <w:spacing w:before="100" w:beforeAutospacing="1" w:after="100" w:afterAutospacing="1"/>
    </w:pPr>
    <w:rPr>
      <w:rFonts w:ascii="Times New Roman" w:hAnsi="Times New Roman" w:eastAsia="Arial Unicode MS" w:cs="Times New Roman"/>
      <w:b/>
      <w:bCs/>
      <w:sz w:val="20"/>
      <w:szCs w:val="20"/>
    </w:rPr>
  </w:style>
  <w:style w:type="paragraph" w:customStyle="1" w:styleId="1247">
    <w:name w:val="样式 表2.1 + 居中"/>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b/>
      <w:bCs/>
      <w:szCs w:val="20"/>
    </w:rPr>
  </w:style>
  <w:style w:type="paragraph" w:customStyle="1" w:styleId="1248">
    <w:name w:val="列表 D"/>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249">
    <w:name w:val="Char Char Char1 Char Char Char Char Char Char Char Char Char Char"/>
    <w:basedOn w:val="1"/>
    <w:qFormat/>
    <w:uiPriority w:val="99"/>
    <w:pPr>
      <w:widowControl w:val="0"/>
      <w:jc w:val="both"/>
    </w:pPr>
    <w:rPr>
      <w:rFonts w:hAnsi="Times New Roman" w:cs="Times New Roman"/>
      <w:kern w:val="2"/>
      <w:sz w:val="21"/>
      <w:szCs w:val="21"/>
    </w:rPr>
  </w:style>
  <w:style w:type="paragraph" w:customStyle="1" w:styleId="1250">
    <w:name w:val="xl96"/>
    <w:basedOn w:val="1"/>
    <w:qFormat/>
    <w:uiPriority w:val="99"/>
    <w:pPr>
      <w:pBdr>
        <w:left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51">
    <w:name w:val="附录1"/>
    <w:basedOn w:val="3"/>
    <w:next w:val="1"/>
    <w:qFormat/>
    <w:uiPriority w:val="99"/>
    <w:pPr>
      <w:keepNext/>
      <w:keepLines/>
      <w:tabs>
        <w:tab w:val="left" w:pos="720"/>
      </w:tabs>
      <w:spacing w:after="220" w:line="700" w:lineRule="exact"/>
      <w:ind w:left="680" w:hanging="680"/>
      <w:jc w:val="center"/>
    </w:pPr>
    <w:rPr>
      <w:rFonts w:ascii="Times New Roman" w:hAnsi="Times New Roman" w:eastAsia="宋体"/>
      <w:spacing w:val="-10"/>
      <w:kern w:val="28"/>
      <w:sz w:val="30"/>
      <w:szCs w:val="20"/>
    </w:rPr>
  </w:style>
  <w:style w:type="paragraph" w:customStyle="1" w:styleId="1252">
    <w:name w:val="Char Char Char1 Char1 Char Char Char1"/>
    <w:basedOn w:val="1"/>
    <w:qFormat/>
    <w:uiPriority w:val="99"/>
    <w:pPr>
      <w:widowControl w:val="0"/>
      <w:jc w:val="both"/>
    </w:pPr>
    <w:rPr>
      <w:rFonts w:ascii="Times New Roman" w:hAnsi="Times New Roman" w:cs="Times New Roman"/>
      <w:kern w:val="2"/>
      <w:sz w:val="21"/>
    </w:rPr>
  </w:style>
  <w:style w:type="paragraph" w:customStyle="1" w:styleId="1253">
    <w:name w:val="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254">
    <w:name w:val="xl106"/>
    <w:basedOn w:val="1"/>
    <w:qFormat/>
    <w:uiPriority w:val="99"/>
    <w:pPr>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55">
    <w:name w:val="xl37"/>
    <w:basedOn w:val="1"/>
    <w:qFormat/>
    <w:uiPriority w:val="99"/>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256">
    <w:name w:val="Char1 Char Char Char1"/>
    <w:basedOn w:val="1"/>
    <w:qFormat/>
    <w:uiPriority w:val="99"/>
    <w:pPr>
      <w:widowControl w:val="0"/>
      <w:snapToGrid w:val="0"/>
      <w:spacing w:line="360" w:lineRule="auto"/>
      <w:ind w:firstLine="529" w:firstLineChars="200"/>
      <w:jc w:val="both"/>
    </w:pPr>
    <w:rPr>
      <w:rFonts w:cs="Times New Roman"/>
      <w:b/>
      <w:kern w:val="2"/>
      <w:sz w:val="21"/>
    </w:rPr>
  </w:style>
  <w:style w:type="paragraph" w:customStyle="1" w:styleId="1257">
    <w:name w:val="9点"/>
    <w:basedOn w:val="1"/>
    <w:qFormat/>
    <w:uiPriority w:val="99"/>
    <w:pPr>
      <w:widowControl w:val="0"/>
      <w:spacing w:line="360" w:lineRule="exact"/>
      <w:jc w:val="both"/>
    </w:pPr>
    <w:rPr>
      <w:rFonts w:ascii="Times New Roman" w:hAnsi="Times New Roman" w:cs="Times New Roman"/>
      <w:kern w:val="2"/>
      <w:sz w:val="21"/>
    </w:rPr>
  </w:style>
  <w:style w:type="paragraph" w:customStyle="1" w:styleId="1258">
    <w:name w:val="样式 样式 标题 2h22Header 2nd PageA.B.C.h2 main h标题2 + 仿宋_GB2312 行距......1"/>
    <w:basedOn w:val="969"/>
    <w:qFormat/>
    <w:uiPriority w:val="0"/>
    <w:pPr>
      <w:ind w:firstLine="454"/>
    </w:pPr>
    <w:rPr>
      <w:b/>
      <w:bCs w:val="0"/>
    </w:rPr>
  </w:style>
  <w:style w:type="paragraph" w:customStyle="1" w:styleId="1259">
    <w:name w:val="表格文字（居中）"/>
    <w:basedOn w:val="1"/>
    <w:qFormat/>
    <w:uiPriority w:val="99"/>
    <w:pPr>
      <w:widowControl w:val="0"/>
      <w:jc w:val="center"/>
    </w:pPr>
    <w:rPr>
      <w:rFonts w:ascii="Times New Roman" w:hAnsi="Times New Roman" w:cs="Times New Roman"/>
      <w:kern w:val="2"/>
      <w:sz w:val="21"/>
      <w:szCs w:val="21"/>
    </w:rPr>
  </w:style>
  <w:style w:type="paragraph" w:customStyle="1" w:styleId="1260">
    <w:name w:val="xl72"/>
    <w:basedOn w:val="1"/>
    <w:qFormat/>
    <w:uiPriority w:val="99"/>
    <w:pPr>
      <w:pBdr>
        <w:top w:val="single" w:color="auto" w:sz="8" w:space="0"/>
        <w:right w:val="single" w:color="auto" w:sz="4" w:space="0"/>
      </w:pBdr>
      <w:spacing w:before="100" w:beforeAutospacing="1" w:after="100" w:afterAutospacing="1"/>
      <w:jc w:val="center"/>
    </w:pPr>
    <w:rPr>
      <w:rFonts w:eastAsia="仿宋_GB2312" w:cs="Times New Roman"/>
      <w:position w:val="-6"/>
      <w:szCs w:val="21"/>
    </w:rPr>
  </w:style>
  <w:style w:type="paragraph" w:customStyle="1" w:styleId="1261">
    <w:name w:val="列表 5G"/>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62">
    <w:name w:val="样式 样式 样式 首行缩进:  2 字符 + 首行缩进:  2 字符 + 首行缩进:  2 字符"/>
    <w:basedOn w:val="1139"/>
    <w:qFormat/>
    <w:uiPriority w:val="99"/>
    <w:pPr>
      <w:ind w:firstLine="567"/>
    </w:pPr>
    <w:rPr>
      <w:szCs w:val="20"/>
    </w:rPr>
  </w:style>
  <w:style w:type="paragraph" w:customStyle="1" w:styleId="1263">
    <w:name w:val="IDC A-Head (2nd Line)"/>
    <w:basedOn w:val="1"/>
    <w:next w:val="1"/>
    <w:qFormat/>
    <w:uiPriority w:val="99"/>
    <w:pPr>
      <w:jc w:val="center"/>
    </w:pPr>
    <w:rPr>
      <w:rFonts w:ascii="Times New Roman" w:hAnsi="Times New Roman" w:cs="Times New Roman"/>
      <w:caps/>
      <w:szCs w:val="20"/>
    </w:rPr>
  </w:style>
  <w:style w:type="paragraph" w:customStyle="1" w:styleId="1264">
    <w:name w:val="样式 正文首行缩进 2 +"/>
    <w:basedOn w:val="79"/>
    <w:qFormat/>
    <w:uiPriority w:val="99"/>
    <w:pPr>
      <w:topLinePunct w:val="0"/>
      <w:spacing w:after="0"/>
      <w:ind w:left="0" w:leftChars="0" w:firstLine="420"/>
    </w:pPr>
    <w:rPr>
      <w:rFonts w:ascii="宋体" w:eastAsia="宋体" w:cs="宋体"/>
      <w:sz w:val="21"/>
      <w:szCs w:val="21"/>
    </w:rPr>
  </w:style>
  <w:style w:type="paragraph" w:customStyle="1" w:styleId="1265">
    <w:name w:val="xl213"/>
    <w:basedOn w:val="1"/>
    <w:qFormat/>
    <w:uiPriority w:val="99"/>
    <w:pPr>
      <w:pBdr>
        <w:left w:val="single" w:color="auto" w:sz="4" w:space="0"/>
        <w:right w:val="single" w:color="auto" w:sz="4" w:space="0"/>
      </w:pBdr>
      <w:spacing w:before="100" w:after="100"/>
    </w:pPr>
    <w:rPr>
      <w:rFonts w:ascii="Arial" w:hAnsi="Arial" w:eastAsia="Arial Unicode MS" w:cs="Times New Roman"/>
      <w:szCs w:val="20"/>
    </w:rPr>
  </w:style>
  <w:style w:type="paragraph" w:customStyle="1" w:styleId="1266">
    <w:name w:val="列表 4Z"/>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67">
    <w:name w:val="样式 标题 1章节H11.标题 1一、标题 1（修改）1 南陵标题 1标题标题 1章标题 1b1章文章标题..."/>
    <w:basedOn w:val="3"/>
    <w:qFormat/>
    <w:uiPriority w:val="99"/>
    <w:pPr>
      <w:keepNext/>
      <w:keepLines/>
      <w:tabs>
        <w:tab w:val="left" w:pos="726"/>
      </w:tabs>
      <w:snapToGrid w:val="0"/>
      <w:spacing w:line="700" w:lineRule="exact"/>
      <w:ind w:left="2" w:firstLine="4"/>
      <w:jc w:val="both"/>
    </w:pPr>
    <w:rPr>
      <w:rFonts w:ascii="Times New Roman" w:hAnsi="Times New Roman"/>
      <w:bCs/>
      <w:color w:val="000000"/>
      <w:kern w:val="44"/>
      <w:sz w:val="30"/>
      <w:szCs w:val="20"/>
      <w:lang w:val="zh-CN"/>
    </w:rPr>
  </w:style>
  <w:style w:type="paragraph" w:customStyle="1" w:styleId="1268">
    <w:name w:val="初设正文"/>
    <w:basedOn w:val="1"/>
    <w:qFormat/>
    <w:uiPriority w:val="99"/>
    <w:pPr>
      <w:widowControl w:val="0"/>
      <w:spacing w:after="120" w:line="440" w:lineRule="exact"/>
      <w:ind w:left="425" w:firstLine="425"/>
      <w:jc w:val="both"/>
    </w:pPr>
    <w:rPr>
      <w:rFonts w:ascii="Arial" w:hAnsi="Arial" w:cs="Times New Roman"/>
      <w:szCs w:val="20"/>
    </w:rPr>
  </w:style>
  <w:style w:type="paragraph" w:customStyle="1" w:styleId="1269">
    <w:name w:val="xl82"/>
    <w:basedOn w:val="1"/>
    <w:qFormat/>
    <w:uiPriority w:val="99"/>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70">
    <w:name w:val="页脚2"/>
    <w:basedOn w:val="250"/>
    <w:qFormat/>
    <w:uiPriority w:val="99"/>
    <w:pPr>
      <w:tabs>
        <w:tab w:val="center" w:pos="4153"/>
        <w:tab w:val="right" w:pos="8306"/>
      </w:tabs>
      <w:spacing w:line="240" w:lineRule="atLeast"/>
    </w:pPr>
    <w:rPr>
      <w:sz w:val="18"/>
    </w:rPr>
  </w:style>
  <w:style w:type="paragraph" w:customStyle="1" w:styleId="1271">
    <w:name w:val="样式 标题 2节标题标题2H2h2第一层条节二级 标题 21.1标题 21.1_Heading 2标2标...1"/>
    <w:basedOn w:val="4"/>
    <w:qFormat/>
    <w:uiPriority w:val="0"/>
    <w:pPr>
      <w:widowControl w:val="0"/>
      <w:spacing w:line="720" w:lineRule="auto"/>
    </w:pPr>
    <w:rPr>
      <w:rFonts w:ascii="黑体" w:hAnsi="Times New Roman"/>
      <w:szCs w:val="28"/>
    </w:rPr>
  </w:style>
  <w:style w:type="paragraph" w:customStyle="1" w:styleId="1272">
    <w:name w:val="2"/>
    <w:basedOn w:val="1"/>
    <w:next w:val="41"/>
    <w:qFormat/>
    <w:uiPriority w:val="0"/>
    <w:pPr>
      <w:widowControl w:val="0"/>
      <w:jc w:val="both"/>
    </w:pPr>
    <w:rPr>
      <w:rFonts w:hAnsi="Courier New" w:cs="Courier New"/>
      <w:kern w:val="2"/>
      <w:sz w:val="21"/>
      <w:szCs w:val="21"/>
    </w:rPr>
  </w:style>
  <w:style w:type="paragraph" w:customStyle="1" w:styleId="1273">
    <w:name w:val="列表 2H"/>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274">
    <w:name w:val="xl65"/>
    <w:basedOn w:val="1"/>
    <w:qFormat/>
    <w:uiPriority w:val="99"/>
    <w:pPr>
      <w:pBdr>
        <w:bottom w:val="single" w:color="auto" w:sz="8" w:space="0"/>
      </w:pBdr>
      <w:spacing w:before="100" w:beforeAutospacing="1" w:after="100" w:afterAutospacing="1"/>
      <w:jc w:val="center"/>
    </w:pPr>
    <w:rPr>
      <w:rFonts w:eastAsia="仿宋_GB2312" w:cs="Times New Roman"/>
      <w:b/>
      <w:bCs/>
      <w:position w:val="-6"/>
    </w:rPr>
  </w:style>
  <w:style w:type="paragraph" w:customStyle="1" w:styleId="1275">
    <w:name w:val="三级条标题"/>
    <w:basedOn w:val="1146"/>
    <w:next w:val="1"/>
    <w:qFormat/>
    <w:uiPriority w:val="99"/>
    <w:pPr>
      <w:tabs>
        <w:tab w:val="left" w:pos="992"/>
        <w:tab w:val="left" w:pos="2100"/>
        <w:tab w:val="clear" w:pos="851"/>
        <w:tab w:val="clear" w:pos="1680"/>
      </w:tabs>
      <w:ind w:left="2100"/>
      <w:outlineLvl w:val="4"/>
    </w:pPr>
  </w:style>
  <w:style w:type="paragraph" w:customStyle="1" w:styleId="1276">
    <w:name w:val="四级条标题"/>
    <w:basedOn w:val="1275"/>
    <w:next w:val="1"/>
    <w:qFormat/>
    <w:uiPriority w:val="99"/>
    <w:pPr>
      <w:tabs>
        <w:tab w:val="left" w:pos="1134"/>
        <w:tab w:val="left" w:pos="2520"/>
        <w:tab w:val="clear" w:pos="992"/>
        <w:tab w:val="clear" w:pos="2100"/>
      </w:tabs>
      <w:ind w:left="2520"/>
      <w:outlineLvl w:val="5"/>
    </w:pPr>
  </w:style>
  <w:style w:type="paragraph" w:customStyle="1" w:styleId="1277">
    <w:name w:val="前言、引言标题"/>
    <w:next w:val="1"/>
    <w:qFormat/>
    <w:uiPriority w:val="99"/>
    <w:pPr>
      <w:shd w:val="clear" w:color="FFFFFF" w:fill="FFFFFF"/>
      <w:tabs>
        <w:tab w:val="left" w:pos="720"/>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278">
    <w:name w:val="Char Char Char Char Char Char1 Char Char Char Char Char Char Char Char Char1 Char Char Char Char Char Char Char Char Char Char Char Char Char"/>
    <w:basedOn w:val="1"/>
    <w:qFormat/>
    <w:uiPriority w:val="0"/>
    <w:rPr>
      <w:rFonts w:cs="Times New Roman"/>
    </w:rPr>
  </w:style>
  <w:style w:type="paragraph" w:customStyle="1" w:styleId="1279">
    <w:name w:val="表第一列"/>
    <w:basedOn w:val="78"/>
    <w:qFormat/>
    <w:uiPriority w:val="0"/>
    <w:pPr>
      <w:keepNext/>
      <w:keepLines/>
      <w:widowControl w:val="0"/>
      <w:tabs>
        <w:tab w:val="left" w:pos="1727"/>
        <w:tab w:val="left" w:pos="1884"/>
        <w:tab w:val="left" w:pos="2940"/>
      </w:tabs>
      <w:adjustRightInd w:val="0"/>
      <w:snapToGrid w:val="0"/>
      <w:spacing w:after="0" w:line="0" w:lineRule="atLeast"/>
      <w:ind w:firstLine="0" w:firstLineChars="0"/>
      <w:jc w:val="center"/>
    </w:pPr>
    <w:rPr>
      <w:color w:val="000000"/>
      <w:spacing w:val="-4"/>
    </w:rPr>
  </w:style>
  <w:style w:type="paragraph" w:customStyle="1" w:styleId="1280">
    <w:name w:val="列表 4K"/>
    <w:basedOn w:val="69"/>
    <w:qFormat/>
    <w:uiPriority w:val="99"/>
    <w:pPr>
      <w:tabs>
        <w:tab w:val="left" w:pos="1000"/>
      </w:tabs>
      <w:topLinePunct w:val="0"/>
      <w:spacing w:beforeLines="50" w:afterLines="30" w:line="288" w:lineRule="auto"/>
      <w:ind w:left="1000" w:leftChars="0" w:hanging="720" w:firstLineChars="0"/>
      <w:jc w:val="both"/>
    </w:pPr>
    <w:rPr>
      <w:rFonts w:ascii="Arial" w:hAnsi="Arial" w:eastAsia="宋体"/>
      <w:color w:val="CCFFFF"/>
      <w:sz w:val="24"/>
    </w:rPr>
  </w:style>
  <w:style w:type="paragraph" w:customStyle="1" w:styleId="1281">
    <w:name w:val="Char2 Char Char Char Char Char Char Char Char Char"/>
    <w:basedOn w:val="1"/>
    <w:qFormat/>
    <w:uiPriority w:val="0"/>
    <w:pPr>
      <w:widowControl w:val="0"/>
      <w:spacing w:line="360" w:lineRule="auto"/>
      <w:ind w:firstLine="200" w:firstLineChars="200"/>
      <w:jc w:val="both"/>
    </w:pPr>
    <w:rPr>
      <w:kern w:val="2"/>
    </w:rPr>
  </w:style>
  <w:style w:type="paragraph" w:customStyle="1" w:styleId="1282">
    <w:name w:val="样式 内容部分 + 段前: 1 行 段后: 1 行"/>
    <w:basedOn w:val="1"/>
    <w:qFormat/>
    <w:uiPriority w:val="0"/>
    <w:pPr>
      <w:widowControl w:val="0"/>
      <w:tabs>
        <w:tab w:val="right" w:pos="7980"/>
      </w:tabs>
      <w:snapToGrid w:val="0"/>
      <w:spacing w:beforeLines="50" w:afterLines="100" w:line="560" w:lineRule="exact"/>
      <w:jc w:val="both"/>
    </w:pPr>
    <w:rPr>
      <w:rFonts w:ascii="黑体" w:hAnsi="Times New Roman" w:eastAsia="黑体"/>
      <w:kern w:val="36"/>
      <w:sz w:val="28"/>
      <w:szCs w:val="20"/>
    </w:rPr>
  </w:style>
  <w:style w:type="paragraph" w:customStyle="1" w:styleId="1283">
    <w:name w:val="Char Char Char1 Char11"/>
    <w:basedOn w:val="1"/>
    <w:qFormat/>
    <w:uiPriority w:val="99"/>
    <w:pPr>
      <w:widowControl w:val="0"/>
      <w:jc w:val="both"/>
    </w:pPr>
    <w:rPr>
      <w:rFonts w:ascii="Times New Roman" w:hAnsi="Times New Roman" w:cs="Times New Roman"/>
      <w:kern w:val="2"/>
      <w:sz w:val="21"/>
    </w:rPr>
  </w:style>
  <w:style w:type="character" w:customStyle="1" w:styleId="1284">
    <w:name w:val="z-窗体底端 Char2"/>
    <w:basedOn w:val="83"/>
    <w:semiHidden/>
    <w:qFormat/>
    <w:uiPriority w:val="99"/>
    <w:rPr>
      <w:rFonts w:ascii="Arial" w:hAnsi="Arial" w:cs="Arial"/>
      <w:vanish/>
      <w:sz w:val="16"/>
      <w:szCs w:val="16"/>
    </w:rPr>
  </w:style>
  <w:style w:type="paragraph" w:customStyle="1" w:styleId="1285">
    <w:name w:val="xl95"/>
    <w:basedOn w:val="1"/>
    <w:qFormat/>
    <w:uiPriority w:val="99"/>
    <w:pPr>
      <w:pBdr>
        <w:top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286">
    <w:name w:val="内蒙1"/>
    <w:basedOn w:val="3"/>
    <w:qFormat/>
    <w:uiPriority w:val="99"/>
    <w:pPr>
      <w:keepNext/>
      <w:widowControl w:val="0"/>
      <w:autoSpaceDE w:val="0"/>
      <w:autoSpaceDN w:val="0"/>
      <w:adjustRightInd w:val="0"/>
      <w:spacing w:line="480" w:lineRule="exact"/>
    </w:pPr>
    <w:rPr>
      <w:rFonts w:ascii="Times New Roman" w:hAnsi="Times New Roman"/>
      <w:color w:val="FF0000"/>
      <w:spacing w:val="20"/>
      <w:kern w:val="0"/>
      <w:szCs w:val="32"/>
    </w:rPr>
  </w:style>
  <w:style w:type="paragraph" w:customStyle="1" w:styleId="1287">
    <w:name w:val="xl43"/>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288">
    <w:name w:val="表标题5.16"/>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289">
    <w:name w:val="表7.4"/>
    <w:basedOn w:val="1"/>
    <w:qFormat/>
    <w:uiPriority w:val="99"/>
    <w:pPr>
      <w:widowControl w:val="0"/>
      <w:tabs>
        <w:tab w:val="left" w:pos="3660"/>
        <w:tab w:val="center" w:pos="4060"/>
        <w:tab w:val="right" w:pos="8261"/>
      </w:tabs>
      <w:suppressAutoHyphens/>
      <w:adjustRightInd w:val="0"/>
      <w:spacing w:beforeLines="100" w:line="0" w:lineRule="atLeast"/>
      <w:ind w:left="6480"/>
      <w:jc w:val="center"/>
    </w:pPr>
    <w:rPr>
      <w:rFonts w:ascii="黑体" w:hAnsi="Times New Roman" w:eastAsia="黑体"/>
      <w:b/>
      <w:bCs/>
      <w:spacing w:val="6"/>
      <w:szCs w:val="20"/>
    </w:rPr>
  </w:style>
  <w:style w:type="paragraph" w:customStyle="1" w:styleId="1290">
    <w:name w:val="样式 样式 燕山正文 + 首行缩进:  2 字符 + 首行缩进:  2 字符"/>
    <w:basedOn w:val="994"/>
    <w:qFormat/>
    <w:uiPriority w:val="99"/>
    <w:pPr>
      <w:jc w:val="both"/>
    </w:pPr>
  </w:style>
  <w:style w:type="paragraph" w:customStyle="1" w:styleId="1291">
    <w:name w:val="biaoq"/>
    <w:basedOn w:val="1"/>
    <w:qFormat/>
    <w:uiPriority w:val="99"/>
    <w:pPr>
      <w:spacing w:before="100" w:beforeAutospacing="1" w:after="100" w:afterAutospacing="1"/>
    </w:pPr>
    <w:rPr>
      <w:rFonts w:cs="Times New Roman"/>
      <w:b/>
      <w:color w:val="333366"/>
      <w:sz w:val="18"/>
      <w:szCs w:val="20"/>
    </w:rPr>
  </w:style>
  <w:style w:type="paragraph" w:customStyle="1" w:styleId="1292">
    <w:name w:val="Char Char Char Char Char Char1 Char Char Char Char"/>
    <w:basedOn w:val="1"/>
    <w:qFormat/>
    <w:uiPriority w:val="99"/>
    <w:pPr>
      <w:widowControl w:val="0"/>
      <w:jc w:val="both"/>
    </w:pPr>
    <w:rPr>
      <w:rFonts w:ascii="Times New Roman" w:hAnsi="Times New Roman" w:cs="Times New Roman"/>
      <w:kern w:val="2"/>
      <w:sz w:val="21"/>
    </w:rPr>
  </w:style>
  <w:style w:type="paragraph" w:customStyle="1" w:styleId="1293">
    <w:name w:val="列表 4P"/>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94">
    <w:name w:val="样式 标题 1 + 黑体 小三 非加粗"/>
    <w:basedOn w:val="3"/>
    <w:qFormat/>
    <w:uiPriority w:val="99"/>
    <w:pPr>
      <w:keepNext/>
      <w:keepLines/>
      <w:widowControl w:val="0"/>
      <w:tabs>
        <w:tab w:val="left" w:pos="432"/>
      </w:tabs>
      <w:spacing w:before="340" w:after="330" w:line="578" w:lineRule="auto"/>
      <w:ind w:left="432" w:hanging="432"/>
      <w:jc w:val="both"/>
    </w:pPr>
    <w:rPr>
      <w:rFonts w:ascii="黑体" w:hAnsi="黑体"/>
      <w:b/>
      <w:kern w:val="44"/>
      <w:sz w:val="30"/>
      <w:szCs w:val="44"/>
    </w:rPr>
  </w:style>
  <w:style w:type="paragraph" w:customStyle="1" w:styleId="1295">
    <w:name w:val="xl81"/>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96">
    <w:name w:val="Section Subtitle"/>
    <w:basedOn w:val="1022"/>
    <w:next w:val="1"/>
    <w:qFormat/>
    <w:uiPriority w:val="99"/>
    <w:pPr>
      <w:pBdr>
        <w:top w:val="none" w:color="auto" w:sz="0" w:space="0"/>
      </w:pBdr>
    </w:pPr>
    <w:rPr>
      <w:b w:val="0"/>
      <w:spacing w:val="0"/>
      <w:position w:val="6"/>
    </w:rPr>
  </w:style>
  <w:style w:type="paragraph" w:customStyle="1" w:styleId="1297">
    <w:name w:val="表3.8-1"/>
    <w:basedOn w:val="813"/>
    <w:qFormat/>
    <w:uiPriority w:val="99"/>
    <w:pPr>
      <w:tabs>
        <w:tab w:val="left" w:pos="420"/>
        <w:tab w:val="clear" w:pos="4060"/>
        <w:tab w:val="clear" w:pos="8261"/>
      </w:tabs>
    </w:pPr>
  </w:style>
  <w:style w:type="paragraph" w:customStyle="1" w:styleId="1298">
    <w:name w:val="样式2"/>
    <w:basedOn w:val="7"/>
    <w:qFormat/>
    <w:uiPriority w:val="99"/>
    <w:pPr>
      <w:widowControl w:val="0"/>
      <w:tabs>
        <w:tab w:val="left" w:pos="360"/>
      </w:tabs>
      <w:spacing w:line="360" w:lineRule="auto"/>
      <w:jc w:val="both"/>
    </w:pPr>
    <w:rPr>
      <w:rFonts w:ascii="黑体" w:hAnsi="Arial" w:eastAsia="黑体" w:cs="Times New Roman"/>
      <w:bCs/>
      <w:kern w:val="2"/>
      <w:sz w:val="28"/>
      <w:szCs w:val="28"/>
      <w:lang w:val="en-US"/>
    </w:rPr>
  </w:style>
  <w:style w:type="paragraph" w:customStyle="1" w:styleId="1299">
    <w:name w:val="Char Char Char Char Char Char"/>
    <w:basedOn w:val="1"/>
    <w:qFormat/>
    <w:uiPriority w:val="0"/>
    <w:pPr>
      <w:widowControl w:val="0"/>
      <w:jc w:val="both"/>
    </w:pPr>
    <w:rPr>
      <w:rFonts w:ascii="Times New Roman" w:hAnsi="Times New Roman" w:cs="Times New Roman"/>
      <w:kern w:val="2"/>
      <w:sz w:val="21"/>
      <w:szCs w:val="20"/>
    </w:rPr>
  </w:style>
  <w:style w:type="paragraph" w:customStyle="1" w:styleId="1300">
    <w:name w:val="样式 正文首行缩进 + 首行缩进:  2 字符1"/>
    <w:basedOn w:val="78"/>
    <w:qFormat/>
    <w:uiPriority w:val="99"/>
    <w:pPr>
      <w:widowControl w:val="0"/>
      <w:spacing w:after="0" w:line="360" w:lineRule="auto"/>
      <w:ind w:firstLine="480" w:firstLineChars="200"/>
    </w:pPr>
    <w:rPr>
      <w:rFonts w:ascii="Times New Roman" w:hAnsi="Times New Roman"/>
      <w:sz w:val="24"/>
      <w:szCs w:val="24"/>
    </w:rPr>
  </w:style>
  <w:style w:type="paragraph" w:customStyle="1" w:styleId="1301">
    <w:name w:val="表格文字中"/>
    <w:basedOn w:val="1"/>
    <w:qFormat/>
    <w:uiPriority w:val="99"/>
    <w:pPr>
      <w:widowControl w:val="0"/>
      <w:tabs>
        <w:tab w:val="left" w:pos="1727"/>
        <w:tab w:val="left" w:pos="1884"/>
      </w:tabs>
      <w:adjustRightInd w:val="0"/>
      <w:snapToGrid w:val="0"/>
      <w:jc w:val="center"/>
    </w:pPr>
    <w:rPr>
      <w:rFonts w:cs="Times New Roman"/>
      <w:color w:val="000000"/>
    </w:rPr>
  </w:style>
  <w:style w:type="paragraph" w:customStyle="1" w:styleId="1302">
    <w:name w:val="Char4 Char Char Char Char Char Char1"/>
    <w:basedOn w:val="1"/>
    <w:qFormat/>
    <w:uiPriority w:val="0"/>
    <w:pPr>
      <w:widowControl w:val="0"/>
      <w:spacing w:line="360" w:lineRule="auto"/>
      <w:ind w:firstLine="200" w:firstLineChars="200"/>
      <w:jc w:val="both"/>
    </w:pPr>
    <w:rPr>
      <w:kern w:val="2"/>
    </w:rPr>
  </w:style>
  <w:style w:type="paragraph" w:customStyle="1" w:styleId="1303">
    <w:name w:val="Body Text 22"/>
    <w:basedOn w:val="1"/>
    <w:qFormat/>
    <w:uiPriority w:val="99"/>
    <w:pPr>
      <w:widowControl w:val="0"/>
      <w:adjustRightInd w:val="0"/>
      <w:spacing w:line="440" w:lineRule="atLeast"/>
      <w:ind w:firstLine="480"/>
      <w:jc w:val="both"/>
      <w:textAlignment w:val="baseline"/>
    </w:pPr>
    <w:rPr>
      <w:rFonts w:ascii="Times New Roman" w:hAnsi="Times New Roman" w:eastAsia="仿宋_GB2312" w:cs="Times New Roman"/>
      <w:kern w:val="2"/>
      <w:szCs w:val="20"/>
    </w:rPr>
  </w:style>
  <w:style w:type="paragraph" w:customStyle="1" w:styleId="1304">
    <w:name w:val="表标题7.2"/>
    <w:basedOn w:val="1305"/>
    <w:qFormat/>
    <w:uiPriority w:val="99"/>
    <w:pPr>
      <w:tabs>
        <w:tab w:val="left" w:pos="726"/>
        <w:tab w:val="center" w:pos="4060"/>
        <w:tab w:val="right" w:pos="8261"/>
      </w:tabs>
      <w:ind w:left="2" w:firstLine="4"/>
    </w:pPr>
    <w:rPr>
      <w:szCs w:val="24"/>
    </w:rPr>
  </w:style>
  <w:style w:type="paragraph" w:customStyle="1" w:styleId="1305">
    <w:name w:val="表标题8.3"/>
    <w:basedOn w:val="526"/>
    <w:qFormat/>
    <w:uiPriority w:val="99"/>
    <w:pPr>
      <w:tabs>
        <w:tab w:val="center" w:pos="4060"/>
        <w:tab w:val="right" w:pos="8261"/>
        <w:tab w:val="clear" w:pos="360"/>
        <w:tab w:val="clear" w:pos="726"/>
      </w:tabs>
      <w:suppressAutoHyphens/>
      <w:adjustRightInd w:val="0"/>
      <w:spacing w:beforeLines="100" w:line="0" w:lineRule="atLeast"/>
    </w:pPr>
    <w:rPr>
      <w:rFonts w:ascii="黑体" w:eastAsia="黑体" w:cs="宋体"/>
      <w:b/>
      <w:bCs/>
      <w:spacing w:val="6"/>
      <w:sz w:val="24"/>
      <w:szCs w:val="20"/>
    </w:rPr>
  </w:style>
  <w:style w:type="paragraph" w:customStyle="1" w:styleId="1306">
    <w:name w:val="样式 燕山正文 + 首行缩进:  3.5 字符2"/>
    <w:basedOn w:val="759"/>
    <w:qFormat/>
    <w:uiPriority w:val="99"/>
    <w:pPr>
      <w:shd w:val="clear" w:color="auto" w:fill="auto"/>
      <w:jc w:val="both"/>
    </w:pPr>
    <w:rPr>
      <w:color w:val="000000"/>
      <w:szCs w:val="24"/>
    </w:rPr>
  </w:style>
  <w:style w:type="paragraph" w:customStyle="1" w:styleId="1307">
    <w:name w:val="表格样式1"/>
    <w:basedOn w:val="1"/>
    <w:qFormat/>
    <w:uiPriority w:val="99"/>
    <w:pPr>
      <w:widowControl w:val="0"/>
      <w:spacing w:line="360" w:lineRule="exact"/>
      <w:jc w:val="center"/>
    </w:pPr>
    <w:rPr>
      <w:rFonts w:ascii="Times New Roman" w:hAnsi="Times New Roman" w:eastAsia="仿宋_GB2312" w:cs="Times New Roman"/>
      <w:color w:val="000080"/>
      <w:kern w:val="2"/>
      <w:sz w:val="21"/>
    </w:rPr>
  </w:style>
  <w:style w:type="paragraph" w:customStyle="1" w:styleId="1308">
    <w:name w:val="font17"/>
    <w:basedOn w:val="1"/>
    <w:qFormat/>
    <w:uiPriority w:val="99"/>
    <w:pPr>
      <w:spacing w:before="100" w:beforeAutospacing="1" w:after="100" w:afterAutospacing="1"/>
    </w:pPr>
    <w:rPr>
      <w:rFonts w:ascii="Times New Roman" w:hAnsi="Times New Roman" w:eastAsia="Arial Unicode MS" w:cs="Times New Roman"/>
      <w:sz w:val="20"/>
      <w:szCs w:val="20"/>
      <w:u w:val="single"/>
    </w:rPr>
  </w:style>
  <w:style w:type="paragraph" w:customStyle="1" w:styleId="1309">
    <w:name w:val="我的正文"/>
    <w:basedOn w:val="1"/>
    <w:qFormat/>
    <w:uiPriority w:val="99"/>
    <w:pPr>
      <w:widowControl w:val="0"/>
      <w:jc w:val="both"/>
    </w:pPr>
    <w:rPr>
      <w:rFonts w:ascii="Times New Roman" w:hAnsi="Times New Roman" w:cs="Times New Roman"/>
      <w:kern w:val="2"/>
      <w:szCs w:val="20"/>
    </w:rPr>
  </w:style>
  <w:style w:type="paragraph" w:customStyle="1" w:styleId="1310">
    <w:name w:val="6表格"/>
    <w:basedOn w:val="1"/>
    <w:qFormat/>
    <w:uiPriority w:val="99"/>
    <w:pPr>
      <w:widowControl w:val="0"/>
      <w:adjustRightInd w:val="0"/>
      <w:snapToGrid w:val="0"/>
      <w:spacing w:before="60" w:line="312" w:lineRule="auto"/>
      <w:jc w:val="center"/>
    </w:pPr>
    <w:rPr>
      <w:rFonts w:ascii="Times New Roman" w:hAnsi="Times New Roman" w:cs="Times New Roman"/>
      <w:snapToGrid w:val="0"/>
      <w:sz w:val="21"/>
      <w:szCs w:val="20"/>
    </w:rPr>
  </w:style>
  <w:style w:type="paragraph" w:customStyle="1" w:styleId="1311">
    <w:name w:val="五级条标题"/>
    <w:basedOn w:val="1276"/>
    <w:next w:val="1"/>
    <w:qFormat/>
    <w:uiPriority w:val="99"/>
    <w:pPr>
      <w:tabs>
        <w:tab w:val="left" w:pos="1276"/>
        <w:tab w:val="left" w:pos="2940"/>
        <w:tab w:val="clear" w:pos="1134"/>
        <w:tab w:val="clear" w:pos="1260"/>
        <w:tab w:val="clear" w:pos="2520"/>
      </w:tabs>
      <w:ind w:left="2940"/>
      <w:outlineLvl w:val="6"/>
    </w:pPr>
  </w:style>
  <w:style w:type="paragraph" w:customStyle="1" w:styleId="1312">
    <w:name w:val="CM59"/>
    <w:basedOn w:val="102"/>
    <w:next w:val="102"/>
    <w:qFormat/>
    <w:uiPriority w:val="99"/>
    <w:pPr>
      <w:autoSpaceDE w:val="0"/>
      <w:autoSpaceDN w:val="0"/>
      <w:spacing w:after="498"/>
    </w:pPr>
    <w:rPr>
      <w:color w:val="auto"/>
    </w:rPr>
  </w:style>
  <w:style w:type="paragraph" w:customStyle="1" w:styleId="1313">
    <w:name w:val="列表 5L"/>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314">
    <w:name w:val="表内序号"/>
    <w:basedOn w:val="1"/>
    <w:qFormat/>
    <w:uiPriority w:val="99"/>
    <w:pPr>
      <w:tabs>
        <w:tab w:val="left" w:pos="425"/>
      </w:tabs>
      <w:adjustRightInd w:val="0"/>
      <w:snapToGrid w:val="0"/>
      <w:spacing w:line="360" w:lineRule="auto"/>
      <w:ind w:left="425" w:hanging="425"/>
    </w:pPr>
    <w:rPr>
      <w:rFonts w:ascii="Times New Roman" w:hAnsi="Times New Roman" w:cs="Times New Roman"/>
      <w:szCs w:val="20"/>
    </w:rPr>
  </w:style>
  <w:style w:type="paragraph" w:customStyle="1" w:styleId="1315">
    <w:name w:val="样式 标题 41.1.1.1标题 4.1.1.1.1标题 4 Char款1.1.1.1 Char标4段1.1.1..."/>
    <w:basedOn w:val="7"/>
    <w:qFormat/>
    <w:uiPriority w:val="99"/>
    <w:pPr>
      <w:widowControl w:val="0"/>
      <w:tabs>
        <w:tab w:val="left" w:pos="0"/>
        <w:tab w:val="left" w:pos="360"/>
      </w:tabs>
      <w:spacing w:before="120" w:after="120" w:line="312" w:lineRule="auto"/>
      <w:ind w:left="284" w:hanging="284"/>
      <w:jc w:val="both"/>
    </w:pPr>
    <w:rPr>
      <w:rFonts w:ascii="Arial" w:hAnsi="Arial" w:eastAsia="黑体"/>
      <w:b/>
      <w:bCs/>
      <w:kern w:val="2"/>
      <w:lang w:val="en-US"/>
    </w:rPr>
  </w:style>
  <w:style w:type="paragraph" w:customStyle="1" w:styleId="1316">
    <w:name w:val="样式6"/>
    <w:basedOn w:val="1"/>
    <w:link w:val="1317"/>
    <w:qFormat/>
    <w:uiPriority w:val="99"/>
    <w:pPr>
      <w:widowControl w:val="0"/>
      <w:adjustRightInd w:val="0"/>
      <w:snapToGrid w:val="0"/>
      <w:spacing w:line="360" w:lineRule="auto"/>
      <w:ind w:firstLine="200" w:firstLineChars="200"/>
      <w:textAlignment w:val="baseline"/>
    </w:pPr>
    <w:rPr>
      <w:rFonts w:hAnsi="Times New Roman" w:cs="Times New Roman"/>
    </w:rPr>
  </w:style>
  <w:style w:type="character" w:customStyle="1" w:styleId="1317">
    <w:name w:val="样式6 Char"/>
    <w:link w:val="1316"/>
    <w:qFormat/>
    <w:uiPriority w:val="99"/>
    <w:rPr>
      <w:rFonts w:ascii="宋体"/>
      <w:sz w:val="24"/>
      <w:szCs w:val="24"/>
    </w:rPr>
  </w:style>
  <w:style w:type="paragraph" w:customStyle="1" w:styleId="1318">
    <w:name w:val="Char4 Char Char Char Char Char Char12"/>
    <w:basedOn w:val="1"/>
    <w:qFormat/>
    <w:uiPriority w:val="99"/>
    <w:pPr>
      <w:widowControl w:val="0"/>
      <w:spacing w:line="360" w:lineRule="auto"/>
      <w:ind w:firstLine="200" w:firstLineChars="200"/>
      <w:jc w:val="both"/>
    </w:pPr>
    <w:rPr>
      <w:kern w:val="2"/>
    </w:rPr>
  </w:style>
  <w:style w:type="paragraph" w:customStyle="1" w:styleId="1319">
    <w:name w:val="源代码"/>
    <w:basedOn w:val="1"/>
    <w:qFormat/>
    <w:uiPriority w:val="0"/>
    <w:pPr>
      <w:kinsoku w:val="0"/>
      <w:overflowPunct w:val="0"/>
      <w:autoSpaceDE w:val="0"/>
      <w:autoSpaceDN w:val="0"/>
      <w:adjustRightInd w:val="0"/>
      <w:snapToGrid w:val="0"/>
    </w:pPr>
    <w:rPr>
      <w:rFonts w:ascii="Courier New" w:hAnsi="Courier New" w:cs="Times New Roman"/>
      <w:b/>
      <w:snapToGrid w:val="0"/>
    </w:rPr>
  </w:style>
  <w:style w:type="paragraph" w:customStyle="1" w:styleId="1320">
    <w:name w:val="德胜二级标题"/>
    <w:basedOn w:val="1"/>
    <w:qFormat/>
    <w:uiPriority w:val="99"/>
    <w:pPr>
      <w:keepNext/>
      <w:keepLines/>
      <w:widowControl w:val="0"/>
      <w:adjustRightInd w:val="0"/>
      <w:snapToGrid w:val="0"/>
      <w:spacing w:line="360" w:lineRule="auto"/>
      <w:outlineLvl w:val="1"/>
    </w:pPr>
    <w:rPr>
      <w:rFonts w:ascii="Times New Roman" w:hAnsi="Times New Roman" w:cs="Times New Roman"/>
      <w:b/>
      <w:bCs/>
      <w:snapToGrid w:val="0"/>
      <w:color w:val="0000FF"/>
      <w:sz w:val="28"/>
      <w:szCs w:val="28"/>
    </w:rPr>
  </w:style>
  <w:style w:type="paragraph" w:customStyle="1" w:styleId="1321">
    <w:name w:val="City/State"/>
    <w:basedOn w:val="31"/>
    <w:next w:val="31"/>
    <w:qFormat/>
    <w:uiPriority w:val="99"/>
    <w:pPr>
      <w:keepNext/>
      <w:spacing w:after="220" w:line="220" w:lineRule="atLeast"/>
      <w:ind w:right="-360"/>
    </w:pPr>
    <w:rPr>
      <w:rFonts w:ascii="Times New Roman" w:hAnsi="Times New Roman"/>
      <w:color w:val="auto"/>
      <w:kern w:val="0"/>
      <w:sz w:val="20"/>
      <w:szCs w:val="20"/>
    </w:rPr>
  </w:style>
  <w:style w:type="paragraph" w:customStyle="1" w:styleId="1322">
    <w:name w:val="BG1"/>
    <w:basedOn w:val="1"/>
    <w:qFormat/>
    <w:uiPriority w:val="99"/>
    <w:pPr>
      <w:widowControl w:val="0"/>
      <w:adjustRightInd w:val="0"/>
      <w:jc w:val="center"/>
    </w:pPr>
    <w:rPr>
      <w:rFonts w:ascii="Times New Roman" w:hAnsi="Times New Roman" w:cs="Times New Roman"/>
      <w:spacing w:val="20"/>
      <w:kern w:val="2"/>
      <w:sz w:val="21"/>
      <w:szCs w:val="20"/>
    </w:rPr>
  </w:style>
  <w:style w:type="paragraph" w:customStyle="1" w:styleId="1323">
    <w:name w:val="Char Char Char Char Char Char Char Char Char Char Char Char Char Char Char Char Char1"/>
    <w:basedOn w:val="1"/>
    <w:qFormat/>
    <w:uiPriority w:val="99"/>
    <w:pPr>
      <w:widowControl w:val="0"/>
      <w:jc w:val="both"/>
    </w:pPr>
    <w:rPr>
      <w:rFonts w:ascii="Times New Roman" w:hAnsi="Times New Roman" w:eastAsia="仿宋_GB2312" w:cs="Times New Roman"/>
      <w:kern w:val="2"/>
      <w:sz w:val="21"/>
      <w:szCs w:val="21"/>
    </w:rPr>
  </w:style>
  <w:style w:type="paragraph" w:customStyle="1" w:styleId="1324">
    <w:name w:val="列表 3E"/>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325">
    <w:name w:val="规划正文样式"/>
    <w:basedOn w:val="1"/>
    <w:qFormat/>
    <w:uiPriority w:val="99"/>
    <w:pPr>
      <w:widowControl w:val="0"/>
      <w:spacing w:line="400" w:lineRule="exact"/>
      <w:ind w:firstLine="480" w:firstLineChars="200"/>
      <w:jc w:val="both"/>
    </w:pPr>
    <w:rPr>
      <w:rFonts w:ascii="Times New Roman" w:hAnsi="Times New Roman" w:cs="Times New Roman"/>
      <w:kern w:val="2"/>
    </w:rPr>
  </w:style>
  <w:style w:type="paragraph" w:customStyle="1" w:styleId="1326">
    <w:name w:val="xl28"/>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top"/>
    </w:pPr>
    <w:rPr>
      <w:rFonts w:cs="Times New Roman"/>
      <w:szCs w:val="20"/>
    </w:rPr>
  </w:style>
  <w:style w:type="paragraph" w:customStyle="1" w:styleId="1327">
    <w:name w:val="图题7"/>
    <w:basedOn w:val="1"/>
    <w:qFormat/>
    <w:uiPriority w:val="99"/>
    <w:pPr>
      <w:widowControl w:val="0"/>
      <w:adjustRightInd w:val="0"/>
      <w:snapToGrid w:val="0"/>
      <w:spacing w:line="360" w:lineRule="auto"/>
      <w:jc w:val="center"/>
    </w:pPr>
    <w:rPr>
      <w:rFonts w:ascii="Times New Roman" w:hAnsi="Times New Roman" w:eastAsia="仿宋_GB2312" w:cs="Times New Roman"/>
      <w:b/>
      <w:snapToGrid w:val="0"/>
    </w:rPr>
  </w:style>
  <w:style w:type="paragraph" w:customStyle="1" w:styleId="1328">
    <w:name w:val="Address 2"/>
    <w:basedOn w:val="1"/>
    <w:qFormat/>
    <w:uiPriority w:val="99"/>
    <w:pPr>
      <w:spacing w:line="200" w:lineRule="atLeast"/>
    </w:pPr>
    <w:rPr>
      <w:rFonts w:ascii="Times New Roman" w:hAnsi="Times New Roman" w:cs="Times New Roman"/>
      <w:sz w:val="16"/>
      <w:szCs w:val="20"/>
    </w:rPr>
  </w:style>
  <w:style w:type="paragraph" w:customStyle="1" w:styleId="1329">
    <w:name w:val="xl107"/>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330">
    <w:name w:val="列表 3B"/>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331">
    <w:name w:val="样式 (符号) 宋体 首行缩进:  2 字符1"/>
    <w:basedOn w:val="1"/>
    <w:qFormat/>
    <w:uiPriority w:val="99"/>
    <w:pPr>
      <w:widowControl w:val="0"/>
      <w:ind w:firstLine="567" w:firstLineChars="200"/>
      <w:jc w:val="both"/>
    </w:pPr>
    <w:rPr>
      <w:kern w:val="2"/>
      <w:sz w:val="27"/>
      <w:szCs w:val="20"/>
    </w:rPr>
  </w:style>
  <w:style w:type="paragraph" w:customStyle="1" w:styleId="1332">
    <w:name w:val="表中文字 + 居中"/>
    <w:basedOn w:val="1020"/>
    <w:qFormat/>
    <w:uiPriority w:val="99"/>
  </w:style>
  <w:style w:type="paragraph" w:customStyle="1" w:styleId="1333">
    <w:name w:val="列表 2K"/>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334">
    <w:name w:val="Objective"/>
    <w:basedOn w:val="1"/>
    <w:next w:val="31"/>
    <w:qFormat/>
    <w:uiPriority w:val="99"/>
    <w:pPr>
      <w:spacing w:before="220" w:after="220" w:line="220" w:lineRule="atLeast"/>
    </w:pPr>
    <w:rPr>
      <w:rFonts w:ascii="Times New Roman" w:hAnsi="Times New Roman" w:cs="Times New Roman"/>
      <w:sz w:val="20"/>
      <w:szCs w:val="20"/>
    </w:rPr>
  </w:style>
  <w:style w:type="paragraph" w:customStyle="1" w:styleId="1335">
    <w:name w:val="居中"/>
    <w:basedOn w:val="1"/>
    <w:qFormat/>
    <w:uiPriority w:val="99"/>
    <w:pPr>
      <w:widowControl w:val="0"/>
      <w:spacing w:before="40" w:after="40" w:line="480" w:lineRule="exact"/>
      <w:jc w:val="center"/>
    </w:pPr>
    <w:rPr>
      <w:rFonts w:ascii="Arial" w:hAnsi="Arial" w:cs="Times New Roman"/>
      <w:kern w:val="2"/>
      <w:szCs w:val="20"/>
    </w:rPr>
  </w:style>
  <w:style w:type="paragraph" w:customStyle="1" w:styleId="1336">
    <w:name w:val="CM15"/>
    <w:basedOn w:val="1"/>
    <w:next w:val="1"/>
    <w:qFormat/>
    <w:uiPriority w:val="99"/>
    <w:pPr>
      <w:widowControl w:val="0"/>
      <w:autoSpaceDE w:val="0"/>
      <w:autoSpaceDN w:val="0"/>
      <w:adjustRightInd w:val="0"/>
      <w:spacing w:line="456" w:lineRule="atLeast"/>
    </w:pPr>
    <w:rPr>
      <w:rFonts w:hAnsi="Times New Roman"/>
    </w:rPr>
  </w:style>
  <w:style w:type="paragraph" w:customStyle="1" w:styleId="1337">
    <w:name w:val="样式 标题 2 + Times New Roman"/>
    <w:basedOn w:val="4"/>
    <w:qFormat/>
    <w:uiPriority w:val="99"/>
    <w:pPr>
      <w:spacing w:before="260" w:after="260" w:line="415" w:lineRule="auto"/>
      <w:ind w:firstLine="538" w:firstLineChars="192"/>
    </w:pPr>
    <w:rPr>
      <w:rFonts w:ascii="Times New Roman" w:hAnsi="Times New Roman"/>
      <w:b/>
      <w:bCs w:val="0"/>
      <w:sz w:val="32"/>
    </w:rPr>
  </w:style>
  <w:style w:type="paragraph" w:customStyle="1" w:styleId="1338">
    <w:name w:val="表标"/>
    <w:next w:val="1"/>
    <w:link w:val="1339"/>
    <w:qFormat/>
    <w:uiPriority w:val="99"/>
    <w:pPr>
      <w:widowControl w:val="0"/>
      <w:tabs>
        <w:tab w:val="left" w:pos="280"/>
      </w:tabs>
      <w:adjustRightInd w:val="0"/>
      <w:snapToGrid w:val="0"/>
      <w:jc w:val="center"/>
    </w:pPr>
    <w:rPr>
      <w:rFonts w:ascii="Times New Roman" w:hAnsi="Times New Roman" w:eastAsia="宋体" w:cs="Times New Roman"/>
      <w:b/>
      <w:kern w:val="2"/>
      <w:sz w:val="24"/>
      <w:szCs w:val="24"/>
      <w:lang w:val="en-US" w:eastAsia="zh-CN" w:bidi="ar-SA"/>
    </w:rPr>
  </w:style>
  <w:style w:type="character" w:customStyle="1" w:styleId="1339">
    <w:name w:val="表标 Char Char"/>
    <w:link w:val="1338"/>
    <w:qFormat/>
    <w:uiPriority w:val="99"/>
    <w:rPr>
      <w:b/>
      <w:kern w:val="2"/>
      <w:sz w:val="24"/>
      <w:szCs w:val="24"/>
    </w:rPr>
  </w:style>
  <w:style w:type="paragraph" w:customStyle="1" w:styleId="1340">
    <w:name w:val="pl正文"/>
    <w:basedOn w:val="1"/>
    <w:qFormat/>
    <w:uiPriority w:val="99"/>
    <w:pPr>
      <w:widowControl w:val="0"/>
      <w:snapToGrid w:val="0"/>
      <w:spacing w:line="360" w:lineRule="auto"/>
      <w:ind w:firstLine="492"/>
      <w:jc w:val="both"/>
    </w:pPr>
    <w:rPr>
      <w:rFonts w:cs="Times New Roman"/>
      <w:color w:val="000000"/>
      <w:spacing w:val="6"/>
      <w:kern w:val="2"/>
      <w:sz w:val="28"/>
    </w:rPr>
  </w:style>
  <w:style w:type="paragraph" w:customStyle="1" w:styleId="1341">
    <w:name w:val="样式 (西文) Times New Roman 五号 居中"/>
    <w:basedOn w:val="1"/>
    <w:qFormat/>
    <w:uiPriority w:val="0"/>
    <w:pPr>
      <w:widowControl w:val="0"/>
      <w:jc w:val="center"/>
    </w:pPr>
    <w:rPr>
      <w:rFonts w:ascii="Times New Roman" w:hAnsi="Times New Roman"/>
      <w:sz w:val="21"/>
      <w:szCs w:val="20"/>
    </w:rPr>
  </w:style>
  <w:style w:type="paragraph" w:customStyle="1" w:styleId="1342">
    <w:name w:val="样式 正文首行缩进 + 黑体 四号 黑色"/>
    <w:basedOn w:val="1"/>
    <w:next w:val="1"/>
    <w:qFormat/>
    <w:uiPriority w:val="99"/>
    <w:pPr>
      <w:widowControl w:val="0"/>
      <w:tabs>
        <w:tab w:val="left" w:pos="2514"/>
      </w:tabs>
      <w:spacing w:line="360" w:lineRule="auto"/>
      <w:ind w:left="864" w:right="-132" w:rightChars="-47" w:hanging="864"/>
      <w:jc w:val="both"/>
      <w:outlineLvl w:val="3"/>
    </w:pPr>
    <w:rPr>
      <w:rFonts w:ascii="黑体" w:hAnsi="Arial" w:eastAsia="黑体"/>
      <w:color w:val="000000"/>
      <w:kern w:val="2"/>
      <w:sz w:val="28"/>
      <w:szCs w:val="20"/>
    </w:rPr>
  </w:style>
  <w:style w:type="paragraph" w:customStyle="1" w:styleId="1343">
    <w:name w:val="xl40"/>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344">
    <w:name w:val="日期1"/>
    <w:basedOn w:val="1"/>
    <w:next w:val="1"/>
    <w:qFormat/>
    <w:uiPriority w:val="99"/>
    <w:pPr>
      <w:widowControl w:val="0"/>
      <w:adjustRightInd w:val="0"/>
      <w:spacing w:line="360" w:lineRule="atLeast"/>
      <w:jc w:val="both"/>
      <w:textAlignment w:val="baseline"/>
    </w:pPr>
    <w:rPr>
      <w:rFonts w:hAnsi="Times New Roman" w:cs="Times New Roman"/>
      <w:spacing w:val="20"/>
      <w:sz w:val="28"/>
      <w:szCs w:val="20"/>
    </w:rPr>
  </w:style>
  <w:style w:type="paragraph" w:customStyle="1" w:styleId="1345">
    <w:name w:val="xl88"/>
    <w:basedOn w:val="1"/>
    <w:qFormat/>
    <w:uiPriority w:val="99"/>
    <w:pPr>
      <w:pBdr>
        <w:top w:val="single" w:color="auto" w:sz="4" w:space="0"/>
        <w:left w:val="single" w:color="auto" w:sz="8" w:space="0"/>
        <w:bottom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346">
    <w:name w:val="Char Char Char"/>
    <w:basedOn w:val="1"/>
    <w:qFormat/>
    <w:uiPriority w:val="0"/>
    <w:pPr>
      <w:widowControl w:val="0"/>
      <w:jc w:val="both"/>
    </w:pPr>
    <w:rPr>
      <w:rFonts w:ascii="Times New Roman" w:hAnsi="Times New Roman" w:cs="Times New Roman"/>
      <w:kern w:val="2"/>
    </w:rPr>
  </w:style>
  <w:style w:type="paragraph" w:customStyle="1" w:styleId="1347">
    <w:name w:val="!Texte courant"/>
    <w:qFormat/>
    <w:uiPriority w:val="99"/>
    <w:pPr>
      <w:spacing w:before="120" w:line="280" w:lineRule="atLeast"/>
      <w:jc w:val="both"/>
    </w:pPr>
    <w:rPr>
      <w:rFonts w:ascii="Times New Roman" w:hAnsi="Times New Roman" w:eastAsia="宋体" w:cs="Times New Roman"/>
      <w:sz w:val="24"/>
      <w:lang w:val="fr-FR" w:eastAsia="en-US" w:bidi="ar-SA"/>
    </w:rPr>
  </w:style>
  <w:style w:type="paragraph" w:customStyle="1" w:styleId="1348">
    <w:name w:val="xl31"/>
    <w:basedOn w:val="1"/>
    <w:qFormat/>
    <w:uiPriority w:val="99"/>
    <w:pPr>
      <w:spacing w:before="100" w:beforeAutospacing="1" w:after="100" w:afterAutospacing="1"/>
      <w:jc w:val="center"/>
    </w:pPr>
    <w:rPr>
      <w:rFonts w:ascii="Times New Roman" w:hAnsi="Times New Roman" w:cs="Times New Roman"/>
    </w:rPr>
  </w:style>
  <w:style w:type="paragraph" w:customStyle="1" w:styleId="1349">
    <w:name w:val="章(一级)"/>
    <w:basedOn w:val="3"/>
    <w:next w:val="923"/>
    <w:qFormat/>
    <w:uiPriority w:val="99"/>
    <w:pPr>
      <w:widowControl w:val="0"/>
      <w:tabs>
        <w:tab w:val="left" w:pos="360"/>
        <w:tab w:val="left" w:pos="915"/>
      </w:tabs>
      <w:adjustRightInd w:val="0"/>
      <w:spacing w:beforeLines="100" w:afterLines="100" w:line="700" w:lineRule="exact"/>
      <w:ind w:left="915" w:hanging="435"/>
      <w:textAlignment w:val="baseline"/>
      <w:outlineLvl w:val="9"/>
    </w:pPr>
    <w:rPr>
      <w:rFonts w:ascii="宋体" w:hAnsi="宋体" w:eastAsia="宋体"/>
      <w:kern w:val="24"/>
      <w:sz w:val="24"/>
      <w:szCs w:val="20"/>
    </w:rPr>
  </w:style>
  <w:style w:type="paragraph" w:customStyle="1" w:styleId="1350">
    <w:name w:val="表题74"/>
    <w:basedOn w:val="32"/>
    <w:qFormat/>
    <w:uiPriority w:val="99"/>
    <w:pPr>
      <w:widowControl w:val="0"/>
      <w:tabs>
        <w:tab w:val="left" w:pos="4305"/>
      </w:tabs>
      <w:adjustRightInd w:val="0"/>
      <w:snapToGrid w:val="0"/>
      <w:spacing w:after="0"/>
      <w:ind w:left="0" w:leftChars="0"/>
      <w:jc w:val="center"/>
    </w:pPr>
    <w:rPr>
      <w:rFonts w:ascii="黑体" w:hAnsi="宋体" w:eastAsia="黑体"/>
      <w:spacing w:val="0"/>
      <w:sz w:val="24"/>
      <w:szCs w:val="24"/>
    </w:rPr>
  </w:style>
  <w:style w:type="paragraph" w:customStyle="1" w:styleId="1351">
    <w:name w:val="xl85"/>
    <w:basedOn w:val="1"/>
    <w:qFormat/>
    <w:uiPriority w:val="99"/>
    <w:pPr>
      <w:spacing w:before="100" w:beforeAutospacing="1" w:after="100" w:afterAutospacing="1"/>
      <w:textAlignment w:val="center"/>
    </w:pPr>
    <w:rPr>
      <w:rFonts w:ascii="Arial Unicode MS" w:hAnsi="Arial Unicode MS" w:eastAsia="Arial Unicode MS" w:cs="Arial Unicode MS"/>
      <w:sz w:val="20"/>
      <w:szCs w:val="20"/>
    </w:rPr>
  </w:style>
  <w:style w:type="paragraph" w:customStyle="1" w:styleId="1352">
    <w:name w:val="brdrw15brsp20 tqctx4153t"/>
    <w:qFormat/>
    <w:uiPriority w:val="99"/>
    <w:pPr>
      <w:widowControl w:val="0"/>
      <w:pBdr>
        <w:bottom w:val="single" w:color="auto" w:sz="6" w:space="0"/>
      </w:pBdr>
      <w:adjustRightInd w:val="0"/>
      <w:spacing w:line="312" w:lineRule="atLeast"/>
      <w:jc w:val="center"/>
    </w:pPr>
    <w:rPr>
      <w:rFonts w:ascii="Times New Roman" w:hAnsi="Times New Roman" w:eastAsia="宋体" w:cs="Times New Roman"/>
      <w:sz w:val="21"/>
      <w:lang w:val="en-US" w:eastAsia="zh-CN" w:bidi="ar-SA"/>
    </w:rPr>
  </w:style>
  <w:style w:type="paragraph" w:customStyle="1" w:styleId="1353">
    <w:name w:val="Char Char10"/>
    <w:basedOn w:val="1"/>
    <w:qFormat/>
    <w:uiPriority w:val="0"/>
    <w:pPr>
      <w:widowControl w:val="0"/>
      <w:jc w:val="both"/>
    </w:pPr>
    <w:rPr>
      <w:rFonts w:ascii="Times New Roman" w:hAnsi="Times New Roman" w:cs="Times New Roman"/>
      <w:kern w:val="2"/>
      <w:sz w:val="21"/>
    </w:rPr>
  </w:style>
  <w:style w:type="paragraph" w:customStyle="1" w:styleId="1354">
    <w:name w:val="2 Char Char Char"/>
    <w:basedOn w:val="1"/>
    <w:qFormat/>
    <w:uiPriority w:val="0"/>
    <w:pPr>
      <w:widowControl w:val="0"/>
      <w:jc w:val="both"/>
    </w:pPr>
    <w:rPr>
      <w:rFonts w:ascii="Times New Roman" w:hAnsi="Times New Roman" w:cs="Times New Roman"/>
      <w:kern w:val="2"/>
      <w:sz w:val="21"/>
    </w:rPr>
  </w:style>
  <w:style w:type="paragraph" w:customStyle="1" w:styleId="1355">
    <w:name w:val="表格内容"/>
    <w:basedOn w:val="1"/>
    <w:qFormat/>
    <w:uiPriority w:val="0"/>
    <w:pPr>
      <w:widowControl w:val="0"/>
      <w:tabs>
        <w:tab w:val="left" w:pos="1800"/>
        <w:tab w:val="left" w:pos="2805"/>
      </w:tabs>
      <w:overflowPunct w:val="0"/>
      <w:adjustRightInd w:val="0"/>
      <w:snapToGrid w:val="0"/>
      <w:spacing w:before="40" w:after="60" w:line="200" w:lineRule="atLeast"/>
      <w:ind w:firstLine="200" w:firstLineChars="200"/>
      <w:jc w:val="both"/>
      <w:textAlignment w:val="baseline"/>
    </w:pPr>
    <w:rPr>
      <w:rFonts w:ascii="Arial" w:hAnsi="Arial" w:eastAsia="仿宋_GB2312" w:cs="Arial"/>
    </w:rPr>
  </w:style>
  <w:style w:type="paragraph" w:customStyle="1" w:styleId="1356">
    <w:name w:val="MTDisplayEquation"/>
    <w:basedOn w:val="1"/>
    <w:next w:val="1"/>
    <w:qFormat/>
    <w:uiPriority w:val="0"/>
    <w:pPr>
      <w:widowControl w:val="0"/>
      <w:tabs>
        <w:tab w:val="center" w:pos="4080"/>
        <w:tab w:val="right" w:pos="8160"/>
      </w:tabs>
      <w:spacing w:line="360" w:lineRule="auto"/>
      <w:ind w:firstLine="480" w:firstLineChars="200"/>
      <w:jc w:val="both"/>
    </w:pPr>
    <w:rPr>
      <w:rFonts w:ascii="Times New Roman" w:hAnsi="Times New Roman" w:cs="Times New Roman"/>
      <w:kern w:val="2"/>
    </w:rPr>
  </w:style>
  <w:style w:type="paragraph" w:customStyle="1" w:styleId="1357">
    <w:name w:val="表标题3.7"/>
    <w:basedOn w:val="1"/>
    <w:qFormat/>
    <w:uiPriority w:val="99"/>
    <w:pPr>
      <w:widowControl w:val="0"/>
      <w:tabs>
        <w:tab w:val="left" w:pos="2444"/>
        <w:tab w:val="center" w:pos="4060"/>
        <w:tab w:val="right" w:pos="8261"/>
      </w:tabs>
      <w:suppressAutoHyphens/>
      <w:adjustRightInd w:val="0"/>
      <w:spacing w:before="240" w:line="0" w:lineRule="atLeast"/>
      <w:ind w:left="1720" w:firstLine="4"/>
      <w:jc w:val="both"/>
    </w:pPr>
    <w:rPr>
      <w:rFonts w:ascii="黑体" w:hAnsi="Times New Roman" w:eastAsia="黑体" w:cs="Times New Roman"/>
      <w:b/>
      <w:spacing w:val="6"/>
      <w:sz w:val="26"/>
      <w:szCs w:val="26"/>
    </w:rPr>
  </w:style>
  <w:style w:type="paragraph" w:customStyle="1" w:styleId="1358">
    <w:name w:val="页号"/>
    <w:basedOn w:val="50"/>
    <w:qFormat/>
    <w:uiPriority w:val="99"/>
    <w:pPr>
      <w:widowControl w:val="0"/>
      <w:tabs>
        <w:tab w:val="center" w:pos="4320"/>
        <w:tab w:val="right" w:pos="8640"/>
        <w:tab w:val="clear" w:pos="4153"/>
        <w:tab w:val="clear" w:pos="8306"/>
      </w:tabs>
      <w:adjustRightInd w:val="0"/>
      <w:jc w:val="center"/>
      <w:textAlignment w:val="baseline"/>
    </w:pPr>
    <w:rPr>
      <w:rFonts w:ascii="宋体" w:hAnsi="Arial"/>
      <w:spacing w:val="3"/>
      <w:kern w:val="24"/>
      <w:sz w:val="24"/>
      <w:szCs w:val="20"/>
    </w:rPr>
  </w:style>
  <w:style w:type="paragraph" w:customStyle="1" w:styleId="1359">
    <w:name w:val="reader-word-layer"/>
    <w:basedOn w:val="1"/>
    <w:qFormat/>
    <w:uiPriority w:val="0"/>
    <w:pPr>
      <w:spacing w:before="100" w:beforeAutospacing="1" w:after="100" w:afterAutospacing="1"/>
    </w:pPr>
  </w:style>
  <w:style w:type="paragraph" w:customStyle="1" w:styleId="1360">
    <w:name w:val="Char1 Char Char Char Char Char1 Char2"/>
    <w:basedOn w:val="1"/>
    <w:qFormat/>
    <w:uiPriority w:val="99"/>
    <w:pPr>
      <w:widowControl w:val="0"/>
      <w:jc w:val="both"/>
    </w:pPr>
    <w:rPr>
      <w:rFonts w:ascii="Tahoma" w:hAnsi="Tahoma" w:cs="Times New Roman"/>
      <w:kern w:val="2"/>
      <w:szCs w:val="20"/>
    </w:rPr>
  </w:style>
  <w:style w:type="paragraph" w:customStyle="1" w:styleId="1361">
    <w:name w:val="页脚1"/>
    <w:basedOn w:val="160"/>
    <w:qFormat/>
    <w:uiPriority w:val="99"/>
    <w:pPr>
      <w:tabs>
        <w:tab w:val="center" w:pos="4153"/>
        <w:tab w:val="right" w:pos="8306"/>
      </w:tabs>
      <w:spacing w:line="240" w:lineRule="atLeast"/>
    </w:pPr>
    <w:rPr>
      <w:rFonts w:eastAsia="Times New Roman"/>
      <w:sz w:val="18"/>
      <w:szCs w:val="22"/>
    </w:rPr>
  </w:style>
  <w:style w:type="paragraph" w:customStyle="1" w:styleId="1362">
    <w:name w:val="正文21"/>
    <w:basedOn w:val="1"/>
    <w:next w:val="1"/>
    <w:qFormat/>
    <w:uiPriority w:val="99"/>
    <w:pPr>
      <w:widowControl w:val="0"/>
      <w:spacing w:line="360" w:lineRule="auto"/>
      <w:jc w:val="both"/>
    </w:pPr>
    <w:rPr>
      <w:rFonts w:ascii="仿宋_GB2312" w:hAnsi="Times New Roman" w:eastAsia="仿宋_GB2312" w:cs="Times New Roman"/>
      <w:kern w:val="2"/>
      <w:sz w:val="28"/>
      <w:szCs w:val="28"/>
    </w:rPr>
  </w:style>
  <w:style w:type="paragraph" w:customStyle="1" w:styleId="1363">
    <w:name w:val="基准标题"/>
    <w:basedOn w:val="31"/>
    <w:next w:val="31"/>
    <w:qFormat/>
    <w:uiPriority w:val="99"/>
    <w:pPr>
      <w:keepNext/>
      <w:keepLines/>
      <w:spacing w:line="280" w:lineRule="exact"/>
    </w:pPr>
    <w:rPr>
      <w:rFonts w:ascii="Arial Black" w:hAnsi="Arial Black"/>
      <w:color w:val="auto"/>
      <w:spacing w:val="-10"/>
      <w:kern w:val="28"/>
      <w:sz w:val="30"/>
      <w:szCs w:val="20"/>
    </w:rPr>
  </w:style>
  <w:style w:type="paragraph" w:customStyle="1" w:styleId="1364">
    <w:name w:val="样式 表内5 + 首行缩进:  2 字符"/>
    <w:basedOn w:val="996"/>
    <w:qFormat/>
    <w:uiPriority w:val="99"/>
    <w:pPr>
      <w:ind w:firstLine="420"/>
    </w:pPr>
    <w:rPr>
      <w:szCs w:val="20"/>
    </w:rPr>
  </w:style>
  <w:style w:type="paragraph" w:customStyle="1" w:styleId="1365">
    <w:name w:val="标题16.1.1.1"/>
    <w:basedOn w:val="7"/>
    <w:qFormat/>
    <w:uiPriority w:val="99"/>
    <w:pPr>
      <w:widowControl w:val="0"/>
      <w:tabs>
        <w:tab w:val="left" w:pos="360"/>
        <w:tab w:val="left" w:pos="1680"/>
      </w:tabs>
      <w:spacing w:before="120" w:after="120" w:line="312" w:lineRule="auto"/>
      <w:ind w:left="1680" w:hanging="420"/>
      <w:jc w:val="both"/>
    </w:pPr>
    <w:rPr>
      <w:rFonts w:ascii="Arial" w:hAnsi="Arial" w:eastAsia="黑体" w:cs="Times New Roman"/>
      <w:b/>
      <w:bCs/>
      <w:kern w:val="2"/>
      <w:szCs w:val="24"/>
      <w:lang w:val="en-US"/>
    </w:rPr>
  </w:style>
  <w:style w:type="paragraph" w:customStyle="1" w:styleId="1366">
    <w:name w:val="xl79"/>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367">
    <w:name w:val="CM138"/>
    <w:basedOn w:val="1"/>
    <w:next w:val="1"/>
    <w:qFormat/>
    <w:uiPriority w:val="99"/>
    <w:pPr>
      <w:widowControl w:val="0"/>
      <w:autoSpaceDE w:val="0"/>
      <w:autoSpaceDN w:val="0"/>
      <w:adjustRightInd w:val="0"/>
      <w:spacing w:after="130"/>
    </w:pPr>
    <w:rPr>
      <w:rFonts w:hAnsi="Times New Roman"/>
    </w:rPr>
  </w:style>
  <w:style w:type="paragraph" w:customStyle="1" w:styleId="1368">
    <w:name w:val="xl45"/>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369">
    <w:name w:val="样式 宋体 四号 黑色 行距: 1.5 倍行距"/>
    <w:basedOn w:val="1"/>
    <w:qFormat/>
    <w:uiPriority w:val="99"/>
    <w:pPr>
      <w:widowControl w:val="0"/>
      <w:autoSpaceDE w:val="0"/>
      <w:autoSpaceDN w:val="0"/>
      <w:spacing w:line="360" w:lineRule="auto"/>
      <w:ind w:firstLine="200" w:firstLineChars="200"/>
      <w:jc w:val="both"/>
    </w:pPr>
    <w:rPr>
      <w:color w:val="000000"/>
      <w:kern w:val="2"/>
      <w:sz w:val="28"/>
      <w:szCs w:val="20"/>
    </w:rPr>
  </w:style>
  <w:style w:type="paragraph" w:customStyle="1" w:styleId="1370">
    <w:name w:val="表标题2"/>
    <w:basedOn w:val="1"/>
    <w:qFormat/>
    <w:uiPriority w:val="0"/>
    <w:pPr>
      <w:keepNext/>
      <w:widowControl w:val="0"/>
      <w:adjustRightInd w:val="0"/>
      <w:spacing w:before="60" w:after="60" w:line="397" w:lineRule="atLeast"/>
      <w:jc w:val="center"/>
      <w:textAlignment w:val="baseline"/>
    </w:pPr>
    <w:rPr>
      <w:rFonts w:ascii="Times New Roman" w:hAnsi="Times New Roman" w:cs="Times New Roman"/>
      <w:b/>
      <w:szCs w:val="20"/>
    </w:rPr>
  </w:style>
  <w:style w:type="paragraph" w:customStyle="1" w:styleId="1371">
    <w:name w:val="CM63"/>
    <w:basedOn w:val="102"/>
    <w:next w:val="102"/>
    <w:qFormat/>
    <w:uiPriority w:val="99"/>
    <w:pPr>
      <w:autoSpaceDE w:val="0"/>
      <w:autoSpaceDN w:val="0"/>
      <w:spacing w:after="270"/>
    </w:pPr>
    <w:rPr>
      <w:color w:val="auto"/>
    </w:rPr>
  </w:style>
  <w:style w:type="paragraph" w:customStyle="1" w:styleId="1372">
    <w:name w:val="CM16"/>
    <w:basedOn w:val="102"/>
    <w:next w:val="102"/>
    <w:qFormat/>
    <w:uiPriority w:val="99"/>
    <w:pPr>
      <w:autoSpaceDE w:val="0"/>
      <w:autoSpaceDN w:val="0"/>
      <w:spacing w:line="468" w:lineRule="atLeast"/>
    </w:pPr>
    <w:rPr>
      <w:color w:val="auto"/>
    </w:rPr>
  </w:style>
  <w:style w:type="paragraph" w:customStyle="1" w:styleId="1373">
    <w:name w:val="Char Char1 Char"/>
    <w:basedOn w:val="1"/>
    <w:qFormat/>
    <w:uiPriority w:val="0"/>
    <w:pPr>
      <w:widowControl w:val="0"/>
      <w:jc w:val="both"/>
    </w:pPr>
    <w:rPr>
      <w:rFonts w:ascii="Times New Roman" w:hAnsi="Times New Roman" w:cs="Times New Roman"/>
      <w:kern w:val="2"/>
      <w:sz w:val="21"/>
    </w:rPr>
  </w:style>
  <w:style w:type="paragraph" w:customStyle="1" w:styleId="1374">
    <w:name w:val="样式 样式 样式 标题 4款标题1.1.1.1 南陵标题 4标题 4 CharH4PIM 4h4First Subheadin...."/>
    <w:basedOn w:val="1"/>
    <w:qFormat/>
    <w:uiPriority w:val="0"/>
    <w:pPr>
      <w:widowControl w:val="0"/>
      <w:spacing w:line="360" w:lineRule="auto"/>
      <w:jc w:val="both"/>
      <w:outlineLvl w:val="3"/>
    </w:pPr>
    <w:rPr>
      <w:rFonts w:ascii="黑体" w:hAnsi="Times New Roman" w:eastAsia="黑体" w:cs="Times New Roman"/>
    </w:rPr>
  </w:style>
  <w:style w:type="paragraph" w:customStyle="1" w:styleId="1375">
    <w:name w:val="char"/>
    <w:basedOn w:val="1"/>
    <w:qFormat/>
    <w:uiPriority w:val="99"/>
    <w:pPr>
      <w:spacing w:after="160" w:line="240" w:lineRule="exact"/>
    </w:pPr>
    <w:rPr>
      <w:rFonts w:ascii="Verdana" w:hAnsi="Verdana" w:eastAsia="仿宋_GB2312" w:cs="”“Times New Roman”“"/>
      <w:szCs w:val="20"/>
      <w:lang w:eastAsia="en-US"/>
    </w:rPr>
  </w:style>
  <w:style w:type="paragraph" w:customStyle="1" w:styleId="1376">
    <w:name w:val="kk"/>
    <w:basedOn w:val="31"/>
    <w:qFormat/>
    <w:uiPriority w:val="99"/>
    <w:pPr>
      <w:widowControl w:val="0"/>
      <w:autoSpaceDE w:val="0"/>
      <w:autoSpaceDN w:val="0"/>
      <w:adjustRightInd w:val="0"/>
      <w:spacing w:line="360" w:lineRule="auto"/>
      <w:jc w:val="both"/>
      <w:textAlignment w:val="baseline"/>
    </w:pPr>
    <w:rPr>
      <w:rFonts w:ascii="Times New Roman" w:hAnsi="Times New Roman"/>
      <w:color w:val="auto"/>
      <w:spacing w:val="10"/>
      <w:kern w:val="0"/>
      <w:szCs w:val="20"/>
    </w:rPr>
  </w:style>
  <w:style w:type="paragraph" w:customStyle="1" w:styleId="1377">
    <w:name w:val="样式 标题 2标题 21标题 121节H2SeHead wsa2标题 1.1 + 黑体 四号 非加粗"/>
    <w:basedOn w:val="4"/>
    <w:qFormat/>
    <w:uiPriority w:val="99"/>
    <w:pPr>
      <w:widowControl w:val="0"/>
      <w:tabs>
        <w:tab w:val="left" w:pos="576"/>
      </w:tabs>
      <w:spacing w:before="260" w:after="260" w:line="416" w:lineRule="auto"/>
      <w:ind w:left="576" w:hanging="576"/>
      <w:jc w:val="both"/>
    </w:pPr>
    <w:rPr>
      <w:rFonts w:ascii="黑体" w:hAnsi="黑体"/>
      <w:bCs w:val="0"/>
    </w:rPr>
  </w:style>
  <w:style w:type="paragraph" w:customStyle="1" w:styleId="1378">
    <w:name w:val="样式3wf"/>
    <w:basedOn w:val="1298"/>
    <w:qFormat/>
    <w:uiPriority w:val="99"/>
    <w:pPr>
      <w:keepNext w:val="0"/>
      <w:keepLines w:val="0"/>
      <w:autoSpaceDE w:val="0"/>
      <w:autoSpaceDN w:val="0"/>
      <w:adjustRightInd w:val="0"/>
      <w:snapToGrid w:val="0"/>
      <w:spacing w:before="120" w:line="240" w:lineRule="auto"/>
      <w:jc w:val="center"/>
      <w:textAlignment w:val="baseline"/>
      <w:outlineLvl w:val="9"/>
    </w:pPr>
    <w:rPr>
      <w:rFonts w:ascii="Times New Roman" w:hAnsi="Times New Roman" w:eastAsia="宋体"/>
      <w:bCs w:val="0"/>
      <w:sz w:val="21"/>
      <w:szCs w:val="21"/>
    </w:rPr>
  </w:style>
  <w:style w:type="paragraph" w:customStyle="1" w:styleId="1379">
    <w:name w:val="样式 表格文字居中 + 五号"/>
    <w:basedOn w:val="560"/>
    <w:qFormat/>
    <w:uiPriority w:val="99"/>
    <w:pPr>
      <w:spacing w:line="240" w:lineRule="exact"/>
    </w:pPr>
    <w:rPr>
      <w:rFonts w:hAnsi="Times New Roman"/>
      <w:snapToGrid w:val="0"/>
      <w:color w:val="000000"/>
      <w:spacing w:val="-6"/>
    </w:rPr>
  </w:style>
  <w:style w:type="paragraph" w:customStyle="1" w:styleId="1380">
    <w:name w:val="Address 1"/>
    <w:basedOn w:val="1"/>
    <w:qFormat/>
    <w:uiPriority w:val="99"/>
    <w:pPr>
      <w:spacing w:line="200" w:lineRule="atLeast"/>
    </w:pPr>
    <w:rPr>
      <w:rFonts w:ascii="Times New Roman" w:hAnsi="Times New Roman" w:cs="Times New Roman"/>
      <w:sz w:val="16"/>
      <w:szCs w:val="20"/>
    </w:rPr>
  </w:style>
  <w:style w:type="paragraph" w:customStyle="1" w:styleId="1381">
    <w:name w:val="font15"/>
    <w:basedOn w:val="1"/>
    <w:qFormat/>
    <w:uiPriority w:val="99"/>
    <w:pPr>
      <w:spacing w:before="100" w:beforeAutospacing="1" w:after="100" w:afterAutospacing="1"/>
    </w:pPr>
    <w:rPr>
      <w:rFonts w:ascii="Times New Roman" w:hAnsi="Times New Roman" w:eastAsia="Arial Unicode MS" w:cs="Times New Roman"/>
      <w:b/>
      <w:bCs/>
      <w:sz w:val="16"/>
      <w:szCs w:val="16"/>
    </w:rPr>
  </w:style>
  <w:style w:type="paragraph" w:customStyle="1" w:styleId="1382">
    <w:name w:val="xl93"/>
    <w:basedOn w:val="1"/>
    <w:qFormat/>
    <w:uiPriority w:val="99"/>
    <w:pPr>
      <w:pBdr>
        <w:top w:val="single" w:color="auto" w:sz="4" w:space="0"/>
        <w:bottom w:val="single" w:color="auto" w:sz="8"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383">
    <w:name w:val="列表 4C"/>
    <w:basedOn w:val="69"/>
    <w:next w:val="69"/>
    <w:qFormat/>
    <w:uiPriority w:val="99"/>
    <w:pPr>
      <w:tabs>
        <w:tab w:val="left" w:pos="562"/>
      </w:tabs>
      <w:topLinePunct w:val="0"/>
      <w:spacing w:beforeLines="20" w:afterLines="20" w:line="288" w:lineRule="auto"/>
      <w:ind w:left="562" w:leftChars="0" w:hanging="420" w:firstLineChars="0"/>
      <w:jc w:val="both"/>
    </w:pPr>
    <w:rPr>
      <w:rFonts w:ascii="Arial" w:hAnsi="Arial" w:eastAsia="宋体"/>
      <w:color w:val="CCFFFF"/>
      <w:sz w:val="24"/>
    </w:rPr>
  </w:style>
  <w:style w:type="paragraph" w:customStyle="1" w:styleId="1384">
    <w:name w:val="xl47"/>
    <w:basedOn w:val="1"/>
    <w:qFormat/>
    <w:uiPriority w:val="99"/>
    <w:pPr>
      <w:pBdr>
        <w:left w:val="single" w:color="auto" w:sz="4" w:space="0"/>
        <w:bottom w:val="single" w:color="auto" w:sz="4" w:space="0"/>
        <w:right w:val="single" w:color="auto" w:sz="4" w:space="0"/>
      </w:pBdr>
      <w:spacing w:before="100" w:beforeAutospacing="1" w:after="100" w:afterAutospacing="1"/>
      <w:jc w:val="both"/>
    </w:pPr>
    <w:rPr>
      <w:rFonts w:ascii="Arial Unicode MS" w:hAnsi="Arial Unicode MS" w:eastAsia="Arial Unicode MS" w:cs="Times New Roman"/>
      <w:sz w:val="21"/>
      <w:szCs w:val="21"/>
    </w:rPr>
  </w:style>
  <w:style w:type="paragraph" w:customStyle="1" w:styleId="1385">
    <w:name w:val="CM21"/>
    <w:basedOn w:val="102"/>
    <w:next w:val="102"/>
    <w:qFormat/>
    <w:uiPriority w:val="99"/>
    <w:pPr>
      <w:autoSpaceDE w:val="0"/>
      <w:autoSpaceDN w:val="0"/>
      <w:spacing w:line="468" w:lineRule="atLeast"/>
    </w:pPr>
    <w:rPr>
      <w:color w:val="auto"/>
    </w:rPr>
  </w:style>
  <w:style w:type="paragraph" w:customStyle="1" w:styleId="1386">
    <w:name w:val="列表 4V"/>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387">
    <w:name w:val="样式9"/>
    <w:basedOn w:val="6"/>
    <w:link w:val="1388"/>
    <w:qFormat/>
    <w:uiPriority w:val="99"/>
    <w:pPr>
      <w:keepNext w:val="0"/>
      <w:keepLines w:val="0"/>
      <w:adjustRightInd w:val="0"/>
      <w:snapToGrid w:val="0"/>
      <w:spacing w:beforeLines="50" w:afterLines="50" w:line="360" w:lineRule="auto"/>
      <w:textAlignment w:val="baseline"/>
    </w:pPr>
    <w:rPr>
      <w:rFonts w:ascii="宋体" w:eastAsia="宋体"/>
      <w:b/>
      <w:bCs w:val="0"/>
      <w:sz w:val="24"/>
      <w:szCs w:val="20"/>
    </w:rPr>
  </w:style>
  <w:style w:type="character" w:customStyle="1" w:styleId="1388">
    <w:name w:val="样式9 Char"/>
    <w:link w:val="1387"/>
    <w:qFormat/>
    <w:uiPriority w:val="99"/>
    <w:rPr>
      <w:rFonts w:ascii="宋体"/>
      <w:b/>
      <w:sz w:val="24"/>
    </w:rPr>
  </w:style>
  <w:style w:type="paragraph" w:customStyle="1" w:styleId="1389">
    <w:name w:val="xl54"/>
    <w:basedOn w:val="1"/>
    <w:qFormat/>
    <w:uiPriority w:val="99"/>
    <w:pPr>
      <w:pBdr>
        <w:top w:val="single" w:color="auto" w:sz="8" w:space="0"/>
        <w:bottom w:val="single" w:color="auto" w:sz="8" w:space="0"/>
        <w:right w:val="single" w:color="auto" w:sz="4" w:space="0"/>
      </w:pBdr>
      <w:spacing w:before="100" w:beforeAutospacing="1" w:after="100" w:afterAutospacing="1"/>
      <w:jc w:val="center"/>
      <w:textAlignment w:val="top"/>
    </w:pPr>
    <w:rPr>
      <w:rFonts w:eastAsia="仿宋_GB2312" w:cs="Times New Roman"/>
      <w:position w:val="-6"/>
      <w:szCs w:val="21"/>
    </w:rPr>
  </w:style>
  <w:style w:type="paragraph" w:customStyle="1" w:styleId="1390">
    <w:name w:val="表中居中文字"/>
    <w:basedOn w:val="1"/>
    <w:qFormat/>
    <w:uiPriority w:val="99"/>
    <w:pPr>
      <w:widowControl w:val="0"/>
      <w:jc w:val="both"/>
    </w:pPr>
    <w:rPr>
      <w:rFonts w:cs="Arial"/>
      <w:bCs/>
      <w:color w:val="FF0000"/>
      <w:kern w:val="2"/>
      <w:szCs w:val="18"/>
    </w:rPr>
  </w:style>
  <w:style w:type="paragraph" w:customStyle="1" w:styleId="1391">
    <w:name w:val="备注"/>
    <w:basedOn w:val="78"/>
    <w:qFormat/>
    <w:uiPriority w:val="99"/>
    <w:pPr>
      <w:keepNext/>
      <w:tabs>
        <w:tab w:val="left" w:pos="628"/>
        <w:tab w:val="left" w:pos="1727"/>
        <w:tab w:val="left" w:pos="1884"/>
        <w:tab w:val="left" w:pos="4900"/>
      </w:tabs>
      <w:adjustRightInd w:val="0"/>
      <w:snapToGrid w:val="0"/>
      <w:spacing w:after="0" w:line="0" w:lineRule="atLeast"/>
      <w:ind w:firstLine="0" w:firstLineChars="0"/>
    </w:pPr>
    <w:rPr>
      <w:rFonts w:cs="Arial"/>
      <w:sz w:val="18"/>
      <w:szCs w:val="18"/>
    </w:rPr>
  </w:style>
  <w:style w:type="paragraph" w:customStyle="1" w:styleId="1392">
    <w:name w:val="列表 5M"/>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393">
    <w:name w:val="Char Char Char2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394">
    <w:name w:val="表标16.6"/>
    <w:next w:val="169"/>
    <w:qFormat/>
    <w:uiPriority w:val="99"/>
    <w:pPr>
      <w:tabs>
        <w:tab w:val="left" w:pos="1560"/>
        <w:tab w:val="left" w:pos="2160"/>
      </w:tabs>
      <w:adjustRightInd w:val="0"/>
      <w:snapToGrid w:val="0"/>
      <w:spacing w:line="360" w:lineRule="auto"/>
      <w:jc w:val="center"/>
      <w:textAlignment w:val="baseline"/>
    </w:pPr>
    <w:rPr>
      <w:rFonts w:ascii="Times New Roman" w:hAnsi="Times New Roman" w:eastAsia="仿宋_GB2312" w:cs="Times New Roman"/>
      <w:b/>
      <w:color w:val="000000"/>
      <w:kern w:val="2"/>
      <w:sz w:val="24"/>
      <w:szCs w:val="24"/>
      <w:lang w:val="en-US" w:eastAsia="zh-CN" w:bidi="ar-SA"/>
    </w:rPr>
  </w:style>
  <w:style w:type="paragraph" w:customStyle="1" w:styleId="1395">
    <w:name w:val="表3.3"/>
    <w:basedOn w:val="1"/>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spacing w:val="6"/>
      <w:sz w:val="26"/>
      <w:szCs w:val="26"/>
    </w:rPr>
  </w:style>
  <w:style w:type="paragraph" w:customStyle="1" w:styleId="1396">
    <w:name w:val="表格内容（OPCC宋体）"/>
    <w:basedOn w:val="1"/>
    <w:qFormat/>
    <w:uiPriority w:val="99"/>
    <w:pPr>
      <w:widowControl w:val="0"/>
      <w:adjustRightInd w:val="0"/>
      <w:snapToGrid w:val="0"/>
      <w:jc w:val="center"/>
    </w:pPr>
    <w:rPr>
      <w:rFonts w:ascii="Times New Roman" w:hAnsi="Times New Roman" w:eastAsia="仿宋_GB2312"/>
      <w:snapToGrid w:val="0"/>
      <w:sz w:val="21"/>
      <w:szCs w:val="21"/>
    </w:rPr>
  </w:style>
  <w:style w:type="paragraph" w:customStyle="1" w:styleId="1397">
    <w:name w:val="样式 表标题4.9 + 居中"/>
    <w:basedOn w:val="1228"/>
    <w:qFormat/>
    <w:uiPriority w:val="99"/>
    <w:pPr>
      <w:tabs>
        <w:tab w:val="left" w:pos="726"/>
        <w:tab w:val="clear" w:pos="4060"/>
        <w:tab w:val="clear" w:pos="8261"/>
      </w:tabs>
      <w:ind w:left="2" w:firstLine="4"/>
      <w:jc w:val="center"/>
    </w:pPr>
    <w:rPr>
      <w:rFonts w:cs="宋体"/>
      <w:bCs/>
      <w:szCs w:val="20"/>
    </w:rPr>
  </w:style>
  <w:style w:type="paragraph" w:customStyle="1" w:styleId="1398">
    <w:name w:val="威顿报告正文"/>
    <w:basedOn w:val="1"/>
    <w:qFormat/>
    <w:uiPriority w:val="99"/>
    <w:pPr>
      <w:widowControl w:val="0"/>
      <w:adjustRightInd w:val="0"/>
      <w:snapToGrid w:val="0"/>
      <w:spacing w:beforeLines="25" w:line="440" w:lineRule="exact"/>
      <w:ind w:firstLine="200" w:firstLineChars="200"/>
      <w:jc w:val="both"/>
    </w:pPr>
    <w:rPr>
      <w:rFonts w:ascii="Times New Roman" w:hAnsi="Times New Roman" w:cs="Times New Roman"/>
      <w:color w:val="000000"/>
      <w:kern w:val="2"/>
    </w:rPr>
  </w:style>
  <w:style w:type="paragraph" w:customStyle="1" w:styleId="1399">
    <w:name w:val="字元 字元 Char Char 字元 字元1 Char Char Char"/>
    <w:basedOn w:val="1"/>
    <w:qFormat/>
    <w:uiPriority w:val="0"/>
    <w:pPr>
      <w:widowControl w:val="0"/>
      <w:jc w:val="both"/>
    </w:pPr>
    <w:rPr>
      <w:rFonts w:ascii="Times New Roman" w:hAnsi="Times New Roman" w:cs="Times New Roman"/>
      <w:kern w:val="2"/>
    </w:rPr>
  </w:style>
  <w:style w:type="paragraph" w:customStyle="1" w:styleId="1400">
    <w:name w:val="样式 样式 样式 方正宋三简体 14 磅 行距: 1.5 倍行距1 + 首行缩进:  2 字符 + 首行缩进:  2 字符"/>
    <w:basedOn w:val="1"/>
    <w:qFormat/>
    <w:uiPriority w:val="99"/>
    <w:pPr>
      <w:widowControl w:val="0"/>
      <w:ind w:firstLine="574" w:firstLineChars="200"/>
      <w:jc w:val="both"/>
    </w:pPr>
    <w:rPr>
      <w:rFonts w:hAnsi="方正宋三简体" w:cs="Times New Roman"/>
      <w:kern w:val="2"/>
      <w:sz w:val="27"/>
      <w:szCs w:val="20"/>
    </w:rPr>
  </w:style>
  <w:style w:type="paragraph" w:customStyle="1" w:styleId="1401">
    <w:name w:val="001"/>
    <w:basedOn w:val="1"/>
    <w:qFormat/>
    <w:uiPriority w:val="0"/>
    <w:pPr>
      <w:widowControl w:val="0"/>
      <w:ind w:firstLine="200" w:firstLineChars="200"/>
      <w:jc w:val="both"/>
    </w:pPr>
    <w:rPr>
      <w:rFonts w:ascii="Times New Roman" w:hAnsi="Times New Roman" w:eastAsia="黑体" w:cs="Times New Roman"/>
      <w:kern w:val="2"/>
      <w:sz w:val="28"/>
      <w:szCs w:val="20"/>
    </w:rPr>
  </w:style>
  <w:style w:type="paragraph" w:customStyle="1" w:styleId="1402">
    <w:name w:val="样式 标题 3 + 五号 非加粗 段前: 0 磅 段后: 0 磅 行距: 最小值 0 磅"/>
    <w:basedOn w:val="6"/>
    <w:qFormat/>
    <w:uiPriority w:val="99"/>
    <w:pPr>
      <w:keepNext w:val="0"/>
      <w:tabs>
        <w:tab w:val="left" w:pos="1260"/>
      </w:tabs>
      <w:spacing w:beforeLines="50" w:afterLines="50" w:line="0" w:lineRule="atLeast"/>
      <w:jc w:val="center"/>
    </w:pPr>
    <w:rPr>
      <w:b/>
      <w:bCs w:val="0"/>
      <w:snapToGrid w:val="0"/>
      <w:sz w:val="21"/>
      <w:szCs w:val="20"/>
    </w:rPr>
  </w:style>
  <w:style w:type="paragraph" w:customStyle="1" w:styleId="1403">
    <w:name w:val="表格王"/>
    <w:basedOn w:val="1"/>
    <w:qFormat/>
    <w:uiPriority w:val="99"/>
    <w:pPr>
      <w:widowControl w:val="0"/>
      <w:spacing w:line="360" w:lineRule="exact"/>
      <w:jc w:val="center"/>
    </w:pPr>
    <w:rPr>
      <w:rFonts w:ascii="Times New Roman" w:hAnsi="Times New Roman" w:cs="Times New Roman"/>
      <w:kern w:val="2"/>
      <w:sz w:val="21"/>
    </w:rPr>
  </w:style>
  <w:style w:type="paragraph" w:customStyle="1" w:styleId="1404">
    <w:name w:val="Qzy样式1"/>
    <w:basedOn w:val="3"/>
    <w:qFormat/>
    <w:uiPriority w:val="99"/>
    <w:pPr>
      <w:keepLines/>
      <w:spacing w:line="240" w:lineRule="atLeast"/>
      <w:jc w:val="both"/>
    </w:pPr>
    <w:rPr>
      <w:rFonts w:ascii="Times New Roman" w:hAnsi="Times New Roman" w:eastAsia="宋体"/>
      <w:kern w:val="44"/>
      <w:sz w:val="36"/>
      <w:szCs w:val="20"/>
    </w:rPr>
  </w:style>
  <w:style w:type="paragraph" w:customStyle="1" w:styleId="1405">
    <w:name w:val="样式"/>
    <w:qFormat/>
    <w:uiPriority w:val="99"/>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406">
    <w:name w:val="标题 1 + 段前: 0.5 行 段后: 0.5 行1"/>
    <w:basedOn w:val="1"/>
    <w:qFormat/>
    <w:uiPriority w:val="99"/>
    <w:pPr>
      <w:widowControl w:val="0"/>
      <w:tabs>
        <w:tab w:val="left" w:pos="3480"/>
      </w:tabs>
      <w:spacing w:before="120" w:after="120"/>
      <w:ind w:left="2820" w:hanging="420"/>
      <w:outlineLvl w:val="0"/>
    </w:pPr>
    <w:rPr>
      <w:rFonts w:ascii="Times New Roman" w:hAnsi="Times New Roman" w:eastAsia="黑体"/>
      <w:kern w:val="2"/>
      <w:sz w:val="28"/>
      <w:szCs w:val="20"/>
    </w:rPr>
  </w:style>
  <w:style w:type="paragraph" w:customStyle="1" w:styleId="1407">
    <w:name w:val="CM20"/>
    <w:basedOn w:val="102"/>
    <w:next w:val="102"/>
    <w:qFormat/>
    <w:uiPriority w:val="99"/>
    <w:pPr>
      <w:autoSpaceDE w:val="0"/>
      <w:autoSpaceDN w:val="0"/>
    </w:pPr>
    <w:rPr>
      <w:color w:val="auto"/>
    </w:rPr>
  </w:style>
  <w:style w:type="paragraph" w:customStyle="1" w:styleId="1408">
    <w:name w:val="Char Char Char Char12"/>
    <w:basedOn w:val="1"/>
    <w:qFormat/>
    <w:uiPriority w:val="99"/>
    <w:pPr>
      <w:widowControl w:val="0"/>
      <w:snapToGrid w:val="0"/>
      <w:spacing w:line="440" w:lineRule="atLeast"/>
      <w:jc w:val="both"/>
    </w:pPr>
    <w:rPr>
      <w:rFonts w:hAnsi="Times New Roman" w:cs="Times New Roman"/>
      <w:kern w:val="2"/>
    </w:rPr>
  </w:style>
  <w:style w:type="paragraph" w:customStyle="1" w:styleId="1409">
    <w:name w:val="CM64"/>
    <w:basedOn w:val="102"/>
    <w:next w:val="102"/>
    <w:qFormat/>
    <w:uiPriority w:val="99"/>
    <w:pPr>
      <w:autoSpaceDE w:val="0"/>
      <w:autoSpaceDN w:val="0"/>
      <w:spacing w:after="583"/>
    </w:pPr>
    <w:rPr>
      <w:color w:val="auto"/>
    </w:rPr>
  </w:style>
  <w:style w:type="paragraph" w:customStyle="1" w:styleId="1410">
    <w:name w:val="Char Char Char1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411">
    <w:name w:val="样式 样式 标题 2 + 左侧:  2 字符1 + 左侧:  2 字符"/>
    <w:basedOn w:val="1"/>
    <w:qFormat/>
    <w:uiPriority w:val="99"/>
    <w:pPr>
      <w:keepNext/>
      <w:keepLines/>
      <w:widowControl w:val="0"/>
      <w:tabs>
        <w:tab w:val="left" w:pos="840"/>
      </w:tabs>
      <w:spacing w:beforeLines="50" w:afterLines="50"/>
      <w:ind w:left="210" w:right="210" w:rightChars="100"/>
      <w:jc w:val="both"/>
      <w:outlineLvl w:val="1"/>
    </w:pPr>
    <w:rPr>
      <w:rFonts w:ascii="黑体" w:hAnsi="Arial" w:eastAsia="黑体" w:cs="Times New Roman"/>
      <w:kern w:val="2"/>
      <w:sz w:val="52"/>
      <w:szCs w:val="20"/>
    </w:rPr>
  </w:style>
  <w:style w:type="paragraph" w:customStyle="1" w:styleId="1412">
    <w:name w:val="自定义正文 Char Char Char"/>
    <w:qFormat/>
    <w:uiPriority w:val="99"/>
    <w:pPr>
      <w:widowControl w:val="0"/>
      <w:adjustRightInd w:val="0"/>
      <w:snapToGrid w:val="0"/>
      <w:spacing w:line="360" w:lineRule="auto"/>
      <w:ind w:firstLine="510"/>
      <w:jc w:val="both"/>
    </w:pPr>
    <w:rPr>
      <w:rFonts w:ascii="Times New Roman" w:hAnsi="Times New Roman" w:eastAsia="宋体" w:cs="Times New Roman"/>
      <w:spacing w:val="-2"/>
      <w:kern w:val="2"/>
      <w:sz w:val="28"/>
      <w:szCs w:val="24"/>
      <w:lang w:val="en-US" w:eastAsia="zh-CN" w:bidi="ar-SA"/>
    </w:rPr>
  </w:style>
  <w:style w:type="paragraph" w:customStyle="1" w:styleId="1413">
    <w:name w:val="表格文字小四"/>
    <w:basedOn w:val="1"/>
    <w:next w:val="31"/>
    <w:qFormat/>
    <w:uiPriority w:val="99"/>
    <w:pPr>
      <w:widowControl w:val="0"/>
      <w:adjustRightInd w:val="0"/>
      <w:snapToGrid w:val="0"/>
      <w:ind w:left="-593"/>
      <w:jc w:val="center"/>
    </w:pPr>
    <w:rPr>
      <w:rFonts w:cs="Times New Roman"/>
      <w:kern w:val="2"/>
    </w:rPr>
  </w:style>
  <w:style w:type="paragraph" w:customStyle="1" w:styleId="1414">
    <w:name w:val="WW-Body Text Indent 3"/>
    <w:basedOn w:val="1"/>
    <w:qFormat/>
    <w:uiPriority w:val="99"/>
    <w:pPr>
      <w:widowControl w:val="0"/>
      <w:suppressAutoHyphens/>
      <w:spacing w:after="120" w:line="360" w:lineRule="auto"/>
      <w:ind w:firstLine="420"/>
      <w:jc w:val="both"/>
    </w:pPr>
    <w:rPr>
      <w:rFonts w:ascii="Arial" w:hAnsi="Arial" w:cs="Times New Roman"/>
      <w:kern w:val="20481"/>
      <w:szCs w:val="20"/>
    </w:rPr>
  </w:style>
  <w:style w:type="paragraph" w:customStyle="1" w:styleId="1415">
    <w:name w:val="Char Char Char Char Char Char1 Char Char Char Char2"/>
    <w:basedOn w:val="1"/>
    <w:qFormat/>
    <w:uiPriority w:val="0"/>
    <w:pPr>
      <w:widowControl w:val="0"/>
      <w:jc w:val="both"/>
    </w:pPr>
    <w:rPr>
      <w:rFonts w:ascii="Times New Roman" w:hAnsi="Times New Roman" w:cs="Times New Roman"/>
      <w:kern w:val="2"/>
      <w:sz w:val="21"/>
    </w:rPr>
  </w:style>
  <w:style w:type="paragraph" w:customStyle="1" w:styleId="1416">
    <w:name w:val="xl84"/>
    <w:basedOn w:val="1"/>
    <w:qFormat/>
    <w:uiPriority w:val="99"/>
    <w:pPr>
      <w:pBdr>
        <w:bottom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417">
    <w:name w:val="表标题5.7"/>
    <w:basedOn w:val="1"/>
    <w:qFormat/>
    <w:uiPriority w:val="99"/>
    <w:pPr>
      <w:widowControl w:val="0"/>
      <w:tabs>
        <w:tab w:val="left" w:pos="726"/>
      </w:tabs>
      <w:spacing w:beforeLines="100" w:line="0" w:lineRule="atLeast"/>
      <w:ind w:left="2" w:firstLine="4"/>
      <w:jc w:val="center"/>
    </w:pPr>
    <w:rPr>
      <w:rFonts w:ascii="Times New Roman" w:hAnsi="Times New Roman" w:eastAsia="黑体" w:cs="Times New Roman"/>
      <w:b/>
      <w:kern w:val="2"/>
    </w:rPr>
  </w:style>
  <w:style w:type="paragraph" w:customStyle="1" w:styleId="1418">
    <w:name w:val="列表 3J"/>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19">
    <w:name w:val="列表 5C"/>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20">
    <w:name w:val="样式 标题 3 + Arial"/>
    <w:basedOn w:val="1"/>
    <w:qFormat/>
    <w:uiPriority w:val="99"/>
    <w:pPr>
      <w:widowControl w:val="0"/>
      <w:jc w:val="both"/>
    </w:pPr>
    <w:rPr>
      <w:rFonts w:ascii="Times New Roman" w:hAnsi="Times New Roman" w:cs="Times New Roman"/>
      <w:kern w:val="2"/>
      <w:sz w:val="21"/>
      <w:szCs w:val="20"/>
    </w:rPr>
  </w:style>
  <w:style w:type="paragraph" w:customStyle="1" w:styleId="1421">
    <w:name w:val="样式 标题 3样式　标题 3　自动设置标题 3 Char章 + Times New 表题3"/>
    <w:basedOn w:val="6"/>
    <w:qFormat/>
    <w:uiPriority w:val="99"/>
    <w:pPr>
      <w:widowControl w:val="0"/>
      <w:tabs>
        <w:tab w:val="left" w:pos="3800"/>
        <w:tab w:val="left" w:pos="5200"/>
      </w:tabs>
      <w:autoSpaceDE w:val="0"/>
      <w:autoSpaceDN w:val="0"/>
      <w:adjustRightInd w:val="0"/>
      <w:snapToGrid w:val="0"/>
      <w:spacing w:beforeLines="50" w:afterLines="50" w:line="240" w:lineRule="auto"/>
      <w:ind w:left="-1523" w:firstLine="1523"/>
      <w:jc w:val="both"/>
    </w:pPr>
    <w:rPr>
      <w:rFonts w:eastAsia="宋体" w:cs="宋体"/>
      <w:b/>
      <w:sz w:val="28"/>
      <w:szCs w:val="28"/>
    </w:rPr>
  </w:style>
  <w:style w:type="paragraph" w:customStyle="1" w:styleId="1422">
    <w:name w:val="环标3"/>
    <w:basedOn w:val="1149"/>
    <w:next w:val="1149"/>
    <w:qFormat/>
    <w:uiPriority w:val="0"/>
    <w:pPr>
      <w:keepNext/>
      <w:keepLines/>
      <w:spacing w:line="360" w:lineRule="auto"/>
      <w:ind w:right="-11" w:firstLine="0" w:firstLineChars="0"/>
      <w:jc w:val="left"/>
      <w:outlineLvl w:val="2"/>
    </w:pPr>
    <w:rPr>
      <w:rFonts w:ascii="黑体" w:eastAsia="黑体"/>
      <w:color w:val="auto"/>
      <w:spacing w:val="0"/>
      <w:kern w:val="2"/>
    </w:rPr>
  </w:style>
  <w:style w:type="paragraph" w:customStyle="1" w:styleId="1423">
    <w:name w:val="默认段落字体 Para Char"/>
    <w:basedOn w:val="1"/>
    <w:qFormat/>
    <w:uiPriority w:val="99"/>
    <w:pPr>
      <w:widowControl w:val="0"/>
      <w:spacing w:line="360" w:lineRule="auto"/>
      <w:ind w:firstLine="200" w:firstLineChars="200"/>
      <w:jc w:val="both"/>
    </w:pPr>
    <w:rPr>
      <w:kern w:val="2"/>
    </w:rPr>
  </w:style>
  <w:style w:type="paragraph" w:customStyle="1" w:styleId="1424">
    <w:name w:val="样式 正文缩进 + 小四 首行缩进:  2 字符1"/>
    <w:basedOn w:val="5"/>
    <w:qFormat/>
    <w:uiPriority w:val="99"/>
    <w:pPr>
      <w:keepNext/>
      <w:widowControl w:val="0"/>
      <w:tabs>
        <w:tab w:val="left" w:pos="1727"/>
        <w:tab w:val="left" w:pos="1884"/>
      </w:tabs>
      <w:spacing w:line="360" w:lineRule="auto"/>
      <w:ind w:firstLine="480" w:firstLineChars="200"/>
      <w:outlineLvl w:val="0"/>
    </w:pPr>
    <w:rPr>
      <w:rFonts w:ascii="宋体" w:hAnsi="宋体" w:cs="宋体"/>
      <w:snapToGrid w:val="0"/>
      <w:color w:val="000000"/>
    </w:rPr>
  </w:style>
  <w:style w:type="paragraph" w:customStyle="1" w:styleId="1425">
    <w:name w:val="表内小5"/>
    <w:basedOn w:val="1"/>
    <w:qFormat/>
    <w:uiPriority w:val="99"/>
    <w:pPr>
      <w:widowControl w:val="0"/>
      <w:adjustRightInd w:val="0"/>
      <w:snapToGrid w:val="0"/>
      <w:spacing w:line="300" w:lineRule="auto"/>
      <w:ind w:left="176"/>
      <w:jc w:val="both"/>
    </w:pPr>
    <w:rPr>
      <w:rFonts w:cs="Times New Roman"/>
      <w:kern w:val="2"/>
      <w:sz w:val="18"/>
    </w:rPr>
  </w:style>
  <w:style w:type="paragraph" w:customStyle="1" w:styleId="1426">
    <w:name w:val="正文文本缩进 311"/>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427">
    <w:name w:val="列表 3F"/>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28">
    <w:name w:val="列表 5Q"/>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29">
    <w:name w:val="样式 正文首行缩进 + 四号 段后: 0 磅 行距: 1.5 倍行距"/>
    <w:basedOn w:val="78"/>
    <w:qFormat/>
    <w:uiPriority w:val="99"/>
    <w:pPr>
      <w:widowControl w:val="0"/>
      <w:spacing w:after="0" w:line="360" w:lineRule="auto"/>
      <w:ind w:firstLine="560" w:firstLineChars="200"/>
    </w:pPr>
    <w:rPr>
      <w:rFonts w:hAnsi="Times New Roman"/>
      <w:sz w:val="28"/>
    </w:rPr>
  </w:style>
  <w:style w:type="paragraph" w:customStyle="1" w:styleId="1430">
    <w:name w:val="TOC 标题1"/>
    <w:basedOn w:val="3"/>
    <w:next w:val="1"/>
    <w:qFormat/>
    <w:uiPriority w:val="39"/>
    <w:pPr>
      <w:keepNext/>
      <w:keepLines/>
      <w:spacing w:before="480" w:line="276" w:lineRule="auto"/>
      <w:outlineLvl w:val="9"/>
    </w:pPr>
    <w:rPr>
      <w:rFonts w:ascii="Cambria" w:hAnsi="Cambria" w:eastAsia="宋体"/>
      <w:bCs/>
      <w:color w:val="365F91"/>
      <w:kern w:val="0"/>
      <w:szCs w:val="32"/>
    </w:rPr>
  </w:style>
  <w:style w:type="paragraph" w:customStyle="1" w:styleId="1431">
    <w:name w:val="TY"/>
    <w:basedOn w:val="1"/>
    <w:qFormat/>
    <w:uiPriority w:val="99"/>
    <w:pPr>
      <w:widowControl w:val="0"/>
      <w:adjustRightInd w:val="0"/>
      <w:snapToGrid w:val="0"/>
      <w:spacing w:before="40" w:after="40"/>
      <w:jc w:val="both"/>
    </w:pPr>
    <w:rPr>
      <w:rFonts w:cs="Times New Roman"/>
      <w:kern w:val="2"/>
      <w:szCs w:val="20"/>
    </w:rPr>
  </w:style>
  <w:style w:type="paragraph" w:customStyle="1" w:styleId="1432">
    <w:name w:val="样式 正文首行缩进 + 首行缩进:  0 字符"/>
    <w:basedOn w:val="78"/>
    <w:qFormat/>
    <w:uiPriority w:val="99"/>
    <w:pPr>
      <w:widowControl w:val="0"/>
      <w:adjustRightInd w:val="0"/>
      <w:snapToGrid w:val="0"/>
      <w:spacing w:after="0" w:line="360" w:lineRule="auto"/>
      <w:ind w:firstLine="567" w:firstLineChars="0"/>
    </w:pPr>
    <w:rPr>
      <w:rFonts w:hAnsi="Times New Roman"/>
      <w:sz w:val="24"/>
      <w:szCs w:val="28"/>
    </w:rPr>
  </w:style>
  <w:style w:type="paragraph" w:customStyle="1" w:styleId="1433">
    <w:name w:val="列表 4B"/>
    <w:basedOn w:val="69"/>
    <w:qFormat/>
    <w:uiPriority w:val="99"/>
    <w:pPr>
      <w:tabs>
        <w:tab w:val="left" w:pos="360"/>
      </w:tabs>
      <w:topLinePunct w:val="0"/>
      <w:spacing w:beforeLines="50" w:afterLines="30" w:line="288" w:lineRule="auto"/>
      <w:ind w:left="360" w:leftChars="0" w:hanging="360" w:firstLineChars="0"/>
      <w:jc w:val="both"/>
    </w:pPr>
    <w:rPr>
      <w:rFonts w:ascii="Arial" w:hAnsi="Arial" w:eastAsia="宋体"/>
      <w:color w:val="CCFFFF"/>
      <w:sz w:val="24"/>
    </w:rPr>
  </w:style>
  <w:style w:type="paragraph" w:customStyle="1" w:styleId="1434">
    <w:name w:val="附图编号"/>
    <w:basedOn w:val="1"/>
    <w:qFormat/>
    <w:uiPriority w:val="99"/>
    <w:pPr>
      <w:widowControl w:val="0"/>
      <w:tabs>
        <w:tab w:val="left" w:pos="1760"/>
      </w:tabs>
      <w:spacing w:line="288" w:lineRule="auto"/>
      <w:ind w:left="1021" w:hanging="341"/>
      <w:jc w:val="both"/>
    </w:pPr>
    <w:rPr>
      <w:rFonts w:ascii="Arial" w:hAnsi="Arial" w:cs="Times New Roman"/>
      <w:color w:val="CC99FF"/>
      <w:kern w:val="2"/>
      <w:szCs w:val="20"/>
    </w:rPr>
  </w:style>
  <w:style w:type="paragraph" w:customStyle="1" w:styleId="1435">
    <w:name w:val="列表 4I"/>
    <w:basedOn w:val="69"/>
    <w:qFormat/>
    <w:uiPriority w:val="99"/>
    <w:pPr>
      <w:tabs>
        <w:tab w:val="left" w:pos="785"/>
      </w:tabs>
      <w:topLinePunct w:val="0"/>
      <w:spacing w:beforeLines="50" w:afterLines="30" w:line="288" w:lineRule="auto"/>
      <w:ind w:left="0" w:leftChars="0" w:firstLine="425" w:firstLineChars="0"/>
      <w:jc w:val="both"/>
    </w:pPr>
    <w:rPr>
      <w:rFonts w:ascii="Arial" w:hAnsi="Arial" w:eastAsia="宋体"/>
      <w:color w:val="CCFFFF"/>
      <w:sz w:val="24"/>
    </w:rPr>
  </w:style>
  <w:style w:type="paragraph" w:customStyle="1" w:styleId="1436">
    <w:name w:val="font8"/>
    <w:basedOn w:val="1"/>
    <w:qFormat/>
    <w:uiPriority w:val="99"/>
    <w:pPr>
      <w:spacing w:before="100" w:beforeAutospacing="1" w:after="100" w:afterAutospacing="1"/>
    </w:pPr>
    <w:rPr>
      <w:rFonts w:ascii="Times New Roman" w:hAnsi="Times New Roman" w:eastAsia="Arial Unicode MS" w:cs="Times New Roman"/>
      <w:b/>
      <w:bCs/>
      <w:sz w:val="44"/>
      <w:szCs w:val="44"/>
    </w:rPr>
  </w:style>
  <w:style w:type="paragraph" w:customStyle="1" w:styleId="1437">
    <w:name w:val="222"/>
    <w:basedOn w:val="1"/>
    <w:qFormat/>
    <w:uiPriority w:val="99"/>
    <w:pPr>
      <w:spacing w:line="360" w:lineRule="auto"/>
    </w:pPr>
    <w:rPr>
      <w:rFonts w:ascii="Times New Roman" w:hAnsi="Times New Roman" w:cs="Times New Roman"/>
      <w:b/>
      <w:sz w:val="28"/>
      <w:szCs w:val="20"/>
      <w:lang w:eastAsia="zh-TW"/>
    </w:rPr>
  </w:style>
  <w:style w:type="paragraph" w:customStyle="1" w:styleId="1438">
    <w:name w:val="二级无标题条"/>
    <w:basedOn w:val="1"/>
    <w:qFormat/>
    <w:uiPriority w:val="99"/>
    <w:pPr>
      <w:widowControl w:val="0"/>
      <w:jc w:val="both"/>
    </w:pPr>
    <w:rPr>
      <w:rFonts w:ascii="Times New Roman" w:hAnsi="Times New Roman" w:cs="Times New Roman"/>
      <w:kern w:val="2"/>
      <w:sz w:val="21"/>
    </w:rPr>
  </w:style>
  <w:style w:type="paragraph" w:customStyle="1" w:styleId="1439">
    <w:name w:val="Char Char1 Char1"/>
    <w:basedOn w:val="1"/>
    <w:qFormat/>
    <w:uiPriority w:val="0"/>
    <w:pPr>
      <w:widowControl w:val="0"/>
      <w:jc w:val="both"/>
    </w:pPr>
    <w:rPr>
      <w:rFonts w:ascii="Times New Roman" w:hAnsi="Times New Roman" w:cs="Times New Roman"/>
      <w:kern w:val="2"/>
      <w:sz w:val="21"/>
    </w:rPr>
  </w:style>
  <w:style w:type="paragraph" w:customStyle="1" w:styleId="1440">
    <w:name w:val="xl36"/>
    <w:basedOn w:val="1"/>
    <w:qFormat/>
    <w:uiPriority w:val="0"/>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441">
    <w:name w:val="列表 4L"/>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442">
    <w:name w:val="xl50"/>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443">
    <w:name w:val="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444">
    <w:name w:val="正文文字缩进2"/>
    <w:basedOn w:val="32"/>
    <w:qFormat/>
    <w:uiPriority w:val="0"/>
    <w:pPr>
      <w:widowControl w:val="0"/>
      <w:spacing w:after="0" w:line="360" w:lineRule="auto"/>
      <w:ind w:left="0" w:leftChars="0" w:firstLine="600"/>
      <w:jc w:val="both"/>
    </w:pPr>
    <w:rPr>
      <w:rFonts w:ascii="黑体" w:hAnsi="宋体" w:eastAsia="黑体"/>
      <w:b/>
      <w:bCs/>
      <w:spacing w:val="0"/>
      <w:sz w:val="28"/>
    </w:rPr>
  </w:style>
  <w:style w:type="paragraph" w:customStyle="1" w:styleId="1445">
    <w:name w:val="Heading Base"/>
    <w:basedOn w:val="31"/>
    <w:next w:val="31"/>
    <w:qFormat/>
    <w:uiPriority w:val="99"/>
    <w:pPr>
      <w:keepNext/>
      <w:keepLines/>
      <w:spacing w:line="220" w:lineRule="atLeast"/>
      <w:ind w:right="-360"/>
    </w:pPr>
    <w:rPr>
      <w:rFonts w:ascii="Arial" w:hAnsi="Arial"/>
      <w:color w:val="auto"/>
      <w:spacing w:val="-4"/>
      <w:kern w:val="0"/>
      <w:sz w:val="18"/>
      <w:szCs w:val="20"/>
    </w:rPr>
  </w:style>
  <w:style w:type="paragraph" w:customStyle="1" w:styleId="1446">
    <w:name w:val="Char Char Char Char3"/>
    <w:basedOn w:val="1"/>
    <w:qFormat/>
    <w:uiPriority w:val="0"/>
    <w:pPr>
      <w:widowControl w:val="0"/>
      <w:jc w:val="both"/>
    </w:pPr>
    <w:rPr>
      <w:rFonts w:ascii="Times New Roman" w:hAnsi="Times New Roman" w:cs="Times New Roman"/>
      <w:kern w:val="2"/>
      <w:sz w:val="21"/>
    </w:rPr>
  </w:style>
  <w:style w:type="paragraph" w:customStyle="1" w:styleId="1447">
    <w:name w:val="正文（1）"/>
    <w:basedOn w:val="5"/>
    <w:next w:val="78"/>
    <w:qFormat/>
    <w:uiPriority w:val="99"/>
    <w:pPr>
      <w:adjustRightInd w:val="0"/>
      <w:snapToGrid w:val="0"/>
      <w:spacing w:line="480" w:lineRule="exact"/>
      <w:ind w:firstLine="480" w:firstLineChars="200"/>
      <w:jc w:val="both"/>
    </w:pPr>
    <w:rPr>
      <w:rFonts w:ascii="Times New Roman" w:hAnsi="Times New Roman"/>
      <w:sz w:val="24"/>
      <w:szCs w:val="24"/>
    </w:rPr>
  </w:style>
  <w:style w:type="paragraph" w:customStyle="1" w:styleId="1448">
    <w:name w:val="Char Char 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449">
    <w:name w:val="图"/>
    <w:basedOn w:val="31"/>
    <w:qFormat/>
    <w:uiPriority w:val="99"/>
    <w:pPr>
      <w:widowControl w:val="0"/>
      <w:adjustRightInd w:val="0"/>
      <w:spacing w:line="288" w:lineRule="auto"/>
      <w:jc w:val="center"/>
      <w:textAlignment w:val="baseline"/>
    </w:pPr>
    <w:rPr>
      <w:rFonts w:ascii="黑体" w:hAnsi="Times New Roman" w:eastAsia="黑体"/>
      <w:b/>
      <w:color w:val="auto"/>
      <w:kern w:val="0"/>
      <w:sz w:val="20"/>
      <w:szCs w:val="20"/>
    </w:rPr>
  </w:style>
  <w:style w:type="paragraph" w:customStyle="1" w:styleId="1450">
    <w:name w:val="副标题3"/>
    <w:basedOn w:val="1"/>
    <w:qFormat/>
    <w:uiPriority w:val="0"/>
    <w:pPr>
      <w:keepLines/>
      <w:widowControl w:val="0"/>
      <w:tabs>
        <w:tab w:val="left" w:pos="672"/>
        <w:tab w:val="left" w:pos="720"/>
      </w:tabs>
      <w:adjustRightInd w:val="0"/>
      <w:snapToGrid w:val="0"/>
      <w:spacing w:line="400" w:lineRule="atLeast"/>
      <w:ind w:left="672" w:hanging="348"/>
      <w:jc w:val="both"/>
      <w:outlineLvl w:val="3"/>
    </w:pPr>
    <w:rPr>
      <w:rFonts w:hAnsi="Times New Roman" w:cs="Times New Roman"/>
      <w:snapToGrid w:val="0"/>
    </w:rPr>
  </w:style>
  <w:style w:type="paragraph" w:customStyle="1" w:styleId="1451">
    <w:name w:val="列表 5J"/>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52">
    <w:name w:val="2-标准-表头"/>
    <w:basedOn w:val="1"/>
    <w:qFormat/>
    <w:uiPriority w:val="0"/>
    <w:pPr>
      <w:topLinePunct/>
      <w:adjustRightInd w:val="0"/>
      <w:snapToGrid w:val="0"/>
      <w:spacing w:beforeLines="50"/>
      <w:jc w:val="center"/>
    </w:pPr>
    <w:rPr>
      <w:rFonts w:ascii="Times New Roman" w:hAnsi="Times New Roman" w:eastAsia="黑体" w:cs="Times New Roman"/>
      <w:b/>
      <w:szCs w:val="20"/>
      <w:lang w:val="zh-CN"/>
    </w:rPr>
  </w:style>
  <w:style w:type="paragraph" w:customStyle="1" w:styleId="1453">
    <w:name w:val="列表 5D"/>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54">
    <w:name w:val="Char Char Char Char Char Char Char Char Char Char Char Char1 Char1"/>
    <w:basedOn w:val="1"/>
    <w:next w:val="1"/>
    <w:qFormat/>
    <w:uiPriority w:val="99"/>
    <w:pPr>
      <w:widowControl w:val="0"/>
      <w:spacing w:line="336" w:lineRule="auto"/>
      <w:ind w:firstLine="200" w:firstLineChars="200"/>
      <w:jc w:val="both"/>
    </w:pPr>
    <w:rPr>
      <w:rFonts w:eastAsia="汉鼎简书宋"/>
      <w:kern w:val="2"/>
    </w:rPr>
  </w:style>
  <w:style w:type="paragraph" w:customStyle="1" w:styleId="1455">
    <w:name w:val="表内文"/>
    <w:qFormat/>
    <w:uiPriority w:val="0"/>
    <w:pPr>
      <w:spacing w:line="360" w:lineRule="exact"/>
      <w:jc w:val="center"/>
    </w:pPr>
    <w:rPr>
      <w:rFonts w:ascii="Times New Roman" w:hAnsi="Times New Roman" w:eastAsia="仿宋_GB2312" w:cs="Times New Roman"/>
      <w:bCs/>
      <w:kern w:val="20"/>
      <w:sz w:val="21"/>
      <w:lang w:val="en-US" w:eastAsia="zh-CN" w:bidi="ar-SA"/>
    </w:rPr>
  </w:style>
  <w:style w:type="paragraph" w:customStyle="1" w:styleId="1456">
    <w:name w:val="样式 正文文本缩进 + 首行缩进:  2.25 字符"/>
    <w:basedOn w:val="32"/>
    <w:qFormat/>
    <w:uiPriority w:val="99"/>
    <w:pPr>
      <w:widowControl w:val="0"/>
      <w:jc w:val="both"/>
    </w:pPr>
    <w:rPr>
      <w:rFonts w:ascii="Times New Roman" w:hAnsi="Times New Roman" w:eastAsia="宋体"/>
      <w:spacing w:val="0"/>
      <w:szCs w:val="24"/>
    </w:rPr>
  </w:style>
  <w:style w:type="paragraph" w:customStyle="1" w:styleId="1457">
    <w:name w:val="xl41"/>
    <w:basedOn w:val="1"/>
    <w:qFormat/>
    <w:uiPriority w:val="0"/>
    <w:pPr>
      <w:spacing w:before="100" w:beforeAutospacing="1" w:after="100" w:afterAutospacing="1"/>
      <w:textAlignment w:val="center"/>
    </w:pPr>
    <w:rPr>
      <w:rFonts w:ascii="Arial Unicode MS" w:hAnsi="Arial Unicode MS" w:eastAsia="Arial Unicode MS" w:cs="Arial Unicode MS"/>
      <w:b/>
      <w:bCs/>
      <w:sz w:val="36"/>
      <w:szCs w:val="36"/>
    </w:rPr>
  </w:style>
  <w:style w:type="paragraph" w:customStyle="1" w:styleId="1458">
    <w:name w:val="xl39"/>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459">
    <w:name w:val="段落2"/>
    <w:basedOn w:val="1"/>
    <w:qFormat/>
    <w:uiPriority w:val="99"/>
    <w:pPr>
      <w:widowControl w:val="0"/>
      <w:adjustRightInd w:val="0"/>
      <w:spacing w:line="440" w:lineRule="atLeast"/>
      <w:jc w:val="both"/>
    </w:pPr>
    <w:rPr>
      <w:rFonts w:ascii="Times New Roman" w:hAnsi="Times New Roman" w:cs="Times New Roman"/>
      <w:spacing w:val="6"/>
      <w:kern w:val="2"/>
      <w:sz w:val="28"/>
      <w:szCs w:val="20"/>
    </w:rPr>
  </w:style>
  <w:style w:type="paragraph" w:customStyle="1" w:styleId="1460">
    <w:name w:val="预测表格"/>
    <w:basedOn w:val="429"/>
    <w:next w:val="1"/>
    <w:qFormat/>
    <w:uiPriority w:val="99"/>
    <w:pPr>
      <w:topLinePunct w:val="0"/>
      <w:ind w:left="-15" w:leftChars="-15" w:right="-15" w:rightChars="-15"/>
    </w:pPr>
    <w:rPr>
      <w:rFonts w:eastAsia="宋体"/>
      <w:bCs/>
      <w:spacing w:val="-10"/>
      <w:sz w:val="18"/>
      <w:szCs w:val="15"/>
    </w:rPr>
  </w:style>
  <w:style w:type="paragraph" w:customStyle="1" w:styleId="1461">
    <w:name w:val="列表 5B"/>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62">
    <w:name w:val="Document Label"/>
    <w:basedOn w:val="1"/>
    <w:next w:val="1"/>
    <w:qFormat/>
    <w:uiPriority w:val="99"/>
    <w:pPr>
      <w:spacing w:after="220"/>
      <w:ind w:right="-360"/>
    </w:pPr>
    <w:rPr>
      <w:rFonts w:ascii="Times New Roman" w:hAnsi="Times New Roman" w:cs="Times New Roman"/>
      <w:spacing w:val="-20"/>
      <w:sz w:val="48"/>
      <w:szCs w:val="20"/>
    </w:rPr>
  </w:style>
  <w:style w:type="paragraph" w:customStyle="1" w:styleId="1463">
    <w:name w:val="18"/>
    <w:basedOn w:val="1"/>
    <w:qFormat/>
    <w:uiPriority w:val="99"/>
    <w:pPr>
      <w:snapToGrid w:val="0"/>
      <w:spacing w:before="120" w:after="100" w:afterAutospacing="1" w:line="240" w:lineRule="atLeast"/>
      <w:jc w:val="center"/>
    </w:pPr>
    <w:rPr>
      <w:rFonts w:ascii="Times New Roman" w:hAnsi="Times New Roman" w:cs="Times New Roman"/>
      <w:b/>
      <w:bCs/>
    </w:rPr>
  </w:style>
  <w:style w:type="paragraph" w:customStyle="1" w:styleId="1464">
    <w:name w:val="正文（首行缩进）"/>
    <w:basedOn w:val="1"/>
    <w:qFormat/>
    <w:uiPriority w:val="0"/>
    <w:pPr>
      <w:spacing w:line="360" w:lineRule="auto"/>
      <w:ind w:firstLine="480" w:firstLineChars="200"/>
    </w:pPr>
    <w:rPr>
      <w:rFonts w:cs="Times New Roman"/>
      <w:color w:val="000000"/>
      <w:kern w:val="2"/>
      <w:szCs w:val="20"/>
    </w:rPr>
  </w:style>
  <w:style w:type="paragraph" w:customStyle="1" w:styleId="1465">
    <w:name w:val="列表 3H"/>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66">
    <w:name w:val="表格正文"/>
    <w:qFormat/>
    <w:uiPriority w:val="0"/>
    <w:pPr>
      <w:spacing w:before="60" w:after="60"/>
      <w:ind w:left="32"/>
      <w:jc w:val="center"/>
    </w:pPr>
    <w:rPr>
      <w:rFonts w:ascii="Times New Roman" w:hAnsi="Times New Roman" w:eastAsia="宋体" w:cs="Times New Roman"/>
      <w:color w:val="FF0000"/>
      <w:sz w:val="21"/>
      <w:lang w:val="en-US" w:eastAsia="zh-CN" w:bidi="ar-SA"/>
    </w:rPr>
  </w:style>
  <w:style w:type="paragraph" w:customStyle="1" w:styleId="1467">
    <w:name w:val="列表 5E"/>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68">
    <w:name w:val="列表 4D"/>
    <w:basedOn w:val="69"/>
    <w:qFormat/>
    <w:uiPriority w:val="99"/>
    <w:pPr>
      <w:tabs>
        <w:tab w:val="left" w:pos="360"/>
      </w:tabs>
      <w:topLinePunct w:val="0"/>
      <w:spacing w:beforeLines="50" w:afterLines="30" w:line="288" w:lineRule="auto"/>
      <w:ind w:left="360" w:leftChars="0" w:hanging="360" w:firstLineChars="0"/>
      <w:jc w:val="both"/>
    </w:pPr>
    <w:rPr>
      <w:rFonts w:ascii="Arial" w:hAnsi="Arial" w:eastAsia="宋体"/>
      <w:color w:val="CCFFFF"/>
      <w:sz w:val="24"/>
    </w:rPr>
  </w:style>
  <w:style w:type="paragraph" w:customStyle="1" w:styleId="1469">
    <w:name w:val="档案号"/>
    <w:basedOn w:val="52"/>
    <w:qFormat/>
    <w:uiPriority w:val="99"/>
    <w:pPr>
      <w:widowControl w:val="0"/>
      <w:pBdr>
        <w:bottom w:val="none" w:color="auto" w:sz="0" w:space="0"/>
      </w:pBdr>
      <w:tabs>
        <w:tab w:val="center" w:pos="4320"/>
        <w:tab w:val="right" w:pos="8640"/>
        <w:tab w:val="clear" w:pos="4153"/>
        <w:tab w:val="clear" w:pos="8306"/>
      </w:tabs>
      <w:adjustRightInd w:val="0"/>
      <w:spacing w:line="460" w:lineRule="exact"/>
      <w:jc w:val="right"/>
      <w:textAlignment w:val="baseline"/>
    </w:pPr>
    <w:rPr>
      <w:rFonts w:ascii="宋体" w:hAnsi="Arial"/>
      <w:spacing w:val="3"/>
      <w:kern w:val="24"/>
      <w:sz w:val="24"/>
      <w:szCs w:val="20"/>
    </w:rPr>
  </w:style>
  <w:style w:type="paragraph" w:customStyle="1" w:styleId="1470">
    <w:name w:val="样式 (中文) 仿宋_GB2312 四号 行距: 1.5 倍行距 Char"/>
    <w:basedOn w:val="1"/>
    <w:qFormat/>
    <w:uiPriority w:val="0"/>
    <w:pPr>
      <w:widowControl w:val="0"/>
      <w:jc w:val="center"/>
    </w:pPr>
    <w:rPr>
      <w:rFonts w:ascii="Times New Roman" w:hAnsi="Times New Roman" w:cs="Times New Roman"/>
      <w:kern w:val="2"/>
      <w:szCs w:val="28"/>
    </w:rPr>
  </w:style>
  <w:style w:type="paragraph" w:customStyle="1" w:styleId="1471">
    <w:name w:val="Header Base"/>
    <w:basedOn w:val="1"/>
    <w:qFormat/>
    <w:uiPriority w:val="99"/>
    <w:pPr>
      <w:ind w:right="-360"/>
    </w:pPr>
    <w:rPr>
      <w:rFonts w:ascii="Times New Roman" w:hAnsi="Times New Roman" w:cs="Times New Roman"/>
      <w:sz w:val="20"/>
      <w:szCs w:val="20"/>
    </w:rPr>
  </w:style>
  <w:style w:type="paragraph" w:customStyle="1" w:styleId="1472">
    <w:name w:val="列表 C"/>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73">
    <w:name w:val="xl92"/>
    <w:basedOn w:val="1"/>
    <w:qFormat/>
    <w:uiPriority w:val="99"/>
    <w:pPr>
      <w:pBdr>
        <w:top w:val="single" w:color="auto" w:sz="4" w:space="0"/>
        <w:left w:val="single" w:color="auto" w:sz="4" w:space="0"/>
        <w:bottom w:val="single" w:color="auto" w:sz="8"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1474">
    <w:name w:val="样式－表"/>
    <w:basedOn w:val="1"/>
    <w:qFormat/>
    <w:uiPriority w:val="99"/>
    <w:pPr>
      <w:widowControl w:val="0"/>
      <w:adjustRightInd w:val="0"/>
      <w:snapToGrid w:val="0"/>
      <w:spacing w:before="62"/>
      <w:jc w:val="center"/>
    </w:pPr>
    <w:rPr>
      <w:rFonts w:ascii="Times New Roman" w:hAnsi="Times New Roman" w:cs="Times New Roman"/>
      <w:snapToGrid w:val="0"/>
      <w:color w:val="000000"/>
      <w:szCs w:val="20"/>
    </w:rPr>
  </w:style>
  <w:style w:type="paragraph" w:customStyle="1" w:styleId="1475">
    <w:name w:val="font1"/>
    <w:basedOn w:val="1"/>
    <w:qFormat/>
    <w:uiPriority w:val="99"/>
    <w:pPr>
      <w:spacing w:before="100" w:beforeAutospacing="1" w:after="100" w:afterAutospacing="1"/>
    </w:pPr>
    <w:rPr>
      <w:rFonts w:hint="eastAsia" w:cs="Times New Roman"/>
    </w:rPr>
  </w:style>
  <w:style w:type="paragraph" w:customStyle="1" w:styleId="1476">
    <w:name w:val="列表 2S"/>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77">
    <w:name w:val="蒲表头"/>
    <w:basedOn w:val="1"/>
    <w:qFormat/>
    <w:uiPriority w:val="99"/>
    <w:pPr>
      <w:widowControl w:val="0"/>
      <w:adjustRightInd w:val="0"/>
      <w:snapToGrid w:val="0"/>
      <w:spacing w:beforeLines="20"/>
      <w:ind w:firstLine="480" w:firstLineChars="200"/>
      <w:jc w:val="both"/>
    </w:pPr>
    <w:rPr>
      <w:rFonts w:ascii="Times New Roman" w:hAnsi="Times New Roman" w:cs="Times New Roman"/>
      <w:b/>
      <w:kern w:val="2"/>
    </w:rPr>
  </w:style>
  <w:style w:type="paragraph" w:customStyle="1" w:styleId="1478">
    <w:name w:val="CM67"/>
    <w:basedOn w:val="102"/>
    <w:next w:val="102"/>
    <w:qFormat/>
    <w:uiPriority w:val="99"/>
    <w:pPr>
      <w:autoSpaceDE w:val="0"/>
      <w:autoSpaceDN w:val="0"/>
      <w:spacing w:after="142"/>
    </w:pPr>
    <w:rPr>
      <w:color w:val="auto"/>
    </w:rPr>
  </w:style>
  <w:style w:type="paragraph" w:customStyle="1" w:styleId="1479">
    <w:name w:val="样式 正文缩进正文缩进 Char + 首行缩进:  2 字符"/>
    <w:basedOn w:val="5"/>
    <w:qFormat/>
    <w:uiPriority w:val="99"/>
    <w:pPr>
      <w:widowControl w:val="0"/>
      <w:adjustRightInd w:val="0"/>
      <w:snapToGrid w:val="0"/>
      <w:spacing w:line="360" w:lineRule="auto"/>
      <w:ind w:firstLine="480" w:firstLineChars="200"/>
      <w:jc w:val="both"/>
    </w:pPr>
    <w:rPr>
      <w:rFonts w:ascii="Times New Roman" w:hAnsi="Times New Roman"/>
      <w:snapToGrid w:val="0"/>
      <w:sz w:val="24"/>
      <w:szCs w:val="24"/>
    </w:rPr>
  </w:style>
  <w:style w:type="paragraph" w:customStyle="1" w:styleId="1480">
    <w:name w:val="正文(a)"/>
    <w:basedOn w:val="31"/>
    <w:qFormat/>
    <w:uiPriority w:val="99"/>
    <w:pPr>
      <w:tabs>
        <w:tab w:val="left" w:pos="1139"/>
      </w:tabs>
      <w:spacing w:line="351" w:lineRule="atLeast"/>
      <w:ind w:left="-141" w:firstLine="566"/>
      <w:jc w:val="both"/>
      <w:textAlignment w:val="baseline"/>
    </w:pPr>
    <w:rPr>
      <w:rFonts w:ascii="宋体" w:hAnsi="Times New Roman" w:cs="宋体"/>
      <w:bCs/>
      <w:spacing w:val="5"/>
      <w:kern w:val="0"/>
      <w:sz w:val="20"/>
      <w:szCs w:val="21"/>
      <w:u w:color="000000"/>
    </w:rPr>
  </w:style>
  <w:style w:type="paragraph" w:customStyle="1" w:styleId="1481">
    <w:name w:val="尾注文本1"/>
    <w:basedOn w:val="160"/>
    <w:qFormat/>
    <w:uiPriority w:val="99"/>
    <w:rPr>
      <w:rFonts w:eastAsia="Times New Roman"/>
      <w:sz w:val="21"/>
      <w:szCs w:val="22"/>
    </w:rPr>
  </w:style>
  <w:style w:type="paragraph" w:customStyle="1" w:styleId="1482">
    <w:name w:val="列表 G"/>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83">
    <w:name w:val="CM69"/>
    <w:basedOn w:val="102"/>
    <w:next w:val="102"/>
    <w:qFormat/>
    <w:uiPriority w:val="99"/>
    <w:pPr>
      <w:autoSpaceDE w:val="0"/>
      <w:autoSpaceDN w:val="0"/>
      <w:spacing w:after="67"/>
    </w:pPr>
    <w:rPr>
      <w:color w:val="auto"/>
    </w:rPr>
  </w:style>
  <w:style w:type="paragraph" w:customStyle="1" w:styleId="1484">
    <w:name w:val="样式 样式2 + 段前: 6 磅 行距: 单倍行距2"/>
    <w:basedOn w:val="1298"/>
    <w:qFormat/>
    <w:uiPriority w:val="99"/>
    <w:pPr>
      <w:keepNext w:val="0"/>
      <w:keepLines w:val="0"/>
      <w:autoSpaceDE w:val="0"/>
      <w:autoSpaceDN w:val="0"/>
      <w:adjustRightInd w:val="0"/>
      <w:snapToGrid w:val="0"/>
      <w:spacing w:before="120" w:line="240" w:lineRule="auto"/>
      <w:jc w:val="center"/>
      <w:textAlignment w:val="baseline"/>
      <w:outlineLvl w:val="9"/>
    </w:pPr>
    <w:rPr>
      <w:rFonts w:ascii="Times New Roman" w:hAnsi="Times New Roman" w:eastAsia="宋体"/>
      <w:bCs w:val="0"/>
      <w:spacing w:val="-16"/>
      <w:sz w:val="21"/>
      <w:szCs w:val="21"/>
    </w:rPr>
  </w:style>
  <w:style w:type="paragraph" w:customStyle="1" w:styleId="1485">
    <w:name w:val="列表 4F"/>
    <w:basedOn w:val="69"/>
    <w:qFormat/>
    <w:uiPriority w:val="99"/>
    <w:pPr>
      <w:tabs>
        <w:tab w:val="left" w:pos="980"/>
      </w:tabs>
      <w:topLinePunct w:val="0"/>
      <w:spacing w:beforeLines="50" w:afterLines="30" w:line="288" w:lineRule="auto"/>
      <w:ind w:left="980" w:leftChars="0" w:hanging="420" w:firstLineChars="0"/>
      <w:jc w:val="both"/>
    </w:pPr>
    <w:rPr>
      <w:rFonts w:ascii="Arial" w:hAnsi="Arial" w:eastAsia="宋体"/>
      <w:color w:val="CCFFFF"/>
      <w:sz w:val="24"/>
    </w:rPr>
  </w:style>
  <w:style w:type="paragraph" w:customStyle="1" w:styleId="1486">
    <w:name w:val="Table Body"/>
    <w:basedOn w:val="1"/>
    <w:qFormat/>
    <w:uiPriority w:val="99"/>
    <w:pPr>
      <w:spacing w:before="80" w:after="80"/>
    </w:pPr>
    <w:rPr>
      <w:rFonts w:ascii="Arial" w:hAnsi="Arial" w:eastAsia="Batang" w:cs="Times New Roman"/>
      <w:sz w:val="18"/>
      <w:szCs w:val="20"/>
      <w:lang w:eastAsia="ko-KR"/>
    </w:rPr>
  </w:style>
  <w:style w:type="paragraph" w:customStyle="1" w:styleId="1487">
    <w:name w:val="CM6"/>
    <w:basedOn w:val="102"/>
    <w:next w:val="102"/>
    <w:qFormat/>
    <w:uiPriority w:val="99"/>
    <w:pPr>
      <w:autoSpaceDE w:val="0"/>
      <w:autoSpaceDN w:val="0"/>
    </w:pPr>
    <w:rPr>
      <w:color w:val="auto"/>
    </w:rPr>
  </w:style>
  <w:style w:type="paragraph" w:customStyle="1" w:styleId="1488">
    <w:name w:val="Body Text First Indent3"/>
    <w:basedOn w:val="31"/>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0"/>
    </w:rPr>
  </w:style>
  <w:style w:type="paragraph" w:customStyle="1" w:styleId="1489">
    <w:name w:val="样式 题注 + 五号 加粗 居中"/>
    <w:basedOn w:val="1"/>
    <w:qFormat/>
    <w:uiPriority w:val="99"/>
    <w:pPr>
      <w:widowControl w:val="0"/>
      <w:spacing w:beforeLines="20" w:afterLines="20" w:line="360" w:lineRule="auto"/>
      <w:jc w:val="center"/>
    </w:pPr>
    <w:rPr>
      <w:rFonts w:ascii="Arial" w:hAnsi="Arial" w:eastAsia="黑体" w:cs="Times New Roman"/>
      <w:b/>
      <w:bCs/>
      <w:kern w:val="2"/>
      <w:szCs w:val="21"/>
    </w:rPr>
  </w:style>
  <w:style w:type="paragraph" w:customStyle="1" w:styleId="1490">
    <w:name w:val="列表 L"/>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91">
    <w:name w:val="列表 K"/>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92">
    <w:name w:val="Char Char Char Char Char Char Char Char Char Char Char Char1 Char Char Char Char Char Char Char Char Char Char Char Char1 Char"/>
    <w:basedOn w:val="1"/>
    <w:next w:val="1"/>
    <w:qFormat/>
    <w:uiPriority w:val="99"/>
    <w:pPr>
      <w:widowControl w:val="0"/>
      <w:spacing w:line="336" w:lineRule="auto"/>
      <w:ind w:firstLine="200" w:firstLineChars="200"/>
      <w:jc w:val="both"/>
    </w:pPr>
    <w:rPr>
      <w:rFonts w:eastAsia="汉鼎简书宋"/>
      <w:kern w:val="2"/>
    </w:rPr>
  </w:style>
  <w:style w:type="paragraph" w:customStyle="1" w:styleId="1493">
    <w:name w:val="列表 2Q"/>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94">
    <w:name w:val="列表 5H"/>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95">
    <w:name w:val="列表 2Y"/>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96">
    <w:name w:val="Char Char Char Char2"/>
    <w:basedOn w:val="1"/>
    <w:qFormat/>
    <w:uiPriority w:val="99"/>
    <w:pPr>
      <w:spacing w:after="160" w:line="240" w:lineRule="exact"/>
    </w:pPr>
    <w:rPr>
      <w:rFonts w:ascii="Verdana" w:hAnsi="Verdana" w:cs="Times New Roman"/>
      <w:sz w:val="20"/>
      <w:szCs w:val="20"/>
      <w:lang w:eastAsia="en-US"/>
    </w:rPr>
  </w:style>
  <w:style w:type="paragraph" w:customStyle="1" w:styleId="1497">
    <w:name w:val="Char Char Char Char Char Char1"/>
    <w:basedOn w:val="1"/>
    <w:qFormat/>
    <w:uiPriority w:val="0"/>
    <w:pPr>
      <w:jc w:val="both"/>
    </w:pPr>
    <w:rPr>
      <w:rFonts w:ascii="Times New Roman" w:hAnsi="Times New Roman" w:cs="Times New Roman"/>
    </w:rPr>
  </w:style>
  <w:style w:type="paragraph" w:customStyle="1" w:styleId="1498">
    <w:name w:val="6"/>
    <w:basedOn w:val="1"/>
    <w:next w:val="32"/>
    <w:qFormat/>
    <w:uiPriority w:val="99"/>
    <w:pPr>
      <w:widowControl w:val="0"/>
      <w:spacing w:line="300" w:lineRule="auto"/>
      <w:ind w:firstLine="480" w:firstLineChars="200"/>
      <w:jc w:val="both"/>
    </w:pPr>
    <w:rPr>
      <w:rFonts w:ascii="Times New Roman" w:hAnsi="Times New Roman" w:cs="Times New Roman"/>
      <w:kern w:val="2"/>
    </w:rPr>
  </w:style>
  <w:style w:type="paragraph" w:customStyle="1" w:styleId="1499">
    <w:name w:val="标题 3 + Arial 小四 非加粗 段前: 0 磅 段后: 6 磅 行距: 固定值 22 磅"/>
    <w:basedOn w:val="6"/>
    <w:next w:val="1"/>
    <w:qFormat/>
    <w:uiPriority w:val="99"/>
    <w:pPr>
      <w:widowControl w:val="0"/>
      <w:adjustRightInd w:val="0"/>
      <w:snapToGrid w:val="0"/>
      <w:spacing w:line="360" w:lineRule="auto"/>
      <w:jc w:val="both"/>
    </w:pPr>
    <w:rPr>
      <w:rFonts w:ascii="黑体" w:hAnsi="Arial"/>
      <w:bCs w:val="0"/>
      <w:color w:val="000000"/>
      <w:sz w:val="24"/>
      <w:szCs w:val="20"/>
    </w:rPr>
  </w:style>
  <w:style w:type="paragraph" w:customStyle="1" w:styleId="1500">
    <w:name w:val="表内文字"/>
    <w:basedOn w:val="1"/>
    <w:qFormat/>
    <w:uiPriority w:val="99"/>
    <w:pPr>
      <w:ind w:left="57" w:right="57"/>
      <w:jc w:val="center"/>
    </w:pPr>
    <w:rPr>
      <w:rFonts w:ascii="Times" w:hAnsi="Times" w:cs="Times"/>
      <w:snapToGrid w:val="0"/>
      <w:spacing w:val="-20"/>
      <w:sz w:val="21"/>
      <w:szCs w:val="21"/>
    </w:rPr>
  </w:style>
  <w:style w:type="paragraph" w:customStyle="1" w:styleId="1501">
    <w:name w:val="正文文本 小4"/>
    <w:qFormat/>
    <w:uiPriority w:val="99"/>
    <w:pPr>
      <w:widowControl w:val="0"/>
      <w:autoSpaceDE w:val="0"/>
      <w:autoSpaceDN w:val="0"/>
      <w:adjustRightInd w:val="0"/>
      <w:snapToGrid w:val="0"/>
      <w:spacing w:line="360" w:lineRule="auto"/>
      <w:ind w:firstLine="480" w:firstLineChars="200"/>
      <w:jc w:val="both"/>
    </w:pPr>
    <w:rPr>
      <w:rFonts w:ascii="仿宋_GB2312" w:hAnsi="Arial" w:eastAsia="仿宋_GB2312" w:cs="Times New Roman"/>
      <w:snapToGrid w:val="0"/>
      <w:color w:val="000000"/>
      <w:sz w:val="24"/>
      <w:lang w:val="en-US" w:eastAsia="zh-CN" w:bidi="ar-SA"/>
    </w:rPr>
  </w:style>
  <w:style w:type="paragraph" w:customStyle="1" w:styleId="1502">
    <w:name w:val="Char Char Char Char Char Char Char Char Char Char2"/>
    <w:basedOn w:val="1"/>
    <w:qFormat/>
    <w:uiPriority w:val="99"/>
    <w:pPr>
      <w:widowControl w:val="0"/>
      <w:jc w:val="both"/>
    </w:pPr>
    <w:rPr>
      <w:color w:val="000000"/>
      <w:kern w:val="2"/>
      <w:sz w:val="21"/>
      <w:szCs w:val="21"/>
    </w:rPr>
  </w:style>
  <w:style w:type="paragraph" w:customStyle="1" w:styleId="1503">
    <w:name w:val="表标题16.8－1"/>
    <w:basedOn w:val="1"/>
    <w:qFormat/>
    <w:uiPriority w:val="99"/>
    <w:pPr>
      <w:tabs>
        <w:tab w:val="left" w:pos="1560"/>
        <w:tab w:val="left" w:pos="2160"/>
        <w:tab w:val="left" w:pos="3060"/>
      </w:tabs>
      <w:adjustRightInd w:val="0"/>
      <w:snapToGrid w:val="0"/>
      <w:spacing w:line="0" w:lineRule="atLeast"/>
      <w:ind w:left="2400" w:hanging="420"/>
      <w:jc w:val="center"/>
      <w:textAlignment w:val="baseline"/>
    </w:pPr>
    <w:rPr>
      <w:rFonts w:ascii="Times New Roman" w:hAnsi="Times New Roman" w:eastAsia="黑体" w:cs="Times New Roman"/>
      <w:b/>
      <w:color w:val="000000"/>
      <w:kern w:val="2"/>
    </w:rPr>
  </w:style>
  <w:style w:type="paragraph" w:customStyle="1" w:styleId="1504">
    <w:name w:val="p15"/>
    <w:basedOn w:val="1"/>
    <w:qFormat/>
    <w:uiPriority w:val="99"/>
    <w:pPr>
      <w:snapToGrid w:val="0"/>
    </w:pPr>
    <w:rPr>
      <w:rFonts w:ascii="Times New Roman" w:hAnsi="Times New Roman" w:cs="Times New Roman"/>
      <w:color w:val="0000FF"/>
      <w:sz w:val="21"/>
      <w:szCs w:val="20"/>
    </w:rPr>
  </w:style>
  <w:style w:type="paragraph" w:customStyle="1" w:styleId="1505">
    <w:name w:val="表左"/>
    <w:basedOn w:val="1057"/>
    <w:qFormat/>
    <w:uiPriority w:val="99"/>
    <w:pPr>
      <w:tabs>
        <w:tab w:val="clear" w:pos="2190"/>
      </w:tabs>
      <w:ind w:right="0" w:rightChars="0"/>
      <w:jc w:val="both"/>
    </w:pPr>
  </w:style>
  <w:style w:type="paragraph" w:customStyle="1" w:styleId="1506">
    <w:name w:val="样式 样式 样式 样式 正文 首行缩进 + 首行缩进:  2 字符 行距: 单倍行距 + 首行缩进:  2 字符 + 小四 首行...2"/>
    <w:basedOn w:val="1"/>
    <w:qFormat/>
    <w:uiPriority w:val="99"/>
    <w:pPr>
      <w:widowControl w:val="0"/>
      <w:spacing w:line="312" w:lineRule="auto"/>
      <w:ind w:firstLine="480" w:firstLineChars="200"/>
      <w:jc w:val="both"/>
    </w:pPr>
    <w:rPr>
      <w:rFonts w:ascii="Arial" w:hAnsi="Arial"/>
      <w:kern w:val="2"/>
      <w:szCs w:val="20"/>
    </w:rPr>
  </w:style>
  <w:style w:type="paragraph" w:customStyle="1" w:styleId="1507">
    <w:name w:val="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508">
    <w:name w:val="xl83"/>
    <w:basedOn w:val="1"/>
    <w:qFormat/>
    <w:uiPriority w:val="99"/>
    <w:pPr>
      <w:pBdr>
        <w:top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09">
    <w:name w:val="xl103"/>
    <w:basedOn w:val="1"/>
    <w:qFormat/>
    <w:uiPriority w:val="99"/>
    <w:pPr>
      <w:pBdr>
        <w:top w:val="single" w:color="auto" w:sz="4" w:space="0"/>
        <w:left w:val="single" w:color="auto" w:sz="8"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510">
    <w:name w:val="列表 I"/>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11">
    <w:name w:val="样式 标题 2节标题2H2h2第一层条二级 标题 2标题 2 Char节标题1MVA21.1Headin..."/>
    <w:basedOn w:val="4"/>
    <w:qFormat/>
    <w:uiPriority w:val="99"/>
    <w:pPr>
      <w:keepNext w:val="0"/>
      <w:keepLines w:val="0"/>
      <w:widowControl w:val="0"/>
      <w:tabs>
        <w:tab w:val="left" w:pos="786"/>
      </w:tabs>
      <w:adjustRightInd w:val="0"/>
      <w:snapToGrid w:val="0"/>
      <w:spacing w:line="360" w:lineRule="auto"/>
      <w:ind w:left="786" w:hanging="786"/>
    </w:pPr>
    <w:rPr>
      <w:rFonts w:ascii="Times New Roman" w:hAnsi="宋体" w:eastAsia="宋体"/>
      <w:b/>
      <w:sz w:val="24"/>
      <w:szCs w:val="20"/>
    </w:rPr>
  </w:style>
  <w:style w:type="paragraph" w:customStyle="1" w:styleId="1512">
    <w:name w:val="xl110"/>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13">
    <w:name w:val="列表 1A"/>
    <w:basedOn w:val="806"/>
    <w:qFormat/>
    <w:uiPriority w:val="99"/>
    <w:pPr>
      <w:tabs>
        <w:tab w:val="left" w:pos="907"/>
        <w:tab w:val="clear" w:pos="432"/>
      </w:tabs>
      <w:ind w:left="907" w:hanging="567"/>
    </w:pPr>
  </w:style>
  <w:style w:type="paragraph" w:customStyle="1" w:styleId="1514">
    <w:name w:val="公司名"/>
    <w:basedOn w:val="1"/>
    <w:qFormat/>
    <w:uiPriority w:val="99"/>
    <w:pPr>
      <w:keepNext/>
      <w:keepLines/>
      <w:spacing w:beforeLines="50" w:afterLines="50" w:line="320" w:lineRule="atLeast"/>
      <w:jc w:val="center"/>
    </w:pPr>
    <w:rPr>
      <w:rFonts w:ascii="Arial" w:hAnsi="Arial" w:eastAsia="楷体_GB2312" w:cs="Times New Roman"/>
      <w:b/>
      <w:bCs/>
      <w:color w:val="CCFFCC"/>
      <w:kern w:val="28"/>
      <w:sz w:val="32"/>
      <w:szCs w:val="20"/>
      <w:lang w:bidi="he-IL"/>
    </w:rPr>
  </w:style>
  <w:style w:type="paragraph" w:customStyle="1" w:styleId="1515">
    <w:name w:val="样式 标题 2 + Times New Roman 小三 居中"/>
    <w:basedOn w:val="4"/>
    <w:qFormat/>
    <w:uiPriority w:val="99"/>
    <w:pPr>
      <w:spacing w:before="260" w:after="260" w:line="415" w:lineRule="auto"/>
      <w:ind w:firstLine="538" w:firstLineChars="192"/>
    </w:pPr>
    <w:rPr>
      <w:rFonts w:ascii="Times New Roman" w:hAnsi="Times New Roman" w:cs="宋体"/>
      <w:b/>
      <w:bCs w:val="0"/>
      <w:sz w:val="30"/>
      <w:szCs w:val="20"/>
    </w:rPr>
  </w:style>
  <w:style w:type="paragraph" w:customStyle="1" w:styleId="1516">
    <w:name w:val="列表 F"/>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17">
    <w:name w:val="样式 段前: 0.5 行 首行缩进:  2 字符"/>
    <w:basedOn w:val="1"/>
    <w:qFormat/>
    <w:uiPriority w:val="99"/>
    <w:pPr>
      <w:widowControl w:val="0"/>
      <w:adjustRightInd w:val="0"/>
      <w:snapToGrid w:val="0"/>
      <w:spacing w:before="156" w:line="360" w:lineRule="auto"/>
      <w:ind w:firstLine="480" w:firstLineChars="200"/>
      <w:jc w:val="both"/>
    </w:pPr>
    <w:rPr>
      <w:rFonts w:ascii="Times New Roman" w:hAnsi="Times New Roman"/>
      <w:kern w:val="2"/>
      <w:szCs w:val="20"/>
    </w:rPr>
  </w:style>
  <w:style w:type="paragraph" w:customStyle="1" w:styleId="1518">
    <w:name w:val="悬挂式正文"/>
    <w:basedOn w:val="1"/>
    <w:qFormat/>
    <w:uiPriority w:val="99"/>
    <w:pPr>
      <w:widowControl w:val="0"/>
      <w:tabs>
        <w:tab w:val="center" w:pos="6804"/>
        <w:tab w:val="right" w:pos="7371"/>
      </w:tabs>
      <w:overflowPunct w:val="0"/>
      <w:adjustRightInd w:val="0"/>
      <w:spacing w:line="360" w:lineRule="auto"/>
      <w:ind w:left="1701" w:hanging="1134"/>
      <w:jc w:val="both"/>
      <w:textAlignment w:val="baseline"/>
    </w:pPr>
    <w:rPr>
      <w:rFonts w:ascii="Times New Roman" w:hAnsi="Times New Roman" w:cs="Times New Roman"/>
      <w:sz w:val="28"/>
      <w:szCs w:val="20"/>
    </w:rPr>
  </w:style>
  <w:style w:type="paragraph" w:customStyle="1" w:styleId="1519">
    <w:name w:val="xl86"/>
    <w:basedOn w:val="1"/>
    <w:qFormat/>
    <w:uiPriority w:val="99"/>
    <w:pPr>
      <w:pBdr>
        <w:top w:val="single" w:color="auto" w:sz="8" w:space="0"/>
        <w:left w:val="single" w:color="auto" w:sz="8" w:space="0"/>
        <w:bottom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520">
    <w:name w:val="样式1－表头"/>
    <w:basedOn w:val="1"/>
    <w:qFormat/>
    <w:uiPriority w:val="99"/>
    <w:pPr>
      <w:widowControl w:val="0"/>
      <w:adjustRightInd w:val="0"/>
      <w:snapToGrid w:val="0"/>
      <w:spacing w:beforeLines="50" w:afterLines="50" w:line="336" w:lineRule="auto"/>
      <w:jc w:val="center"/>
    </w:pPr>
    <w:rPr>
      <w:rFonts w:ascii="Times New Roman" w:hAnsi="Times New Roman" w:eastAsia="黑体" w:cs="Times New Roman"/>
      <w:spacing w:val="6"/>
      <w:kern w:val="2"/>
      <w:szCs w:val="20"/>
    </w:rPr>
  </w:style>
  <w:style w:type="paragraph" w:customStyle="1" w:styleId="1521">
    <w:name w:val="xl104"/>
    <w:basedOn w:val="1"/>
    <w:qFormat/>
    <w:uiPriority w:val="99"/>
    <w:pPr>
      <w:pBdr>
        <w:left w:val="single" w:color="auto" w:sz="8"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522">
    <w:name w:val="列表 A"/>
    <w:basedOn w:val="59"/>
    <w:qFormat/>
    <w:uiPriority w:val="99"/>
    <w:pPr>
      <w:tabs>
        <w:tab w:val="left" w:pos="1021"/>
      </w:tabs>
      <w:spacing w:beforeLines="100" w:afterLines="50" w:line="288" w:lineRule="auto"/>
      <w:ind w:left="1021" w:hanging="454"/>
    </w:pPr>
    <w:rPr>
      <w:rFonts w:hint="default" w:ascii="Arial" w:hAnsi="Arial" w:eastAsia="宋体"/>
      <w:b/>
      <w:bCs/>
      <w:color w:val="FF99CC"/>
      <w:kern w:val="0"/>
      <w:szCs w:val="20"/>
    </w:rPr>
  </w:style>
  <w:style w:type="paragraph" w:customStyle="1" w:styleId="1523">
    <w:name w:val="04"/>
    <w:basedOn w:val="1"/>
    <w:qFormat/>
    <w:uiPriority w:val="99"/>
    <w:pPr>
      <w:widowControl w:val="0"/>
      <w:spacing w:line="312" w:lineRule="auto"/>
      <w:jc w:val="both"/>
    </w:pPr>
    <w:rPr>
      <w:rFonts w:ascii="Times New Roman" w:hAnsi="Times New Roman" w:eastAsia="华文仿宋" w:cs="Times New Roman"/>
      <w:kern w:val="2"/>
      <w:szCs w:val="30"/>
    </w:rPr>
  </w:style>
  <w:style w:type="paragraph" w:customStyle="1" w:styleId="1524">
    <w:name w:val="列表 5K"/>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25">
    <w:name w:val="正文文字进缩"/>
    <w:basedOn w:val="1"/>
    <w:qFormat/>
    <w:uiPriority w:val="0"/>
    <w:pPr>
      <w:widowControl w:val="0"/>
      <w:spacing w:line="360" w:lineRule="auto"/>
      <w:ind w:firstLine="539"/>
      <w:jc w:val="both"/>
    </w:pPr>
    <w:rPr>
      <w:rFonts w:hAnsi="Arial Black" w:cs="Times New Roman"/>
      <w:bCs/>
      <w:iCs/>
      <w:kern w:val="2"/>
      <w:sz w:val="28"/>
    </w:rPr>
  </w:style>
  <w:style w:type="paragraph" w:customStyle="1" w:styleId="1526">
    <w:name w:val="xl102"/>
    <w:basedOn w:val="1"/>
    <w:qFormat/>
    <w:uiPriority w:val="99"/>
    <w:pPr>
      <w:pBdr>
        <w:top w:val="single" w:color="auto" w:sz="4" w:space="0"/>
        <w:bottom w:val="single" w:color="auto" w:sz="4"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527">
    <w:name w:val="列表 4J"/>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28">
    <w:name w:val="奉读大示，心折殊深。"/>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529">
    <w:name w:val="16"/>
    <w:basedOn w:val="1"/>
    <w:qFormat/>
    <w:uiPriority w:val="0"/>
    <w:pPr>
      <w:spacing w:before="100" w:beforeAutospacing="1" w:after="100" w:afterAutospacing="1"/>
    </w:pPr>
  </w:style>
  <w:style w:type="paragraph" w:customStyle="1" w:styleId="1530">
    <w:name w:val="acee正文"/>
    <w:basedOn w:val="1"/>
    <w:qFormat/>
    <w:uiPriority w:val="99"/>
    <w:pPr>
      <w:widowControl w:val="0"/>
      <w:adjustRightInd w:val="0"/>
      <w:snapToGrid w:val="0"/>
      <w:spacing w:line="480" w:lineRule="exact"/>
      <w:ind w:firstLine="640" w:firstLineChars="200"/>
      <w:jc w:val="both"/>
    </w:pPr>
    <w:rPr>
      <w:rFonts w:ascii="仿宋_GB2312" w:eastAsia="仿宋_GB2312" w:cs="Times New Roman"/>
      <w:kern w:val="2"/>
      <w:sz w:val="32"/>
    </w:rPr>
  </w:style>
  <w:style w:type="paragraph" w:customStyle="1" w:styleId="1531">
    <w:name w:val="列表 2C"/>
    <w:basedOn w:val="34"/>
    <w:qFormat/>
    <w:uiPriority w:val="99"/>
    <w:pPr>
      <w:tabs>
        <w:tab w:val="left" w:pos="1275"/>
      </w:tabs>
      <w:snapToGrid/>
      <w:spacing w:before="100" w:beforeAutospacing="1" w:after="100" w:afterAutospacing="1" w:line="288" w:lineRule="auto"/>
      <w:ind w:left="1275" w:hanging="705"/>
      <w:jc w:val="both"/>
    </w:pPr>
    <w:rPr>
      <w:rFonts w:ascii="Arial" w:hAnsi="Arial"/>
      <w:color w:val="FFFF99"/>
      <w:sz w:val="24"/>
    </w:rPr>
  </w:style>
  <w:style w:type="paragraph" w:customStyle="1" w:styleId="1532">
    <w:name w:val="xl99"/>
    <w:basedOn w:val="1"/>
    <w:qFormat/>
    <w:uiPriority w:val="99"/>
    <w:pPr>
      <w:pBdr>
        <w:top w:val="single" w:color="auto" w:sz="8" w:space="0"/>
        <w:left w:val="single" w:color="auto" w:sz="8" w:space="0"/>
        <w:bottom w:val="single" w:color="auto" w:sz="4"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1533">
    <w:name w:val="图目"/>
    <w:basedOn w:val="1"/>
    <w:qFormat/>
    <w:uiPriority w:val="99"/>
    <w:pPr>
      <w:widowControl w:val="0"/>
      <w:adjustRightInd w:val="0"/>
      <w:spacing w:line="0" w:lineRule="atLeast"/>
      <w:jc w:val="center"/>
      <w:textAlignment w:val="baseline"/>
    </w:pPr>
    <w:rPr>
      <w:rFonts w:ascii="Arial" w:hAnsi="Arial" w:cs="Arial"/>
      <w:kern w:val="2"/>
      <w:sz w:val="21"/>
      <w:szCs w:val="20"/>
    </w:rPr>
  </w:style>
  <w:style w:type="paragraph" w:customStyle="1" w:styleId="1534">
    <w:name w:val="样式 黑体 居中 行距: 1.5 倍行距"/>
    <w:basedOn w:val="1"/>
    <w:qFormat/>
    <w:uiPriority w:val="0"/>
    <w:pPr>
      <w:widowControl w:val="0"/>
      <w:spacing w:line="360" w:lineRule="auto"/>
      <w:jc w:val="center"/>
    </w:pPr>
    <w:rPr>
      <w:rFonts w:ascii="黑体" w:hAnsi="黑体" w:eastAsia="黑体"/>
      <w:szCs w:val="20"/>
    </w:rPr>
  </w:style>
  <w:style w:type="paragraph" w:customStyle="1" w:styleId="1535">
    <w:name w:val="Char Char Char Char Char Char Char Char Char Char Char Char1 Char2"/>
    <w:basedOn w:val="1"/>
    <w:next w:val="1"/>
    <w:qFormat/>
    <w:uiPriority w:val="99"/>
    <w:pPr>
      <w:widowControl w:val="0"/>
      <w:spacing w:line="336" w:lineRule="auto"/>
      <w:ind w:firstLine="200" w:firstLineChars="200"/>
      <w:jc w:val="both"/>
    </w:pPr>
    <w:rPr>
      <w:rFonts w:eastAsia="汉鼎简书宋"/>
      <w:kern w:val="2"/>
    </w:rPr>
  </w:style>
  <w:style w:type="paragraph" w:customStyle="1" w:styleId="1536">
    <w:name w:val="内蒙3"/>
    <w:basedOn w:val="6"/>
    <w:qFormat/>
    <w:uiPriority w:val="99"/>
    <w:pPr>
      <w:widowControl w:val="0"/>
      <w:adjustRightInd w:val="0"/>
      <w:snapToGrid w:val="0"/>
      <w:spacing w:line="480" w:lineRule="exact"/>
      <w:jc w:val="both"/>
    </w:pPr>
    <w:rPr>
      <w:b/>
      <w:color w:val="FF0000"/>
      <w:spacing w:val="20"/>
      <w:sz w:val="24"/>
    </w:rPr>
  </w:style>
  <w:style w:type="paragraph" w:customStyle="1" w:styleId="1537">
    <w:name w:val="样式 标题 1 + (中文) 黑体 三号 居中 行距: 单倍行距"/>
    <w:basedOn w:val="3"/>
    <w:qFormat/>
    <w:uiPriority w:val="99"/>
    <w:pPr>
      <w:keepNext/>
      <w:keepLines/>
      <w:topLinePunct/>
      <w:autoSpaceDE w:val="0"/>
      <w:autoSpaceDN w:val="0"/>
      <w:adjustRightInd w:val="0"/>
      <w:snapToGrid w:val="0"/>
      <w:spacing w:before="340" w:after="330"/>
      <w:ind w:firstLine="538" w:firstLineChars="224"/>
    </w:pPr>
    <w:rPr>
      <w:rFonts w:ascii="宋体" w:hAnsi="Times New Roman" w:cs="宋体"/>
      <w:b/>
      <w:snapToGrid w:val="0"/>
      <w:kern w:val="44"/>
      <w:szCs w:val="20"/>
    </w:rPr>
  </w:style>
  <w:style w:type="paragraph" w:customStyle="1" w:styleId="1538">
    <w:name w:val="t12"/>
    <w:basedOn w:val="1"/>
    <w:qFormat/>
    <w:uiPriority w:val="99"/>
    <w:pPr>
      <w:spacing w:before="100" w:beforeAutospacing="1" w:after="100" w:afterAutospacing="1"/>
    </w:pPr>
  </w:style>
  <w:style w:type="paragraph" w:customStyle="1" w:styleId="1539">
    <w:name w:val="列表 2X"/>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40">
    <w:name w:val="文字表格"/>
    <w:basedOn w:val="177"/>
    <w:qFormat/>
    <w:uiPriority w:val="99"/>
    <w:pPr>
      <w:widowControl w:val="0"/>
      <w:tabs>
        <w:tab w:val="clear" w:pos="146"/>
      </w:tabs>
      <w:autoSpaceDE w:val="0"/>
      <w:autoSpaceDN w:val="0"/>
      <w:adjustRightInd w:val="0"/>
      <w:snapToGrid w:val="0"/>
      <w:spacing w:line="360" w:lineRule="atLeast"/>
      <w:ind w:right="0" w:rightChars="0" w:firstLine="0"/>
    </w:pPr>
    <w:rPr>
      <w:rFonts w:ascii="Times New Roman" w:hAnsi="Times New Roman" w:cs="宋体"/>
      <w:snapToGrid w:val="0"/>
      <w:color w:val="000000"/>
      <w:spacing w:val="0"/>
      <w:sz w:val="20"/>
      <w:szCs w:val="21"/>
      <w:lang w:val="zh-CN"/>
    </w:rPr>
  </w:style>
  <w:style w:type="paragraph" w:customStyle="1" w:styleId="1541">
    <w:name w:val="xl77"/>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42">
    <w:name w:val="s0"/>
    <w:qFormat/>
    <w:uiPriority w:val="99"/>
    <w:pPr>
      <w:widowControl w:val="0"/>
      <w:autoSpaceDE w:val="0"/>
      <w:autoSpaceDN w:val="0"/>
      <w:adjustRightInd w:val="0"/>
    </w:pPr>
    <w:rPr>
      <w:rFonts w:ascii="????" w:hAnsi="Times New Roman" w:eastAsia="????" w:cs="Times New Roman"/>
      <w:lang w:val="en-US" w:eastAsia="zh-CN" w:bidi="ar-SA"/>
    </w:rPr>
  </w:style>
  <w:style w:type="paragraph" w:customStyle="1" w:styleId="1543">
    <w:name w:val="xl108"/>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44">
    <w:name w:val="列表 3M"/>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45">
    <w:name w:val="正文文本缩进 31"/>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546">
    <w:name w:val="列表 2M"/>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47">
    <w:name w:val="表样式"/>
    <w:basedOn w:val="1036"/>
    <w:qFormat/>
    <w:uiPriority w:val="99"/>
    <w:pPr>
      <w:keepNext w:val="0"/>
      <w:widowControl w:val="0"/>
      <w:spacing w:beforeLines="0" w:line="240" w:lineRule="auto"/>
    </w:pPr>
    <w:rPr>
      <w:rFonts w:ascii="仿宋_GB2312" w:eastAsia="黑体"/>
      <w:sz w:val="21"/>
    </w:rPr>
  </w:style>
  <w:style w:type="paragraph" w:customStyle="1" w:styleId="1548">
    <w:name w:val="列表 3G"/>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49">
    <w:name w:val="默认段落字体 Para Char Char Char Char Char Char Char"/>
    <w:basedOn w:val="1"/>
    <w:qFormat/>
    <w:uiPriority w:val="99"/>
    <w:pPr>
      <w:widowControl w:val="0"/>
      <w:jc w:val="both"/>
    </w:pPr>
    <w:rPr>
      <w:rFonts w:ascii="Times New Roman" w:hAnsi="Times New Roman" w:cs="Times New Roman"/>
      <w:kern w:val="2"/>
      <w:sz w:val="21"/>
    </w:rPr>
  </w:style>
  <w:style w:type="paragraph" w:customStyle="1" w:styleId="1550">
    <w:name w:val="Char Char Char Char Char Char Char Char Char Char Char Char Char Char Char Char Char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551">
    <w:name w:val="样式 标题 1 + 黑体 三号 居中 行距: 固定值 20 磅"/>
    <w:basedOn w:val="3"/>
    <w:qFormat/>
    <w:uiPriority w:val="99"/>
    <w:pPr>
      <w:keepNext/>
      <w:keepLines/>
      <w:topLinePunct/>
      <w:autoSpaceDE w:val="0"/>
      <w:autoSpaceDN w:val="0"/>
      <w:adjustRightInd w:val="0"/>
      <w:snapToGrid w:val="0"/>
      <w:spacing w:before="340" w:after="330" w:line="400" w:lineRule="exact"/>
      <w:ind w:firstLine="538" w:firstLineChars="224"/>
    </w:pPr>
    <w:rPr>
      <w:rFonts w:ascii="黑体" w:hAnsi="黑体" w:cs="宋体"/>
      <w:b/>
      <w:snapToGrid w:val="0"/>
      <w:kern w:val="44"/>
      <w:szCs w:val="20"/>
    </w:rPr>
  </w:style>
  <w:style w:type="paragraph" w:customStyle="1" w:styleId="1552">
    <w:name w:val="论文正文"/>
    <w:basedOn w:val="1"/>
    <w:qFormat/>
    <w:uiPriority w:val="0"/>
    <w:pPr>
      <w:widowControl w:val="0"/>
      <w:ind w:firstLine="567"/>
      <w:jc w:val="both"/>
    </w:pPr>
    <w:rPr>
      <w:rFonts w:ascii="Times New Roman" w:hAnsi="Times New Roman" w:cs="Times New Roman"/>
      <w:kern w:val="2"/>
      <w:sz w:val="28"/>
      <w:szCs w:val="20"/>
    </w:rPr>
  </w:style>
  <w:style w:type="paragraph" w:customStyle="1" w:styleId="1553">
    <w:name w:val="样式 标题2　自动设置"/>
    <w:basedOn w:val="4"/>
    <w:qFormat/>
    <w:uiPriority w:val="99"/>
    <w:pPr>
      <w:widowControl w:val="0"/>
      <w:tabs>
        <w:tab w:val="left" w:pos="576"/>
      </w:tabs>
      <w:spacing w:beforeLines="50" w:afterLines="50" w:line="240" w:lineRule="auto"/>
      <w:ind w:left="576" w:hanging="576"/>
      <w:jc w:val="both"/>
    </w:pPr>
    <w:rPr>
      <w:rFonts w:ascii="宋体" w:hAnsi="宋体" w:eastAsia="宋体" w:cs="宋体"/>
      <w:b/>
      <w:szCs w:val="20"/>
    </w:rPr>
  </w:style>
  <w:style w:type="paragraph" w:customStyle="1" w:styleId="1554">
    <w:name w:val="标题样式4"/>
    <w:basedOn w:val="7"/>
    <w:qFormat/>
    <w:uiPriority w:val="99"/>
    <w:pPr>
      <w:keepNext w:val="0"/>
      <w:keepLines w:val="0"/>
      <w:widowControl w:val="0"/>
      <w:tabs>
        <w:tab w:val="left" w:pos="360"/>
      </w:tabs>
      <w:spacing w:line="360" w:lineRule="auto"/>
      <w:jc w:val="both"/>
    </w:pPr>
    <w:rPr>
      <w:rFonts w:ascii="黑体" w:eastAsia="黑体" w:cs="Times New Roman"/>
      <w:b/>
      <w:bCs/>
      <w:sz w:val="28"/>
      <w:szCs w:val="24"/>
    </w:rPr>
  </w:style>
  <w:style w:type="paragraph" w:customStyle="1" w:styleId="1555">
    <w:name w:val="列表 3D"/>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56">
    <w:name w:val="font14"/>
    <w:basedOn w:val="1"/>
    <w:qFormat/>
    <w:uiPriority w:val="99"/>
    <w:pPr>
      <w:spacing w:before="100" w:beforeAutospacing="1" w:after="100" w:afterAutospacing="1"/>
    </w:pPr>
    <w:rPr>
      <w:rFonts w:hint="eastAsia" w:cs="Arial Unicode MS"/>
      <w:b/>
      <w:bCs/>
      <w:sz w:val="16"/>
      <w:szCs w:val="16"/>
    </w:rPr>
  </w:style>
  <w:style w:type="paragraph" w:customStyle="1" w:styleId="1557">
    <w:name w:val="正文文本最新 Char Char Char1 Char Char Char Char Char"/>
    <w:qFormat/>
    <w:uiPriority w:val="99"/>
    <w:pPr>
      <w:spacing w:line="360" w:lineRule="auto"/>
      <w:ind w:firstLine="200" w:firstLineChars="200"/>
      <w:jc w:val="both"/>
    </w:pPr>
    <w:rPr>
      <w:rFonts w:ascii="Times New Roman" w:hAnsi="Times New Roman" w:eastAsia="宋体" w:cs="Times New Roman"/>
      <w:bCs/>
      <w:kern w:val="2"/>
      <w:sz w:val="28"/>
      <w:szCs w:val="24"/>
      <w:lang w:val="en-US" w:eastAsia="zh-CN" w:bidi="ar-SA"/>
    </w:rPr>
  </w:style>
  <w:style w:type="paragraph" w:customStyle="1" w:styleId="1558">
    <w:name w:val="正文文本缩进 21"/>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559">
    <w:name w:val="列表 5P"/>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60">
    <w:name w:val="Char22"/>
    <w:basedOn w:val="1"/>
    <w:qFormat/>
    <w:uiPriority w:val="99"/>
    <w:pPr>
      <w:widowControl w:val="0"/>
      <w:spacing w:line="360" w:lineRule="auto"/>
      <w:ind w:firstLine="200" w:firstLineChars="200"/>
      <w:jc w:val="both"/>
    </w:pPr>
    <w:rPr>
      <w:kern w:val="2"/>
    </w:rPr>
  </w:style>
  <w:style w:type="paragraph" w:customStyle="1" w:styleId="1561">
    <w:name w:val="列表 4E"/>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62">
    <w:name w:val="样式 标题 1章1.标题 1章节H1一、标题标题 1PartHeading 1pHeading 1p1Hea..."/>
    <w:basedOn w:val="3"/>
    <w:qFormat/>
    <w:uiPriority w:val="99"/>
    <w:pPr>
      <w:keepNext/>
      <w:keepLines/>
      <w:tabs>
        <w:tab w:val="left" w:pos="0"/>
        <w:tab w:val="left" w:pos="1260"/>
      </w:tabs>
      <w:adjustRightInd w:val="0"/>
      <w:spacing w:line="240" w:lineRule="atLeast"/>
      <w:ind w:left="896" w:hanging="420"/>
      <w:textAlignment w:val="baseline"/>
    </w:pPr>
    <w:rPr>
      <w:rFonts w:ascii="Times New Roman" w:hAnsi="Times New Roman"/>
      <w:bCs/>
      <w:color w:val="000000"/>
      <w:kern w:val="44"/>
      <w:sz w:val="30"/>
      <w:szCs w:val="30"/>
    </w:rPr>
  </w:style>
  <w:style w:type="paragraph" w:customStyle="1" w:styleId="1563">
    <w:name w:val="Char3"/>
    <w:basedOn w:val="1"/>
    <w:qFormat/>
    <w:uiPriority w:val="99"/>
    <w:pPr>
      <w:widowControl w:val="0"/>
      <w:jc w:val="both"/>
    </w:pPr>
    <w:rPr>
      <w:rFonts w:ascii="Times New Roman" w:hAnsi="Times New Roman" w:cs="Times New Roman"/>
      <w:kern w:val="2"/>
      <w:sz w:val="21"/>
    </w:rPr>
  </w:style>
  <w:style w:type="paragraph" w:customStyle="1" w:styleId="1564">
    <w:name w:val="列表 2A"/>
    <w:basedOn w:val="34"/>
    <w:qFormat/>
    <w:uiPriority w:val="99"/>
    <w:pPr>
      <w:tabs>
        <w:tab w:val="left" w:pos="1335"/>
      </w:tabs>
      <w:snapToGrid/>
      <w:spacing w:before="100" w:beforeAutospacing="1" w:after="100" w:afterAutospacing="1" w:line="288" w:lineRule="auto"/>
      <w:ind w:left="1335" w:hanging="705"/>
      <w:jc w:val="both"/>
    </w:pPr>
    <w:rPr>
      <w:rFonts w:ascii="Arial" w:hAnsi="Arial"/>
      <w:color w:val="FFFF99"/>
      <w:sz w:val="24"/>
    </w:rPr>
  </w:style>
  <w:style w:type="paragraph" w:customStyle="1" w:styleId="1565">
    <w:name w:val="hb3"/>
    <w:basedOn w:val="6"/>
    <w:qFormat/>
    <w:uiPriority w:val="99"/>
    <w:pPr>
      <w:widowControl w:val="0"/>
      <w:adjustRightInd w:val="0"/>
      <w:spacing w:before="260" w:after="260"/>
      <w:textAlignment w:val="baseline"/>
    </w:pPr>
    <w:rPr>
      <w:rFonts w:eastAsia="宋体"/>
      <w:b/>
      <w:bCs w:val="0"/>
      <w:sz w:val="28"/>
      <w:szCs w:val="28"/>
    </w:rPr>
  </w:style>
  <w:style w:type="paragraph" w:customStyle="1" w:styleId="1566">
    <w:name w:val="列表 4Y"/>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67">
    <w:name w:val="列表 2P"/>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68">
    <w:name w:val="样式 标题 1一、1.标题 1标题 1 Char标1章节标题-*+章标题 1文章标题h11st level..."/>
    <w:basedOn w:val="3"/>
    <w:qFormat/>
    <w:uiPriority w:val="99"/>
    <w:pPr>
      <w:widowControl w:val="0"/>
      <w:tabs>
        <w:tab w:val="left" w:pos="57"/>
      </w:tabs>
      <w:adjustRightInd w:val="0"/>
      <w:snapToGrid w:val="0"/>
      <w:spacing w:before="240" w:afterLines="50" w:line="312" w:lineRule="auto"/>
      <w:ind w:right="227"/>
      <w:jc w:val="both"/>
      <w:textAlignment w:val="baseline"/>
    </w:pPr>
    <w:rPr>
      <w:rFonts w:ascii="Times New Roman" w:hAnsi="Times New Roman"/>
      <w:bCs/>
      <w:snapToGrid w:val="0"/>
      <w:kern w:val="0"/>
      <w:sz w:val="36"/>
      <w:szCs w:val="20"/>
    </w:rPr>
  </w:style>
  <w:style w:type="paragraph" w:customStyle="1" w:styleId="1569">
    <w:name w:val="环保表内字（五号）"/>
    <w:basedOn w:val="1"/>
    <w:link w:val="1570"/>
    <w:qFormat/>
    <w:uiPriority w:val="0"/>
    <w:pPr>
      <w:widowControl w:val="0"/>
      <w:jc w:val="both"/>
    </w:pPr>
    <w:rPr>
      <w:rFonts w:ascii="Times New Roman" w:hAnsi="Times New Roman"/>
      <w:kern w:val="2"/>
      <w:sz w:val="21"/>
      <w:szCs w:val="21"/>
    </w:rPr>
  </w:style>
  <w:style w:type="character" w:customStyle="1" w:styleId="1570">
    <w:name w:val="环保表内字（五号） Char Char"/>
    <w:link w:val="1569"/>
    <w:qFormat/>
    <w:uiPriority w:val="0"/>
    <w:rPr>
      <w:rFonts w:cs="宋体"/>
      <w:kern w:val="2"/>
      <w:sz w:val="21"/>
      <w:szCs w:val="21"/>
    </w:rPr>
  </w:style>
  <w:style w:type="paragraph" w:customStyle="1" w:styleId="1571">
    <w:name w:val="目录"/>
    <w:basedOn w:val="54"/>
    <w:qFormat/>
    <w:uiPriority w:val="99"/>
    <w:pPr>
      <w:widowControl w:val="0"/>
      <w:tabs>
        <w:tab w:val="right" w:leader="dot" w:pos="9060"/>
      </w:tabs>
      <w:spacing w:line="420" w:lineRule="atLeast"/>
      <w:jc w:val="center"/>
    </w:pPr>
    <w:rPr>
      <w:rFonts w:ascii="黑体" w:hAnsi="Times New Roman"/>
      <w:b w:val="0"/>
      <w:caps w:val="0"/>
      <w:spacing w:val="12"/>
      <w:kern w:val="44"/>
      <w:sz w:val="44"/>
    </w:rPr>
  </w:style>
  <w:style w:type="paragraph" w:customStyle="1" w:styleId="1572">
    <w:name w:val="赵文本"/>
    <w:basedOn w:val="1"/>
    <w:qFormat/>
    <w:uiPriority w:val="0"/>
    <w:pPr>
      <w:widowControl w:val="0"/>
      <w:ind w:firstLine="480" w:firstLineChars="200"/>
    </w:pPr>
    <w:rPr>
      <w:rFonts w:ascii="Times New Roman" w:hAnsi="Times New Roman" w:eastAsia="仿宋_GB2312" w:cs="Times New Roman"/>
      <w:kern w:val="2"/>
      <w:szCs w:val="32"/>
    </w:rPr>
  </w:style>
  <w:style w:type="paragraph" w:customStyle="1" w:styleId="1573">
    <w:name w:val="正文11 Char Char"/>
    <w:basedOn w:val="1"/>
    <w:qFormat/>
    <w:uiPriority w:val="99"/>
    <w:pPr>
      <w:widowControl w:val="0"/>
      <w:adjustRightInd w:val="0"/>
      <w:spacing w:line="360" w:lineRule="auto"/>
      <w:ind w:left="6" w:firstLine="474"/>
      <w:textAlignment w:val="baseline"/>
    </w:pPr>
    <w:rPr>
      <w:rFonts w:eastAsia="仿宋_GB2312" w:cs="Times New Roman"/>
      <w:snapToGrid w:val="0"/>
    </w:rPr>
  </w:style>
  <w:style w:type="paragraph" w:customStyle="1" w:styleId="1574">
    <w:name w:val="列表 5F"/>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75">
    <w:name w:val="样式 黑色 首行缩进:  2 字符"/>
    <w:basedOn w:val="1"/>
    <w:qFormat/>
    <w:uiPriority w:val="99"/>
    <w:pPr>
      <w:widowControl w:val="0"/>
      <w:spacing w:line="360" w:lineRule="auto"/>
      <w:ind w:firstLine="560" w:firstLineChars="200"/>
      <w:jc w:val="both"/>
    </w:pPr>
    <w:rPr>
      <w:rFonts w:hAnsi="Times New Roman"/>
      <w:color w:val="000000"/>
      <w:kern w:val="2"/>
      <w:sz w:val="28"/>
      <w:szCs w:val="28"/>
    </w:rPr>
  </w:style>
  <w:style w:type="paragraph" w:customStyle="1" w:styleId="1576">
    <w:name w:val="列出段落1"/>
    <w:basedOn w:val="1"/>
    <w:qFormat/>
    <w:uiPriority w:val="99"/>
    <w:pPr>
      <w:widowControl w:val="0"/>
      <w:ind w:firstLine="420" w:firstLineChars="200"/>
      <w:jc w:val="both"/>
    </w:pPr>
    <w:rPr>
      <w:rFonts w:ascii="Calibri" w:hAnsi="Calibri" w:cs="Times New Roman"/>
      <w:kern w:val="2"/>
      <w:sz w:val="21"/>
      <w:szCs w:val="20"/>
    </w:rPr>
  </w:style>
  <w:style w:type="paragraph" w:customStyle="1" w:styleId="1577">
    <w:name w:val="列表 4H"/>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78">
    <w:name w:val="表头1"/>
    <w:basedOn w:val="1"/>
    <w:qFormat/>
    <w:uiPriority w:val="0"/>
    <w:pPr>
      <w:widowControl w:val="0"/>
      <w:jc w:val="center"/>
    </w:pPr>
    <w:rPr>
      <w:rFonts w:ascii="Times New Roman" w:hAnsi="Times New Roman" w:cs="Times New Roman"/>
      <w:bCs/>
      <w:kern w:val="2"/>
      <w:sz w:val="18"/>
    </w:rPr>
  </w:style>
  <w:style w:type="paragraph" w:customStyle="1" w:styleId="1579">
    <w:name w:val="列表 2F"/>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80">
    <w:name w:val="基准页眉样式"/>
    <w:basedOn w:val="31"/>
    <w:qFormat/>
    <w:uiPriority w:val="99"/>
    <w:pPr>
      <w:keepLines/>
      <w:tabs>
        <w:tab w:val="center" w:pos="4320"/>
        <w:tab w:val="right" w:pos="8640"/>
      </w:tabs>
      <w:spacing w:line="280" w:lineRule="exact"/>
      <w:jc w:val="center"/>
    </w:pPr>
    <w:rPr>
      <w:rFonts w:ascii="Times New Roman" w:hAnsi="Times New Roman"/>
      <w:color w:val="auto"/>
      <w:kern w:val="0"/>
      <w:sz w:val="30"/>
      <w:szCs w:val="20"/>
    </w:rPr>
  </w:style>
  <w:style w:type="paragraph" w:customStyle="1" w:styleId="1581">
    <w:name w:val="Char Char Char Char Char Char1 Char2"/>
    <w:basedOn w:val="1"/>
    <w:qFormat/>
    <w:uiPriority w:val="99"/>
    <w:pPr>
      <w:widowControl w:val="0"/>
      <w:jc w:val="both"/>
    </w:pPr>
    <w:rPr>
      <w:rFonts w:ascii="Times New Roman" w:hAnsi="Times New Roman" w:cs="Times New Roman"/>
      <w:kern w:val="2"/>
      <w:sz w:val="21"/>
    </w:rPr>
  </w:style>
  <w:style w:type="paragraph" w:customStyle="1" w:styleId="1582">
    <w:name w:val="正文文本 21"/>
    <w:basedOn w:val="1"/>
    <w:qFormat/>
    <w:uiPriority w:val="99"/>
    <w:pPr>
      <w:widowControl w:val="0"/>
      <w:adjustRightInd w:val="0"/>
      <w:ind w:left="425"/>
      <w:textAlignment w:val="baseline"/>
    </w:pPr>
    <w:rPr>
      <w:rFonts w:hAnsi="Times New Roman" w:cs="Times New Roman"/>
      <w:szCs w:val="20"/>
    </w:rPr>
  </w:style>
  <w:style w:type="paragraph" w:customStyle="1" w:styleId="1583">
    <w:name w:val="Pa0"/>
    <w:basedOn w:val="1"/>
    <w:next w:val="1"/>
    <w:qFormat/>
    <w:uiPriority w:val="99"/>
    <w:pPr>
      <w:widowControl w:val="0"/>
      <w:autoSpaceDE w:val="0"/>
      <w:autoSpaceDN w:val="0"/>
      <w:adjustRightInd w:val="0"/>
      <w:spacing w:line="241" w:lineRule="atLeast"/>
    </w:pPr>
    <w:rPr>
      <w:rFonts w:ascii="黑体" w:hAnsi="Times New Roman" w:eastAsia="黑体" w:cs="Times New Roman"/>
    </w:rPr>
  </w:style>
  <w:style w:type="paragraph" w:customStyle="1" w:styleId="1584">
    <w:name w:val="列表 2I"/>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85">
    <w:name w:val="图表目录2"/>
    <w:basedOn w:val="296"/>
    <w:next w:val="296"/>
    <w:qFormat/>
    <w:uiPriority w:val="99"/>
    <w:pPr>
      <w:tabs>
        <w:tab w:val="right" w:leader="dot" w:pos="8051"/>
      </w:tabs>
      <w:ind w:left="840" w:hanging="840"/>
    </w:pPr>
    <w:rPr>
      <w:sz w:val="24"/>
    </w:rPr>
  </w:style>
  <w:style w:type="paragraph" w:customStyle="1" w:styleId="1586">
    <w:name w:val="sec（1）"/>
    <w:basedOn w:val="1"/>
    <w:qFormat/>
    <w:uiPriority w:val="99"/>
    <w:pPr>
      <w:widowControl w:val="0"/>
      <w:tabs>
        <w:tab w:val="left" w:pos="1134"/>
      </w:tabs>
      <w:spacing w:beforeLines="20" w:afterLines="20"/>
      <w:ind w:left="1134" w:hanging="964"/>
      <w:jc w:val="both"/>
    </w:pPr>
    <w:rPr>
      <w:rFonts w:cs="Times New Roman"/>
      <w:color w:val="000000"/>
      <w:kern w:val="2"/>
      <w:szCs w:val="20"/>
    </w:rPr>
  </w:style>
  <w:style w:type="paragraph" w:customStyle="1" w:styleId="1587">
    <w:name w:val="列表 3I"/>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88">
    <w:name w:val="样式 行距: 1.5 倍行距"/>
    <w:basedOn w:val="1"/>
    <w:qFormat/>
    <w:uiPriority w:val="99"/>
    <w:pPr>
      <w:widowControl w:val="0"/>
      <w:spacing w:line="360" w:lineRule="auto"/>
      <w:ind w:firstLine="200" w:firstLineChars="200"/>
      <w:jc w:val="both"/>
    </w:pPr>
    <w:rPr>
      <w:rFonts w:ascii="Times New Roman" w:hAnsi="Times New Roman"/>
      <w:kern w:val="2"/>
    </w:rPr>
  </w:style>
  <w:style w:type="paragraph" w:customStyle="1" w:styleId="1589">
    <w:name w:val="图1-1"/>
    <w:basedOn w:val="324"/>
    <w:qFormat/>
    <w:uiPriority w:val="99"/>
    <w:pPr>
      <w:keepLines/>
      <w:tabs>
        <w:tab w:val="clear" w:pos="0"/>
      </w:tabs>
      <w:spacing w:line="240" w:lineRule="auto"/>
      <w:ind w:firstLine="0" w:firstLineChars="0"/>
      <w:jc w:val="center"/>
    </w:pPr>
    <w:rPr>
      <w:rFonts w:ascii="Times New Roman"/>
      <w:b w:val="0"/>
      <w:sz w:val="21"/>
      <w:szCs w:val="24"/>
    </w:rPr>
  </w:style>
  <w:style w:type="paragraph" w:customStyle="1" w:styleId="1590">
    <w:name w:val="列表 3N"/>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1">
    <w:name w:val="列表 4T"/>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92">
    <w:name w:val="列表 3C"/>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3">
    <w:name w:val="正文5"/>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594">
    <w:name w:val="样式 样式 标题 3H3H31H32H33u3条标题1.1.1Heading 3 - oldBold Headbh... + 非..."/>
    <w:basedOn w:val="1238"/>
    <w:next w:val="1238"/>
    <w:qFormat/>
    <w:uiPriority w:val="99"/>
    <w:rPr>
      <w:b w:val="0"/>
      <w:bCs w:val="0"/>
    </w:rPr>
  </w:style>
  <w:style w:type="paragraph" w:customStyle="1" w:styleId="1595">
    <w:name w:val="列表 N"/>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96">
    <w:name w:val="样式 湛江钢铁正文 +"/>
    <w:basedOn w:val="1"/>
    <w:qFormat/>
    <w:uiPriority w:val="99"/>
    <w:pPr>
      <w:widowControl w:val="0"/>
      <w:adjustRightInd w:val="0"/>
      <w:spacing w:afterLines="25" w:line="360" w:lineRule="auto"/>
      <w:ind w:firstLine="480" w:firstLineChars="200"/>
      <w:textAlignment w:val="baseline"/>
    </w:pPr>
    <w:rPr>
      <w:rFonts w:ascii="Times New Roman" w:hAnsi="Times New Roman" w:eastAsia="仿宋_GB2312" w:cs="Times New Roman"/>
      <w:color w:val="000000"/>
    </w:rPr>
  </w:style>
  <w:style w:type="paragraph" w:customStyle="1" w:styleId="1597">
    <w:name w:val="列表 2O"/>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98">
    <w:name w:val="a4"/>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599">
    <w:name w:val="日期11"/>
    <w:basedOn w:val="1"/>
    <w:next w:val="1"/>
    <w:qFormat/>
    <w:uiPriority w:val="99"/>
    <w:pPr>
      <w:widowControl w:val="0"/>
      <w:adjustRightInd w:val="0"/>
      <w:spacing w:line="360" w:lineRule="atLeast"/>
      <w:jc w:val="both"/>
      <w:textAlignment w:val="baseline"/>
    </w:pPr>
    <w:rPr>
      <w:rFonts w:hAnsi="Times New Roman" w:cs="Times New Roman"/>
      <w:spacing w:val="20"/>
      <w:sz w:val="28"/>
      <w:szCs w:val="20"/>
    </w:rPr>
  </w:style>
  <w:style w:type="paragraph" w:customStyle="1" w:styleId="1600">
    <w:name w:val="Char Char Char1 Char2"/>
    <w:basedOn w:val="1"/>
    <w:qFormat/>
    <w:uiPriority w:val="99"/>
    <w:pPr>
      <w:widowControl w:val="0"/>
      <w:jc w:val="both"/>
    </w:pPr>
    <w:rPr>
      <w:rFonts w:ascii="Times New Roman" w:hAnsi="Times New Roman" w:cs="Times New Roman"/>
      <w:kern w:val="2"/>
      <w:sz w:val="21"/>
    </w:rPr>
  </w:style>
  <w:style w:type="paragraph" w:customStyle="1" w:styleId="1601">
    <w:name w:val="表体"/>
    <w:basedOn w:val="1"/>
    <w:qFormat/>
    <w:uiPriority w:val="99"/>
    <w:pPr>
      <w:widowControl w:val="0"/>
      <w:adjustRightInd w:val="0"/>
      <w:snapToGrid w:val="0"/>
      <w:spacing w:beforeLines="20" w:afterLines="20"/>
      <w:jc w:val="center"/>
    </w:pPr>
    <w:rPr>
      <w:rFonts w:ascii="Times New Roman" w:hAnsi="Times New Roman" w:cs="Times New Roman"/>
      <w:kern w:val="2"/>
      <w:sz w:val="21"/>
    </w:rPr>
  </w:style>
  <w:style w:type="paragraph" w:customStyle="1" w:styleId="1602">
    <w:name w:val="reader-word-layer reader-word-s1-2"/>
    <w:basedOn w:val="1"/>
    <w:qFormat/>
    <w:uiPriority w:val="99"/>
    <w:pPr>
      <w:spacing w:before="100" w:beforeAutospacing="1" w:after="100" w:afterAutospacing="1"/>
    </w:pPr>
  </w:style>
  <w:style w:type="paragraph" w:customStyle="1" w:styleId="1603">
    <w:name w:val="样式 标题 2H2节标题 1.1节标题 1.1 Char1.1  标题 2  节标题 1.1第一章 标题 2Head..."/>
    <w:basedOn w:val="4"/>
    <w:qFormat/>
    <w:uiPriority w:val="99"/>
    <w:pPr>
      <w:widowControl w:val="0"/>
      <w:spacing w:line="360" w:lineRule="auto"/>
      <w:jc w:val="both"/>
    </w:pPr>
    <w:rPr>
      <w:rFonts w:ascii="Times New Roman" w:hAnsi="Times New Roman" w:eastAsia="宋体" w:cs="宋体"/>
      <w:b/>
      <w:sz w:val="24"/>
      <w:szCs w:val="20"/>
    </w:rPr>
  </w:style>
  <w:style w:type="paragraph" w:customStyle="1" w:styleId="1604">
    <w:name w:val="a"/>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605">
    <w:name w:val="样式 目录 2 + 左侧:  2 字符 首行缩进:  2 字符"/>
    <w:basedOn w:val="66"/>
    <w:qFormat/>
    <w:uiPriority w:val="99"/>
    <w:pPr>
      <w:tabs>
        <w:tab w:val="right" w:leader="dot" w:pos="8296"/>
        <w:tab w:val="right" w:leader="dot" w:pos="9060"/>
      </w:tabs>
      <w:snapToGrid w:val="0"/>
      <w:spacing w:after="40" w:line="360" w:lineRule="auto"/>
      <w:ind w:left="0" w:firstLine="476"/>
      <w:jc w:val="both"/>
    </w:pPr>
    <w:rPr>
      <w:rFonts w:ascii="Times New Roman" w:eastAsia="黑体" w:cs="宋体"/>
      <w:spacing w:val="20"/>
      <w:sz w:val="24"/>
    </w:rPr>
  </w:style>
  <w:style w:type="paragraph" w:customStyle="1" w:styleId="1606">
    <w:name w:val="样式 标题 2H2H21b2h2l22nd levelTitre22Header 2sect 1.2DO ..."/>
    <w:basedOn w:val="4"/>
    <w:qFormat/>
    <w:uiPriority w:val="99"/>
    <w:pPr>
      <w:widowControl w:val="0"/>
      <w:spacing w:before="240" w:after="240" w:line="240" w:lineRule="auto"/>
      <w:jc w:val="both"/>
    </w:pPr>
    <w:rPr>
      <w:rFonts w:ascii="Times New Roman" w:hAnsi="Times New Roman"/>
      <w:color w:val="FF0000"/>
      <w:spacing w:val="20"/>
      <w:szCs w:val="20"/>
    </w:rPr>
  </w:style>
  <w:style w:type="paragraph" w:customStyle="1" w:styleId="1607">
    <w:name w:val="报告"/>
    <w:basedOn w:val="1"/>
    <w:qFormat/>
    <w:uiPriority w:val="99"/>
    <w:pPr>
      <w:widowControl w:val="0"/>
      <w:autoSpaceDE w:val="0"/>
      <w:autoSpaceDN w:val="0"/>
      <w:adjustRightInd w:val="0"/>
      <w:spacing w:line="360" w:lineRule="auto"/>
      <w:ind w:firstLine="505"/>
      <w:textAlignment w:val="baseline"/>
    </w:pPr>
    <w:rPr>
      <w:rFonts w:ascii="Times New Roman" w:hAnsi="Times New Roman" w:cs="Times New Roman"/>
      <w:szCs w:val="20"/>
    </w:rPr>
  </w:style>
  <w:style w:type="paragraph" w:customStyle="1" w:styleId="1608">
    <w:name w:val="Char Char Char Char Char Char1 Char Char Char Char1"/>
    <w:basedOn w:val="1"/>
    <w:qFormat/>
    <w:uiPriority w:val="99"/>
    <w:pPr>
      <w:widowControl w:val="0"/>
      <w:jc w:val="both"/>
    </w:pPr>
    <w:rPr>
      <w:rFonts w:ascii="Times New Roman" w:hAnsi="Times New Roman" w:cs="Times New Roman"/>
      <w:kern w:val="2"/>
      <w:sz w:val="21"/>
    </w:rPr>
  </w:style>
  <w:style w:type="paragraph" w:customStyle="1" w:styleId="1609">
    <w:name w:val="报告书"/>
    <w:basedOn w:val="1"/>
    <w:qFormat/>
    <w:uiPriority w:val="99"/>
    <w:pPr>
      <w:widowControl w:val="0"/>
      <w:autoSpaceDE w:val="0"/>
      <w:autoSpaceDN w:val="0"/>
      <w:adjustRightInd w:val="0"/>
      <w:spacing w:line="360" w:lineRule="auto"/>
      <w:ind w:firstLine="505"/>
      <w:textAlignment w:val="bottom"/>
    </w:pPr>
    <w:rPr>
      <w:rFonts w:ascii="Times New Roman" w:hAnsi="Times New Roman" w:cs="Times New Roman"/>
      <w:szCs w:val="20"/>
    </w:rPr>
  </w:style>
  <w:style w:type="paragraph" w:customStyle="1" w:styleId="1610">
    <w:name w:val="lyh 0.0.0.0"/>
    <w:next w:val="1"/>
    <w:qFormat/>
    <w:uiPriority w:val="0"/>
    <w:pPr>
      <w:adjustRightInd w:val="0"/>
      <w:snapToGrid w:val="0"/>
      <w:spacing w:line="360" w:lineRule="auto"/>
      <w:outlineLvl w:val="3"/>
    </w:pPr>
    <w:rPr>
      <w:rFonts w:ascii="宋体" w:hAnsi="宋体" w:eastAsia="宋体" w:cs="Times New Roman"/>
      <w:sz w:val="28"/>
      <w:szCs w:val="24"/>
      <w:lang w:val="en-US" w:eastAsia="zh-CN" w:bidi="ar-SA"/>
    </w:rPr>
  </w:style>
  <w:style w:type="paragraph" w:customStyle="1" w:styleId="1611">
    <w:name w:val="样式 (符号) 宋体 首行缩进:  0.93 厘米 段前: 6 磅 段后: 6 磅 行距: 固定值 18 磅1"/>
    <w:basedOn w:val="1"/>
    <w:qFormat/>
    <w:uiPriority w:val="0"/>
    <w:pPr>
      <w:widowControl w:val="0"/>
      <w:spacing w:before="160" w:after="160" w:line="320" w:lineRule="exact"/>
      <w:ind w:firstLine="527"/>
      <w:jc w:val="both"/>
    </w:pPr>
    <w:rPr>
      <w:rFonts w:ascii="Times New Roman" w:cs="Times New Roman"/>
      <w:kern w:val="2"/>
      <w:szCs w:val="20"/>
    </w:rPr>
  </w:style>
  <w:style w:type="paragraph" w:customStyle="1" w:styleId="1612">
    <w:name w:val="二级标题"/>
    <w:basedOn w:val="1"/>
    <w:next w:val="1"/>
    <w:qFormat/>
    <w:uiPriority w:val="0"/>
    <w:pPr>
      <w:keepNext/>
      <w:widowControl w:val="0"/>
      <w:adjustRightInd w:val="0"/>
      <w:spacing w:before="240" w:after="240" w:line="312" w:lineRule="atLeast"/>
      <w:jc w:val="center"/>
    </w:pPr>
    <w:rPr>
      <w:rFonts w:ascii="Times New Roman" w:hAnsi="Times New Roman" w:cs="Times New Roman"/>
      <w:sz w:val="28"/>
      <w:szCs w:val="20"/>
    </w:rPr>
  </w:style>
  <w:style w:type="paragraph" w:customStyle="1" w:styleId="1613">
    <w:name w:val="尾注文本11"/>
    <w:basedOn w:val="250"/>
    <w:qFormat/>
    <w:uiPriority w:val="99"/>
    <w:rPr>
      <w:sz w:val="21"/>
    </w:rPr>
  </w:style>
  <w:style w:type="paragraph" w:customStyle="1" w:styleId="1614">
    <w:name w:val="Char Char Char Char Char Char Char Char Char Char Char Char1 Char Char Char Char Char Char Char Char Char Char Char Char1 Char2"/>
    <w:basedOn w:val="1"/>
    <w:next w:val="1"/>
    <w:qFormat/>
    <w:uiPriority w:val="0"/>
    <w:pPr>
      <w:widowControl w:val="0"/>
      <w:spacing w:line="336" w:lineRule="auto"/>
      <w:ind w:firstLine="200" w:firstLineChars="200"/>
      <w:jc w:val="both"/>
    </w:pPr>
    <w:rPr>
      <w:rFonts w:eastAsia="汉鼎简书宋"/>
      <w:kern w:val="2"/>
    </w:rPr>
  </w:style>
  <w:style w:type="paragraph" w:customStyle="1" w:styleId="1615">
    <w:name w:val="正文文本缩进 32"/>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616">
    <w:name w:val="正文文本缩进 211"/>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617">
    <w:name w:val="内蒙图"/>
    <w:basedOn w:val="1152"/>
    <w:qFormat/>
    <w:uiPriority w:val="99"/>
    <w:pPr>
      <w:jc w:val="center"/>
    </w:pPr>
    <w:rPr>
      <w:rFonts w:eastAsia="黑体"/>
    </w:rPr>
  </w:style>
  <w:style w:type="paragraph" w:customStyle="1" w:styleId="1618">
    <w:name w:val="Char4 Char Char Char Char Char Char11"/>
    <w:basedOn w:val="1"/>
    <w:qFormat/>
    <w:uiPriority w:val="99"/>
    <w:pPr>
      <w:widowControl w:val="0"/>
      <w:spacing w:line="360" w:lineRule="auto"/>
      <w:ind w:firstLine="200" w:firstLineChars="200"/>
      <w:jc w:val="both"/>
    </w:pPr>
    <w:rPr>
      <w:kern w:val="2"/>
    </w:rPr>
  </w:style>
  <w:style w:type="paragraph" w:customStyle="1" w:styleId="1619">
    <w:name w:val="xl123"/>
    <w:basedOn w:val="1"/>
    <w:qFormat/>
    <w:uiPriority w:val="99"/>
    <w:pPr>
      <w:pBdr>
        <w:left w:val="single" w:color="auto" w:sz="4" w:space="0"/>
        <w:bottom w:val="single" w:color="auto" w:sz="4" w:space="0"/>
        <w:right w:val="single" w:color="auto" w:sz="8" w:space="0"/>
      </w:pBdr>
      <w:spacing w:before="100" w:beforeAutospacing="1" w:after="100" w:afterAutospacing="1"/>
      <w:jc w:val="right"/>
    </w:pPr>
    <w:rPr>
      <w:rFonts w:ascii="Arial Unicode MS" w:hAnsi="Arial Unicode MS" w:eastAsia="Arial Unicode MS" w:cs="Arial Unicode MS"/>
    </w:rPr>
  </w:style>
  <w:style w:type="paragraph" w:customStyle="1" w:styleId="1620">
    <w:name w:val="表的格式（小四）"/>
    <w:basedOn w:val="1"/>
    <w:qFormat/>
    <w:uiPriority w:val="99"/>
    <w:pPr>
      <w:widowControl w:val="0"/>
      <w:adjustRightInd w:val="0"/>
      <w:spacing w:line="360" w:lineRule="atLeast"/>
      <w:jc w:val="center"/>
    </w:pPr>
    <w:rPr>
      <w:rFonts w:ascii="Times New Roman" w:hAnsi="Times New Roman" w:cs="Times New Roman"/>
      <w:szCs w:val="20"/>
    </w:rPr>
  </w:style>
  <w:style w:type="paragraph" w:customStyle="1" w:styleId="1621">
    <w:name w:val="项目符号2"/>
    <w:basedOn w:val="1622"/>
    <w:qFormat/>
    <w:uiPriority w:val="0"/>
    <w:pPr>
      <w:tabs>
        <w:tab w:val="left" w:pos="1146"/>
      </w:tabs>
      <w:spacing w:line="312" w:lineRule="auto"/>
      <w:ind w:left="850" w:hanging="720"/>
    </w:pPr>
    <w:rPr>
      <w:b/>
    </w:rPr>
  </w:style>
  <w:style w:type="paragraph" w:customStyle="1" w:styleId="1622">
    <w:name w:val="项目符号1"/>
    <w:basedOn w:val="1"/>
    <w:qFormat/>
    <w:uiPriority w:val="0"/>
    <w:pPr>
      <w:widowControl w:val="0"/>
      <w:spacing w:line="336" w:lineRule="auto"/>
      <w:jc w:val="both"/>
    </w:pPr>
    <w:rPr>
      <w:rFonts w:ascii="Times New Roman" w:hAnsi="Times New Roman" w:cs="Times New Roman"/>
      <w:kern w:val="2"/>
      <w:szCs w:val="20"/>
    </w:rPr>
  </w:style>
  <w:style w:type="paragraph" w:customStyle="1" w:styleId="1623">
    <w:name w:val="正文4"/>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624">
    <w:name w:val="公式样式1"/>
    <w:basedOn w:val="1"/>
    <w:qFormat/>
    <w:uiPriority w:val="99"/>
    <w:pPr>
      <w:widowControl w:val="0"/>
      <w:jc w:val="center"/>
    </w:pPr>
    <w:rPr>
      <w:rFonts w:ascii="Times New Roman" w:hAnsi="Times New Roman" w:cs="Times New Roman"/>
      <w:kern w:val="2"/>
      <w:sz w:val="21"/>
      <w:szCs w:val="21"/>
    </w:rPr>
  </w:style>
  <w:style w:type="paragraph" w:customStyle="1" w:styleId="1625">
    <w:name w:val="列出段落2"/>
    <w:basedOn w:val="1"/>
    <w:qFormat/>
    <w:uiPriority w:val="99"/>
    <w:pPr>
      <w:widowControl w:val="0"/>
      <w:ind w:firstLine="420" w:firstLineChars="200"/>
      <w:jc w:val="both"/>
    </w:pPr>
    <w:rPr>
      <w:rFonts w:ascii="Calibri" w:hAnsi="Calibri" w:cs="Times New Roman"/>
      <w:kern w:val="2"/>
      <w:sz w:val="21"/>
      <w:szCs w:val="20"/>
    </w:rPr>
  </w:style>
  <w:style w:type="paragraph" w:customStyle="1" w:styleId="1626">
    <w:name w:val="页脚3"/>
    <w:basedOn w:val="296"/>
    <w:qFormat/>
    <w:uiPriority w:val="99"/>
    <w:pPr>
      <w:tabs>
        <w:tab w:val="center" w:pos="4153"/>
        <w:tab w:val="right" w:pos="8306"/>
      </w:tabs>
      <w:spacing w:line="240" w:lineRule="atLeast"/>
    </w:pPr>
    <w:rPr>
      <w:sz w:val="18"/>
    </w:rPr>
  </w:style>
  <w:style w:type="paragraph" w:customStyle="1" w:styleId="1627">
    <w:name w:val="尾注文本2"/>
    <w:basedOn w:val="296"/>
    <w:qFormat/>
    <w:uiPriority w:val="99"/>
    <w:rPr>
      <w:sz w:val="21"/>
    </w:rPr>
  </w:style>
  <w:style w:type="paragraph" w:customStyle="1" w:styleId="1628">
    <w:name w:val="正文文本缩进 22"/>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629">
    <w:name w:val="Char 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1630">
    <w:name w:val="样式 样式 标题 4款标题1.1.1.1 南陵标题 4标题 4 CharH4PIM 4h4First Subheadin... ..."/>
    <w:basedOn w:val="1043"/>
    <w:qFormat/>
    <w:uiPriority w:val="0"/>
    <w:pPr>
      <w:jc w:val="left"/>
    </w:pPr>
    <w:rPr>
      <w:kern w:val="2"/>
    </w:rPr>
  </w:style>
  <w:style w:type="paragraph" w:customStyle="1" w:styleId="1631">
    <w:name w:val="reader-word-layer reader-word-s33-6"/>
    <w:basedOn w:val="1"/>
    <w:qFormat/>
    <w:uiPriority w:val="99"/>
    <w:pPr>
      <w:spacing w:before="100" w:beforeAutospacing="1" w:after="100" w:afterAutospacing="1"/>
    </w:pPr>
  </w:style>
  <w:style w:type="paragraph" w:customStyle="1" w:styleId="1632">
    <w:name w:val="CSI  Body 2"/>
    <w:basedOn w:val="1"/>
    <w:qFormat/>
    <w:uiPriority w:val="99"/>
    <w:pPr>
      <w:spacing w:after="240"/>
      <w:ind w:left="1440"/>
    </w:pPr>
    <w:rPr>
      <w:rFonts w:ascii="Arial" w:hAnsi="Arial" w:eastAsia="Batang" w:cs="Times New Roman"/>
      <w:lang w:eastAsia="ko-KR"/>
    </w:rPr>
  </w:style>
  <w:style w:type="paragraph" w:customStyle="1" w:styleId="1633">
    <w:name w:val="表格文字2wj"/>
    <w:qFormat/>
    <w:uiPriority w:val="99"/>
    <w:pPr>
      <w:adjustRightInd w:val="0"/>
      <w:snapToGrid w:val="0"/>
      <w:jc w:val="center"/>
    </w:pPr>
    <w:rPr>
      <w:rFonts w:ascii="Times New Roman" w:hAnsi="Times New Roman" w:eastAsia="宋体" w:cs="Times New Roman"/>
      <w:sz w:val="21"/>
      <w:szCs w:val="21"/>
      <w:lang w:val="en-US" w:eastAsia="zh-CN" w:bidi="ar-SA"/>
    </w:rPr>
  </w:style>
  <w:style w:type="paragraph" w:customStyle="1" w:styleId="1634">
    <w:name w:val="正文编号"/>
    <w:basedOn w:val="1"/>
    <w:qFormat/>
    <w:uiPriority w:val="99"/>
    <w:pPr>
      <w:widowControl w:val="0"/>
      <w:tabs>
        <w:tab w:val="left" w:pos="726"/>
      </w:tabs>
      <w:adjustRightInd w:val="0"/>
      <w:spacing w:line="300" w:lineRule="auto"/>
      <w:ind w:left="2" w:firstLine="4"/>
      <w:textAlignment w:val="baseline"/>
    </w:pPr>
    <w:rPr>
      <w:rFonts w:eastAsia="仿宋_GB2312" w:cs="Times New Roman"/>
      <w:snapToGrid w:val="0"/>
    </w:rPr>
  </w:style>
  <w:style w:type="paragraph" w:customStyle="1" w:styleId="1635">
    <w:name w:val="样式 样式 标题 3 + 段前: 1 行 段后: 1 行 + 段前: 0.5 行1"/>
    <w:basedOn w:val="1"/>
    <w:qFormat/>
    <w:uiPriority w:val="99"/>
    <w:pPr>
      <w:keepNext/>
      <w:tabs>
        <w:tab w:val="left" w:pos="1931"/>
      </w:tabs>
      <w:overflowPunct w:val="0"/>
      <w:autoSpaceDE w:val="0"/>
      <w:autoSpaceDN w:val="0"/>
      <w:adjustRightInd w:val="0"/>
      <w:snapToGrid w:val="0"/>
      <w:spacing w:beforeLines="50" w:after="240"/>
      <w:ind w:left="1418" w:hanging="567"/>
      <w:textAlignment w:val="baseline"/>
      <w:outlineLvl w:val="2"/>
    </w:pPr>
    <w:rPr>
      <w:rFonts w:ascii="Times New Roman" w:hAnsi="Times New Roman" w:eastAsia="黑体"/>
      <w:bCs/>
      <w:color w:val="000000"/>
      <w:kern w:val="10"/>
      <w:sz w:val="28"/>
      <w:szCs w:val="28"/>
    </w:rPr>
  </w:style>
  <w:style w:type="paragraph" w:customStyle="1" w:styleId="1636">
    <w:name w:val="修订1"/>
    <w:qFormat/>
    <w:uiPriority w:val="99"/>
    <w:rPr>
      <w:rFonts w:ascii="Calibri" w:hAnsi="Calibri" w:eastAsia="宋体" w:cs="Times New Roman"/>
      <w:kern w:val="2"/>
      <w:sz w:val="21"/>
      <w:szCs w:val="22"/>
      <w:lang w:val="en-US" w:eastAsia="zh-CN" w:bidi="ar-SA"/>
    </w:rPr>
  </w:style>
  <w:style w:type="paragraph" w:customStyle="1" w:styleId="1637">
    <w:name w:val="表名1"/>
    <w:basedOn w:val="1607"/>
    <w:qFormat/>
    <w:uiPriority w:val="99"/>
  </w:style>
  <w:style w:type="paragraph" w:customStyle="1" w:styleId="1638">
    <w:name w:val="正文（英）"/>
    <w:basedOn w:val="1"/>
    <w:qFormat/>
    <w:uiPriority w:val="99"/>
    <w:pPr>
      <w:widowControl w:val="0"/>
      <w:adjustRightInd w:val="0"/>
      <w:jc w:val="both"/>
      <w:textAlignment w:val="baseline"/>
    </w:pPr>
    <w:rPr>
      <w:rFonts w:ascii="Arial" w:hAnsi="Arial" w:eastAsia="仿宋_GB2312" w:cs="Times New Roman"/>
      <w:color w:val="FF0000"/>
    </w:rPr>
  </w:style>
  <w:style w:type="paragraph" w:customStyle="1" w:styleId="1639">
    <w:name w:val="样式 楷体_GB2312 居中"/>
    <w:basedOn w:val="1"/>
    <w:qFormat/>
    <w:uiPriority w:val="99"/>
    <w:pPr>
      <w:widowControl w:val="0"/>
      <w:spacing w:line="360" w:lineRule="auto"/>
      <w:jc w:val="center"/>
    </w:pPr>
    <w:rPr>
      <w:rFonts w:ascii="楷体_GB2312" w:hAnsi="Times New Roman" w:eastAsia="楷体_GB2312" w:cs="Times New Roman"/>
      <w:kern w:val="2"/>
      <w:sz w:val="21"/>
      <w:szCs w:val="20"/>
    </w:rPr>
  </w:style>
  <w:style w:type="paragraph" w:customStyle="1" w:styleId="1640">
    <w:name w:val="表格单位"/>
    <w:basedOn w:val="1"/>
    <w:qFormat/>
    <w:uiPriority w:val="99"/>
    <w:pPr>
      <w:widowControl w:val="0"/>
      <w:spacing w:line="240" w:lineRule="atLeast"/>
      <w:jc w:val="right"/>
    </w:pPr>
    <w:rPr>
      <w:rFonts w:ascii="Times New Roman" w:hAnsi="Times New Roman" w:eastAsia="仿宋_GB2312" w:cs="Times New Roman"/>
      <w:kern w:val="2"/>
      <w:sz w:val="18"/>
    </w:rPr>
  </w:style>
  <w:style w:type="paragraph" w:customStyle="1" w:styleId="1641">
    <w:name w:val="SCIDI章标题"/>
    <w:basedOn w:val="4"/>
    <w:next w:val="1"/>
    <w:qFormat/>
    <w:uiPriority w:val="99"/>
    <w:pPr>
      <w:widowControl w:val="0"/>
      <w:adjustRightInd w:val="0"/>
      <w:snapToGrid w:val="0"/>
      <w:spacing w:after="260" w:line="360" w:lineRule="auto"/>
      <w:jc w:val="center"/>
    </w:pPr>
    <w:rPr>
      <w:rFonts w:ascii="Times New Roman" w:hAnsi="Times New Roman" w:eastAsia="宋体"/>
      <w:sz w:val="32"/>
    </w:rPr>
  </w:style>
  <w:style w:type="paragraph" w:customStyle="1" w:styleId="1642">
    <w:name w:val="style3"/>
    <w:basedOn w:val="1"/>
    <w:qFormat/>
    <w:uiPriority w:val="99"/>
    <w:pPr>
      <w:spacing w:before="100" w:beforeAutospacing="1" w:after="100" w:afterAutospacing="1"/>
    </w:pPr>
    <w:rPr>
      <w:rFonts w:eastAsia="仿宋_GB2312"/>
    </w:rPr>
  </w:style>
  <w:style w:type="paragraph" w:customStyle="1" w:styleId="1643">
    <w:name w:val="Char1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644">
    <w:name w:val="style4"/>
    <w:basedOn w:val="1"/>
    <w:qFormat/>
    <w:uiPriority w:val="99"/>
    <w:pPr>
      <w:spacing w:before="100" w:beforeAutospacing="1" w:after="100" w:afterAutospacing="1"/>
    </w:pPr>
    <w:rPr>
      <w:rFonts w:cs="Times New Roman"/>
      <w:szCs w:val="20"/>
    </w:rPr>
  </w:style>
  <w:style w:type="paragraph" w:customStyle="1" w:styleId="1645">
    <w:name w:val="Char Char Char Char Char Char Char Char Char1 Char Char Char Char Char Char Char Char Char Char Char Char Char Char Char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646">
    <w:name w:val="Char Char Char2"/>
    <w:basedOn w:val="1"/>
    <w:qFormat/>
    <w:uiPriority w:val="0"/>
    <w:pPr>
      <w:widowControl w:val="0"/>
      <w:jc w:val="both"/>
    </w:pPr>
    <w:rPr>
      <w:rFonts w:ascii="Tahoma" w:hAnsi="Tahoma" w:eastAsia="黑体" w:cs="Times New Roman"/>
      <w:kern w:val="2"/>
      <w:sz w:val="28"/>
      <w:szCs w:val="28"/>
    </w:rPr>
  </w:style>
  <w:style w:type="paragraph" w:customStyle="1" w:styleId="1647">
    <w:name w:val="字元 字元 Char Char 字元 字元1 Char Char Char1"/>
    <w:basedOn w:val="1"/>
    <w:qFormat/>
    <w:uiPriority w:val="99"/>
    <w:pPr>
      <w:widowControl w:val="0"/>
      <w:jc w:val="both"/>
    </w:pPr>
    <w:rPr>
      <w:rFonts w:ascii="Times New Roman" w:hAnsi="Times New Roman" w:cs="Times New Roman"/>
      <w:kern w:val="2"/>
    </w:rPr>
  </w:style>
  <w:style w:type="paragraph" w:customStyle="1" w:styleId="1648">
    <w:name w:val="Char1 Char Char Char Char Char Char2 Char Char Char Char Char Char Char Char Char Char Char Char Char Char Char Char Char Char1"/>
    <w:basedOn w:val="1"/>
    <w:qFormat/>
    <w:uiPriority w:val="99"/>
    <w:pPr>
      <w:widowControl w:val="0"/>
      <w:jc w:val="both"/>
    </w:pPr>
    <w:rPr>
      <w:rFonts w:ascii="Times New Roman" w:hAnsi="Times New Roman" w:cs="Times New Roman"/>
      <w:kern w:val="2"/>
      <w:sz w:val="21"/>
    </w:rPr>
  </w:style>
  <w:style w:type="paragraph" w:customStyle="1" w:styleId="1649">
    <w:name w:val="Char Char Char Char Char Char Char Char Char Char Char1 Char Char Char Char1"/>
    <w:basedOn w:val="1"/>
    <w:qFormat/>
    <w:uiPriority w:val="0"/>
    <w:pPr>
      <w:widowControl w:val="0"/>
      <w:jc w:val="both"/>
    </w:pPr>
    <w:rPr>
      <w:rFonts w:ascii="Times New Roman" w:hAnsi="Times New Roman" w:cs="Times New Roman"/>
      <w:kern w:val="2"/>
      <w:sz w:val="21"/>
    </w:rPr>
  </w:style>
  <w:style w:type="paragraph" w:customStyle="1" w:styleId="1650">
    <w:name w:val="lyh 0.0.0"/>
    <w:next w:val="1"/>
    <w:qFormat/>
    <w:uiPriority w:val="0"/>
    <w:pPr>
      <w:adjustRightInd w:val="0"/>
      <w:snapToGrid w:val="0"/>
      <w:spacing w:line="360" w:lineRule="auto"/>
      <w:outlineLvl w:val="2"/>
    </w:pPr>
    <w:rPr>
      <w:rFonts w:ascii="宋体" w:hAnsi="宋体" w:eastAsia="宋体" w:cs="Times New Roman"/>
      <w:b/>
      <w:sz w:val="28"/>
      <w:szCs w:val="24"/>
      <w:lang w:val="en-US" w:eastAsia="zh-CN" w:bidi="ar-SA"/>
    </w:rPr>
  </w:style>
  <w:style w:type="paragraph" w:customStyle="1" w:styleId="1651">
    <w:name w:val="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652">
    <w:name w:val="小标题@"/>
    <w:basedOn w:val="1"/>
    <w:qFormat/>
    <w:uiPriority w:val="0"/>
    <w:pPr>
      <w:widowControl w:val="0"/>
      <w:tabs>
        <w:tab w:val="left" w:pos="840"/>
      </w:tabs>
      <w:adjustRightInd w:val="0"/>
      <w:spacing w:before="60" w:after="60"/>
      <w:ind w:left="828" w:hanging="348"/>
      <w:jc w:val="both"/>
      <w:textAlignment w:val="baseline"/>
    </w:pPr>
    <w:rPr>
      <w:rFonts w:ascii="Times New Roman" w:hAnsi="Times New Roman" w:cs="Times New Roman"/>
      <w:kern w:val="2"/>
      <w:szCs w:val="20"/>
    </w:rPr>
  </w:style>
  <w:style w:type="paragraph" w:customStyle="1" w:styleId="1653">
    <w:name w:val="4"/>
    <w:basedOn w:val="1"/>
    <w:next w:val="1"/>
    <w:qFormat/>
    <w:uiPriority w:val="0"/>
    <w:pPr>
      <w:widowControl w:val="0"/>
      <w:jc w:val="both"/>
    </w:pPr>
    <w:rPr>
      <w:rFonts w:hAnsi="Courier New" w:cs="Times New Roman"/>
      <w:kern w:val="2"/>
      <w:sz w:val="21"/>
      <w:szCs w:val="20"/>
    </w:rPr>
  </w:style>
  <w:style w:type="paragraph" w:customStyle="1" w:styleId="1654">
    <w:name w:val="样式 标题 1 + 左侧:  0 厘米 首行缩进:  0 厘米"/>
    <w:basedOn w:val="3"/>
    <w:qFormat/>
    <w:uiPriority w:val="0"/>
    <w:pPr>
      <w:keepNext/>
      <w:keepLines/>
      <w:widowControl w:val="0"/>
      <w:tabs>
        <w:tab w:val="left" w:pos="425"/>
        <w:tab w:val="left" w:pos="720"/>
        <w:tab w:val="left" w:pos="1200"/>
      </w:tabs>
      <w:spacing w:before="120" w:after="120"/>
      <w:ind w:left="720"/>
    </w:pPr>
    <w:rPr>
      <w:rFonts w:ascii="Times New Roman" w:hAnsi="Times New Roman"/>
      <w:b/>
      <w:bCs/>
      <w:color w:val="000000"/>
      <w:kern w:val="44"/>
      <w:sz w:val="28"/>
      <w:szCs w:val="28"/>
    </w:rPr>
  </w:style>
  <w:style w:type="paragraph" w:customStyle="1" w:styleId="1655">
    <w:name w:val="Char Char Char Char Char Char Char Char Char Char Char2"/>
    <w:basedOn w:val="1"/>
    <w:qFormat/>
    <w:uiPriority w:val="0"/>
    <w:pPr>
      <w:widowControl w:val="0"/>
      <w:jc w:val="both"/>
    </w:pPr>
    <w:rPr>
      <w:rFonts w:ascii="Times New Roman" w:hAnsi="Times New Roman" w:cs="Times New Roman"/>
      <w:kern w:val="2"/>
      <w:sz w:val="21"/>
    </w:rPr>
  </w:style>
  <w:style w:type="paragraph" w:customStyle="1" w:styleId="1656">
    <w:name w:val="副标题4"/>
    <w:basedOn w:val="1450"/>
    <w:qFormat/>
    <w:uiPriority w:val="0"/>
    <w:pPr>
      <w:tabs>
        <w:tab w:val="left" w:pos="1275"/>
        <w:tab w:val="left" w:pos="1575"/>
        <w:tab w:val="left" w:pos="2100"/>
        <w:tab w:val="clear" w:pos="672"/>
        <w:tab w:val="clear" w:pos="720"/>
      </w:tabs>
      <w:ind w:left="1275" w:hanging="705"/>
      <w:outlineLvl w:val="4"/>
    </w:pPr>
  </w:style>
  <w:style w:type="paragraph" w:customStyle="1" w:styleId="1657">
    <w:name w:val="样式 标题 1 + 首行缩进:  2 字符"/>
    <w:basedOn w:val="3"/>
    <w:next w:val="1157"/>
    <w:qFormat/>
    <w:uiPriority w:val="0"/>
    <w:pPr>
      <w:keepNext/>
      <w:widowControl w:val="0"/>
      <w:spacing w:line="720" w:lineRule="auto"/>
      <w:ind w:firstLine="200" w:firstLineChars="200"/>
      <w:jc w:val="center"/>
    </w:pPr>
    <w:rPr>
      <w:rFonts w:ascii="黑体" w:hAnsi="Times New Roman" w:cs="宋体"/>
      <w:b/>
      <w:sz w:val="36"/>
      <w:szCs w:val="20"/>
    </w:rPr>
  </w:style>
  <w:style w:type="paragraph" w:customStyle="1" w:styleId="1658">
    <w:name w:val="样式 Times New Roman 五号 居中"/>
    <w:basedOn w:val="1"/>
    <w:qFormat/>
    <w:uiPriority w:val="0"/>
    <w:pPr>
      <w:widowControl w:val="0"/>
      <w:jc w:val="center"/>
    </w:pPr>
    <w:rPr>
      <w:rFonts w:ascii="Times New Roman" w:hAnsi="Times New Roman"/>
      <w:kern w:val="2"/>
      <w:sz w:val="21"/>
      <w:szCs w:val="20"/>
    </w:rPr>
  </w:style>
  <w:style w:type="paragraph" w:customStyle="1" w:styleId="1659">
    <w:name w:val="Char Char Char Char Char Char Char Char Char Char Char1 Char Char Char Char Char Char Char1"/>
    <w:basedOn w:val="1"/>
    <w:qFormat/>
    <w:uiPriority w:val="0"/>
    <w:pPr>
      <w:widowControl w:val="0"/>
      <w:jc w:val="both"/>
    </w:pPr>
    <w:rPr>
      <w:rFonts w:ascii="Times New Roman" w:hAnsi="Times New Roman" w:cs="Times New Roman"/>
      <w:kern w:val="2"/>
      <w:sz w:val="21"/>
    </w:rPr>
  </w:style>
  <w:style w:type="paragraph" w:customStyle="1" w:styleId="1660">
    <w:name w:val="Char2 Char Char Char Char Char Char Char Char Char1"/>
    <w:basedOn w:val="1"/>
    <w:qFormat/>
    <w:uiPriority w:val="0"/>
    <w:pPr>
      <w:widowControl w:val="0"/>
      <w:spacing w:line="360" w:lineRule="auto"/>
      <w:ind w:firstLine="200" w:firstLineChars="200"/>
      <w:jc w:val="both"/>
    </w:pPr>
    <w:rPr>
      <w:kern w:val="2"/>
    </w:rPr>
  </w:style>
  <w:style w:type="paragraph" w:customStyle="1" w:styleId="1661">
    <w:name w:val="Char Char Char Char Char Char Char Char Char 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table" w:customStyle="1" w:styleId="1662">
    <w:name w:val="Table Normal"/>
    <w:unhideWhenUsed/>
    <w:qFormat/>
    <w:uiPriority w:val="0"/>
    <w:pPr>
      <w:widowControl w:val="0"/>
    </w:pPr>
    <w:rPr>
      <w:sz w:val="22"/>
      <w:szCs w:val="22"/>
      <w:lang w:eastAsia="en-US"/>
    </w:rPr>
    <w:tblPr>
      <w:tblCellMar>
        <w:top w:w="0" w:type="dxa"/>
        <w:left w:w="0" w:type="dxa"/>
        <w:bottom w:w="0" w:type="dxa"/>
        <w:right w:w="0" w:type="dxa"/>
      </w:tblCellMar>
    </w:tblPr>
  </w:style>
  <w:style w:type="table" w:customStyle="1" w:styleId="1663">
    <w:name w:val="HIT-EIA"/>
    <w:basedOn w:val="82"/>
    <w:qFormat/>
    <w:uiPriority w:val="0"/>
    <w:pPr>
      <w:jc w:val="center"/>
    </w:pPr>
    <w:rPr>
      <w:sz w:val="21"/>
      <w:szCs w:val="21"/>
    </w:rPr>
    <w:tblPr>
      <w:tblBorders>
        <w:insideH w:val="single" w:color="auto" w:sz="4" w:space="0"/>
        <w:insideV w:val="single" w:color="auto" w:sz="4" w:space="0"/>
      </w:tblBorders>
      <w:tblCellMar>
        <w:top w:w="0" w:type="dxa"/>
        <w:left w:w="108" w:type="dxa"/>
        <w:bottom w:w="0" w:type="dxa"/>
        <w:right w:w="108" w:type="dxa"/>
      </w:tblCellMar>
    </w:tblPr>
    <w:tcPr>
      <w:vAlign w:val="center"/>
    </w:tcPr>
    <w:tblStylePr w:type="firstRow">
      <w:rPr>
        <w:i/>
        <w:iCs/>
      </w:rPr>
      <w:tcPr>
        <w:tcBorders>
          <w:top w:val="nil"/>
          <w:left w:val="single" w:color="000000" w:sz="6" w:space="0"/>
          <w:bottom w:val="nil"/>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paragraph" w:customStyle="1" w:styleId="1664">
    <w:name w:val="Char Char Char Char Char Char Char9"/>
    <w:basedOn w:val="1"/>
    <w:qFormat/>
    <w:uiPriority w:val="0"/>
    <w:pPr>
      <w:widowControl w:val="0"/>
      <w:spacing w:line="360" w:lineRule="auto"/>
      <w:ind w:firstLine="200" w:firstLineChars="200"/>
      <w:jc w:val="both"/>
    </w:pPr>
    <w:rPr>
      <w:kern w:val="2"/>
      <w:szCs w:val="21"/>
    </w:rPr>
  </w:style>
  <w:style w:type="paragraph" w:customStyle="1" w:styleId="1665">
    <w:name w:val="环保表内字（小五）"/>
    <w:basedOn w:val="1569"/>
    <w:qFormat/>
    <w:uiPriority w:val="0"/>
    <w:pPr>
      <w:tabs>
        <w:tab w:val="left" w:pos="540"/>
        <w:tab w:val="left" w:pos="4095"/>
      </w:tabs>
      <w:topLinePunct/>
      <w:spacing w:line="240" w:lineRule="atLeast"/>
    </w:pPr>
    <w:rPr>
      <w:snapToGrid w:val="0"/>
      <w:sz w:val="18"/>
      <w:szCs w:val="20"/>
    </w:rPr>
  </w:style>
  <w:style w:type="paragraph" w:customStyle="1" w:styleId="1666">
    <w:name w:val="R-表中文字"/>
    <w:basedOn w:val="1"/>
    <w:qFormat/>
    <w:uiPriority w:val="6"/>
    <w:pPr>
      <w:jc w:val="center"/>
    </w:pPr>
  </w:style>
  <w:style w:type="paragraph" w:customStyle="1" w:styleId="1667">
    <w:name w:val="正文缩进2"/>
    <w:basedOn w:val="1"/>
    <w:qFormat/>
    <w:uiPriority w:val="0"/>
    <w:pPr>
      <w:widowControl w:val="0"/>
      <w:spacing w:line="520" w:lineRule="exact"/>
      <w:ind w:firstLine="624"/>
      <w:jc w:val="both"/>
    </w:pPr>
    <w:rPr>
      <w:rFonts w:ascii="Times New Roman" w:hAnsi="Times New Roman" w:cs="Times New Roman"/>
      <w:kern w:val="2"/>
      <w:sz w:val="28"/>
      <w:szCs w:val="20"/>
    </w:rPr>
  </w:style>
  <w:style w:type="paragraph" w:customStyle="1" w:styleId="1668">
    <w:name w:val="列出段落3"/>
    <w:basedOn w:val="1"/>
    <w:qFormat/>
    <w:uiPriority w:val="34"/>
    <w:pPr>
      <w:adjustRightInd w:val="0"/>
      <w:snapToGrid w:val="0"/>
      <w:spacing w:after="200"/>
      <w:ind w:firstLine="420" w:firstLineChars="200"/>
    </w:pPr>
    <w:rPr>
      <w:rFonts w:ascii="Tahoma" w:hAnsi="Tahoma" w:eastAsia="微软雅黑" w:cs="Times New Roman"/>
      <w:sz w:val="22"/>
      <w:szCs w:val="22"/>
    </w:rPr>
  </w:style>
  <w:style w:type="character" w:customStyle="1" w:styleId="1669">
    <w:name w:val="summary"/>
    <w:qFormat/>
    <w:uiPriority w:val="0"/>
    <w:rPr>
      <w:color w:val="999999"/>
      <w:sz w:val="18"/>
      <w:szCs w:val="18"/>
    </w:rPr>
  </w:style>
  <w:style w:type="character" w:customStyle="1" w:styleId="1670">
    <w:name w:val="answer-title2"/>
    <w:basedOn w:val="83"/>
    <w:qFormat/>
    <w:uiPriority w:val="0"/>
  </w:style>
  <w:style w:type="character" w:customStyle="1" w:styleId="1671">
    <w:name w:val="field-label10"/>
    <w:qFormat/>
    <w:uiPriority w:val="0"/>
    <w:rPr>
      <w:b/>
    </w:rPr>
  </w:style>
  <w:style w:type="character" w:customStyle="1" w:styleId="1672">
    <w:name w:val="bg"/>
    <w:qFormat/>
    <w:uiPriority w:val="0"/>
    <w:rPr>
      <w:shd w:val="clear" w:color="auto" w:fill="000000"/>
    </w:rPr>
  </w:style>
  <w:style w:type="character" w:customStyle="1" w:styleId="1673">
    <w:name w:val="bsharetext"/>
    <w:basedOn w:val="83"/>
    <w:qFormat/>
    <w:uiPriority w:val="0"/>
  </w:style>
  <w:style w:type="character" w:customStyle="1" w:styleId="1674">
    <w:name w:val="fontstyle01"/>
    <w:qFormat/>
    <w:uiPriority w:val="0"/>
    <w:rPr>
      <w:rFonts w:hint="eastAsia" w:ascii="宋体" w:hAnsi="宋体" w:eastAsia="宋体"/>
      <w:color w:val="000000"/>
      <w:sz w:val="24"/>
      <w:szCs w:val="24"/>
    </w:rPr>
  </w:style>
  <w:style w:type="character" w:customStyle="1" w:styleId="1675">
    <w:name w:val="hover27"/>
    <w:basedOn w:val="83"/>
    <w:qFormat/>
    <w:uiPriority w:val="0"/>
  </w:style>
  <w:style w:type="character" w:customStyle="1" w:styleId="1676">
    <w:name w:val="fontstyle21"/>
    <w:qFormat/>
    <w:uiPriority w:val="0"/>
    <w:rPr>
      <w:rFonts w:hint="default" w:ascii="TimesNewRomanPSMT" w:hAnsi="TimesNewRomanPSMT"/>
      <w:color w:val="000000"/>
      <w:sz w:val="18"/>
      <w:szCs w:val="18"/>
    </w:rPr>
  </w:style>
  <w:style w:type="character" w:customStyle="1" w:styleId="1677">
    <w:name w:val="del-btn1"/>
    <w:qFormat/>
    <w:uiPriority w:val="0"/>
    <w:rPr>
      <w:shd w:val="clear" w:color="auto" w:fill="000000"/>
    </w:rPr>
  </w:style>
  <w:style w:type="character" w:customStyle="1" w:styleId="1678">
    <w:name w:val="环保-正文内容 Char"/>
    <w:link w:val="1679"/>
    <w:qFormat/>
    <w:uiPriority w:val="0"/>
    <w:rPr>
      <w:sz w:val="24"/>
    </w:rPr>
  </w:style>
  <w:style w:type="paragraph" w:customStyle="1" w:styleId="1679">
    <w:name w:val="环保-正文内容"/>
    <w:basedOn w:val="1"/>
    <w:link w:val="1678"/>
    <w:qFormat/>
    <w:uiPriority w:val="0"/>
    <w:pPr>
      <w:adjustRightInd w:val="0"/>
      <w:snapToGrid w:val="0"/>
      <w:spacing w:after="200"/>
      <w:ind w:firstLine="200" w:firstLineChars="200"/>
    </w:pPr>
    <w:rPr>
      <w:rFonts w:ascii="Times New Roman" w:hAnsi="Times New Roman" w:cs="Times New Roman"/>
      <w:szCs w:val="20"/>
    </w:rPr>
  </w:style>
  <w:style w:type="character" w:customStyle="1" w:styleId="1680">
    <w:name w:val="del-btn"/>
    <w:basedOn w:val="83"/>
    <w:qFormat/>
    <w:uiPriority w:val="0"/>
  </w:style>
  <w:style w:type="character" w:customStyle="1" w:styleId="1681">
    <w:name w:val="标题 2 Char11"/>
    <w:qFormat/>
    <w:uiPriority w:val="0"/>
    <w:rPr>
      <w:kern w:val="2"/>
      <w:sz w:val="24"/>
    </w:rPr>
  </w:style>
  <w:style w:type="paragraph" w:customStyle="1" w:styleId="1682">
    <w:name w:val="LY-表头"/>
    <w:next w:val="1"/>
    <w:qFormat/>
    <w:uiPriority w:val="0"/>
    <w:pPr>
      <w:jc w:val="center"/>
    </w:pPr>
    <w:rPr>
      <w:rFonts w:ascii="Times New Roman" w:hAnsi="Times New Roman" w:eastAsia="黑体" w:cs="Times New Roman"/>
      <w:b/>
      <w:sz w:val="24"/>
      <w:lang w:val="en-US" w:eastAsia="zh-CN" w:bidi="ar-SA"/>
    </w:rPr>
  </w:style>
  <w:style w:type="paragraph" w:customStyle="1" w:styleId="1683">
    <w:name w:val="副标题2"/>
    <w:basedOn w:val="1"/>
    <w:qFormat/>
    <w:uiPriority w:val="0"/>
    <w:pPr>
      <w:adjustRightInd w:val="0"/>
      <w:snapToGrid w:val="0"/>
      <w:spacing w:after="200"/>
      <w:ind w:firstLine="200" w:firstLineChars="200"/>
    </w:pPr>
    <w:rPr>
      <w:rFonts w:ascii="Tahoma" w:hAnsi="Tahoma" w:eastAsia="微软雅黑" w:cs="Times New Roman"/>
      <w:b/>
      <w:sz w:val="22"/>
    </w:rPr>
  </w:style>
  <w:style w:type="paragraph" w:customStyle="1" w:styleId="1684">
    <w:name w:val="列出段落4"/>
    <w:basedOn w:val="1"/>
    <w:qFormat/>
    <w:uiPriority w:val="34"/>
    <w:pPr>
      <w:adjustRightInd w:val="0"/>
      <w:snapToGrid w:val="0"/>
      <w:spacing w:after="200"/>
      <w:ind w:firstLine="420" w:firstLineChars="200"/>
    </w:pPr>
    <w:rPr>
      <w:rFonts w:ascii="Tahoma" w:hAnsi="Tahoma" w:eastAsia="微软雅黑" w:cs="Times New Roman"/>
      <w:sz w:val="22"/>
      <w:szCs w:val="22"/>
    </w:rPr>
  </w:style>
  <w:style w:type="paragraph" w:customStyle="1" w:styleId="1685">
    <w:name w:val="正文文本 22"/>
    <w:basedOn w:val="1"/>
    <w:qFormat/>
    <w:uiPriority w:val="0"/>
    <w:pPr>
      <w:widowControl w:val="0"/>
      <w:adjustRightInd w:val="0"/>
      <w:snapToGrid w:val="0"/>
      <w:spacing w:after="200"/>
      <w:jc w:val="center"/>
      <w:textAlignment w:val="baseline"/>
    </w:pPr>
    <w:rPr>
      <w:rFonts w:ascii="Arial" w:hAnsi="Arial" w:eastAsia="微软雅黑" w:cs="Times New Roman"/>
      <w:kern w:val="2"/>
      <w:sz w:val="21"/>
      <w:szCs w:val="22"/>
    </w:rPr>
  </w:style>
  <w:style w:type="paragraph" w:customStyle="1" w:styleId="1686">
    <w:name w:val="OK 1.1.1"/>
    <w:basedOn w:val="1687"/>
    <w:link w:val="1688"/>
    <w:qFormat/>
    <w:uiPriority w:val="0"/>
    <w:pPr>
      <w:spacing w:line="360" w:lineRule="auto"/>
      <w:outlineLvl w:val="2"/>
    </w:pPr>
  </w:style>
  <w:style w:type="paragraph" w:customStyle="1" w:styleId="1687">
    <w:name w:val="OK 1.1"/>
    <w:basedOn w:val="1"/>
    <w:next w:val="73"/>
    <w:qFormat/>
    <w:uiPriority w:val="0"/>
    <w:pPr>
      <w:adjustRightInd w:val="0"/>
      <w:snapToGrid w:val="0"/>
      <w:spacing w:after="200"/>
      <w:outlineLvl w:val="1"/>
    </w:pPr>
    <w:rPr>
      <w:rFonts w:ascii="Calibri" w:hAnsi="Calibri" w:eastAsia="微软雅黑" w:cs="Times New Roman"/>
      <w:b/>
      <w:sz w:val="22"/>
      <w:lang w:val="zh-CN"/>
    </w:rPr>
  </w:style>
  <w:style w:type="character" w:customStyle="1" w:styleId="1688">
    <w:name w:val="OK 1.1.1 Char"/>
    <w:basedOn w:val="83"/>
    <w:link w:val="1686"/>
    <w:qFormat/>
    <w:uiPriority w:val="0"/>
    <w:rPr>
      <w:rFonts w:ascii="Calibri" w:hAnsi="Calibri" w:eastAsia="微软雅黑"/>
      <w:b/>
      <w:sz w:val="22"/>
      <w:szCs w:val="24"/>
      <w:lang w:val="zh-CN"/>
    </w:rPr>
  </w:style>
  <w:style w:type="paragraph" w:customStyle="1" w:styleId="1689">
    <w:name w:val="正文-报告表"/>
    <w:basedOn w:val="1"/>
    <w:qFormat/>
    <w:uiPriority w:val="0"/>
    <w:pPr>
      <w:adjustRightInd w:val="0"/>
      <w:snapToGrid w:val="0"/>
      <w:spacing w:after="200"/>
      <w:ind w:firstLine="482"/>
    </w:pPr>
    <w:rPr>
      <w:rFonts w:ascii="Tahoma" w:hAnsi="Tahoma" w:eastAsia="微软雅黑" w:cs="Times New Roman"/>
      <w:szCs w:val="20"/>
    </w:rPr>
  </w:style>
  <w:style w:type="paragraph" w:customStyle="1" w:styleId="1690">
    <w:name w:val="副标题1"/>
    <w:basedOn w:val="3"/>
    <w:next w:val="1689"/>
    <w:qFormat/>
    <w:uiPriority w:val="0"/>
    <w:pPr>
      <w:keepNext/>
      <w:keepLines/>
      <w:widowControl w:val="0"/>
      <w:wordWrap w:val="0"/>
      <w:adjustRightInd w:val="0"/>
      <w:snapToGrid w:val="0"/>
      <w:spacing w:before="340" w:after="330" w:line="360" w:lineRule="auto"/>
      <w:ind w:firstLine="482" w:firstLineChars="200"/>
      <w:outlineLvl w:val="1"/>
    </w:pPr>
    <w:rPr>
      <w:rFonts w:ascii="Times New Roman" w:hAnsi="Times New Roman" w:eastAsia="宋体"/>
      <w:b/>
      <w:bCs/>
      <w:snapToGrid w:val="0"/>
      <w:kern w:val="44"/>
      <w:sz w:val="24"/>
      <w:szCs w:val="44"/>
    </w:rPr>
  </w:style>
  <w:style w:type="paragraph" w:customStyle="1" w:styleId="1691">
    <w:name w:val="Char"/>
    <w:basedOn w:val="1"/>
    <w:qFormat/>
    <w:uiPriority w:val="0"/>
    <w:pPr>
      <w:adjustRightInd w:val="0"/>
      <w:snapToGrid w:val="0"/>
      <w:spacing w:after="200"/>
    </w:pPr>
    <w:rPr>
      <w:rFonts w:ascii="Tahoma" w:hAnsi="Tahoma" w:eastAsia="微软雅黑" w:cs="Times New Roman"/>
      <w:sz w:val="22"/>
      <w:szCs w:val="22"/>
    </w:rPr>
  </w:style>
  <w:style w:type="paragraph" w:customStyle="1" w:styleId="1692">
    <w:name w:val="正文内容"/>
    <w:basedOn w:val="1"/>
    <w:qFormat/>
    <w:uiPriority w:val="0"/>
    <w:pPr>
      <w:adjustRightInd w:val="0"/>
      <w:snapToGrid w:val="0"/>
      <w:spacing w:after="200"/>
      <w:ind w:firstLine="200" w:firstLineChars="200"/>
    </w:pPr>
    <w:rPr>
      <w:rFonts w:ascii="Tahoma" w:hAnsi="Tahoma" w:eastAsia="微软雅黑" w:cs="Times New Roman"/>
      <w:szCs w:val="20"/>
    </w:rPr>
  </w:style>
  <w:style w:type="paragraph" w:customStyle="1" w:styleId="1693">
    <w:name w:val="WPSOffice手动目录 1"/>
    <w:qFormat/>
    <w:uiPriority w:val="0"/>
    <w:rPr>
      <w:rFonts w:ascii="Times New Roman" w:hAnsi="Times New Roman" w:eastAsia="宋体" w:cs="Times New Roman"/>
      <w:lang w:val="en-US" w:eastAsia="zh-CN" w:bidi="ar-SA"/>
    </w:rPr>
  </w:style>
  <w:style w:type="paragraph" w:customStyle="1" w:styleId="1694">
    <w:name w:val="Char4"/>
    <w:basedOn w:val="1"/>
    <w:qFormat/>
    <w:uiPriority w:val="0"/>
    <w:pPr>
      <w:widowControl w:val="0"/>
      <w:adjustRightInd w:val="0"/>
      <w:snapToGrid w:val="0"/>
      <w:spacing w:line="480" w:lineRule="exact"/>
      <w:ind w:firstLine="200" w:firstLineChars="200"/>
      <w:jc w:val="both"/>
    </w:pPr>
    <w:rPr>
      <w:rFonts w:ascii="Times New Roman" w:hAnsi="Times New Roman" w:cs="Times New Roman"/>
      <w:snapToGrid w:val="0"/>
      <w:sz w:val="28"/>
    </w:rPr>
  </w:style>
  <w:style w:type="paragraph" w:customStyle="1" w:styleId="1695">
    <w:name w:val="L表格文字"/>
    <w:basedOn w:val="78"/>
    <w:qFormat/>
    <w:uiPriority w:val="0"/>
    <w:pPr>
      <w:adjustRightInd w:val="0"/>
      <w:snapToGrid w:val="0"/>
      <w:spacing w:line="0" w:lineRule="atLeast"/>
      <w:ind w:firstLine="0" w:firstLineChars="0"/>
      <w:jc w:val="center"/>
    </w:pPr>
    <w:rPr>
      <w:rFonts w:ascii="Tahoma" w:hAnsi="Tahoma" w:eastAsia="微软雅黑"/>
      <w:sz w:val="21"/>
      <w:szCs w:val="22"/>
    </w:rPr>
  </w:style>
  <w:style w:type="paragraph" w:customStyle="1" w:styleId="1696">
    <w:name w:val="OK 表头"/>
    <w:basedOn w:val="5"/>
    <w:link w:val="1697"/>
    <w:qFormat/>
    <w:uiPriority w:val="0"/>
    <w:pPr>
      <w:widowControl w:val="0"/>
      <w:adjustRightInd w:val="0"/>
      <w:snapToGrid w:val="0"/>
      <w:spacing w:after="200" w:line="240" w:lineRule="auto"/>
      <w:ind w:firstLine="0"/>
      <w:jc w:val="center"/>
      <w:textAlignment w:val="baseline"/>
    </w:pPr>
    <w:rPr>
      <w:rFonts w:ascii="Times New Roman" w:hAnsi="Times New Roman" w:eastAsia="微软雅黑"/>
      <w:b/>
      <w:spacing w:val="-10"/>
      <w:kern w:val="2"/>
      <w:sz w:val="21"/>
      <w:szCs w:val="21"/>
    </w:rPr>
  </w:style>
  <w:style w:type="character" w:customStyle="1" w:styleId="1697">
    <w:name w:val="OK 表头 Char Char"/>
    <w:link w:val="1696"/>
    <w:qFormat/>
    <w:uiPriority w:val="0"/>
    <w:rPr>
      <w:rFonts w:eastAsia="微软雅黑"/>
      <w:b/>
      <w:spacing w:val="-10"/>
      <w:kern w:val="2"/>
      <w:sz w:val="21"/>
      <w:szCs w:val="21"/>
    </w:rPr>
  </w:style>
  <w:style w:type="paragraph" w:customStyle="1" w:styleId="1698">
    <w:name w:val="标题 3环保 + 段前: 0.5 行"/>
    <w:basedOn w:val="6"/>
    <w:next w:val="1"/>
    <w:qFormat/>
    <w:uiPriority w:val="0"/>
    <w:pPr>
      <w:keepNext w:val="0"/>
      <w:keepLines w:val="0"/>
      <w:adjustRightInd w:val="0"/>
      <w:snapToGrid w:val="0"/>
      <w:spacing w:before="156" w:beforeAutospacing="1" w:after="100" w:afterAutospacing="1" w:line="240" w:lineRule="auto"/>
    </w:pPr>
    <w:rPr>
      <w:rFonts w:hint="eastAsia" w:eastAsia="宋体" w:cs="宋体"/>
      <w:b/>
      <w:bCs w:val="0"/>
      <w:sz w:val="27"/>
      <w:szCs w:val="27"/>
    </w:rPr>
  </w:style>
  <w:style w:type="paragraph" w:customStyle="1" w:styleId="1699">
    <w:name w:val="11111表头"/>
    <w:basedOn w:val="1696"/>
    <w:qFormat/>
    <w:uiPriority w:val="0"/>
    <w:rPr>
      <w:rFonts w:eastAsia="黑体" w:cs="Calibri"/>
      <w:bCs/>
      <w:kern w:val="0"/>
      <w:sz w:val="24"/>
      <w:szCs w:val="24"/>
    </w:rPr>
  </w:style>
  <w:style w:type="paragraph" w:customStyle="1" w:styleId="1700">
    <w:name w:val="0报告书正文"/>
    <w:basedOn w:val="1"/>
    <w:qFormat/>
    <w:uiPriority w:val="0"/>
    <w:pPr>
      <w:adjustRightInd w:val="0"/>
      <w:snapToGrid w:val="0"/>
      <w:spacing w:after="200"/>
      <w:ind w:firstLine="480" w:firstLineChars="200"/>
    </w:pPr>
    <w:rPr>
      <w:rFonts w:ascii="Tahoma" w:hAnsi="Tahoma" w:eastAsia="微软雅黑" w:cs="Times New Roman"/>
      <w:szCs w:val="20"/>
    </w:rPr>
  </w:style>
  <w:style w:type="paragraph" w:customStyle="1" w:styleId="1701">
    <w:name w:val="标题 2环保 + 段前: 0.5 行"/>
    <w:basedOn w:val="4"/>
    <w:next w:val="1"/>
    <w:qFormat/>
    <w:uiPriority w:val="0"/>
    <w:pPr>
      <w:keepLines w:val="0"/>
      <w:numPr>
        <w:ilvl w:val="0"/>
        <w:numId w:val="1"/>
      </w:numPr>
      <w:adjustRightInd w:val="0"/>
      <w:snapToGrid w:val="0"/>
      <w:spacing w:after="200" w:line="240" w:lineRule="auto"/>
      <w:ind w:firstLine="200" w:firstLineChars="200"/>
    </w:pPr>
    <w:rPr>
      <w:rFonts w:ascii="Times New Roman" w:hAnsi="Times New Roman" w:cs="宋体"/>
      <w:b/>
      <w:szCs w:val="28"/>
    </w:rPr>
  </w:style>
  <w:style w:type="paragraph" w:customStyle="1" w:styleId="1702">
    <w:name w:val="正文内容（环科院）"/>
    <w:basedOn w:val="1"/>
    <w:qFormat/>
    <w:uiPriority w:val="0"/>
    <w:pPr>
      <w:adjustRightInd w:val="0"/>
      <w:snapToGrid w:val="0"/>
      <w:spacing w:after="200"/>
      <w:ind w:firstLine="200" w:firstLineChars="200"/>
    </w:pPr>
    <w:rPr>
      <w:rFonts w:ascii="Tahoma" w:hAnsi="Tahoma" w:eastAsia="微软雅黑" w:cs="Times New Roman"/>
      <w:szCs w:val="20"/>
    </w:rPr>
  </w:style>
  <w:style w:type="paragraph" w:customStyle="1" w:styleId="1703">
    <w:name w:val="样式45"/>
    <w:basedOn w:val="874"/>
    <w:qFormat/>
    <w:uiPriority w:val="0"/>
    <w:pPr>
      <w:widowControl/>
      <w:adjustRightInd w:val="0"/>
      <w:spacing w:after="200"/>
    </w:pPr>
    <w:rPr>
      <w:rFonts w:ascii="Tahoma" w:hAnsi="Tahoma" w:eastAsia="微软雅黑"/>
      <w:kern w:val="0"/>
    </w:rPr>
  </w:style>
  <w:style w:type="paragraph" w:customStyle="1" w:styleId="1704">
    <w:name w:val="图片-报告表"/>
    <w:basedOn w:val="1689"/>
    <w:qFormat/>
    <w:uiPriority w:val="0"/>
    <w:pPr>
      <w:ind w:firstLine="0"/>
      <w:jc w:val="center"/>
    </w:pPr>
  </w:style>
  <w:style w:type="paragraph" w:customStyle="1" w:styleId="1705">
    <w:name w:val="正文内容（环科院报告书）"/>
    <w:basedOn w:val="1"/>
    <w:link w:val="1706"/>
    <w:qFormat/>
    <w:uiPriority w:val="0"/>
    <w:pPr>
      <w:adjustRightInd w:val="0"/>
      <w:snapToGrid w:val="0"/>
      <w:spacing w:after="200"/>
      <w:ind w:firstLine="480" w:firstLineChars="200"/>
    </w:pPr>
    <w:rPr>
      <w:rFonts w:ascii="Tahoma" w:hAnsi="Tahoma" w:eastAsia="微软雅黑" w:cs="Times New Roman"/>
      <w:szCs w:val="20"/>
    </w:rPr>
  </w:style>
  <w:style w:type="character" w:customStyle="1" w:styleId="1706">
    <w:name w:val="正文内容（环科院报告书） Char Char"/>
    <w:link w:val="1705"/>
    <w:qFormat/>
    <w:uiPriority w:val="0"/>
    <w:rPr>
      <w:rFonts w:ascii="Tahoma" w:hAnsi="Tahoma" w:eastAsia="微软雅黑"/>
      <w:sz w:val="24"/>
    </w:rPr>
  </w:style>
  <w:style w:type="paragraph" w:customStyle="1" w:styleId="1707">
    <w:name w:val="表格格式"/>
    <w:basedOn w:val="1"/>
    <w:qFormat/>
    <w:uiPriority w:val="0"/>
    <w:pPr>
      <w:adjustRightInd w:val="0"/>
      <w:snapToGrid w:val="0"/>
      <w:spacing w:after="200" w:line="280" w:lineRule="exact"/>
      <w:jc w:val="center"/>
    </w:pPr>
    <w:rPr>
      <w:rFonts w:ascii="Tahoma" w:hAnsi="Tahoma" w:eastAsia="微软雅黑" w:cs="Times New Roman"/>
      <w:sz w:val="18"/>
      <w:szCs w:val="22"/>
    </w:rPr>
  </w:style>
  <w:style w:type="paragraph" w:customStyle="1" w:styleId="1708">
    <w:name w:val="AP-正文无级"/>
    <w:basedOn w:val="1"/>
    <w:qFormat/>
    <w:uiPriority w:val="0"/>
    <w:pPr>
      <w:adjustRightInd w:val="0"/>
      <w:snapToGrid w:val="0"/>
      <w:spacing w:after="200" w:line="360" w:lineRule="auto"/>
      <w:ind w:firstLine="480" w:firstLineChars="200"/>
    </w:pPr>
    <w:rPr>
      <w:rFonts w:ascii="Tahoma" w:hAnsi="Tahoma" w:eastAsia="微软雅黑" w:cs="Times New Roman"/>
      <w:szCs w:val="20"/>
    </w:rPr>
  </w:style>
  <w:style w:type="paragraph" w:customStyle="1" w:styleId="1709">
    <w:name w:val="O.K.表格内容"/>
    <w:basedOn w:val="1"/>
    <w:link w:val="1710"/>
    <w:qFormat/>
    <w:uiPriority w:val="0"/>
    <w:pPr>
      <w:adjustRightInd w:val="0"/>
      <w:snapToGrid w:val="0"/>
      <w:spacing w:after="200"/>
    </w:pPr>
    <w:rPr>
      <w:rFonts w:ascii="Tahoma" w:hAnsi="Tahoma" w:eastAsia="微软雅黑" w:cs="Times New Roman"/>
    </w:rPr>
  </w:style>
  <w:style w:type="character" w:customStyle="1" w:styleId="1710">
    <w:name w:val="O.K.表格内容 Char Char"/>
    <w:link w:val="1709"/>
    <w:qFormat/>
    <w:uiPriority w:val="0"/>
    <w:rPr>
      <w:rFonts w:ascii="Tahoma" w:hAnsi="Tahoma" w:eastAsia="微软雅黑"/>
      <w:sz w:val="24"/>
      <w:szCs w:val="24"/>
    </w:rPr>
  </w:style>
  <w:style w:type="paragraph" w:customStyle="1" w:styleId="1711">
    <w:name w:val="R-正文文本"/>
    <w:basedOn w:val="1"/>
    <w:qFormat/>
    <w:uiPriority w:val="4"/>
    <w:pPr>
      <w:spacing w:line="360" w:lineRule="auto"/>
      <w:ind w:firstLine="200" w:firstLineChars="200"/>
      <w:jc w:val="both"/>
    </w:pPr>
    <w:rPr>
      <w:rFonts w:ascii="Times New Roman" w:hAnsi="Times New Roman" w:cs="Times New Roman"/>
      <w:szCs w:val="20"/>
    </w:rPr>
  </w:style>
  <w:style w:type="table" w:customStyle="1" w:styleId="1712">
    <w:name w:val="网格型1"/>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713">
    <w:name w:val="List Paragraph1"/>
    <w:basedOn w:val="1"/>
    <w:qFormat/>
    <w:uiPriority w:val="34"/>
    <w:pPr>
      <w:adjustRightInd w:val="0"/>
      <w:snapToGrid w:val="0"/>
      <w:spacing w:after="200"/>
      <w:ind w:firstLine="420" w:firstLineChars="200"/>
    </w:pPr>
    <w:rPr>
      <w:rFonts w:ascii="Tahoma" w:hAnsi="Tahoma" w:eastAsia="微软雅黑" w:cs="Times New Roman"/>
      <w:sz w:val="22"/>
      <w:szCs w:val="22"/>
    </w:rPr>
  </w:style>
  <w:style w:type="paragraph" w:customStyle="1" w:styleId="1714">
    <w:name w:val="正文文本 23"/>
    <w:basedOn w:val="1"/>
    <w:qFormat/>
    <w:uiPriority w:val="0"/>
    <w:pPr>
      <w:widowControl w:val="0"/>
      <w:adjustRightInd w:val="0"/>
      <w:snapToGrid w:val="0"/>
      <w:spacing w:after="200"/>
      <w:jc w:val="center"/>
      <w:textAlignment w:val="baseline"/>
    </w:pPr>
    <w:rPr>
      <w:rFonts w:ascii="Arial" w:hAnsi="Arial" w:eastAsia="微软雅黑" w:cs="Times New Roman"/>
      <w:kern w:val="2"/>
      <w:sz w:val="21"/>
      <w:szCs w:val="22"/>
    </w:rPr>
  </w:style>
  <w:style w:type="paragraph" w:customStyle="1" w:styleId="1715">
    <w:name w:val="Char5"/>
    <w:basedOn w:val="1"/>
    <w:qFormat/>
    <w:uiPriority w:val="0"/>
    <w:pPr>
      <w:adjustRightInd w:val="0"/>
      <w:snapToGrid w:val="0"/>
      <w:spacing w:after="200"/>
    </w:pPr>
    <w:rPr>
      <w:rFonts w:ascii="Tahoma" w:hAnsi="Tahoma" w:eastAsia="微软雅黑" w:cs="Times New Roman"/>
      <w:sz w:val="22"/>
      <w:szCs w:val="22"/>
    </w:rPr>
  </w:style>
  <w:style w:type="paragraph" w:customStyle="1" w:styleId="1716">
    <w:name w:val="环保表头"/>
    <w:link w:val="1717"/>
    <w:qFormat/>
    <w:uiPriority w:val="0"/>
    <w:pPr>
      <w:spacing w:before="50" w:beforeLines="50"/>
      <w:jc w:val="center"/>
    </w:pPr>
    <w:rPr>
      <w:rFonts w:ascii="宋体" w:hAnsi="宋体" w:eastAsia="黑体" w:cs="Times New Roman"/>
      <w:sz w:val="24"/>
      <w:lang w:val="en-US" w:eastAsia="zh-CN" w:bidi="ar-SA"/>
    </w:rPr>
  </w:style>
  <w:style w:type="character" w:customStyle="1" w:styleId="1717">
    <w:name w:val="环保表头 Char"/>
    <w:link w:val="1716"/>
    <w:qFormat/>
    <w:uiPriority w:val="0"/>
    <w:rPr>
      <w:rFonts w:ascii="宋体" w:hAnsi="宋体" w:eastAsia="黑体"/>
      <w:sz w:val="24"/>
    </w:rPr>
  </w:style>
  <w:style w:type="character" w:customStyle="1" w:styleId="1718">
    <w:name w:val="表头 Char1"/>
    <w:qFormat/>
    <w:uiPriority w:val="0"/>
    <w:rPr>
      <w:rFonts w:eastAsia="宋体"/>
      <w:snapToGrid w:val="0"/>
      <w:sz w:val="28"/>
      <w:szCs w:val="24"/>
    </w:rPr>
  </w:style>
  <w:style w:type="paragraph" w:customStyle="1" w:styleId="1719">
    <w:name w:val="自定表格"/>
    <w:basedOn w:val="1"/>
    <w:qFormat/>
    <w:uiPriority w:val="0"/>
    <w:pPr>
      <w:spacing w:line="360" w:lineRule="exact"/>
      <w:jc w:val="center"/>
    </w:pPr>
    <w:rPr>
      <w:rFonts w:ascii="Times New Roman" w:cs="Times New Roman"/>
      <w:color w:val="000000"/>
      <w:kern w:val="2"/>
      <w:sz w:val="21"/>
      <w:szCs w:val="21"/>
    </w:rPr>
  </w:style>
  <w:style w:type="character" w:customStyle="1" w:styleId="1720">
    <w:name w:val="表格 Char Char Char Char Char Char"/>
    <w:qFormat/>
    <w:uiPriority w:val="0"/>
    <w:rPr>
      <w:rFonts w:hint="eastAsia" w:ascii="Times New Roman" w:hAnsi="Times New Roman" w:eastAsia="宋体"/>
      <w:sz w:val="21"/>
    </w:rPr>
  </w:style>
  <w:style w:type="character" w:customStyle="1" w:styleId="1721">
    <w:name w:val="纯文本 字符"/>
    <w:qFormat/>
    <w:uiPriority w:val="0"/>
    <w:rPr>
      <w:rFonts w:ascii="宋体" w:hAnsi="Courier New" w:eastAsia="宋体"/>
      <w:kern w:val="2"/>
      <w:sz w:val="24"/>
      <w:lang w:val="en-US" w:eastAsia="zh-CN" w:bidi="ar-SA"/>
    </w:rPr>
  </w:style>
  <w:style w:type="paragraph" w:customStyle="1" w:styleId="1722">
    <w:name w:val="标题04"/>
    <w:basedOn w:val="7"/>
    <w:qFormat/>
    <w:uiPriority w:val="0"/>
    <w:pPr>
      <w:widowControl w:val="0"/>
      <w:adjustRightInd w:val="0"/>
      <w:snapToGrid w:val="0"/>
      <w:spacing w:before="200" w:after="200" w:line="480" w:lineRule="exact"/>
      <w:jc w:val="both"/>
    </w:pPr>
    <w:rPr>
      <w:rFonts w:ascii="Arial" w:hAnsi="Arial" w:eastAsia="黑体"/>
      <w:snapToGrid w:val="0"/>
      <w:kern w:val="28"/>
      <w:sz w:val="28"/>
      <w:szCs w:val="28"/>
      <w:lang w:val="en-US"/>
    </w:rPr>
  </w:style>
  <w:style w:type="character" w:customStyle="1" w:styleId="1723">
    <w:name w:val="标题 7 Char Char"/>
    <w:qFormat/>
    <w:uiPriority w:val="0"/>
    <w:rPr>
      <w:b/>
      <w:bCs/>
      <w:kern w:val="2"/>
      <w:sz w:val="24"/>
      <w:szCs w:val="24"/>
    </w:rPr>
  </w:style>
  <w:style w:type="character" w:customStyle="1" w:styleId="1724">
    <w:name w:val="样式 列表 + 黑色 Char"/>
    <w:qFormat/>
    <w:uiPriority w:val="0"/>
    <w:rPr>
      <w:rFonts w:ascii="黑体" w:eastAsia="黑体"/>
      <w:color w:val="000000"/>
      <w:kern w:val="2"/>
      <w:sz w:val="24"/>
      <w:szCs w:val="24"/>
      <w:lang w:val="en-US" w:eastAsia="zh-CN" w:bidi="ar-SA"/>
    </w:rPr>
  </w:style>
  <w:style w:type="character" w:customStyle="1" w:styleId="1725">
    <w:name w:val="王　正文 Char Char Char"/>
    <w:qFormat/>
    <w:uiPriority w:val="0"/>
    <w:rPr>
      <w:rFonts w:hAnsi="宋体"/>
      <w:kern w:val="24"/>
      <w:sz w:val="28"/>
      <w:szCs w:val="28"/>
    </w:rPr>
  </w:style>
  <w:style w:type="character" w:customStyle="1" w:styleId="1726">
    <w:name w:val="正文文本 3 字符"/>
    <w:qFormat/>
    <w:uiPriority w:val="0"/>
    <w:rPr>
      <w:rFonts w:ascii="Arial" w:hAnsi="Arial" w:eastAsia="宋体"/>
      <w:kern w:val="2"/>
      <w:sz w:val="24"/>
      <w:lang w:val="en-US" w:eastAsia="zh-CN" w:bidi="ar-SA"/>
    </w:rPr>
  </w:style>
  <w:style w:type="character" w:customStyle="1" w:styleId="1727">
    <w:name w:val="标2 Char"/>
    <w:link w:val="1728"/>
    <w:qFormat/>
    <w:uiPriority w:val="0"/>
    <w:rPr>
      <w:rFonts w:ascii="黑体" w:hAnsi="Arial" w:eastAsia="黑体"/>
      <w:b/>
      <w:color w:val="000000"/>
      <w:position w:val="-6"/>
      <w:sz w:val="24"/>
      <w:szCs w:val="24"/>
    </w:rPr>
  </w:style>
  <w:style w:type="paragraph" w:customStyle="1" w:styleId="1728">
    <w:name w:val="标2"/>
    <w:basedOn w:val="4"/>
    <w:link w:val="1727"/>
    <w:qFormat/>
    <w:uiPriority w:val="0"/>
    <w:pPr>
      <w:widowControl w:val="0"/>
      <w:adjustRightInd w:val="0"/>
      <w:spacing w:before="120" w:after="120" w:line="520" w:lineRule="exact"/>
      <w:textAlignment w:val="baseline"/>
    </w:pPr>
    <w:rPr>
      <w:rFonts w:ascii="黑体" w:hAnsi="Arial"/>
      <w:b/>
      <w:bCs w:val="0"/>
      <w:color w:val="000000"/>
      <w:position w:val="-6"/>
      <w:sz w:val="24"/>
      <w:szCs w:val="24"/>
    </w:rPr>
  </w:style>
  <w:style w:type="character" w:customStyle="1" w:styleId="1729">
    <w:name w:val="表格 Char"/>
    <w:qFormat/>
    <w:uiPriority w:val="0"/>
    <w:rPr>
      <w:kern w:val="2"/>
      <w:sz w:val="21"/>
      <w:szCs w:val="24"/>
    </w:rPr>
  </w:style>
  <w:style w:type="character" w:customStyle="1" w:styleId="1730">
    <w:name w:val="标题2T Char1"/>
    <w:link w:val="1731"/>
    <w:qFormat/>
    <w:uiPriority w:val="0"/>
    <w:rPr>
      <w:kern w:val="2"/>
      <w:sz w:val="28"/>
      <w:szCs w:val="24"/>
    </w:rPr>
  </w:style>
  <w:style w:type="paragraph" w:customStyle="1" w:styleId="1731">
    <w:name w:val="标题2T"/>
    <w:basedOn w:val="1"/>
    <w:next w:val="1"/>
    <w:link w:val="1730"/>
    <w:qFormat/>
    <w:uiPriority w:val="0"/>
    <w:pPr>
      <w:keepNext/>
      <w:keepLines/>
      <w:widowControl w:val="0"/>
      <w:adjustRightInd w:val="0"/>
      <w:snapToGrid w:val="0"/>
      <w:spacing w:beforeLines="50" w:afterLines="50" w:line="440" w:lineRule="exact"/>
      <w:jc w:val="center"/>
      <w:outlineLvl w:val="0"/>
    </w:pPr>
    <w:rPr>
      <w:rFonts w:ascii="Times New Roman" w:hAnsi="Times New Roman" w:cs="Times New Roman"/>
      <w:kern w:val="2"/>
      <w:sz w:val="28"/>
    </w:rPr>
  </w:style>
  <w:style w:type="character" w:customStyle="1" w:styleId="1732">
    <w:name w:val="标题 9 字符1"/>
    <w:qFormat/>
    <w:uiPriority w:val="0"/>
    <w:rPr>
      <w:rFonts w:ascii="Arial" w:hAnsi="Arial" w:eastAsia="黑体"/>
      <w:kern w:val="2"/>
      <w:sz w:val="21"/>
      <w:szCs w:val="21"/>
    </w:rPr>
  </w:style>
  <w:style w:type="character" w:customStyle="1" w:styleId="1733">
    <w:name w:val="simjour"/>
    <w:qFormat/>
    <w:uiPriority w:val="0"/>
  </w:style>
  <w:style w:type="character" w:customStyle="1" w:styleId="1734">
    <w:name w:val="样式正文 Char Char"/>
    <w:qFormat/>
    <w:uiPriority w:val="0"/>
    <w:rPr>
      <w:rFonts w:eastAsia="宋体"/>
      <w:kern w:val="2"/>
      <w:sz w:val="28"/>
      <w:lang w:val="en-US" w:eastAsia="zh-CN" w:bidi="ar-SA"/>
    </w:rPr>
  </w:style>
  <w:style w:type="character" w:customStyle="1" w:styleId="1735">
    <w:name w:val="设计正文 Char Char"/>
    <w:link w:val="1736"/>
    <w:qFormat/>
    <w:uiPriority w:val="0"/>
    <w:rPr>
      <w:rFonts w:ascii="宋体"/>
      <w:kern w:val="2"/>
      <w:sz w:val="24"/>
    </w:rPr>
  </w:style>
  <w:style w:type="paragraph" w:customStyle="1" w:styleId="1736">
    <w:name w:val="设计正文 Char"/>
    <w:basedOn w:val="1"/>
    <w:link w:val="1735"/>
    <w:qFormat/>
    <w:uiPriority w:val="0"/>
    <w:pPr>
      <w:widowControl w:val="0"/>
      <w:spacing w:line="420" w:lineRule="exact"/>
      <w:ind w:firstLine="200" w:firstLineChars="200"/>
      <w:jc w:val="both"/>
    </w:pPr>
    <w:rPr>
      <w:rFonts w:hAnsi="Times New Roman" w:cs="Times New Roman"/>
      <w:kern w:val="2"/>
      <w:szCs w:val="20"/>
    </w:rPr>
  </w:style>
  <w:style w:type="character" w:customStyle="1" w:styleId="1737">
    <w:name w:val="脚注文本 字符1"/>
    <w:qFormat/>
    <w:uiPriority w:val="0"/>
    <w:rPr>
      <w:sz w:val="18"/>
      <w:szCs w:val="18"/>
    </w:rPr>
  </w:style>
  <w:style w:type="character" w:customStyle="1" w:styleId="1738">
    <w:name w:val="emtidy-1"/>
    <w:basedOn w:val="83"/>
    <w:qFormat/>
    <w:uiPriority w:val="0"/>
  </w:style>
  <w:style w:type="character" w:customStyle="1" w:styleId="1739">
    <w:name w:val="图标注 Char Char"/>
    <w:qFormat/>
    <w:uiPriority w:val="0"/>
    <w:rPr>
      <w:b/>
      <w:kern w:val="24"/>
      <w:sz w:val="24"/>
      <w:szCs w:val="22"/>
      <w:lang w:bidi="ar-SA"/>
    </w:rPr>
  </w:style>
  <w:style w:type="character" w:customStyle="1" w:styleId="1740">
    <w:name w:val="报告正文 Char"/>
    <w:qFormat/>
    <w:uiPriority w:val="0"/>
    <w:rPr>
      <w:rFonts w:ascii="宋体" w:eastAsia="宋体"/>
      <w:kern w:val="2"/>
      <w:sz w:val="28"/>
      <w:lang w:val="en-US" w:eastAsia="zh-CN" w:bidi="ar-SA"/>
    </w:rPr>
  </w:style>
  <w:style w:type="character" w:customStyle="1" w:styleId="1741">
    <w:name w:val="正文文字缩进 Char"/>
    <w:qFormat/>
    <w:uiPriority w:val="0"/>
    <w:rPr>
      <w:rFonts w:ascii="宋体" w:hAnsi="Arial"/>
      <w:kern w:val="2"/>
      <w:sz w:val="24"/>
    </w:rPr>
  </w:style>
  <w:style w:type="character" w:customStyle="1" w:styleId="1742">
    <w:name w:val="页码1"/>
    <w:qFormat/>
    <w:uiPriority w:val="0"/>
  </w:style>
  <w:style w:type="character" w:customStyle="1" w:styleId="1743">
    <w:name w:val="批注文字 字符3"/>
    <w:qFormat/>
    <w:uiPriority w:val="0"/>
    <w:rPr>
      <w:kern w:val="2"/>
      <w:sz w:val="24"/>
    </w:rPr>
  </w:style>
  <w:style w:type="character" w:customStyle="1" w:styleId="1744">
    <w:name w:val="标题 3 字符1"/>
    <w:qFormat/>
    <w:uiPriority w:val="0"/>
    <w:rPr>
      <w:b/>
      <w:bCs/>
      <w:kern w:val="2"/>
      <w:sz w:val="32"/>
      <w:szCs w:val="32"/>
    </w:rPr>
  </w:style>
  <w:style w:type="character" w:customStyle="1" w:styleId="1745">
    <w:name w:val="电子邮件签名 字符1"/>
    <w:qFormat/>
    <w:uiPriority w:val="0"/>
    <w:rPr>
      <w:kern w:val="2"/>
      <w:sz w:val="24"/>
    </w:rPr>
  </w:style>
  <w:style w:type="character" w:customStyle="1" w:styleId="1746">
    <w:name w:val="0正文 Char Char"/>
    <w:qFormat/>
    <w:uiPriority w:val="0"/>
    <w:rPr>
      <w:rFonts w:ascii="宋体" w:hAnsi="宋体"/>
      <w:snapToGrid/>
      <w:kern w:val="44"/>
      <w:sz w:val="28"/>
      <w:szCs w:val="24"/>
      <w:lang w:val="zh-CN"/>
    </w:rPr>
  </w:style>
  <w:style w:type="character" w:customStyle="1" w:styleId="1747">
    <w:name w:val="页码11"/>
    <w:qFormat/>
    <w:uiPriority w:val="0"/>
  </w:style>
  <w:style w:type="character" w:customStyle="1" w:styleId="1748">
    <w:name w:val="表格文字居中 Char"/>
    <w:qFormat/>
    <w:locked/>
    <w:uiPriority w:val="0"/>
    <w:rPr>
      <w:rFonts w:eastAsia="宋体"/>
      <w:kern w:val="2"/>
      <w:sz w:val="21"/>
      <w:szCs w:val="24"/>
      <w:lang w:val="en-US" w:eastAsia="zh-CN" w:bidi="ar-SA"/>
    </w:rPr>
  </w:style>
  <w:style w:type="character" w:customStyle="1" w:styleId="1749">
    <w:name w:val="标题2，， Char Char"/>
    <w:qFormat/>
    <w:uiPriority w:val="0"/>
    <w:rPr>
      <w:rFonts w:ascii="黑体" w:eastAsia="黑体"/>
      <w:bCs/>
      <w:kern w:val="44"/>
      <w:sz w:val="32"/>
      <w:szCs w:val="32"/>
      <w:lang w:bidi="ar-SA"/>
    </w:rPr>
  </w:style>
  <w:style w:type="character" w:customStyle="1" w:styleId="1750">
    <w:name w:val="HTML 预设格式 字符"/>
    <w:qFormat/>
    <w:uiPriority w:val="0"/>
    <w:rPr>
      <w:rFonts w:ascii="宋体" w:hAnsi="宋体" w:eastAsia="宋体"/>
      <w:color w:val="000000"/>
      <w:sz w:val="24"/>
      <w:szCs w:val="24"/>
      <w:lang w:bidi="ar-SA"/>
    </w:rPr>
  </w:style>
  <w:style w:type="character" w:customStyle="1" w:styleId="1751">
    <w:name w:val="正文1111111 Char Char"/>
    <w:link w:val="1752"/>
    <w:qFormat/>
    <w:uiPriority w:val="0"/>
    <w:rPr>
      <w:rFonts w:ascii="宋体" w:hAnsi="Arial Narrow"/>
      <w:kern w:val="2"/>
      <w:sz w:val="24"/>
      <w:szCs w:val="24"/>
    </w:rPr>
  </w:style>
  <w:style w:type="paragraph" w:customStyle="1" w:styleId="1752">
    <w:name w:val="正文1111111"/>
    <w:basedOn w:val="1"/>
    <w:link w:val="1751"/>
    <w:qFormat/>
    <w:uiPriority w:val="0"/>
    <w:pPr>
      <w:widowControl w:val="0"/>
      <w:spacing w:line="460" w:lineRule="exact"/>
      <w:ind w:firstLine="200" w:firstLineChars="200"/>
      <w:jc w:val="both"/>
    </w:pPr>
    <w:rPr>
      <w:rFonts w:hAnsi="Arial Narrow" w:cs="Times New Roman"/>
      <w:kern w:val="2"/>
    </w:rPr>
  </w:style>
  <w:style w:type="character" w:customStyle="1" w:styleId="1753">
    <w:name w:val="表头 + 居中 Char"/>
    <w:qFormat/>
    <w:uiPriority w:val="0"/>
    <w:rPr>
      <w:rFonts w:ascii="Arial" w:hAnsi="Arial" w:eastAsia="黑体"/>
      <w:kern w:val="2"/>
      <w:sz w:val="21"/>
      <w:szCs w:val="21"/>
      <w:lang w:val="en-US" w:eastAsia="zh-CN" w:bidi="ar-SA"/>
    </w:rPr>
  </w:style>
  <w:style w:type="character" w:customStyle="1" w:styleId="1754">
    <w:name w:val="正文样式 Char1"/>
    <w:qFormat/>
    <w:locked/>
    <w:uiPriority w:val="0"/>
    <w:rPr>
      <w:rFonts w:ascii="宋体" w:hAnsi="宋体" w:eastAsia="宋体"/>
      <w:kern w:val="2"/>
      <w:sz w:val="24"/>
      <w:szCs w:val="24"/>
      <w:lang w:val="en-US" w:eastAsia="zh-CN" w:bidi="ar-SA"/>
    </w:rPr>
  </w:style>
  <w:style w:type="character" w:customStyle="1" w:styleId="1755">
    <w:name w:val="样式 宋体 四号 行距: 1.5 倍行距 Char Char Char"/>
    <w:link w:val="1756"/>
    <w:qFormat/>
    <w:uiPriority w:val="0"/>
    <w:rPr>
      <w:rFonts w:ascii="宋体" w:hAnsi="宋体"/>
      <w:kern w:val="2"/>
      <w:sz w:val="28"/>
      <w:szCs w:val="24"/>
    </w:rPr>
  </w:style>
  <w:style w:type="paragraph" w:customStyle="1" w:styleId="1756">
    <w:name w:val="样式 宋体 四号 行距: 1.5 倍行距 Char Char"/>
    <w:basedOn w:val="1"/>
    <w:link w:val="1755"/>
    <w:qFormat/>
    <w:uiPriority w:val="0"/>
    <w:pPr>
      <w:widowControl w:val="0"/>
      <w:spacing w:line="360" w:lineRule="auto"/>
      <w:ind w:firstLine="560" w:firstLineChars="200"/>
      <w:jc w:val="both"/>
    </w:pPr>
    <w:rPr>
      <w:rFonts w:cs="Times New Roman"/>
      <w:kern w:val="2"/>
      <w:sz w:val="28"/>
    </w:rPr>
  </w:style>
  <w:style w:type="character" w:customStyle="1" w:styleId="1757">
    <w:name w:val="标题标题 Char"/>
    <w:qFormat/>
    <w:uiPriority w:val="0"/>
    <w:rPr>
      <w:rFonts w:eastAsia="黑体"/>
      <w:kern w:val="11"/>
      <w:sz w:val="21"/>
      <w:szCs w:val="28"/>
      <w:lang w:val="en-US" w:eastAsia="zh-CN" w:bidi="ar-SA"/>
    </w:rPr>
  </w:style>
  <w:style w:type="character" w:customStyle="1" w:styleId="1758">
    <w:name w:val="表格头 Char Char"/>
    <w:qFormat/>
    <w:uiPriority w:val="0"/>
    <w:rPr>
      <w:rFonts w:ascii="Arial" w:hAnsi="Arial" w:eastAsia="黑体"/>
      <w:snapToGrid w:val="0"/>
      <w:color w:val="000000"/>
      <w:sz w:val="21"/>
      <w:szCs w:val="24"/>
    </w:rPr>
  </w:style>
  <w:style w:type="character" w:customStyle="1" w:styleId="1759">
    <w:name w:val="批注文字 字符6"/>
    <w:qFormat/>
    <w:uiPriority w:val="99"/>
    <w:rPr>
      <w:kern w:val="2"/>
      <w:sz w:val="21"/>
      <w:szCs w:val="24"/>
    </w:rPr>
  </w:style>
  <w:style w:type="character" w:customStyle="1" w:styleId="1760">
    <w:name w:val="样式3 Char"/>
    <w:qFormat/>
    <w:uiPriority w:val="0"/>
    <w:rPr>
      <w:rFonts w:ascii="黑体" w:eastAsia="黑体"/>
      <w:sz w:val="28"/>
      <w:lang w:val="en-US" w:eastAsia="zh-CN" w:bidi="ar-SA"/>
    </w:rPr>
  </w:style>
  <w:style w:type="character" w:customStyle="1" w:styleId="1761">
    <w:name w:val="表格 文字 Char Char"/>
    <w:link w:val="1762"/>
    <w:qFormat/>
    <w:uiPriority w:val="0"/>
    <w:rPr>
      <w:bCs/>
      <w:kern w:val="2"/>
      <w:sz w:val="21"/>
      <w:szCs w:val="21"/>
    </w:rPr>
  </w:style>
  <w:style w:type="paragraph" w:customStyle="1" w:styleId="1762">
    <w:name w:val="表格 文字"/>
    <w:basedOn w:val="78"/>
    <w:link w:val="1761"/>
    <w:qFormat/>
    <w:uiPriority w:val="0"/>
    <w:pPr>
      <w:widowControl w:val="0"/>
      <w:tabs>
        <w:tab w:val="left" w:pos="628"/>
        <w:tab w:val="left" w:pos="1727"/>
        <w:tab w:val="left" w:pos="1884"/>
      </w:tabs>
      <w:snapToGrid w:val="0"/>
      <w:spacing w:after="0" w:line="312" w:lineRule="auto"/>
      <w:ind w:firstLine="0" w:firstLineChars="0"/>
    </w:pPr>
    <w:rPr>
      <w:rFonts w:ascii="Times New Roman" w:hAnsi="Times New Roman" w:cs="Times New Roman"/>
      <w:bCs/>
      <w:kern w:val="2"/>
      <w:sz w:val="21"/>
      <w:szCs w:val="21"/>
    </w:rPr>
  </w:style>
  <w:style w:type="character" w:customStyle="1" w:styleId="1763">
    <w:name w:val="H2 Char Char"/>
    <w:qFormat/>
    <w:uiPriority w:val="0"/>
    <w:rPr>
      <w:rFonts w:ascii="宋体" w:hAnsi="Arial" w:eastAsia="宋体"/>
      <w:kern w:val="2"/>
      <w:sz w:val="28"/>
      <w:lang w:val="en-US" w:eastAsia="zh-CN" w:bidi="ar-SA"/>
    </w:rPr>
  </w:style>
  <w:style w:type="character" w:customStyle="1" w:styleId="1764">
    <w:name w:val="正文样式 Char"/>
    <w:qFormat/>
    <w:uiPriority w:val="0"/>
    <w:rPr>
      <w:rFonts w:ascii="宋体" w:hAnsi="宋体" w:eastAsia="宋体"/>
      <w:kern w:val="2"/>
      <w:sz w:val="24"/>
      <w:szCs w:val="24"/>
      <w:lang w:val="en-US" w:eastAsia="zh-CN" w:bidi="ar-SA"/>
    </w:rPr>
  </w:style>
  <w:style w:type="character" w:customStyle="1" w:styleId="1765">
    <w:name w:val="text"/>
    <w:basedOn w:val="83"/>
    <w:qFormat/>
    <w:uiPriority w:val="0"/>
  </w:style>
  <w:style w:type="character" w:customStyle="1" w:styleId="1766">
    <w:name w:val="Char Char142"/>
    <w:qFormat/>
    <w:uiPriority w:val="0"/>
    <w:rPr>
      <w:rFonts w:eastAsia="宋体"/>
      <w:kern w:val="2"/>
      <w:sz w:val="21"/>
      <w:szCs w:val="24"/>
      <w:lang w:val="en-US" w:eastAsia="zh-CN" w:bidi="ar-SA"/>
    </w:rPr>
  </w:style>
  <w:style w:type="character" w:customStyle="1" w:styleId="1767">
    <w:name w:val="标题4，， Char"/>
    <w:link w:val="1768"/>
    <w:qFormat/>
    <w:locked/>
    <w:uiPriority w:val="0"/>
    <w:rPr>
      <w:rFonts w:ascii="宋体" w:hAnsi="宋体"/>
      <w:kern w:val="2"/>
      <w:sz w:val="24"/>
    </w:rPr>
  </w:style>
  <w:style w:type="paragraph" w:customStyle="1" w:styleId="1768">
    <w:name w:val="标题4，，"/>
    <w:basedOn w:val="7"/>
    <w:link w:val="1767"/>
    <w:qFormat/>
    <w:uiPriority w:val="0"/>
    <w:pPr>
      <w:widowControl w:val="0"/>
      <w:spacing w:line="360" w:lineRule="auto"/>
    </w:pPr>
    <w:rPr>
      <w:rFonts w:ascii="宋体" w:hAnsi="宋体" w:cs="Times New Roman"/>
      <w:kern w:val="2"/>
      <w:lang w:val="en-US"/>
    </w:rPr>
  </w:style>
  <w:style w:type="character" w:customStyle="1" w:styleId="1769">
    <w:name w:val="titlebig"/>
    <w:basedOn w:val="83"/>
    <w:qFormat/>
    <w:uiPriority w:val="0"/>
  </w:style>
  <w:style w:type="character" w:customStyle="1" w:styleId="1770">
    <w:name w:val="标3 Char"/>
    <w:link w:val="1771"/>
    <w:qFormat/>
    <w:uiPriority w:val="0"/>
    <w:rPr>
      <w:rFonts w:ascii="黑体" w:hAnsi="宋体" w:eastAsia="黑体"/>
      <w:b/>
      <w:bCs/>
      <w:color w:val="000000"/>
      <w:sz w:val="24"/>
      <w:szCs w:val="24"/>
    </w:rPr>
  </w:style>
  <w:style w:type="paragraph" w:customStyle="1" w:styleId="1771">
    <w:name w:val="标3"/>
    <w:basedOn w:val="6"/>
    <w:link w:val="1770"/>
    <w:qFormat/>
    <w:uiPriority w:val="0"/>
    <w:pPr>
      <w:widowControl w:val="0"/>
      <w:adjustRightInd w:val="0"/>
      <w:spacing w:before="120" w:after="120" w:line="520" w:lineRule="exact"/>
      <w:textAlignment w:val="baseline"/>
    </w:pPr>
    <w:rPr>
      <w:rFonts w:ascii="黑体" w:hAnsi="宋体"/>
      <w:b/>
      <w:color w:val="000000"/>
      <w:sz w:val="24"/>
      <w:szCs w:val="24"/>
    </w:rPr>
  </w:style>
  <w:style w:type="character" w:customStyle="1" w:styleId="1772">
    <w:name w:val="正文升平 Char"/>
    <w:link w:val="1773"/>
    <w:qFormat/>
    <w:uiPriority w:val="0"/>
    <w:rPr>
      <w:rFonts w:ascii="楷体_GB2312" w:hAnsi="宋体" w:eastAsia="楷体_GB2312"/>
      <w:bCs/>
      <w:color w:val="000000"/>
      <w:sz w:val="28"/>
      <w:szCs w:val="28"/>
      <w:lang w:val="zh-CN"/>
    </w:rPr>
  </w:style>
  <w:style w:type="paragraph" w:customStyle="1" w:styleId="1773">
    <w:name w:val="正文升平"/>
    <w:basedOn w:val="1"/>
    <w:link w:val="1772"/>
    <w:qFormat/>
    <w:uiPriority w:val="0"/>
    <w:pPr>
      <w:widowControl w:val="0"/>
      <w:tabs>
        <w:tab w:val="left" w:pos="5040"/>
      </w:tabs>
      <w:spacing w:line="500" w:lineRule="exact"/>
      <w:ind w:firstLine="560" w:firstLineChars="200"/>
      <w:jc w:val="both"/>
    </w:pPr>
    <w:rPr>
      <w:rFonts w:ascii="楷体_GB2312" w:eastAsia="楷体_GB2312" w:cs="Times New Roman"/>
      <w:bCs/>
      <w:color w:val="000000"/>
      <w:sz w:val="28"/>
      <w:szCs w:val="28"/>
      <w:lang w:val="zh-CN"/>
    </w:rPr>
  </w:style>
  <w:style w:type="character" w:customStyle="1" w:styleId="1774">
    <w:name w:val="样式14 Char Char"/>
    <w:qFormat/>
    <w:uiPriority w:val="0"/>
    <w:rPr>
      <w:rFonts w:ascii="方正黑体简体" w:eastAsia="方正黑体简体"/>
      <w:sz w:val="24"/>
      <w:szCs w:val="21"/>
    </w:rPr>
  </w:style>
  <w:style w:type="character" w:customStyle="1" w:styleId="1775">
    <w:name w:val="页脚 字符"/>
    <w:qFormat/>
    <w:uiPriority w:val="99"/>
    <w:rPr>
      <w:kern w:val="2"/>
      <w:sz w:val="18"/>
    </w:rPr>
  </w:style>
  <w:style w:type="character" w:customStyle="1" w:styleId="1776">
    <w:name w:val="正文文字缩进 Char2"/>
    <w:qFormat/>
    <w:uiPriority w:val="0"/>
    <w:rPr>
      <w:kern w:val="2"/>
      <w:sz w:val="24"/>
    </w:rPr>
  </w:style>
  <w:style w:type="character" w:customStyle="1" w:styleId="1777">
    <w:name w:val="正文首行缩进 2 Char Char"/>
    <w:link w:val="1778"/>
    <w:qFormat/>
    <w:uiPriority w:val="0"/>
    <w:rPr>
      <w:rFonts w:ascii="楷体_GB2312" w:eastAsia="楷体_GB2312"/>
      <w:sz w:val="28"/>
      <w:szCs w:val="24"/>
    </w:rPr>
  </w:style>
  <w:style w:type="paragraph" w:customStyle="1" w:styleId="1778">
    <w:name w:val="正文首行缩进 21"/>
    <w:basedOn w:val="1779"/>
    <w:link w:val="1777"/>
    <w:qFormat/>
    <w:uiPriority w:val="0"/>
    <w:pPr>
      <w:widowControl w:val="0"/>
      <w:snapToGrid w:val="0"/>
      <w:spacing w:after="120" w:line="480" w:lineRule="exact"/>
      <w:ind w:left="420" w:leftChars="200" w:firstLine="420" w:firstLineChars="200"/>
      <w:jc w:val="both"/>
      <w:textAlignment w:val="auto"/>
    </w:pPr>
    <w:rPr>
      <w:rFonts w:ascii="楷体_GB2312" w:hAnsi="Times New Roman" w:eastAsia="楷体_GB2312" w:cs="Times New Roman"/>
      <w:sz w:val="28"/>
    </w:rPr>
  </w:style>
  <w:style w:type="paragraph" w:customStyle="1" w:styleId="1779">
    <w:name w:val="正文文本缩进2"/>
    <w:basedOn w:val="1"/>
    <w:qFormat/>
    <w:uiPriority w:val="0"/>
    <w:pPr>
      <w:adjustRightInd w:val="0"/>
      <w:spacing w:line="360" w:lineRule="atLeast"/>
      <w:ind w:left="280" w:firstLine="560"/>
      <w:textAlignment w:val="baseline"/>
    </w:pPr>
  </w:style>
  <w:style w:type="character" w:customStyle="1" w:styleId="1780">
    <w:name w:val="标题3 Char"/>
    <w:qFormat/>
    <w:uiPriority w:val="0"/>
    <w:rPr>
      <w:rFonts w:eastAsia="黑体" w:cs="宋体"/>
      <w:kern w:val="2"/>
      <w:sz w:val="28"/>
      <w:szCs w:val="32"/>
      <w:lang w:val="en-US" w:eastAsia="zh-CN" w:bidi="ar-SA"/>
    </w:rPr>
  </w:style>
  <w:style w:type="character" w:customStyle="1" w:styleId="1781">
    <w:name w:val="报告名称副标题 Char Char"/>
    <w:link w:val="1782"/>
    <w:qFormat/>
    <w:uiPriority w:val="0"/>
    <w:rPr>
      <w:rFonts w:eastAsia="黑体"/>
      <w:kern w:val="2"/>
      <w:sz w:val="44"/>
    </w:rPr>
  </w:style>
  <w:style w:type="paragraph" w:customStyle="1" w:styleId="1782">
    <w:name w:val="报告名称副标题"/>
    <w:basedOn w:val="1"/>
    <w:next w:val="1"/>
    <w:link w:val="1781"/>
    <w:qFormat/>
    <w:uiPriority w:val="0"/>
    <w:pPr>
      <w:adjustRightInd w:val="0"/>
      <w:snapToGrid w:val="0"/>
      <w:spacing w:before="140" w:after="120" w:line="700" w:lineRule="exact"/>
      <w:jc w:val="center"/>
    </w:pPr>
    <w:rPr>
      <w:rFonts w:ascii="Times New Roman" w:hAnsi="Times New Roman" w:eastAsia="黑体" w:cs="Times New Roman"/>
      <w:kern w:val="2"/>
      <w:sz w:val="44"/>
      <w:szCs w:val="20"/>
    </w:rPr>
  </w:style>
  <w:style w:type="character" w:customStyle="1" w:styleId="1783">
    <w:name w:val="表格内 Char Char"/>
    <w:qFormat/>
    <w:uiPriority w:val="0"/>
    <w:rPr>
      <w:snapToGrid w:val="0"/>
      <w:sz w:val="21"/>
      <w:szCs w:val="21"/>
    </w:rPr>
  </w:style>
  <w:style w:type="character" w:customStyle="1" w:styleId="1784">
    <w:name w:val="正文文本 2 字符"/>
    <w:qFormat/>
    <w:uiPriority w:val="0"/>
    <w:rPr>
      <w:rFonts w:eastAsia="宋体"/>
      <w:snapToGrid w:val="0"/>
      <w:kern w:val="28"/>
      <w:sz w:val="24"/>
      <w:lang w:val="en-US" w:eastAsia="zh-CN" w:bidi="ar-SA"/>
    </w:rPr>
  </w:style>
  <w:style w:type="character" w:customStyle="1" w:styleId="1785">
    <w:name w:val="王　正文 Char"/>
    <w:link w:val="1786"/>
    <w:qFormat/>
    <w:uiPriority w:val="0"/>
    <w:rPr>
      <w:rFonts w:hAnsi="宋体" w:cs="宋体"/>
      <w:kern w:val="24"/>
      <w:sz w:val="28"/>
      <w:szCs w:val="28"/>
    </w:rPr>
  </w:style>
  <w:style w:type="paragraph" w:customStyle="1" w:styleId="1786">
    <w:name w:val="王　正文"/>
    <w:basedOn w:val="1"/>
    <w:link w:val="1785"/>
    <w:qFormat/>
    <w:uiPriority w:val="0"/>
    <w:pPr>
      <w:widowControl w:val="0"/>
      <w:spacing w:line="480" w:lineRule="exact"/>
      <w:ind w:firstLine="560" w:firstLineChars="200"/>
      <w:jc w:val="both"/>
    </w:pPr>
    <w:rPr>
      <w:rFonts w:ascii="Times New Roman"/>
      <w:kern w:val="24"/>
      <w:sz w:val="28"/>
      <w:szCs w:val="28"/>
    </w:rPr>
  </w:style>
  <w:style w:type="character" w:customStyle="1" w:styleId="1787">
    <w:name w:val="日期 字符"/>
    <w:qFormat/>
    <w:uiPriority w:val="0"/>
    <w:rPr>
      <w:rFonts w:ascii="宋体" w:eastAsia="宋体"/>
      <w:kern w:val="2"/>
      <w:sz w:val="21"/>
      <w:lang w:val="en-US" w:eastAsia="zh-CN" w:bidi="ar-SA"/>
    </w:rPr>
  </w:style>
  <w:style w:type="character" w:customStyle="1" w:styleId="1788">
    <w:name w:val="普通(网站) 字符"/>
    <w:qFormat/>
    <w:uiPriority w:val="0"/>
    <w:rPr>
      <w:rFonts w:eastAsia="宋体"/>
      <w:kern w:val="2"/>
      <w:sz w:val="24"/>
      <w:szCs w:val="24"/>
      <w:lang w:val="en-US" w:eastAsia="zh-CN" w:bidi="ar-SA"/>
    </w:rPr>
  </w:style>
  <w:style w:type="character" w:customStyle="1" w:styleId="1789">
    <w:name w:val="cucd-0 Char"/>
    <w:qFormat/>
    <w:uiPriority w:val="0"/>
    <w:rPr>
      <w:kern w:val="2"/>
      <w:sz w:val="24"/>
      <w:szCs w:val="24"/>
      <w:lang w:val="en-US" w:eastAsia="zh-CN" w:bidi="ar-SA"/>
    </w:rPr>
  </w:style>
  <w:style w:type="character" w:customStyle="1" w:styleId="1790">
    <w:name w:val="正文新 Char"/>
    <w:link w:val="1791"/>
    <w:qFormat/>
    <w:uiPriority w:val="0"/>
    <w:rPr>
      <w:rFonts w:ascii="宋体" w:hAnsi="宋体"/>
      <w:kern w:val="2"/>
      <w:sz w:val="24"/>
      <w:szCs w:val="24"/>
    </w:rPr>
  </w:style>
  <w:style w:type="paragraph" w:customStyle="1" w:styleId="1791">
    <w:name w:val="正文新"/>
    <w:basedOn w:val="1"/>
    <w:link w:val="1790"/>
    <w:qFormat/>
    <w:uiPriority w:val="0"/>
    <w:pPr>
      <w:widowControl w:val="0"/>
      <w:spacing w:line="460" w:lineRule="exact"/>
      <w:ind w:firstLine="482"/>
      <w:jc w:val="both"/>
    </w:pPr>
    <w:rPr>
      <w:rFonts w:cs="Times New Roman"/>
      <w:kern w:val="2"/>
    </w:rPr>
  </w:style>
  <w:style w:type="character" w:customStyle="1" w:styleId="1792">
    <w:name w:val="样式 标题 2 Char + Times New Roman Char Char"/>
    <w:qFormat/>
    <w:uiPriority w:val="0"/>
    <w:rPr>
      <w:rFonts w:eastAsia="黑体"/>
      <w:kern w:val="2"/>
      <w:sz w:val="28"/>
    </w:rPr>
  </w:style>
  <w:style w:type="character" w:customStyle="1" w:styleId="1793">
    <w:name w:val="样式 标题 2 + 四号 Char Char Char"/>
    <w:qFormat/>
    <w:uiPriority w:val="0"/>
    <w:rPr>
      <w:rFonts w:eastAsia="黑体"/>
      <w:bCs/>
      <w:snapToGrid/>
      <w:sz w:val="28"/>
      <w:szCs w:val="32"/>
      <w:lang w:bidi="ar-SA"/>
    </w:rPr>
  </w:style>
  <w:style w:type="character" w:customStyle="1" w:styleId="1794">
    <w:name w:val="宏文本 Char1"/>
    <w:qFormat/>
    <w:uiPriority w:val="0"/>
    <w:rPr>
      <w:rFonts w:ascii="Courier New" w:hAnsi="Courier New" w:cs="Courier New"/>
      <w:sz w:val="24"/>
      <w:szCs w:val="24"/>
    </w:rPr>
  </w:style>
  <w:style w:type="character" w:customStyle="1" w:styleId="1795">
    <w:name w:val="表格sms Char"/>
    <w:link w:val="1796"/>
    <w:qFormat/>
    <w:uiPriority w:val="0"/>
    <w:rPr>
      <w:snapToGrid w:val="0"/>
      <w:w w:val="99"/>
      <w:sz w:val="21"/>
      <w:szCs w:val="21"/>
    </w:rPr>
  </w:style>
  <w:style w:type="paragraph" w:customStyle="1" w:styleId="1796">
    <w:name w:val="表格sms"/>
    <w:link w:val="1795"/>
    <w:qFormat/>
    <w:uiPriority w:val="0"/>
    <w:pPr>
      <w:spacing w:line="360" w:lineRule="exact"/>
      <w:jc w:val="center"/>
    </w:pPr>
    <w:rPr>
      <w:rFonts w:ascii="Times New Roman" w:hAnsi="Times New Roman" w:eastAsia="宋体" w:cs="Times New Roman"/>
      <w:snapToGrid w:val="0"/>
      <w:w w:val="99"/>
      <w:sz w:val="21"/>
      <w:szCs w:val="21"/>
      <w:lang w:val="en-US" w:eastAsia="zh-CN" w:bidi="ar-SA"/>
    </w:rPr>
  </w:style>
  <w:style w:type="character" w:customStyle="1" w:styleId="1797">
    <w:name w:val="emtidy-5"/>
    <w:basedOn w:val="83"/>
    <w:qFormat/>
    <w:uiPriority w:val="0"/>
  </w:style>
  <w:style w:type="character" w:customStyle="1" w:styleId="1798">
    <w:name w:val="正文首行缩进-修改 Char"/>
    <w:qFormat/>
    <w:uiPriority w:val="0"/>
    <w:rPr>
      <w:rFonts w:eastAsia="宋体"/>
      <w:kern w:val="2"/>
      <w:sz w:val="24"/>
      <w:szCs w:val="24"/>
      <w:lang w:val="en-US" w:eastAsia="zh-CN" w:bidi="ar-SA"/>
    </w:rPr>
  </w:style>
  <w:style w:type="character" w:customStyle="1" w:styleId="1799">
    <w:name w:val="emtidy-7"/>
    <w:basedOn w:val="83"/>
    <w:qFormat/>
    <w:uiPriority w:val="0"/>
  </w:style>
  <w:style w:type="character" w:customStyle="1" w:styleId="1800">
    <w:name w:val="脚注文本 字符"/>
    <w:qFormat/>
    <w:uiPriority w:val="0"/>
    <w:rPr>
      <w:kern w:val="2"/>
      <w:sz w:val="18"/>
      <w:szCs w:val="18"/>
    </w:rPr>
  </w:style>
  <w:style w:type="character" w:customStyle="1" w:styleId="1801">
    <w:name w:val="批注框文本 Char2"/>
    <w:qFormat/>
    <w:uiPriority w:val="0"/>
    <w:rPr>
      <w:kern w:val="2"/>
      <w:sz w:val="18"/>
      <w:szCs w:val="18"/>
    </w:rPr>
  </w:style>
  <w:style w:type="character" w:customStyle="1" w:styleId="1802">
    <w:name w:val="正文－图表内文字 Char"/>
    <w:link w:val="1803"/>
    <w:qFormat/>
    <w:uiPriority w:val="0"/>
    <w:rPr>
      <w:color w:val="000000"/>
      <w:kern w:val="2"/>
      <w:sz w:val="21"/>
      <w:szCs w:val="24"/>
    </w:rPr>
  </w:style>
  <w:style w:type="paragraph" w:customStyle="1" w:styleId="1803">
    <w:name w:val="正文－图表内文字"/>
    <w:basedOn w:val="1"/>
    <w:next w:val="1"/>
    <w:link w:val="1802"/>
    <w:qFormat/>
    <w:uiPriority w:val="0"/>
    <w:pPr>
      <w:widowControl w:val="0"/>
      <w:adjustRightInd w:val="0"/>
      <w:snapToGrid w:val="0"/>
      <w:jc w:val="center"/>
    </w:pPr>
    <w:rPr>
      <w:rFonts w:ascii="Times New Roman" w:hAnsi="Times New Roman" w:cs="Times New Roman"/>
      <w:color w:val="000000"/>
      <w:kern w:val="2"/>
      <w:sz w:val="21"/>
    </w:rPr>
  </w:style>
  <w:style w:type="character" w:customStyle="1" w:styleId="1804">
    <w:name w:val="书籍标题2"/>
    <w:qFormat/>
    <w:uiPriority w:val="0"/>
    <w:rPr>
      <w:b/>
      <w:bCs/>
      <w:smallCaps/>
      <w:spacing w:val="5"/>
    </w:rPr>
  </w:style>
  <w:style w:type="character" w:customStyle="1" w:styleId="1805">
    <w:name w:val="内容1 Char"/>
    <w:link w:val="1806"/>
    <w:qFormat/>
    <w:uiPriority w:val="0"/>
    <w:rPr>
      <w:rFonts w:hAnsi="宋体"/>
      <w:sz w:val="28"/>
      <w:szCs w:val="28"/>
    </w:rPr>
  </w:style>
  <w:style w:type="paragraph" w:customStyle="1" w:styleId="1806">
    <w:name w:val="内容1"/>
    <w:basedOn w:val="1"/>
    <w:link w:val="1805"/>
    <w:qFormat/>
    <w:uiPriority w:val="0"/>
    <w:pPr>
      <w:spacing w:line="500" w:lineRule="exact"/>
      <w:ind w:firstLine="538" w:firstLineChars="192"/>
    </w:pPr>
    <w:rPr>
      <w:rFonts w:ascii="Times New Roman" w:cs="Times New Roman"/>
      <w:sz w:val="28"/>
      <w:szCs w:val="28"/>
    </w:rPr>
  </w:style>
  <w:style w:type="character" w:customStyle="1" w:styleId="1807">
    <w:name w:val="样式 标题 1一级标题(章)标题 1 Char封面标题封皮 + (中文) 仿宋_GB2312 四号 左 左侧:  ... Char Char Char Char"/>
    <w:qFormat/>
    <w:uiPriority w:val="0"/>
    <w:rPr>
      <w:rFonts w:eastAsia="黑体" w:cs="宋体"/>
      <w:bCs/>
      <w:snapToGrid w:val="0"/>
      <w:kern w:val="44"/>
      <w:sz w:val="32"/>
      <w:szCs w:val="32"/>
    </w:rPr>
  </w:style>
  <w:style w:type="character" w:customStyle="1" w:styleId="1808">
    <w:name w:val="说明书正文 Char Char"/>
    <w:qFormat/>
    <w:uiPriority w:val="0"/>
    <w:rPr>
      <w:rFonts w:eastAsia="宋体"/>
      <w:sz w:val="24"/>
      <w:szCs w:val="24"/>
      <w:lang w:val="en-US" w:eastAsia="zh-CN" w:bidi="ar-SA"/>
    </w:rPr>
  </w:style>
  <w:style w:type="character" w:customStyle="1" w:styleId="1809">
    <w:name w:val="正文 首行缩进:  2 字符 Char Char"/>
    <w:qFormat/>
    <w:uiPriority w:val="0"/>
    <w:rPr>
      <w:rFonts w:cs="宋体"/>
      <w:kern w:val="2"/>
      <w:sz w:val="24"/>
    </w:rPr>
  </w:style>
  <w:style w:type="character" w:customStyle="1" w:styleId="1810">
    <w:name w:val="样式13 Char Char"/>
    <w:qFormat/>
    <w:uiPriority w:val="0"/>
    <w:rPr>
      <w:rFonts w:ascii="方正书宋简体" w:eastAsia="方正书宋简体"/>
      <w:b/>
      <w:color w:val="000000"/>
      <w:kern w:val="2"/>
      <w:sz w:val="28"/>
      <w:szCs w:val="28"/>
      <w:lang w:val="en-US" w:eastAsia="zh-CN" w:bidi="ar-SA"/>
    </w:rPr>
  </w:style>
  <w:style w:type="character" w:customStyle="1" w:styleId="1811">
    <w:name w:val="样式6 Char Char"/>
    <w:qFormat/>
    <w:uiPriority w:val="0"/>
    <w:rPr>
      <w:kern w:val="2"/>
      <w:sz w:val="21"/>
      <w:szCs w:val="21"/>
    </w:rPr>
  </w:style>
  <w:style w:type="character" w:customStyle="1" w:styleId="1812">
    <w:name w:val="正文－图表内文字 Char Char"/>
    <w:qFormat/>
    <w:uiPriority w:val="0"/>
    <w:rPr>
      <w:color w:val="000000"/>
      <w:kern w:val="2"/>
      <w:sz w:val="21"/>
      <w:szCs w:val="28"/>
    </w:rPr>
  </w:style>
  <w:style w:type="character" w:customStyle="1" w:styleId="1813">
    <w:name w:val="font5 Char Char"/>
    <w:qFormat/>
    <w:uiPriority w:val="0"/>
    <w:rPr>
      <w:rFonts w:ascii="宋体" w:hAnsi="宋体" w:eastAsia="宋体"/>
      <w:sz w:val="18"/>
      <w:szCs w:val="18"/>
      <w:lang w:val="en-US" w:eastAsia="zh-CN" w:bidi="ar-SA"/>
    </w:rPr>
  </w:style>
  <w:style w:type="character" w:customStyle="1" w:styleId="1814">
    <w:name w:val="keyword1"/>
    <w:qFormat/>
    <w:uiPriority w:val="0"/>
    <w:rPr>
      <w:color w:val="FF0000"/>
    </w:rPr>
  </w:style>
  <w:style w:type="character" w:customStyle="1" w:styleId="1815">
    <w:name w:val="emtidy-3"/>
    <w:basedOn w:val="83"/>
    <w:qFormat/>
    <w:uiPriority w:val="0"/>
  </w:style>
  <w:style w:type="character" w:customStyle="1" w:styleId="1816">
    <w:name w:val="新正文 Char"/>
    <w:link w:val="1817"/>
    <w:qFormat/>
    <w:uiPriority w:val="0"/>
    <w:rPr>
      <w:rFonts w:ascii="宋体"/>
      <w:kern w:val="2"/>
      <w:sz w:val="24"/>
      <w:szCs w:val="24"/>
    </w:rPr>
  </w:style>
  <w:style w:type="paragraph" w:customStyle="1" w:styleId="1817">
    <w:name w:val="新正文"/>
    <w:basedOn w:val="1"/>
    <w:link w:val="1816"/>
    <w:qFormat/>
    <w:uiPriority w:val="0"/>
    <w:pPr>
      <w:widowControl w:val="0"/>
      <w:tabs>
        <w:tab w:val="left" w:pos="8295"/>
      </w:tabs>
      <w:spacing w:line="460" w:lineRule="exact"/>
      <w:ind w:firstLine="200" w:firstLineChars="200"/>
      <w:jc w:val="both"/>
    </w:pPr>
    <w:rPr>
      <w:rFonts w:hAnsi="Times New Roman" w:cs="Times New Roman"/>
      <w:kern w:val="2"/>
    </w:rPr>
  </w:style>
  <w:style w:type="character" w:customStyle="1" w:styleId="1818">
    <w:name w:val="样式正文 Char Char1"/>
    <w:qFormat/>
    <w:uiPriority w:val="0"/>
    <w:rPr>
      <w:rFonts w:eastAsia="宋体"/>
      <w:kern w:val="2"/>
      <w:sz w:val="28"/>
      <w:szCs w:val="24"/>
      <w:lang w:val="en-US" w:eastAsia="zh-CN" w:bidi="ar-SA"/>
    </w:rPr>
  </w:style>
  <w:style w:type="character" w:customStyle="1" w:styleId="1819">
    <w:name w:val="zt41"/>
    <w:qFormat/>
    <w:uiPriority w:val="0"/>
    <w:rPr>
      <w:sz w:val="18"/>
      <w:szCs w:val="18"/>
    </w:rPr>
  </w:style>
  <w:style w:type="character" w:customStyle="1" w:styleId="1820">
    <w:name w:val="表头-文字 Char"/>
    <w:link w:val="1821"/>
    <w:qFormat/>
    <w:locked/>
    <w:uiPriority w:val="0"/>
    <w:rPr>
      <w:b/>
      <w:kern w:val="24"/>
      <w:sz w:val="24"/>
      <w:szCs w:val="22"/>
    </w:rPr>
  </w:style>
  <w:style w:type="paragraph" w:customStyle="1" w:styleId="1821">
    <w:name w:val="表头-文字"/>
    <w:basedOn w:val="1"/>
    <w:link w:val="1820"/>
    <w:qFormat/>
    <w:uiPriority w:val="0"/>
    <w:pPr>
      <w:widowControl w:val="0"/>
      <w:adjustRightInd w:val="0"/>
      <w:snapToGrid w:val="0"/>
      <w:spacing w:beforeLines="50"/>
      <w:jc w:val="center"/>
    </w:pPr>
    <w:rPr>
      <w:rFonts w:ascii="Times New Roman" w:hAnsi="Times New Roman" w:cs="Times New Roman"/>
      <w:b/>
      <w:kern w:val="24"/>
      <w:szCs w:val="22"/>
    </w:rPr>
  </w:style>
  <w:style w:type="character" w:customStyle="1" w:styleId="1822">
    <w:name w:val="电子邮件签名 字符3"/>
    <w:qFormat/>
    <w:uiPriority w:val="0"/>
    <w:rPr>
      <w:kern w:val="2"/>
      <w:sz w:val="24"/>
    </w:rPr>
  </w:style>
  <w:style w:type="character" w:customStyle="1" w:styleId="1823">
    <w:name w:val="正文首行缩进 2 字符1"/>
    <w:qFormat/>
    <w:uiPriority w:val="0"/>
  </w:style>
  <w:style w:type="character" w:customStyle="1" w:styleId="1824">
    <w:name w:val="正文文本 2 字符4"/>
    <w:qFormat/>
    <w:uiPriority w:val="0"/>
    <w:rPr>
      <w:kern w:val="2"/>
      <w:sz w:val="24"/>
    </w:rPr>
  </w:style>
  <w:style w:type="character" w:customStyle="1" w:styleId="1825">
    <w:name w:val="标题 6 字符2"/>
    <w:qFormat/>
    <w:uiPriority w:val="0"/>
    <w:rPr>
      <w:rFonts w:ascii="Arial" w:hAnsi="Arial" w:eastAsia="黑体"/>
      <w:b/>
      <w:bCs/>
      <w:kern w:val="2"/>
      <w:sz w:val="24"/>
      <w:szCs w:val="24"/>
    </w:rPr>
  </w:style>
  <w:style w:type="character" w:customStyle="1" w:styleId="1826">
    <w:name w:val="正文 New New Char Char"/>
    <w:qFormat/>
    <w:uiPriority w:val="0"/>
    <w:rPr>
      <w:kern w:val="2"/>
      <w:sz w:val="21"/>
      <w:szCs w:val="24"/>
      <w:lang w:bidi="ar-SA"/>
    </w:rPr>
  </w:style>
  <w:style w:type="character" w:customStyle="1" w:styleId="1827">
    <w:name w:val="标题 3 字符2"/>
    <w:qFormat/>
    <w:uiPriority w:val="0"/>
    <w:rPr>
      <w:b/>
      <w:bCs/>
      <w:kern w:val="2"/>
      <w:sz w:val="32"/>
      <w:szCs w:val="32"/>
    </w:rPr>
  </w:style>
  <w:style w:type="character" w:customStyle="1" w:styleId="1828">
    <w:name w:val="正文文字缩进 2 Char2"/>
    <w:qFormat/>
    <w:uiPriority w:val="0"/>
    <w:rPr>
      <w:kern w:val="2"/>
      <w:sz w:val="24"/>
    </w:rPr>
  </w:style>
  <w:style w:type="character" w:customStyle="1" w:styleId="1829">
    <w:name w:val="正文文字 Char1"/>
    <w:qFormat/>
    <w:uiPriority w:val="0"/>
    <w:rPr>
      <w:rFonts w:eastAsia="宋体"/>
      <w:b/>
      <w:kern w:val="2"/>
      <w:sz w:val="24"/>
      <w:lang w:val="en-US" w:eastAsia="zh-CN" w:bidi="ar-SA"/>
    </w:rPr>
  </w:style>
  <w:style w:type="character" w:customStyle="1" w:styleId="1830">
    <w:name w:val="表格1 Char"/>
    <w:qFormat/>
    <w:uiPriority w:val="0"/>
    <w:rPr>
      <w:rFonts w:ascii="宋体" w:hAnsi="宋体" w:eastAsia="宋体" w:cs="Arial"/>
      <w:color w:val="000000"/>
      <w:sz w:val="21"/>
      <w:szCs w:val="21"/>
      <w:lang w:val="en-US" w:eastAsia="zh-CN" w:bidi="ar-SA"/>
    </w:rPr>
  </w:style>
  <w:style w:type="character" w:customStyle="1" w:styleId="1831">
    <w:name w:val="正文缩进 字符"/>
    <w:qFormat/>
    <w:uiPriority w:val="0"/>
    <w:rPr>
      <w:rFonts w:eastAsia="宋体"/>
      <w:kern w:val="2"/>
      <w:sz w:val="21"/>
      <w:lang w:val="en-US" w:eastAsia="zh-CN" w:bidi="ar-SA"/>
    </w:rPr>
  </w:style>
  <w:style w:type="character" w:customStyle="1" w:styleId="1832">
    <w:name w:val="标题标题 Char Char Char"/>
    <w:qFormat/>
    <w:uiPriority w:val="0"/>
    <w:rPr>
      <w:rFonts w:eastAsia="黑体"/>
      <w:kern w:val="11"/>
      <w:sz w:val="21"/>
      <w:szCs w:val="28"/>
      <w:lang w:val="en-US" w:eastAsia="zh-CN" w:bidi="ar-SA"/>
    </w:rPr>
  </w:style>
  <w:style w:type="character" w:customStyle="1" w:styleId="1833">
    <w:name w:val="纯文本1 Char"/>
    <w:link w:val="1834"/>
    <w:qFormat/>
    <w:uiPriority w:val="0"/>
    <w:rPr>
      <w:rFonts w:ascii="宋体" w:hAnsi="Courier New"/>
      <w:kern w:val="2"/>
      <w:sz w:val="21"/>
    </w:rPr>
  </w:style>
  <w:style w:type="paragraph" w:customStyle="1" w:styleId="1834">
    <w:name w:val="纯文本1"/>
    <w:basedOn w:val="1"/>
    <w:link w:val="1833"/>
    <w:qFormat/>
    <w:uiPriority w:val="0"/>
    <w:pPr>
      <w:widowControl w:val="0"/>
      <w:jc w:val="both"/>
    </w:pPr>
    <w:rPr>
      <w:rFonts w:hAnsi="Courier New" w:cs="Times New Roman"/>
      <w:kern w:val="2"/>
      <w:sz w:val="21"/>
      <w:szCs w:val="20"/>
    </w:rPr>
  </w:style>
  <w:style w:type="character" w:customStyle="1" w:styleId="1835">
    <w:name w:val="页码2"/>
    <w:basedOn w:val="83"/>
    <w:qFormat/>
    <w:uiPriority w:val="0"/>
  </w:style>
  <w:style w:type="character" w:customStyle="1" w:styleId="1836">
    <w:name w:val="页脚 字符1"/>
    <w:qFormat/>
    <w:uiPriority w:val="0"/>
    <w:rPr>
      <w:sz w:val="18"/>
    </w:rPr>
  </w:style>
  <w:style w:type="character" w:customStyle="1" w:styleId="1837">
    <w:name w:val="OK 1.1.1 Char Char"/>
    <w:qFormat/>
    <w:uiPriority w:val="0"/>
    <w:rPr>
      <w:rFonts w:ascii="Calibri" w:hAnsi="Calibri" w:cs="Calibri"/>
      <w:b/>
      <w:sz w:val="24"/>
      <w:szCs w:val="24"/>
    </w:rPr>
  </w:style>
  <w:style w:type="character" w:customStyle="1" w:styleId="1838">
    <w:name w:val="正文文字 2 Char Char"/>
    <w:qFormat/>
    <w:uiPriority w:val="0"/>
    <w:rPr>
      <w:snapToGrid/>
      <w:kern w:val="28"/>
      <w:sz w:val="24"/>
    </w:rPr>
  </w:style>
  <w:style w:type="character" w:customStyle="1" w:styleId="1839">
    <w:name w:val="日期 字符3"/>
    <w:qFormat/>
    <w:uiPriority w:val="0"/>
    <w:rPr>
      <w:kern w:val="2"/>
      <w:sz w:val="21"/>
    </w:rPr>
  </w:style>
  <w:style w:type="character" w:customStyle="1" w:styleId="1840">
    <w:name w:val="标题 9 字符3"/>
    <w:qFormat/>
    <w:uiPriority w:val="0"/>
    <w:rPr>
      <w:rFonts w:ascii="Arial" w:hAnsi="Arial" w:eastAsia="黑体"/>
      <w:sz w:val="24"/>
      <w:szCs w:val="21"/>
      <w:lang w:bidi="ar-SA"/>
    </w:rPr>
  </w:style>
  <w:style w:type="character" w:customStyle="1" w:styleId="1841">
    <w:name w:val="正文文本 2 字符5"/>
    <w:qFormat/>
    <w:uiPriority w:val="0"/>
    <w:rPr>
      <w:rFonts w:eastAsia="宋体"/>
      <w:kern w:val="2"/>
      <w:sz w:val="18"/>
      <w:lang w:val="en-US" w:eastAsia="zh-CN" w:bidi="ar-SA"/>
    </w:rPr>
  </w:style>
  <w:style w:type="character" w:customStyle="1" w:styleId="1842">
    <w:name w:val="标题 3 字符4"/>
    <w:qFormat/>
    <w:uiPriority w:val="0"/>
    <w:rPr>
      <w:b/>
      <w:bCs/>
      <w:kern w:val="2"/>
      <w:sz w:val="32"/>
      <w:szCs w:val="32"/>
    </w:rPr>
  </w:style>
  <w:style w:type="character" w:customStyle="1" w:styleId="1843">
    <w:name w:val="页眉 Char2"/>
    <w:qFormat/>
    <w:uiPriority w:val="0"/>
    <w:rPr>
      <w:kern w:val="2"/>
      <w:sz w:val="18"/>
      <w:szCs w:val="18"/>
    </w:rPr>
  </w:style>
  <w:style w:type="character" w:customStyle="1" w:styleId="1844">
    <w:name w:val="标题 8 字符3"/>
    <w:qFormat/>
    <w:uiPriority w:val="0"/>
    <w:rPr>
      <w:rFonts w:ascii="Arial" w:hAnsi="Arial" w:eastAsia="黑体"/>
      <w:sz w:val="24"/>
      <w:szCs w:val="24"/>
      <w:lang w:bidi="ar-SA"/>
    </w:rPr>
  </w:style>
  <w:style w:type="character" w:customStyle="1" w:styleId="1845">
    <w:name w:val="正文缩进 字符2"/>
    <w:qFormat/>
    <w:uiPriority w:val="0"/>
    <w:rPr>
      <w:rFonts w:eastAsia="宋体"/>
      <w:kern w:val="2"/>
      <w:sz w:val="24"/>
      <w:lang w:val="en-US" w:eastAsia="zh-CN" w:bidi="ar-SA"/>
    </w:rPr>
  </w:style>
  <w:style w:type="character" w:customStyle="1" w:styleId="1846">
    <w:name w:val="标题 9 Char Char"/>
    <w:qFormat/>
    <w:uiPriority w:val="0"/>
    <w:rPr>
      <w:rFonts w:ascii="Cambria" w:hAnsi="Cambria" w:eastAsia="宋体" w:cs="Times New Roman"/>
      <w:kern w:val="2"/>
      <w:sz w:val="21"/>
      <w:szCs w:val="21"/>
    </w:rPr>
  </w:style>
  <w:style w:type="character" w:customStyle="1" w:styleId="1847">
    <w:name w:val="正文文本首行缩进 字符"/>
    <w:qFormat/>
    <w:uiPriority w:val="0"/>
    <w:rPr>
      <w:rFonts w:eastAsia="宋体"/>
      <w:b/>
      <w:kern w:val="2"/>
      <w:sz w:val="24"/>
      <w:lang w:val="en-US" w:eastAsia="zh-CN" w:bidi="ar-SA"/>
    </w:rPr>
  </w:style>
  <w:style w:type="character" w:customStyle="1" w:styleId="1848">
    <w:name w:val="614表格样式 Char Char"/>
    <w:link w:val="1849"/>
    <w:qFormat/>
    <w:uiPriority w:val="0"/>
    <w:rPr>
      <w:rFonts w:hAnsi="宋体"/>
      <w:kern w:val="2"/>
      <w:sz w:val="21"/>
      <w:szCs w:val="21"/>
    </w:rPr>
  </w:style>
  <w:style w:type="paragraph" w:customStyle="1" w:styleId="1849">
    <w:name w:val="614表格样式"/>
    <w:basedOn w:val="1"/>
    <w:link w:val="1848"/>
    <w:qFormat/>
    <w:uiPriority w:val="0"/>
    <w:pPr>
      <w:widowControl w:val="0"/>
      <w:spacing w:line="320" w:lineRule="exact"/>
      <w:jc w:val="center"/>
    </w:pPr>
    <w:rPr>
      <w:rFonts w:ascii="Times New Roman" w:cs="Times New Roman"/>
      <w:kern w:val="2"/>
      <w:sz w:val="21"/>
      <w:szCs w:val="21"/>
    </w:rPr>
  </w:style>
  <w:style w:type="character" w:customStyle="1" w:styleId="1850">
    <w:name w:val="标题 4 字符3"/>
    <w:qFormat/>
    <w:uiPriority w:val="0"/>
    <w:rPr>
      <w:rFonts w:ascii="Arial" w:hAnsi="Arial" w:eastAsia="黑体"/>
      <w:b/>
      <w:bCs/>
      <w:kern w:val="2"/>
      <w:sz w:val="28"/>
      <w:szCs w:val="28"/>
    </w:rPr>
  </w:style>
  <w:style w:type="character" w:customStyle="1" w:styleId="1851">
    <w:name w:val="标题 5 Char Char"/>
    <w:qFormat/>
    <w:uiPriority w:val="0"/>
    <w:rPr>
      <w:b/>
      <w:bCs/>
      <w:kern w:val="2"/>
      <w:sz w:val="28"/>
      <w:szCs w:val="28"/>
    </w:rPr>
  </w:style>
  <w:style w:type="character" w:customStyle="1" w:styleId="1852">
    <w:name w:val="正文 + Char"/>
    <w:link w:val="1853"/>
    <w:qFormat/>
    <w:uiPriority w:val="0"/>
    <w:rPr>
      <w:rFonts w:eastAsia="Times New Roman"/>
      <w:snapToGrid w:val="0"/>
      <w:kern w:val="24"/>
      <w:sz w:val="24"/>
      <w:szCs w:val="24"/>
    </w:rPr>
  </w:style>
  <w:style w:type="paragraph" w:customStyle="1" w:styleId="1853">
    <w:name w:val="正文 +"/>
    <w:link w:val="1852"/>
    <w:qFormat/>
    <w:uiPriority w:val="0"/>
    <w:pPr>
      <w:adjustRightInd w:val="0"/>
      <w:snapToGrid w:val="0"/>
      <w:spacing w:line="360" w:lineRule="auto"/>
      <w:ind w:firstLine="480" w:firstLineChars="200"/>
    </w:pPr>
    <w:rPr>
      <w:rFonts w:ascii="Times New Roman" w:hAnsi="Times New Roman" w:eastAsia="Times New Roman" w:cs="Times New Roman"/>
      <w:snapToGrid w:val="0"/>
      <w:kern w:val="24"/>
      <w:sz w:val="24"/>
      <w:szCs w:val="24"/>
      <w:lang w:val="en-US" w:eastAsia="zh-CN" w:bidi="ar-SA"/>
    </w:rPr>
  </w:style>
  <w:style w:type="character" w:customStyle="1" w:styleId="1854">
    <w:name w:val="Char Char161"/>
    <w:qFormat/>
    <w:uiPriority w:val="0"/>
    <w:rPr>
      <w:kern w:val="2"/>
      <w:sz w:val="18"/>
      <w:szCs w:val="18"/>
    </w:rPr>
  </w:style>
  <w:style w:type="character" w:customStyle="1" w:styleId="1855">
    <w:name w:val="y正 文 Char Char"/>
    <w:link w:val="1856"/>
    <w:qFormat/>
    <w:uiPriority w:val="0"/>
    <w:rPr>
      <w:rFonts w:ascii="宋体" w:hAnsi="宋体"/>
      <w:bCs/>
      <w:kern w:val="2"/>
      <w:sz w:val="24"/>
      <w:szCs w:val="24"/>
    </w:rPr>
  </w:style>
  <w:style w:type="paragraph" w:customStyle="1" w:styleId="1856">
    <w:name w:val="y正 文"/>
    <w:basedOn w:val="1"/>
    <w:link w:val="1855"/>
    <w:qFormat/>
    <w:uiPriority w:val="0"/>
    <w:pPr>
      <w:adjustRightInd w:val="0"/>
      <w:spacing w:line="360" w:lineRule="auto"/>
      <w:ind w:firstLine="200" w:firstLineChars="200"/>
    </w:pPr>
    <w:rPr>
      <w:rFonts w:cs="Times New Roman"/>
      <w:bCs/>
      <w:kern w:val="2"/>
    </w:rPr>
  </w:style>
  <w:style w:type="character" w:customStyle="1" w:styleId="1857">
    <w:name w:val="h Char Char1"/>
    <w:qFormat/>
    <w:uiPriority w:val="0"/>
    <w:rPr>
      <w:kern w:val="2"/>
      <w:sz w:val="18"/>
      <w:szCs w:val="18"/>
    </w:rPr>
  </w:style>
  <w:style w:type="character" w:customStyle="1" w:styleId="1858">
    <w:name w:val="尾注文本 字符"/>
    <w:qFormat/>
    <w:uiPriority w:val="0"/>
    <w:rPr>
      <w:rFonts w:eastAsia="宋体"/>
      <w:kern w:val="2"/>
      <w:sz w:val="21"/>
      <w:szCs w:val="24"/>
      <w:lang w:bidi="ar-SA"/>
    </w:rPr>
  </w:style>
  <w:style w:type="character" w:customStyle="1" w:styleId="1859">
    <w:name w:val="韩要点1 Char Char Char"/>
    <w:qFormat/>
    <w:uiPriority w:val="0"/>
    <w:rPr>
      <w:sz w:val="28"/>
      <w:lang w:bidi="ar-SA"/>
    </w:rPr>
  </w:style>
  <w:style w:type="character" w:customStyle="1" w:styleId="1860">
    <w:name w:val="设计正文 Char Char Char"/>
    <w:qFormat/>
    <w:uiPriority w:val="0"/>
    <w:rPr>
      <w:rFonts w:ascii="宋体"/>
      <w:kern w:val="2"/>
      <w:sz w:val="24"/>
      <w:lang w:bidi="ar-SA"/>
    </w:rPr>
  </w:style>
  <w:style w:type="character" w:customStyle="1" w:styleId="1861">
    <w:name w:val="正文文字 3 Char Char1"/>
    <w:qFormat/>
    <w:uiPriority w:val="0"/>
    <w:rPr>
      <w:kern w:val="2"/>
      <w:sz w:val="18"/>
    </w:rPr>
  </w:style>
  <w:style w:type="character" w:customStyle="1" w:styleId="1862">
    <w:name w:val="5m5"/>
    <w:basedOn w:val="83"/>
    <w:qFormat/>
    <w:uiPriority w:val="0"/>
  </w:style>
  <w:style w:type="character" w:customStyle="1" w:styleId="1863">
    <w:name w:val="Char Char102"/>
    <w:qFormat/>
    <w:uiPriority w:val="0"/>
    <w:rPr>
      <w:kern w:val="2"/>
      <w:sz w:val="21"/>
    </w:rPr>
  </w:style>
  <w:style w:type="character" w:customStyle="1" w:styleId="1864">
    <w:name w:val="页眉 字符3"/>
    <w:qFormat/>
    <w:uiPriority w:val="99"/>
    <w:rPr>
      <w:kern w:val="2"/>
      <w:sz w:val="18"/>
      <w:szCs w:val="18"/>
    </w:rPr>
  </w:style>
  <w:style w:type="character" w:customStyle="1" w:styleId="1865">
    <w:name w:val="正文首行缩进2字符 Char Char Char"/>
    <w:qFormat/>
    <w:uiPriority w:val="0"/>
    <w:rPr>
      <w:rFonts w:ascii="仿宋_GB2312" w:eastAsia="仿宋_GB2312"/>
      <w:kern w:val="2"/>
      <w:sz w:val="28"/>
      <w:szCs w:val="24"/>
      <w:lang w:bidi="ar-SA"/>
    </w:rPr>
  </w:style>
  <w:style w:type="character" w:customStyle="1" w:styleId="1866">
    <w:name w:val="样式 宋体 四号 行距: 1.5 倍行距 Char Char Char Char Char"/>
    <w:qFormat/>
    <w:uiPriority w:val="0"/>
    <w:rPr>
      <w:rFonts w:ascii="宋体" w:hAnsi="宋体"/>
      <w:kern w:val="2"/>
      <w:sz w:val="28"/>
      <w:szCs w:val="24"/>
      <w:lang w:bidi="ar-SA"/>
    </w:rPr>
  </w:style>
  <w:style w:type="character" w:customStyle="1" w:styleId="1867">
    <w:name w:val="HTML 预设格式 字符3"/>
    <w:qFormat/>
    <w:uiPriority w:val="0"/>
    <w:rPr>
      <w:rFonts w:ascii="宋体" w:hAnsi="宋体" w:cs="宋体"/>
      <w:color w:val="000000"/>
      <w:sz w:val="24"/>
      <w:szCs w:val="24"/>
    </w:rPr>
  </w:style>
  <w:style w:type="character" w:customStyle="1" w:styleId="1868">
    <w:name w:val="标题 5 字符3"/>
    <w:qFormat/>
    <w:uiPriority w:val="0"/>
    <w:rPr>
      <w:rFonts w:ascii="楷体_GB2312" w:eastAsia="楷体_GB2312"/>
      <w:b/>
      <w:spacing w:val="20"/>
      <w:kern w:val="2"/>
      <w:sz w:val="28"/>
    </w:rPr>
  </w:style>
  <w:style w:type="character" w:customStyle="1" w:styleId="1869">
    <w:name w:val="王　正文 Char Char"/>
    <w:qFormat/>
    <w:uiPriority w:val="0"/>
    <w:rPr>
      <w:rFonts w:hAnsi="宋体" w:eastAsia="宋体"/>
      <w:kern w:val="24"/>
      <w:sz w:val="28"/>
      <w:szCs w:val="28"/>
      <w:lang w:bidi="ar-SA"/>
    </w:rPr>
  </w:style>
  <w:style w:type="character" w:customStyle="1" w:styleId="1870">
    <w:name w:val="批注文字 字符5"/>
    <w:qFormat/>
    <w:uiPriority w:val="0"/>
    <w:rPr>
      <w:kern w:val="2"/>
      <w:sz w:val="24"/>
    </w:rPr>
  </w:style>
  <w:style w:type="character" w:customStyle="1" w:styleId="1871">
    <w:name w:val="宏文本 Char Char"/>
    <w:link w:val="1872"/>
    <w:qFormat/>
    <w:uiPriority w:val="0"/>
    <w:rPr>
      <w:rFonts w:ascii="Courier New" w:hAnsi="Courier New" w:eastAsia="Times New Roman" w:cs="Courier New"/>
      <w:kern w:val="2"/>
      <w:sz w:val="24"/>
      <w:szCs w:val="24"/>
    </w:rPr>
  </w:style>
  <w:style w:type="paragraph" w:customStyle="1" w:styleId="1872">
    <w:name w:val="宏文本2"/>
    <w:link w:val="187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character" w:customStyle="1" w:styleId="1873">
    <w:name w:val="批注框文本 字符1"/>
    <w:qFormat/>
    <w:uiPriority w:val="0"/>
    <w:rPr>
      <w:rFonts w:ascii="Times New Roman" w:hAnsi="Times New Roman" w:eastAsia="宋体" w:cs="Times New Roman"/>
      <w:sz w:val="18"/>
      <w:szCs w:val="18"/>
    </w:rPr>
  </w:style>
  <w:style w:type="character" w:customStyle="1" w:styleId="1874">
    <w:name w:val="尾注文本 字符3"/>
    <w:qFormat/>
    <w:uiPriority w:val="0"/>
    <w:rPr>
      <w:kern w:val="2"/>
      <w:sz w:val="21"/>
      <w:szCs w:val="24"/>
    </w:rPr>
  </w:style>
  <w:style w:type="character" w:customStyle="1" w:styleId="1875">
    <w:name w:val="标2 Char Char"/>
    <w:qFormat/>
    <w:uiPriority w:val="0"/>
    <w:rPr>
      <w:rFonts w:ascii="黑体" w:hAnsi="Arial" w:eastAsia="黑体"/>
      <w:b/>
      <w:color w:val="000000"/>
      <w:position w:val="-6"/>
      <w:sz w:val="24"/>
      <w:szCs w:val="24"/>
      <w:lang w:val="en-US" w:eastAsia="zh-CN" w:bidi="ar-SA"/>
    </w:rPr>
  </w:style>
  <w:style w:type="character" w:customStyle="1" w:styleId="1876">
    <w:name w:val="样式 列表 + 黑色 Char Char"/>
    <w:qFormat/>
    <w:uiPriority w:val="0"/>
    <w:rPr>
      <w:rFonts w:ascii="黑体" w:eastAsia="黑体"/>
      <w:color w:val="000000"/>
      <w:kern w:val="2"/>
      <w:sz w:val="24"/>
      <w:szCs w:val="24"/>
      <w:lang w:val="en-US" w:eastAsia="zh-CN" w:bidi="ar-SA"/>
    </w:rPr>
  </w:style>
  <w:style w:type="character" w:customStyle="1" w:styleId="1877">
    <w:name w:val="已访问的超链接 Char"/>
    <w:qFormat/>
    <w:uiPriority w:val="0"/>
    <w:rPr>
      <w:color w:val="800080"/>
      <w:u w:val="single"/>
    </w:rPr>
  </w:style>
  <w:style w:type="character" w:customStyle="1" w:styleId="1878">
    <w:name w:val="批注文字 字符2"/>
    <w:qFormat/>
    <w:uiPriority w:val="0"/>
    <w:rPr>
      <w:kern w:val="2"/>
      <w:sz w:val="24"/>
    </w:rPr>
  </w:style>
  <w:style w:type="character" w:customStyle="1" w:styleId="1879">
    <w:name w:val="标题 4 字符1"/>
    <w:qFormat/>
    <w:uiPriority w:val="0"/>
    <w:rPr>
      <w:rFonts w:ascii="Arial" w:hAnsi="Arial" w:eastAsia="黑体"/>
      <w:b/>
      <w:bCs/>
      <w:kern w:val="2"/>
      <w:sz w:val="28"/>
      <w:szCs w:val="28"/>
    </w:rPr>
  </w:style>
  <w:style w:type="character" w:customStyle="1" w:styleId="1880">
    <w:name w:val="表格sms Char Char"/>
    <w:qFormat/>
    <w:uiPriority w:val="0"/>
    <w:rPr>
      <w:rFonts w:eastAsia="Times New Roman"/>
      <w:w w:val="99"/>
      <w:sz w:val="21"/>
      <w:szCs w:val="21"/>
      <w:lang w:val="en-US" w:eastAsia="zh-CN" w:bidi="ar-SA"/>
    </w:rPr>
  </w:style>
  <w:style w:type="character" w:customStyle="1" w:styleId="1881">
    <w:name w:val="页脚 Char2"/>
    <w:qFormat/>
    <w:uiPriority w:val="0"/>
    <w:rPr>
      <w:rFonts w:hint="eastAsia" w:ascii="宋体" w:hAnsi="宋体" w:eastAsia="宋体"/>
      <w:kern w:val="2"/>
      <w:sz w:val="18"/>
      <w:lang w:val="en-US" w:eastAsia="zh-CN" w:bidi="ar-SA"/>
    </w:rPr>
  </w:style>
  <w:style w:type="character" w:customStyle="1" w:styleId="1882">
    <w:name w:val="电子邮件签名 字符"/>
    <w:qFormat/>
    <w:uiPriority w:val="0"/>
    <w:rPr>
      <w:kern w:val="2"/>
      <w:sz w:val="24"/>
    </w:rPr>
  </w:style>
  <w:style w:type="character" w:customStyle="1" w:styleId="1883">
    <w:name w:val="正文 首行缩进:  2 字符 SL CON Char Char"/>
    <w:link w:val="1884"/>
    <w:qFormat/>
    <w:uiPriority w:val="0"/>
    <w:rPr>
      <w:rFonts w:ascii="宋体" w:hAnsi="宋体"/>
      <w:sz w:val="24"/>
      <w:szCs w:val="24"/>
    </w:rPr>
  </w:style>
  <w:style w:type="paragraph" w:customStyle="1" w:styleId="1884">
    <w:name w:val="正文 首行缩进:  2 字符 SL CON"/>
    <w:basedOn w:val="1"/>
    <w:link w:val="1883"/>
    <w:qFormat/>
    <w:uiPriority w:val="0"/>
    <w:pPr>
      <w:tabs>
        <w:tab w:val="left" w:pos="377"/>
      </w:tabs>
      <w:spacing w:line="360" w:lineRule="auto"/>
      <w:ind w:firstLine="200" w:firstLineChars="200"/>
      <w:jc w:val="both"/>
    </w:pPr>
    <w:rPr>
      <w:rFonts w:cs="Times New Roman"/>
    </w:rPr>
  </w:style>
  <w:style w:type="character" w:customStyle="1" w:styleId="1885">
    <w:name w:val="批注框文本 字符"/>
    <w:qFormat/>
    <w:uiPriority w:val="0"/>
    <w:rPr>
      <w:kern w:val="2"/>
      <w:sz w:val="18"/>
      <w:szCs w:val="18"/>
    </w:rPr>
  </w:style>
  <w:style w:type="character" w:customStyle="1" w:styleId="1886">
    <w:name w:val="aa1 l01 style8"/>
    <w:qFormat/>
    <w:uiPriority w:val="0"/>
  </w:style>
  <w:style w:type="character" w:customStyle="1" w:styleId="1887">
    <w:name w:val="普通(网站) Char Char"/>
    <w:qFormat/>
    <w:uiPriority w:val="0"/>
    <w:rPr>
      <w:rFonts w:ascii="宋体" w:hAnsi="宋体" w:cs="宋体"/>
      <w:sz w:val="24"/>
      <w:szCs w:val="24"/>
    </w:rPr>
  </w:style>
  <w:style w:type="character" w:customStyle="1" w:styleId="1888">
    <w:name w:val="标题 字符1"/>
    <w:qFormat/>
    <w:uiPriority w:val="0"/>
    <w:rPr>
      <w:rFonts w:hint="eastAsia" w:ascii="等线 Light" w:hAnsi="等线 Light" w:eastAsia="等线 Light" w:cs="Times New Roman"/>
      <w:b/>
      <w:bCs/>
      <w:kern w:val="2"/>
      <w:sz w:val="32"/>
      <w:szCs w:val="32"/>
    </w:rPr>
  </w:style>
  <w:style w:type="character" w:customStyle="1" w:styleId="1889">
    <w:name w:val="HTML 预设格式 字符1"/>
    <w:qFormat/>
    <w:uiPriority w:val="0"/>
    <w:rPr>
      <w:rFonts w:ascii="Courier New" w:hAnsi="Courier New" w:eastAsia="宋体" w:cs="Times New Roman"/>
      <w:sz w:val="20"/>
      <w:szCs w:val="20"/>
    </w:rPr>
  </w:style>
  <w:style w:type="character" w:customStyle="1" w:styleId="1890">
    <w:name w:val="批注文字 Char Char Char"/>
    <w:qFormat/>
    <w:uiPriority w:val="0"/>
    <w:rPr>
      <w:kern w:val="2"/>
      <w:sz w:val="24"/>
    </w:rPr>
  </w:style>
  <w:style w:type="character" w:customStyle="1" w:styleId="1891">
    <w:name w:val="宏文本 Char"/>
    <w:qFormat/>
    <w:uiPriority w:val="0"/>
    <w:rPr>
      <w:rFonts w:ascii="Courier New" w:hAnsi="Courier New" w:eastAsia="Times New Roman" w:cs="Courier New"/>
      <w:kern w:val="2"/>
      <w:sz w:val="24"/>
      <w:szCs w:val="24"/>
      <w:lang w:val="en-US" w:eastAsia="zh-CN" w:bidi="ar-SA"/>
    </w:rPr>
  </w:style>
  <w:style w:type="character" w:customStyle="1" w:styleId="1892">
    <w:name w:val="纯文本 字符2"/>
    <w:qFormat/>
    <w:uiPriority w:val="0"/>
    <w:rPr>
      <w:rFonts w:ascii="宋体" w:hAnsi="Courier New" w:eastAsia="宋体"/>
      <w:kern w:val="2"/>
      <w:sz w:val="24"/>
      <w:lang w:val="en-US" w:eastAsia="zh-CN" w:bidi="ar-SA"/>
    </w:rPr>
  </w:style>
  <w:style w:type="character" w:customStyle="1" w:styleId="1893">
    <w:name w:val="标题 2 字符3"/>
    <w:qFormat/>
    <w:uiPriority w:val="0"/>
    <w:rPr>
      <w:rFonts w:ascii="Arial" w:hAnsi="Arial" w:eastAsia="黑体"/>
      <w:b/>
      <w:bCs/>
      <w:kern w:val="2"/>
      <w:sz w:val="32"/>
      <w:szCs w:val="32"/>
    </w:rPr>
  </w:style>
  <w:style w:type="character" w:customStyle="1" w:styleId="1894">
    <w:name w:val="页码21"/>
    <w:qFormat/>
    <w:uiPriority w:val="0"/>
  </w:style>
  <w:style w:type="character" w:customStyle="1" w:styleId="1895">
    <w:name w:val="正文文本缩进 字符2"/>
    <w:qFormat/>
    <w:uiPriority w:val="0"/>
    <w:rPr>
      <w:kern w:val="2"/>
      <w:sz w:val="24"/>
    </w:rPr>
  </w:style>
  <w:style w:type="character" w:customStyle="1" w:styleId="1896">
    <w:name w:val="批注主题 字符2"/>
    <w:qFormat/>
    <w:uiPriority w:val="0"/>
    <w:rPr>
      <w:b/>
      <w:bCs/>
      <w:kern w:val="2"/>
      <w:sz w:val="24"/>
    </w:rPr>
  </w:style>
  <w:style w:type="character" w:customStyle="1" w:styleId="1897">
    <w:name w:val="正文文本缩进 2 字符2"/>
    <w:qFormat/>
    <w:uiPriority w:val="0"/>
    <w:rPr>
      <w:kern w:val="2"/>
      <w:sz w:val="24"/>
    </w:rPr>
  </w:style>
  <w:style w:type="character" w:customStyle="1" w:styleId="1898">
    <w:name w:val="正文文本 字符2"/>
    <w:qFormat/>
    <w:uiPriority w:val="0"/>
    <w:rPr>
      <w:rFonts w:eastAsia="宋体"/>
      <w:b/>
      <w:kern w:val="2"/>
      <w:sz w:val="24"/>
      <w:lang w:val="en-US" w:eastAsia="zh-CN" w:bidi="ar-SA"/>
    </w:rPr>
  </w:style>
  <w:style w:type="character" w:customStyle="1" w:styleId="1899">
    <w:name w:val="正文文本缩进 3 字符3"/>
    <w:qFormat/>
    <w:uiPriority w:val="0"/>
    <w:rPr>
      <w:kern w:val="2"/>
      <w:sz w:val="16"/>
      <w:szCs w:val="16"/>
    </w:rPr>
  </w:style>
  <w:style w:type="character" w:customStyle="1" w:styleId="1900">
    <w:name w:val="表中文字 Char Char Char"/>
    <w:qFormat/>
    <w:uiPriority w:val="0"/>
    <w:rPr>
      <w:rFonts w:eastAsia="宋体"/>
      <w:sz w:val="21"/>
      <w:lang w:val="en-US" w:eastAsia="zh-CN" w:bidi="ar-SA"/>
    </w:rPr>
  </w:style>
  <w:style w:type="character" w:customStyle="1" w:styleId="1901">
    <w:name w:val="正文文本缩进 3 字符2"/>
    <w:qFormat/>
    <w:uiPriority w:val="0"/>
    <w:rPr>
      <w:kern w:val="2"/>
      <w:sz w:val="16"/>
      <w:szCs w:val="16"/>
    </w:rPr>
  </w:style>
  <w:style w:type="character" w:customStyle="1" w:styleId="1902">
    <w:name w:val="正文文本 2 字符3"/>
    <w:qFormat/>
    <w:uiPriority w:val="0"/>
    <w:rPr>
      <w:kern w:val="28"/>
      <w:sz w:val="24"/>
    </w:rPr>
  </w:style>
  <w:style w:type="character" w:customStyle="1" w:styleId="1903">
    <w:name w:val="表格内 Char Char Char"/>
    <w:qFormat/>
    <w:uiPriority w:val="0"/>
    <w:rPr>
      <w:rFonts w:eastAsia="宋体"/>
      <w:snapToGrid/>
      <w:sz w:val="21"/>
      <w:szCs w:val="21"/>
      <w:lang w:bidi="ar-SA"/>
    </w:rPr>
  </w:style>
  <w:style w:type="character" w:customStyle="1" w:styleId="1904">
    <w:name w:val="尾注文本 字符2"/>
    <w:qFormat/>
    <w:uiPriority w:val="0"/>
    <w:rPr>
      <w:kern w:val="2"/>
      <w:sz w:val="21"/>
      <w:szCs w:val="24"/>
    </w:rPr>
  </w:style>
  <w:style w:type="character" w:customStyle="1" w:styleId="1905">
    <w:name w:val="HTML 预设格式 Char Char"/>
    <w:link w:val="1906"/>
    <w:qFormat/>
    <w:uiPriority w:val="0"/>
    <w:rPr>
      <w:rFonts w:ascii="宋体" w:hAnsi="宋体"/>
      <w:color w:val="000000"/>
      <w:sz w:val="24"/>
      <w:szCs w:val="24"/>
    </w:rPr>
  </w:style>
  <w:style w:type="paragraph" w:customStyle="1" w:styleId="1906">
    <w:name w:val="HTML 预设格式1"/>
    <w:basedOn w:val="1"/>
    <w:link w:val="190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000000"/>
    </w:rPr>
  </w:style>
  <w:style w:type="character" w:customStyle="1" w:styleId="1907">
    <w:name w:val="标题 7 字符2"/>
    <w:qFormat/>
    <w:uiPriority w:val="0"/>
    <w:rPr>
      <w:b/>
      <w:bCs/>
      <w:kern w:val="2"/>
      <w:sz w:val="24"/>
      <w:szCs w:val="24"/>
    </w:rPr>
  </w:style>
  <w:style w:type="character" w:customStyle="1" w:styleId="1908">
    <w:name w:val="页眉 字符2"/>
    <w:qFormat/>
    <w:uiPriority w:val="0"/>
    <w:rPr>
      <w:kern w:val="2"/>
      <w:sz w:val="18"/>
      <w:szCs w:val="18"/>
    </w:rPr>
  </w:style>
  <w:style w:type="character" w:customStyle="1" w:styleId="1909">
    <w:name w:val="标题 1 Char1"/>
    <w:qFormat/>
    <w:uiPriority w:val="0"/>
    <w:rPr>
      <w:b/>
      <w:bCs/>
      <w:kern w:val="44"/>
      <w:sz w:val="44"/>
      <w:szCs w:val="44"/>
    </w:rPr>
  </w:style>
  <w:style w:type="character" w:customStyle="1" w:styleId="1910">
    <w:name w:val="标题 1 字符"/>
    <w:qFormat/>
    <w:uiPriority w:val="0"/>
    <w:rPr>
      <w:rFonts w:eastAsia="宋体"/>
      <w:b/>
      <w:bCs/>
      <w:kern w:val="44"/>
      <w:sz w:val="44"/>
      <w:szCs w:val="44"/>
      <w:lang w:val="en-US" w:eastAsia="zh-CN" w:bidi="ar-SA"/>
    </w:rPr>
  </w:style>
  <w:style w:type="character" w:customStyle="1" w:styleId="1911">
    <w:name w:val="标题 2 字符"/>
    <w:qFormat/>
    <w:uiPriority w:val="0"/>
    <w:rPr>
      <w:rFonts w:ascii="Arial" w:hAnsi="Arial" w:eastAsia="黑体"/>
      <w:b/>
      <w:bCs/>
      <w:kern w:val="2"/>
      <w:sz w:val="32"/>
      <w:szCs w:val="32"/>
    </w:rPr>
  </w:style>
  <w:style w:type="character" w:customStyle="1" w:styleId="1912">
    <w:name w:val="标题 3 字符"/>
    <w:qFormat/>
    <w:uiPriority w:val="0"/>
    <w:rPr>
      <w:rFonts w:eastAsia="宋体"/>
      <w:b/>
      <w:bCs/>
      <w:kern w:val="2"/>
      <w:sz w:val="32"/>
      <w:szCs w:val="32"/>
      <w:lang w:val="en-US" w:eastAsia="zh-CN" w:bidi="ar-SA"/>
    </w:rPr>
  </w:style>
  <w:style w:type="character" w:customStyle="1" w:styleId="1913">
    <w:name w:val="标题 4 字符"/>
    <w:qFormat/>
    <w:uiPriority w:val="0"/>
    <w:rPr>
      <w:rFonts w:ascii="Arial" w:hAnsi="Arial" w:eastAsia="黑体"/>
      <w:b/>
      <w:bCs/>
      <w:kern w:val="2"/>
      <w:sz w:val="28"/>
      <w:szCs w:val="28"/>
    </w:rPr>
  </w:style>
  <w:style w:type="character" w:customStyle="1" w:styleId="1914">
    <w:name w:val="标题 5 字符"/>
    <w:qFormat/>
    <w:uiPriority w:val="0"/>
    <w:rPr>
      <w:rFonts w:eastAsia="宋体"/>
      <w:b/>
      <w:bCs/>
      <w:kern w:val="2"/>
      <w:sz w:val="28"/>
      <w:szCs w:val="28"/>
      <w:lang w:val="en-US" w:eastAsia="zh-CN" w:bidi="ar-SA"/>
    </w:rPr>
  </w:style>
  <w:style w:type="character" w:customStyle="1" w:styleId="1915">
    <w:name w:val="标题 7 字符"/>
    <w:qFormat/>
    <w:uiPriority w:val="0"/>
    <w:rPr>
      <w:rFonts w:eastAsia="宋体"/>
      <w:b/>
      <w:bCs/>
      <w:kern w:val="2"/>
      <w:sz w:val="24"/>
      <w:szCs w:val="24"/>
      <w:lang w:val="en-US" w:eastAsia="zh-CN" w:bidi="ar-SA"/>
    </w:rPr>
  </w:style>
  <w:style w:type="character" w:customStyle="1" w:styleId="1916">
    <w:name w:val="标题 8 字符"/>
    <w:qFormat/>
    <w:uiPriority w:val="0"/>
    <w:rPr>
      <w:rFonts w:ascii="Arial" w:hAnsi="Arial" w:eastAsia="黑体"/>
      <w:kern w:val="2"/>
      <w:sz w:val="24"/>
      <w:szCs w:val="24"/>
      <w:lang w:val="en-US" w:eastAsia="zh-CN" w:bidi="ar-SA"/>
    </w:rPr>
  </w:style>
  <w:style w:type="character" w:customStyle="1" w:styleId="1917">
    <w:name w:val="标题 9 字符"/>
    <w:qFormat/>
    <w:uiPriority w:val="0"/>
    <w:rPr>
      <w:rFonts w:ascii="Arial" w:hAnsi="Arial" w:eastAsia="黑体"/>
      <w:kern w:val="2"/>
      <w:sz w:val="21"/>
      <w:szCs w:val="21"/>
      <w:lang w:val="en-US" w:eastAsia="zh-CN" w:bidi="ar-SA"/>
    </w:rPr>
  </w:style>
  <w:style w:type="character" w:customStyle="1" w:styleId="1918">
    <w:name w:val="正文文本缩进 2 字符"/>
    <w:qFormat/>
    <w:uiPriority w:val="0"/>
    <w:rPr>
      <w:rFonts w:ascii="宋体" w:eastAsia="宋体"/>
      <w:kern w:val="2"/>
      <w:sz w:val="24"/>
      <w:lang w:val="en-US" w:eastAsia="zh-CN" w:bidi="ar-SA"/>
    </w:rPr>
  </w:style>
  <w:style w:type="character" w:customStyle="1" w:styleId="1919">
    <w:name w:val="正文文本缩进 字符"/>
    <w:qFormat/>
    <w:uiPriority w:val="0"/>
    <w:rPr>
      <w:rFonts w:ascii="宋体" w:hAnsi="Arial"/>
      <w:kern w:val="2"/>
      <w:sz w:val="24"/>
    </w:rPr>
  </w:style>
  <w:style w:type="character" w:customStyle="1" w:styleId="1920">
    <w:name w:val="正文文本 字符"/>
    <w:qFormat/>
    <w:uiPriority w:val="0"/>
    <w:rPr>
      <w:kern w:val="2"/>
      <w:sz w:val="28"/>
      <w:szCs w:val="24"/>
    </w:rPr>
  </w:style>
  <w:style w:type="character" w:customStyle="1" w:styleId="1921">
    <w:name w:val="HTML 预设格式 字符2"/>
    <w:qFormat/>
    <w:uiPriority w:val="0"/>
    <w:rPr>
      <w:rFonts w:ascii="Courier New" w:hAnsi="Courier New" w:cs="Courier New"/>
      <w:kern w:val="2"/>
    </w:rPr>
  </w:style>
  <w:style w:type="character" w:customStyle="1" w:styleId="1922">
    <w:name w:val="页眉 字符"/>
    <w:qFormat/>
    <w:uiPriority w:val="99"/>
    <w:rPr>
      <w:kern w:val="2"/>
      <w:sz w:val="18"/>
      <w:szCs w:val="18"/>
    </w:rPr>
  </w:style>
  <w:style w:type="character" w:customStyle="1" w:styleId="1923">
    <w:name w:val="正文（首行缩进两字） Char"/>
    <w:qFormat/>
    <w:uiPriority w:val="0"/>
    <w:rPr>
      <w:rFonts w:eastAsia="宋体"/>
      <w:kern w:val="2"/>
      <w:sz w:val="28"/>
      <w:lang w:val="en-US" w:eastAsia="zh-CN" w:bidi="ar-SA"/>
    </w:rPr>
  </w:style>
  <w:style w:type="character" w:customStyle="1" w:styleId="1924">
    <w:name w:val="样式正文 Char"/>
    <w:basedOn w:val="1923"/>
    <w:qFormat/>
    <w:uiPriority w:val="0"/>
    <w:rPr>
      <w:rFonts w:eastAsia="宋体"/>
      <w:kern w:val="2"/>
      <w:sz w:val="28"/>
      <w:lang w:val="en-US" w:eastAsia="zh-CN" w:bidi="ar-SA"/>
    </w:rPr>
  </w:style>
  <w:style w:type="character" w:customStyle="1" w:styleId="1925">
    <w:name w:val="正文文本缩进 3 字符"/>
    <w:qFormat/>
    <w:uiPriority w:val="0"/>
    <w:rPr>
      <w:rFonts w:eastAsia="宋体"/>
      <w:kern w:val="2"/>
      <w:sz w:val="16"/>
      <w:szCs w:val="16"/>
      <w:lang w:val="en-US" w:eastAsia="zh-CN" w:bidi="ar-SA"/>
    </w:rPr>
  </w:style>
  <w:style w:type="character" w:customStyle="1" w:styleId="1926">
    <w:name w:val="正文缩进 字符1"/>
    <w:qFormat/>
    <w:uiPriority w:val="0"/>
    <w:rPr>
      <w:kern w:val="2"/>
      <w:sz w:val="21"/>
    </w:rPr>
  </w:style>
  <w:style w:type="character" w:customStyle="1" w:styleId="1927">
    <w:name w:val="文档结构图 字符"/>
    <w:qFormat/>
    <w:uiPriority w:val="0"/>
    <w:rPr>
      <w:rFonts w:eastAsia="宋体"/>
      <w:kern w:val="2"/>
      <w:sz w:val="21"/>
      <w:szCs w:val="24"/>
      <w:lang w:val="en-US" w:eastAsia="zh-CN" w:bidi="ar-SA"/>
    </w:rPr>
  </w:style>
  <w:style w:type="character" w:customStyle="1" w:styleId="1928">
    <w:name w:val="正5 Char"/>
    <w:link w:val="1929"/>
    <w:qFormat/>
    <w:uiPriority w:val="0"/>
    <w:rPr>
      <w:rFonts w:ascii="宋体"/>
      <w:color w:val="000000"/>
      <w:kern w:val="2"/>
      <w:sz w:val="24"/>
      <w:szCs w:val="24"/>
    </w:rPr>
  </w:style>
  <w:style w:type="paragraph" w:customStyle="1" w:styleId="1929">
    <w:name w:val="正5"/>
    <w:basedOn w:val="1"/>
    <w:link w:val="1928"/>
    <w:qFormat/>
    <w:uiPriority w:val="0"/>
    <w:pPr>
      <w:widowControl w:val="0"/>
      <w:spacing w:line="460" w:lineRule="exact"/>
      <w:ind w:firstLine="200" w:firstLineChars="200"/>
      <w:jc w:val="both"/>
    </w:pPr>
    <w:rPr>
      <w:rFonts w:hAnsi="Times New Roman" w:cs="Times New Roman"/>
      <w:color w:val="000000"/>
      <w:kern w:val="2"/>
    </w:rPr>
  </w:style>
  <w:style w:type="character" w:customStyle="1" w:styleId="1930">
    <w:name w:val="正文首行缩进 2 字符"/>
    <w:qFormat/>
    <w:uiPriority w:val="0"/>
    <w:rPr>
      <w:rFonts w:ascii="宋体" w:hAnsi="Arial"/>
      <w:snapToGrid/>
      <w:kern w:val="2"/>
      <w:sz w:val="28"/>
      <w:szCs w:val="24"/>
    </w:rPr>
  </w:style>
  <w:style w:type="character" w:customStyle="1" w:styleId="1931">
    <w:name w:val="emtidy-2"/>
    <w:basedOn w:val="83"/>
    <w:qFormat/>
    <w:uiPriority w:val="0"/>
  </w:style>
  <w:style w:type="character" w:customStyle="1" w:styleId="1932">
    <w:name w:val="emtidy-4"/>
    <w:basedOn w:val="83"/>
    <w:qFormat/>
    <w:uiPriority w:val="0"/>
  </w:style>
  <w:style w:type="character" w:customStyle="1" w:styleId="1933">
    <w:name w:val="emtidy-6"/>
    <w:basedOn w:val="83"/>
    <w:qFormat/>
    <w:uiPriority w:val="0"/>
  </w:style>
  <w:style w:type="character" w:customStyle="1" w:styleId="1934">
    <w:name w:val="emtidy-8"/>
    <w:basedOn w:val="83"/>
    <w:qFormat/>
    <w:uiPriority w:val="0"/>
  </w:style>
  <w:style w:type="character" w:customStyle="1" w:styleId="1935">
    <w:name w:val="正文（首行缩进两字）1 Char3"/>
    <w:qFormat/>
    <w:uiPriority w:val="0"/>
    <w:rPr>
      <w:rFonts w:eastAsia="宋体"/>
      <w:kern w:val="2"/>
      <w:sz w:val="21"/>
      <w:lang w:val="en-US" w:eastAsia="zh-CN" w:bidi="ar-SA"/>
    </w:rPr>
  </w:style>
  <w:style w:type="character" w:customStyle="1" w:styleId="1936">
    <w:name w:val="图标注 Char"/>
    <w:link w:val="1937"/>
    <w:qFormat/>
    <w:locked/>
    <w:uiPriority w:val="0"/>
    <w:rPr>
      <w:b/>
      <w:kern w:val="24"/>
      <w:sz w:val="24"/>
      <w:szCs w:val="22"/>
    </w:rPr>
  </w:style>
  <w:style w:type="paragraph" w:customStyle="1" w:styleId="1937">
    <w:name w:val="图标注"/>
    <w:basedOn w:val="1"/>
    <w:link w:val="1936"/>
    <w:qFormat/>
    <w:uiPriority w:val="0"/>
    <w:pPr>
      <w:widowControl w:val="0"/>
      <w:adjustRightInd w:val="0"/>
      <w:snapToGrid w:val="0"/>
      <w:spacing w:before="100" w:line="360" w:lineRule="auto"/>
      <w:jc w:val="center"/>
    </w:pPr>
    <w:rPr>
      <w:rFonts w:ascii="Times New Roman" w:hAnsi="Times New Roman" w:cs="Times New Roman"/>
      <w:b/>
      <w:kern w:val="24"/>
      <w:szCs w:val="22"/>
    </w:rPr>
  </w:style>
  <w:style w:type="character" w:customStyle="1" w:styleId="1938">
    <w:name w:val="Char Char72"/>
    <w:qFormat/>
    <w:uiPriority w:val="0"/>
    <w:rPr>
      <w:kern w:val="2"/>
      <w:sz w:val="18"/>
    </w:rPr>
  </w:style>
  <w:style w:type="character" w:customStyle="1" w:styleId="1939">
    <w:name w:val="无间隔 字符"/>
    <w:qFormat/>
    <w:uiPriority w:val="0"/>
    <w:rPr>
      <w:rFonts w:ascii="Calibri" w:hAnsi="Calibri"/>
      <w:sz w:val="22"/>
      <w:szCs w:val="22"/>
      <w:lang w:val="en-US" w:eastAsia="zh-CN" w:bidi="ar-SA"/>
    </w:rPr>
  </w:style>
  <w:style w:type="character" w:customStyle="1" w:styleId="1940">
    <w:name w:val="样式 楷体_GB2312 四号 加粗"/>
    <w:qFormat/>
    <w:uiPriority w:val="0"/>
    <w:rPr>
      <w:rFonts w:ascii="楷体_GB2312" w:hAnsi="楷体_GB2312" w:eastAsia="宋体"/>
      <w:b/>
      <w:bCs/>
      <w:sz w:val="28"/>
    </w:rPr>
  </w:style>
  <w:style w:type="character" w:customStyle="1" w:styleId="1941">
    <w:name w:val="Char Char153"/>
    <w:qFormat/>
    <w:uiPriority w:val="0"/>
    <w:rPr>
      <w:rFonts w:ascii="宋体" w:hAnsi="宋体" w:eastAsia="宋体" w:cs="宋体"/>
      <w:sz w:val="18"/>
      <w:lang w:val="en-US" w:eastAsia="zh-CN" w:bidi="ar-SA"/>
    </w:rPr>
  </w:style>
  <w:style w:type="character" w:customStyle="1" w:styleId="1942">
    <w:name w:val="样式12 Char"/>
    <w:link w:val="1943"/>
    <w:qFormat/>
    <w:uiPriority w:val="0"/>
    <w:rPr>
      <w:rFonts w:eastAsia="方正楷体简体"/>
      <w:kern w:val="2"/>
      <w:sz w:val="28"/>
      <w:szCs w:val="28"/>
    </w:rPr>
  </w:style>
  <w:style w:type="paragraph" w:customStyle="1" w:styleId="1943">
    <w:name w:val="样式12"/>
    <w:basedOn w:val="1"/>
    <w:link w:val="1942"/>
    <w:qFormat/>
    <w:uiPriority w:val="0"/>
    <w:pPr>
      <w:topLinePunct/>
      <w:spacing w:line="460" w:lineRule="exact"/>
      <w:ind w:firstLine="561"/>
    </w:pPr>
    <w:rPr>
      <w:rFonts w:ascii="Times New Roman" w:hAnsi="Times New Roman" w:eastAsia="方正楷体简体" w:cs="Times New Roman"/>
      <w:kern w:val="2"/>
      <w:sz w:val="28"/>
      <w:szCs w:val="28"/>
    </w:rPr>
  </w:style>
  <w:style w:type="character" w:customStyle="1" w:styleId="1944">
    <w:name w:val="标题 8 Char Char"/>
    <w:qFormat/>
    <w:uiPriority w:val="0"/>
    <w:rPr>
      <w:rFonts w:ascii="Cambria" w:hAnsi="Cambria" w:eastAsia="宋体" w:cs="Times New Roman"/>
      <w:kern w:val="2"/>
      <w:sz w:val="24"/>
      <w:szCs w:val="24"/>
    </w:rPr>
  </w:style>
  <w:style w:type="character" w:customStyle="1" w:styleId="1945">
    <w:name w:val="材料正文 Char Char"/>
    <w:qFormat/>
    <w:uiPriority w:val="0"/>
    <w:rPr>
      <w:rFonts w:eastAsia="方正仿宋简体"/>
      <w:kern w:val="2"/>
      <w:sz w:val="24"/>
    </w:rPr>
  </w:style>
  <w:style w:type="character" w:customStyle="1" w:styleId="1946">
    <w:name w:val="样式正文 Char Char Char"/>
    <w:qFormat/>
    <w:uiPriority w:val="0"/>
    <w:rPr>
      <w:kern w:val="2"/>
      <w:sz w:val="28"/>
    </w:rPr>
  </w:style>
  <w:style w:type="character" w:customStyle="1" w:styleId="1947">
    <w:name w:val="正文文本 3 字符2"/>
    <w:qFormat/>
    <w:uiPriority w:val="0"/>
    <w:rPr>
      <w:kern w:val="2"/>
      <w:sz w:val="16"/>
      <w:szCs w:val="16"/>
    </w:rPr>
  </w:style>
  <w:style w:type="character" w:customStyle="1" w:styleId="1948">
    <w:name w:val="正文文字缩进2字符 Char Char Char"/>
    <w:qFormat/>
    <w:uiPriority w:val="0"/>
    <w:rPr>
      <w:rFonts w:ascii="宋体" w:eastAsia="宋体"/>
      <w:spacing w:val="6"/>
      <w:kern w:val="2"/>
      <w:sz w:val="28"/>
      <w:lang w:val="en-US" w:eastAsia="zh-CN" w:bidi="ar-SA"/>
    </w:rPr>
  </w:style>
  <w:style w:type="character" w:customStyle="1" w:styleId="1949">
    <w:name w:val="批注主题 Char Char"/>
    <w:link w:val="1950"/>
    <w:qFormat/>
    <w:uiPriority w:val="0"/>
    <w:rPr>
      <w:rFonts w:ascii="Calibri" w:hAnsi="Calibri"/>
      <w:b/>
      <w:bCs/>
      <w:sz w:val="24"/>
    </w:rPr>
  </w:style>
  <w:style w:type="paragraph" w:customStyle="1" w:styleId="1950">
    <w:name w:val="批注主题11"/>
    <w:basedOn w:val="26"/>
    <w:next w:val="26"/>
    <w:link w:val="1949"/>
    <w:qFormat/>
    <w:uiPriority w:val="0"/>
    <w:pPr>
      <w:widowControl w:val="0"/>
    </w:pPr>
    <w:rPr>
      <w:b/>
      <w:bCs/>
      <w:szCs w:val="20"/>
    </w:rPr>
  </w:style>
  <w:style w:type="character" w:customStyle="1" w:styleId="1951">
    <w:name w:val="标题 字符2"/>
    <w:qFormat/>
    <w:uiPriority w:val="0"/>
    <w:rPr>
      <w:rFonts w:hint="eastAsia" w:ascii="宋体" w:hAnsi="Courier New" w:eastAsia="宋体"/>
      <w:kern w:val="2"/>
      <w:sz w:val="21"/>
    </w:rPr>
  </w:style>
  <w:style w:type="character" w:customStyle="1" w:styleId="1952">
    <w:name w:val="正文文字缩进 3 Char Char"/>
    <w:qFormat/>
    <w:uiPriority w:val="0"/>
    <w:rPr>
      <w:rFonts w:ascii="宋体" w:hAnsi="宋体" w:cs="宋体"/>
      <w:sz w:val="16"/>
      <w:szCs w:val="16"/>
    </w:rPr>
  </w:style>
  <w:style w:type="character" w:customStyle="1" w:styleId="1953">
    <w:name w:val="标题 6 Char Char"/>
    <w:qFormat/>
    <w:uiPriority w:val="0"/>
    <w:rPr>
      <w:rFonts w:ascii="Cambria" w:hAnsi="Cambria" w:eastAsia="宋体" w:cs="Times New Roman"/>
      <w:b/>
      <w:bCs/>
      <w:kern w:val="2"/>
      <w:sz w:val="24"/>
      <w:szCs w:val="24"/>
    </w:rPr>
  </w:style>
  <w:style w:type="character" w:customStyle="1" w:styleId="1954">
    <w:name w:val="font61"/>
    <w:qFormat/>
    <w:uiPriority w:val="0"/>
    <w:rPr>
      <w:rFonts w:hint="eastAsia" w:ascii="宋体" w:hAnsi="宋体" w:eastAsia="宋体"/>
      <w:color w:val="000000"/>
      <w:sz w:val="21"/>
      <w:szCs w:val="21"/>
      <w:u w:val="none"/>
    </w:rPr>
  </w:style>
  <w:style w:type="character" w:customStyle="1" w:styleId="1955">
    <w:name w:val="日期 字符2"/>
    <w:qFormat/>
    <w:uiPriority w:val="0"/>
    <w:rPr>
      <w:rFonts w:ascii="宋体"/>
      <w:kern w:val="2"/>
      <w:sz w:val="21"/>
    </w:rPr>
  </w:style>
  <w:style w:type="character" w:customStyle="1" w:styleId="1956">
    <w:name w:val="脚注文本 字符2"/>
    <w:qFormat/>
    <w:uiPriority w:val="0"/>
    <w:rPr>
      <w:kern w:val="2"/>
      <w:sz w:val="18"/>
      <w:szCs w:val="18"/>
    </w:rPr>
  </w:style>
  <w:style w:type="character" w:customStyle="1" w:styleId="1957">
    <w:name w:val="标题 2 字符2"/>
    <w:qFormat/>
    <w:uiPriority w:val="0"/>
    <w:rPr>
      <w:rFonts w:ascii="Arial" w:hAnsi="Arial" w:eastAsia="黑体"/>
      <w:b/>
      <w:bCs/>
      <w:kern w:val="2"/>
      <w:sz w:val="32"/>
      <w:szCs w:val="32"/>
    </w:rPr>
  </w:style>
  <w:style w:type="character" w:customStyle="1" w:styleId="1958">
    <w:name w:val="报告名称"/>
    <w:qFormat/>
    <w:uiPriority w:val="0"/>
    <w:rPr>
      <w:rFonts w:eastAsia="黑体"/>
      <w:kern w:val="2"/>
      <w:sz w:val="52"/>
    </w:rPr>
  </w:style>
  <w:style w:type="character" w:customStyle="1" w:styleId="1959">
    <w:name w:val="标题 3 字符3"/>
    <w:qFormat/>
    <w:uiPriority w:val="0"/>
    <w:rPr>
      <w:b/>
      <w:bCs/>
      <w:kern w:val="2"/>
      <w:sz w:val="32"/>
      <w:szCs w:val="32"/>
    </w:rPr>
  </w:style>
  <w:style w:type="character" w:customStyle="1" w:styleId="1960">
    <w:name w:val="标题标题 Char Char"/>
    <w:qFormat/>
    <w:uiPriority w:val="0"/>
    <w:rPr>
      <w:rFonts w:eastAsia="黑体"/>
      <w:color w:val="000000"/>
      <w:kern w:val="11"/>
      <w:sz w:val="21"/>
      <w:lang w:val="en-US" w:eastAsia="zh-CN" w:bidi="ar-SA"/>
    </w:rPr>
  </w:style>
  <w:style w:type="character" w:customStyle="1" w:styleId="1961">
    <w:name w:val="标题 8 字符2"/>
    <w:qFormat/>
    <w:uiPriority w:val="0"/>
    <w:rPr>
      <w:rFonts w:ascii="Arial" w:hAnsi="Arial" w:eastAsia="黑体"/>
      <w:kern w:val="2"/>
      <w:sz w:val="24"/>
      <w:szCs w:val="24"/>
    </w:rPr>
  </w:style>
  <w:style w:type="character" w:customStyle="1" w:styleId="1962">
    <w:name w:val="样式9 Char Char"/>
    <w:qFormat/>
    <w:uiPriority w:val="0"/>
    <w:rPr>
      <w:rFonts w:eastAsia="方正黑体简体"/>
      <w:color w:val="000000"/>
      <w:sz w:val="24"/>
      <w:szCs w:val="24"/>
    </w:rPr>
  </w:style>
  <w:style w:type="character" w:customStyle="1" w:styleId="1963">
    <w:name w:val="Char Char61"/>
    <w:qFormat/>
    <w:uiPriority w:val="0"/>
    <w:rPr>
      <w:rFonts w:ascii="宋体" w:hAnsi="宋体" w:eastAsia="宋体"/>
      <w:kern w:val="2"/>
      <w:sz w:val="18"/>
      <w:szCs w:val="18"/>
      <w:lang w:val="en-US" w:eastAsia="zh-CN" w:bidi="ar-SA"/>
    </w:rPr>
  </w:style>
  <w:style w:type="character" w:customStyle="1" w:styleId="1964">
    <w:name w:val="电子邮件签名 字符2"/>
    <w:qFormat/>
    <w:uiPriority w:val="0"/>
    <w:rPr>
      <w:sz w:val="24"/>
      <w:szCs w:val="28"/>
    </w:rPr>
  </w:style>
  <w:style w:type="character" w:customStyle="1" w:styleId="1965">
    <w:name w:val="韩要点1 Char Char"/>
    <w:qFormat/>
    <w:uiPriority w:val="0"/>
    <w:rPr>
      <w:sz w:val="28"/>
    </w:rPr>
  </w:style>
  <w:style w:type="character" w:customStyle="1" w:styleId="1966">
    <w:name w:val="电子邮件签名 Char Char"/>
    <w:qFormat/>
    <w:uiPriority w:val="0"/>
    <w:rPr>
      <w:kern w:val="2"/>
      <w:sz w:val="24"/>
    </w:rPr>
  </w:style>
  <w:style w:type="character" w:customStyle="1" w:styleId="1967">
    <w:name w:val="样式13 Char"/>
    <w:link w:val="1968"/>
    <w:qFormat/>
    <w:uiPriority w:val="0"/>
    <w:rPr>
      <w:rFonts w:ascii="黑体" w:eastAsia="黑体"/>
      <w:sz w:val="28"/>
    </w:rPr>
  </w:style>
  <w:style w:type="paragraph" w:customStyle="1" w:styleId="1968">
    <w:name w:val="样式13"/>
    <w:basedOn w:val="461"/>
    <w:link w:val="1967"/>
    <w:qFormat/>
    <w:uiPriority w:val="0"/>
    <w:pPr>
      <w:snapToGrid/>
      <w:spacing w:before="240" w:line="460" w:lineRule="exact"/>
      <w:ind w:firstLine="0"/>
    </w:pPr>
    <w:rPr>
      <w:rFonts w:ascii="黑体" w:eastAsia="黑体"/>
      <w:sz w:val="28"/>
    </w:rPr>
  </w:style>
  <w:style w:type="character" w:customStyle="1" w:styleId="1969">
    <w:name w:val="标题 1 字符3"/>
    <w:qFormat/>
    <w:uiPriority w:val="0"/>
    <w:rPr>
      <w:b/>
      <w:bCs/>
      <w:kern w:val="44"/>
      <w:sz w:val="44"/>
      <w:szCs w:val="44"/>
    </w:rPr>
  </w:style>
  <w:style w:type="character" w:customStyle="1" w:styleId="1970">
    <w:name w:val="样式14 Char"/>
    <w:link w:val="1971"/>
    <w:qFormat/>
    <w:uiPriority w:val="0"/>
    <w:rPr>
      <w:rFonts w:ascii="方正黑体简体" w:eastAsia="方正黑体简体"/>
      <w:sz w:val="24"/>
      <w:szCs w:val="21"/>
    </w:rPr>
  </w:style>
  <w:style w:type="paragraph" w:customStyle="1" w:styleId="1971">
    <w:name w:val="样式14"/>
    <w:basedOn w:val="1"/>
    <w:link w:val="1970"/>
    <w:qFormat/>
    <w:uiPriority w:val="0"/>
    <w:pPr>
      <w:widowControl w:val="0"/>
      <w:topLinePunct/>
      <w:snapToGrid w:val="0"/>
      <w:spacing w:beforeLines="100" w:line="480" w:lineRule="exact"/>
      <w:jc w:val="center"/>
    </w:pPr>
    <w:rPr>
      <w:rFonts w:ascii="方正黑体简体" w:hAnsi="Times New Roman" w:eastAsia="方正黑体简体" w:cs="Times New Roman"/>
      <w:szCs w:val="21"/>
    </w:rPr>
  </w:style>
  <w:style w:type="character" w:customStyle="1" w:styleId="1972">
    <w:name w:val="正文首行缩进2字符 Char Char"/>
    <w:qFormat/>
    <w:uiPriority w:val="0"/>
    <w:rPr>
      <w:rFonts w:ascii="仿宋_GB2312" w:eastAsia="仿宋_GB2312"/>
      <w:kern w:val="2"/>
      <w:sz w:val="28"/>
      <w:szCs w:val="24"/>
    </w:rPr>
  </w:style>
  <w:style w:type="character" w:customStyle="1" w:styleId="1973">
    <w:name w:val="纯文本 字符3"/>
    <w:qFormat/>
    <w:uiPriority w:val="0"/>
    <w:rPr>
      <w:rFonts w:ascii="宋体" w:hAnsi="Courier New" w:eastAsia="宋体"/>
      <w:kern w:val="2"/>
      <w:sz w:val="24"/>
      <w:lang w:val="en-US" w:eastAsia="zh-CN" w:bidi="ar-SA"/>
    </w:rPr>
  </w:style>
  <w:style w:type="character" w:customStyle="1" w:styleId="1974">
    <w:name w:val="图表标题 Char Char Char1"/>
    <w:qFormat/>
    <w:uiPriority w:val="0"/>
    <w:rPr>
      <w:rFonts w:ascii="黑体" w:eastAsia="黑体"/>
      <w:kern w:val="2"/>
      <w:sz w:val="24"/>
      <w:szCs w:val="24"/>
      <w:lang w:val="en-US" w:eastAsia="zh-CN" w:bidi="ar-SA"/>
    </w:rPr>
  </w:style>
  <w:style w:type="character" w:customStyle="1" w:styleId="1975">
    <w:name w:val="正文首行缩进 字符2"/>
    <w:qFormat/>
    <w:uiPriority w:val="0"/>
    <w:rPr>
      <w:b/>
      <w:kern w:val="2"/>
      <w:sz w:val="24"/>
    </w:rPr>
  </w:style>
  <w:style w:type="character" w:customStyle="1" w:styleId="1976">
    <w:name w:val="图表标题 Char Char Char Char Char Char Char"/>
    <w:qFormat/>
    <w:uiPriority w:val="0"/>
    <w:rPr>
      <w:rFonts w:ascii="黑体" w:eastAsia="黑体"/>
      <w:kern w:val="2"/>
      <w:sz w:val="24"/>
      <w:szCs w:val="24"/>
      <w:lang w:val="en-US" w:eastAsia="zh-CN" w:bidi="ar-SA"/>
    </w:rPr>
  </w:style>
  <w:style w:type="character" w:customStyle="1" w:styleId="1977">
    <w:name w:val="Char Char101"/>
    <w:qFormat/>
    <w:uiPriority w:val="0"/>
    <w:rPr>
      <w:rFonts w:ascii="Cambria" w:hAnsi="Cambria" w:eastAsia="宋体"/>
      <w:b/>
      <w:bCs/>
      <w:kern w:val="2"/>
      <w:sz w:val="30"/>
      <w:szCs w:val="32"/>
      <w:lang w:val="en-US" w:eastAsia="zh-CN" w:bidi="ar-SA"/>
    </w:rPr>
  </w:style>
  <w:style w:type="character" w:customStyle="1" w:styleId="1978">
    <w:name w:val="表头 + 居中 Char Char Char"/>
    <w:qFormat/>
    <w:uiPriority w:val="0"/>
    <w:rPr>
      <w:rFonts w:ascii="Arial" w:hAnsi="Arial" w:eastAsia="黑体"/>
      <w:kern w:val="2"/>
      <w:sz w:val="21"/>
      <w:szCs w:val="21"/>
      <w:lang w:val="en-US" w:eastAsia="zh-CN" w:bidi="ar-SA"/>
    </w:rPr>
  </w:style>
  <w:style w:type="character" w:customStyle="1" w:styleId="1979">
    <w:name w:val="样式 标题 2 Char + Times New Roman Char"/>
    <w:link w:val="1980"/>
    <w:qFormat/>
    <w:uiPriority w:val="0"/>
    <w:rPr>
      <w:rFonts w:eastAsia="黑体"/>
      <w:kern w:val="2"/>
      <w:sz w:val="28"/>
    </w:rPr>
  </w:style>
  <w:style w:type="paragraph" w:customStyle="1" w:styleId="1980">
    <w:name w:val="样式 标题 2 Char + Times New Roman"/>
    <w:basedOn w:val="4"/>
    <w:link w:val="1979"/>
    <w:qFormat/>
    <w:uiPriority w:val="0"/>
    <w:pPr>
      <w:widowControl w:val="0"/>
      <w:spacing w:before="260" w:beforeLines="50" w:after="260" w:afterLines="50" w:line="480" w:lineRule="exact"/>
      <w:jc w:val="both"/>
    </w:pPr>
    <w:rPr>
      <w:rFonts w:ascii="Times New Roman" w:hAnsi="Times New Roman"/>
      <w:bCs w:val="0"/>
      <w:kern w:val="2"/>
      <w:szCs w:val="20"/>
    </w:rPr>
  </w:style>
  <w:style w:type="character" w:customStyle="1" w:styleId="1981">
    <w:name w:val="表格sms Char Char Char"/>
    <w:qFormat/>
    <w:uiPriority w:val="0"/>
    <w:rPr>
      <w:snapToGrid/>
      <w:w w:val="99"/>
      <w:sz w:val="21"/>
      <w:szCs w:val="21"/>
      <w:lang w:val="en-US" w:eastAsia="zh-CN" w:bidi="ar-SA"/>
    </w:rPr>
  </w:style>
  <w:style w:type="character" w:customStyle="1" w:styleId="1982">
    <w:name w:val="页脚 字符2"/>
    <w:qFormat/>
    <w:uiPriority w:val="0"/>
    <w:rPr>
      <w:kern w:val="2"/>
      <w:sz w:val="18"/>
    </w:rPr>
  </w:style>
  <w:style w:type="character" w:customStyle="1" w:styleId="1983">
    <w:name w:val="样式 宋体 四号 行距: 1.5 倍行距 Char Char Char Char"/>
    <w:qFormat/>
    <w:uiPriority w:val="0"/>
    <w:rPr>
      <w:rFonts w:ascii="宋体" w:hAnsi="宋体" w:cs="宋体"/>
      <w:kern w:val="2"/>
      <w:sz w:val="28"/>
      <w:szCs w:val="28"/>
    </w:rPr>
  </w:style>
  <w:style w:type="character" w:customStyle="1" w:styleId="1984">
    <w:name w:val="标题 9 字符2"/>
    <w:qFormat/>
    <w:uiPriority w:val="0"/>
    <w:rPr>
      <w:rFonts w:ascii="Arial" w:hAnsi="Arial" w:eastAsia="黑体"/>
      <w:kern w:val="2"/>
      <w:sz w:val="21"/>
      <w:szCs w:val="21"/>
    </w:rPr>
  </w:style>
  <w:style w:type="character" w:customStyle="1" w:styleId="1985">
    <w:name w:val="正文首行缩进2字符 Char"/>
    <w:qFormat/>
    <w:uiPriority w:val="0"/>
    <w:rPr>
      <w:rFonts w:ascii="仿宋_GB2312" w:eastAsia="仿宋_GB2312"/>
      <w:kern w:val="2"/>
      <w:sz w:val="28"/>
      <w:szCs w:val="24"/>
      <w:lang w:bidi="ar-SA"/>
    </w:rPr>
  </w:style>
  <w:style w:type="character" w:customStyle="1" w:styleId="1986">
    <w:name w:val="标题 4 字符2"/>
    <w:qFormat/>
    <w:uiPriority w:val="0"/>
    <w:rPr>
      <w:rFonts w:ascii="Arial" w:hAnsi="Arial" w:eastAsia="黑体"/>
      <w:b/>
      <w:bCs/>
      <w:kern w:val="2"/>
      <w:sz w:val="28"/>
      <w:szCs w:val="28"/>
    </w:rPr>
  </w:style>
  <w:style w:type="character" w:customStyle="1" w:styleId="1987">
    <w:name w:val="样式 标题 1一级标题(章)标题 1 Char封面标题封皮 + (中文) 仿宋_GB2312 四号 左 左侧:  ... Char"/>
    <w:link w:val="1988"/>
    <w:qFormat/>
    <w:uiPriority w:val="0"/>
    <w:rPr>
      <w:rFonts w:eastAsia="黑体"/>
      <w:bCs/>
      <w:snapToGrid w:val="0"/>
      <w:kern w:val="44"/>
      <w:sz w:val="32"/>
      <w:szCs w:val="32"/>
    </w:rPr>
  </w:style>
  <w:style w:type="paragraph" w:customStyle="1" w:styleId="1988">
    <w:name w:val="样式 标题 1一级标题(章)标题 1 Char封面标题封皮 + (中文) 仿宋_GB2312 四号 左 左侧:  ..."/>
    <w:basedOn w:val="3"/>
    <w:link w:val="1987"/>
    <w:qFormat/>
    <w:uiPriority w:val="0"/>
    <w:pPr>
      <w:keepNext/>
      <w:keepLines/>
      <w:widowControl w:val="0"/>
      <w:tabs>
        <w:tab w:val="left" w:pos="720"/>
      </w:tabs>
      <w:adjustRightInd w:val="0"/>
      <w:snapToGrid w:val="0"/>
      <w:spacing w:before="240" w:after="240" w:line="460" w:lineRule="exact"/>
      <w:jc w:val="center"/>
    </w:pPr>
    <w:rPr>
      <w:rFonts w:ascii="Times New Roman" w:hAnsi="Times New Roman"/>
      <w:bCs/>
      <w:snapToGrid w:val="0"/>
      <w:kern w:val="44"/>
      <w:szCs w:val="32"/>
    </w:rPr>
  </w:style>
  <w:style w:type="character" w:customStyle="1" w:styleId="1989">
    <w:name w:val="无间隔 Char Char"/>
    <w:link w:val="1990"/>
    <w:qFormat/>
    <w:uiPriority w:val="0"/>
    <w:rPr>
      <w:rFonts w:ascii="Calibri" w:hAnsi="Calibri" w:eastAsia="Times New Roman"/>
      <w:sz w:val="22"/>
      <w:szCs w:val="22"/>
    </w:rPr>
  </w:style>
  <w:style w:type="paragraph" w:customStyle="1" w:styleId="1990">
    <w:name w:val="无间隔2"/>
    <w:link w:val="1989"/>
    <w:qFormat/>
    <w:uiPriority w:val="0"/>
    <w:rPr>
      <w:rFonts w:ascii="Calibri" w:hAnsi="Calibri" w:eastAsia="Times New Roman" w:cs="Times New Roman"/>
      <w:sz w:val="22"/>
      <w:szCs w:val="22"/>
      <w:lang w:val="en-US" w:eastAsia="zh-CN" w:bidi="ar-SA"/>
    </w:rPr>
  </w:style>
  <w:style w:type="character" w:customStyle="1" w:styleId="1991">
    <w:name w:val="标题3T Char"/>
    <w:link w:val="1992"/>
    <w:qFormat/>
    <w:uiPriority w:val="0"/>
    <w:rPr>
      <w:snapToGrid w:val="0"/>
      <w:color w:val="000000"/>
      <w:sz w:val="24"/>
      <w:szCs w:val="24"/>
    </w:rPr>
  </w:style>
  <w:style w:type="paragraph" w:customStyle="1" w:styleId="1992">
    <w:name w:val="标题3T"/>
    <w:basedOn w:val="1"/>
    <w:next w:val="6"/>
    <w:link w:val="1991"/>
    <w:qFormat/>
    <w:uiPriority w:val="0"/>
    <w:pPr>
      <w:widowControl w:val="0"/>
      <w:adjustRightInd w:val="0"/>
      <w:spacing w:line="440" w:lineRule="exact"/>
      <w:jc w:val="center"/>
      <w:textAlignment w:val="baseline"/>
    </w:pPr>
    <w:rPr>
      <w:rFonts w:ascii="Times New Roman" w:hAnsi="Times New Roman" w:cs="Times New Roman"/>
      <w:snapToGrid w:val="0"/>
      <w:color w:val="000000"/>
    </w:rPr>
  </w:style>
  <w:style w:type="character" w:customStyle="1" w:styleId="1993">
    <w:name w:val="正文首行缩进-修改 Char Char Char"/>
    <w:qFormat/>
    <w:uiPriority w:val="0"/>
    <w:rPr>
      <w:rFonts w:ascii="宋体" w:hAnsi="宋体" w:eastAsia="宋体"/>
      <w:kern w:val="2"/>
      <w:sz w:val="24"/>
      <w:szCs w:val="24"/>
      <w:lang w:val="en-US" w:eastAsia="zh-CN" w:bidi="ar-SA"/>
    </w:rPr>
  </w:style>
  <w:style w:type="character" w:customStyle="1" w:styleId="1994">
    <w:name w:val="正文 + 四号 Char"/>
    <w:qFormat/>
    <w:uiPriority w:val="0"/>
    <w:rPr>
      <w:rFonts w:eastAsia="宋体"/>
      <w:kern w:val="2"/>
      <w:sz w:val="28"/>
      <w:szCs w:val="28"/>
      <w:lang w:val="en-US" w:eastAsia="zh-CN" w:bidi="ar-SA"/>
    </w:rPr>
  </w:style>
  <w:style w:type="character" w:customStyle="1" w:styleId="1995">
    <w:name w:val="标题 5 字符2"/>
    <w:qFormat/>
    <w:uiPriority w:val="0"/>
    <w:rPr>
      <w:b/>
      <w:bCs/>
      <w:kern w:val="2"/>
      <w:sz w:val="28"/>
      <w:szCs w:val="28"/>
    </w:rPr>
  </w:style>
  <w:style w:type="character" w:customStyle="1" w:styleId="1996">
    <w:name w:val="样式 标题 1一级标题(章)标题 1 Char封面标题封皮 + (中文) 仿宋_GB2312 四号 左 左侧:  ... Char Char"/>
    <w:qFormat/>
    <w:uiPriority w:val="0"/>
    <w:rPr>
      <w:rFonts w:eastAsia="黑体" w:cs="宋体"/>
      <w:bCs/>
      <w:snapToGrid w:val="0"/>
      <w:kern w:val="44"/>
      <w:sz w:val="32"/>
      <w:szCs w:val="32"/>
      <w:lang w:val="en-US" w:eastAsia="zh-CN" w:bidi="ar-SA"/>
    </w:rPr>
  </w:style>
  <w:style w:type="character" w:customStyle="1" w:styleId="1997">
    <w:name w:val="正文首行缩进 2 Char Char Char"/>
    <w:qFormat/>
    <w:uiPriority w:val="0"/>
  </w:style>
  <w:style w:type="character" w:customStyle="1" w:styleId="1998">
    <w:name w:val="表格头 Char"/>
    <w:link w:val="1999"/>
    <w:qFormat/>
    <w:uiPriority w:val="0"/>
    <w:rPr>
      <w:rFonts w:ascii="Arial" w:hAnsi="Arial" w:eastAsia="黑体"/>
      <w:snapToGrid w:val="0"/>
      <w:color w:val="000000"/>
      <w:sz w:val="21"/>
      <w:szCs w:val="24"/>
    </w:rPr>
  </w:style>
  <w:style w:type="paragraph" w:customStyle="1" w:styleId="1999">
    <w:name w:val="表格头"/>
    <w:basedOn w:val="1"/>
    <w:link w:val="1998"/>
    <w:qFormat/>
    <w:uiPriority w:val="0"/>
    <w:pPr>
      <w:keepNext/>
      <w:keepLines/>
      <w:widowControl w:val="0"/>
      <w:adjustRightInd w:val="0"/>
      <w:snapToGrid w:val="0"/>
      <w:spacing w:beforeLines="50" w:line="400" w:lineRule="exact"/>
      <w:jc w:val="center"/>
    </w:pPr>
    <w:rPr>
      <w:rFonts w:ascii="Arial" w:hAnsi="Arial" w:eastAsia="黑体" w:cs="Times New Roman"/>
      <w:snapToGrid w:val="0"/>
      <w:color w:val="000000"/>
      <w:sz w:val="21"/>
    </w:rPr>
  </w:style>
  <w:style w:type="character" w:customStyle="1" w:styleId="2000">
    <w:name w:val="表内5号正文 字符"/>
    <w:link w:val="2001"/>
    <w:qFormat/>
    <w:uiPriority w:val="0"/>
    <w:rPr>
      <w:color w:val="FF0000"/>
      <w:sz w:val="21"/>
      <w:szCs w:val="21"/>
    </w:rPr>
  </w:style>
  <w:style w:type="paragraph" w:customStyle="1" w:styleId="2001">
    <w:name w:val="表内5号正文"/>
    <w:basedOn w:val="1"/>
    <w:link w:val="2000"/>
    <w:qFormat/>
    <w:uiPriority w:val="0"/>
    <w:pPr>
      <w:widowControl w:val="0"/>
      <w:spacing w:line="240" w:lineRule="exact"/>
    </w:pPr>
    <w:rPr>
      <w:rFonts w:ascii="Times New Roman" w:hAnsi="Times New Roman" w:cs="Times New Roman"/>
      <w:color w:val="FF0000"/>
      <w:sz w:val="21"/>
      <w:szCs w:val="21"/>
    </w:rPr>
  </w:style>
  <w:style w:type="character" w:customStyle="1" w:styleId="2002">
    <w:name w:val="正文 首行缩进:  2 字符 Char"/>
    <w:link w:val="2003"/>
    <w:qFormat/>
    <w:uiPriority w:val="0"/>
    <w:rPr>
      <w:kern w:val="2"/>
      <w:sz w:val="24"/>
    </w:rPr>
  </w:style>
  <w:style w:type="paragraph" w:customStyle="1" w:styleId="2003">
    <w:name w:val="正文 首行缩进:  2 字符"/>
    <w:basedOn w:val="1"/>
    <w:link w:val="2002"/>
    <w:qFormat/>
    <w:uiPriority w:val="0"/>
    <w:pPr>
      <w:widowControl w:val="0"/>
      <w:spacing w:line="312" w:lineRule="auto"/>
      <w:ind w:firstLine="200" w:firstLineChars="200"/>
      <w:jc w:val="both"/>
    </w:pPr>
    <w:rPr>
      <w:rFonts w:ascii="Times New Roman" w:hAnsi="Times New Roman" w:cs="Times New Roman"/>
      <w:kern w:val="2"/>
      <w:szCs w:val="20"/>
    </w:rPr>
  </w:style>
  <w:style w:type="character" w:customStyle="1" w:styleId="2004">
    <w:name w:val="datatitle1"/>
    <w:qFormat/>
    <w:uiPriority w:val="0"/>
    <w:rPr>
      <w:b/>
      <w:bCs/>
      <w:color w:val="10619F"/>
      <w:sz w:val="21"/>
      <w:szCs w:val="21"/>
    </w:rPr>
  </w:style>
  <w:style w:type="character" w:customStyle="1" w:styleId="2005">
    <w:name w:val="fontstyle31"/>
    <w:qFormat/>
    <w:uiPriority w:val="0"/>
    <w:rPr>
      <w:rFonts w:hint="default" w:ascii="TimesNewRomanPSMT" w:hAnsi="TimesNewRomanPSMT"/>
      <w:color w:val="000000"/>
      <w:sz w:val="22"/>
      <w:szCs w:val="22"/>
    </w:rPr>
  </w:style>
  <w:style w:type="character" w:customStyle="1" w:styleId="2006">
    <w:name w:val="font5 Char"/>
    <w:qFormat/>
    <w:uiPriority w:val="0"/>
    <w:rPr>
      <w:rFonts w:ascii="宋体" w:hAnsi="宋体" w:eastAsia="宋体"/>
      <w:sz w:val="18"/>
      <w:szCs w:val="18"/>
      <w:lang w:val="en-US" w:eastAsia="zh-CN" w:bidi="ar-SA"/>
    </w:rPr>
  </w:style>
  <w:style w:type="character" w:customStyle="1" w:styleId="2007">
    <w:name w:val="样式 标题 2 + 四号 Char Char"/>
    <w:qFormat/>
    <w:uiPriority w:val="0"/>
    <w:rPr>
      <w:rFonts w:eastAsia="黑体"/>
      <w:snapToGrid w:val="0"/>
      <w:sz w:val="28"/>
      <w:szCs w:val="32"/>
    </w:rPr>
  </w:style>
  <w:style w:type="character" w:customStyle="1" w:styleId="2008">
    <w:name w:val="批注文字 字符1"/>
    <w:qFormat/>
    <w:uiPriority w:val="0"/>
    <w:rPr>
      <w:kern w:val="2"/>
      <w:sz w:val="21"/>
      <w:szCs w:val="24"/>
    </w:rPr>
  </w:style>
  <w:style w:type="character" w:customStyle="1" w:styleId="2009">
    <w:name w:val="韩要点1 Char"/>
    <w:link w:val="2010"/>
    <w:qFormat/>
    <w:uiPriority w:val="0"/>
    <w:rPr>
      <w:sz w:val="28"/>
    </w:rPr>
  </w:style>
  <w:style w:type="paragraph" w:customStyle="1" w:styleId="2010">
    <w:name w:val="韩要点1"/>
    <w:basedOn w:val="19"/>
    <w:link w:val="2009"/>
    <w:qFormat/>
    <w:uiPriority w:val="0"/>
    <w:pPr>
      <w:topLinePunct w:val="0"/>
      <w:spacing w:line="240" w:lineRule="auto"/>
      <w:ind w:left="560" w:firstLine="0" w:firstLineChars="0"/>
      <w:jc w:val="both"/>
    </w:pPr>
    <w:rPr>
      <w:rFonts w:ascii="Times New Roman" w:eastAsia="宋体"/>
    </w:rPr>
  </w:style>
  <w:style w:type="character" w:customStyle="1" w:styleId="2011">
    <w:name w:val="标题2T Char"/>
    <w:qFormat/>
    <w:uiPriority w:val="0"/>
    <w:rPr>
      <w:rFonts w:ascii="宋体" w:hAnsi="宋体"/>
      <w:kern w:val="2"/>
      <w:sz w:val="21"/>
      <w:szCs w:val="21"/>
      <w:lang w:bidi="ar-SA"/>
    </w:rPr>
  </w:style>
  <w:style w:type="character" w:customStyle="1" w:styleId="2012">
    <w:name w:val="图表说明 Char Char"/>
    <w:qFormat/>
    <w:locked/>
    <w:uiPriority w:val="0"/>
    <w:rPr>
      <w:rFonts w:ascii="宋体" w:hAnsi="Courier New" w:eastAsia="宋体"/>
      <w:kern w:val="2"/>
      <w:sz w:val="21"/>
      <w:lang w:val="en-US" w:eastAsia="zh-CN" w:bidi="ar-SA"/>
    </w:rPr>
  </w:style>
  <w:style w:type="character" w:customStyle="1" w:styleId="2013">
    <w:name w:val="普通文字 Char3"/>
    <w:qFormat/>
    <w:locked/>
    <w:uiPriority w:val="0"/>
    <w:rPr>
      <w:rFonts w:ascii="宋体" w:hAnsi="Courier New" w:eastAsia="宋体"/>
      <w:kern w:val="2"/>
      <w:sz w:val="21"/>
      <w:lang w:val="en-US" w:eastAsia="zh-CN" w:bidi="ar-SA"/>
    </w:rPr>
  </w:style>
  <w:style w:type="character" w:customStyle="1" w:styleId="2014">
    <w:name w:val="样式15 Char"/>
    <w:link w:val="2015"/>
    <w:qFormat/>
    <w:uiPriority w:val="0"/>
    <w:rPr>
      <w:rFonts w:ascii="黑体" w:eastAsia="黑体"/>
      <w:sz w:val="28"/>
    </w:rPr>
  </w:style>
  <w:style w:type="paragraph" w:customStyle="1" w:styleId="2015">
    <w:name w:val="样式15"/>
    <w:basedOn w:val="461"/>
    <w:link w:val="2014"/>
    <w:qFormat/>
    <w:uiPriority w:val="0"/>
    <w:pPr>
      <w:snapToGrid/>
      <w:spacing w:before="240" w:line="460" w:lineRule="exact"/>
      <w:ind w:firstLine="0"/>
    </w:pPr>
    <w:rPr>
      <w:rFonts w:ascii="黑体" w:eastAsia="黑体"/>
      <w:sz w:val="28"/>
    </w:rPr>
  </w:style>
  <w:style w:type="character" w:customStyle="1" w:styleId="2016">
    <w:name w:val="样式 样式9 + (中文) 方正黑体简体 非加粗 段后: 0.8 行 Char"/>
    <w:link w:val="2017"/>
    <w:qFormat/>
    <w:uiPriority w:val="0"/>
    <w:rPr>
      <w:rFonts w:eastAsia="方正黑体简体"/>
      <w:kern w:val="2"/>
      <w:sz w:val="32"/>
    </w:rPr>
  </w:style>
  <w:style w:type="paragraph" w:customStyle="1" w:styleId="2017">
    <w:name w:val="样式 样式9 + (中文) 方正黑体简体 非加粗 段后: 0.8 行"/>
    <w:basedOn w:val="1387"/>
    <w:link w:val="2016"/>
    <w:qFormat/>
    <w:uiPriority w:val="0"/>
    <w:pPr>
      <w:widowControl w:val="0"/>
      <w:topLinePunct/>
      <w:adjustRightInd/>
      <w:snapToGrid/>
      <w:spacing w:beforeLines="0" w:afterLines="80" w:line="460" w:lineRule="exact"/>
      <w:jc w:val="both"/>
      <w:textAlignment w:val="auto"/>
      <w:outlineLvl w:val="9"/>
    </w:pPr>
    <w:rPr>
      <w:rFonts w:ascii="Times New Roman" w:eastAsia="方正黑体简体"/>
      <w:b w:val="0"/>
      <w:kern w:val="2"/>
      <w:sz w:val="32"/>
    </w:rPr>
  </w:style>
  <w:style w:type="character" w:customStyle="1" w:styleId="2018">
    <w:name w:val="图表标题 Char Char Char"/>
    <w:qFormat/>
    <w:uiPriority w:val="0"/>
    <w:rPr>
      <w:rFonts w:ascii="黑体" w:eastAsia="黑体"/>
      <w:kern w:val="2"/>
      <w:sz w:val="24"/>
      <w:szCs w:val="24"/>
      <w:lang w:val="en-US" w:eastAsia="zh-CN" w:bidi="ar-SA"/>
    </w:rPr>
  </w:style>
  <w:style w:type="character" w:customStyle="1" w:styleId="2019">
    <w:name w:val="图表标题 Char Char Char Char"/>
    <w:qFormat/>
    <w:uiPriority w:val="0"/>
    <w:rPr>
      <w:rFonts w:eastAsia="黑体"/>
      <w:kern w:val="2"/>
      <w:sz w:val="21"/>
      <w:szCs w:val="24"/>
      <w:lang w:val="en-US" w:eastAsia="zh-CN" w:bidi="ar-SA"/>
    </w:rPr>
  </w:style>
  <w:style w:type="character" w:customStyle="1" w:styleId="2020">
    <w:name w:val="正文－首行缩进:2 字符 Char"/>
    <w:qFormat/>
    <w:uiPriority w:val="0"/>
    <w:rPr>
      <w:rFonts w:eastAsia="宋体" w:cs="宋体"/>
      <w:kern w:val="2"/>
      <w:sz w:val="28"/>
      <w:lang w:val="en-US" w:eastAsia="zh-CN" w:bidi="ar-SA"/>
    </w:rPr>
  </w:style>
  <w:style w:type="character" w:customStyle="1" w:styleId="2021">
    <w:name w:val="11 Char"/>
    <w:qFormat/>
    <w:uiPriority w:val="0"/>
    <w:rPr>
      <w:sz w:val="24"/>
      <w:szCs w:val="28"/>
      <w:lang w:bidi="ar-SA"/>
    </w:rPr>
  </w:style>
  <w:style w:type="character" w:customStyle="1" w:styleId="2022">
    <w:name w:val="WW-Absatz-Standardschriftart"/>
    <w:qFormat/>
    <w:uiPriority w:val="0"/>
  </w:style>
  <w:style w:type="character" w:customStyle="1" w:styleId="2023">
    <w:name w:val="正文缩进2字符 Char"/>
    <w:qFormat/>
    <w:uiPriority w:val="0"/>
    <w:rPr>
      <w:rFonts w:eastAsia="宋体"/>
      <w:kern w:val="2"/>
      <w:sz w:val="28"/>
      <w:szCs w:val="24"/>
      <w:lang w:val="en-US" w:eastAsia="zh-CN" w:bidi="ar-SA"/>
    </w:rPr>
  </w:style>
  <w:style w:type="character" w:customStyle="1" w:styleId="2024">
    <w:name w:val="正文－图表标题 Char"/>
    <w:link w:val="2025"/>
    <w:qFormat/>
    <w:uiPriority w:val="0"/>
    <w:rPr>
      <w:rFonts w:eastAsia="黑体"/>
      <w:color w:val="000000"/>
      <w:kern w:val="2"/>
      <w:sz w:val="21"/>
      <w:szCs w:val="24"/>
    </w:rPr>
  </w:style>
  <w:style w:type="paragraph" w:customStyle="1" w:styleId="2025">
    <w:name w:val="正文－图表标题"/>
    <w:basedOn w:val="1"/>
    <w:next w:val="1"/>
    <w:link w:val="2024"/>
    <w:qFormat/>
    <w:uiPriority w:val="0"/>
    <w:pPr>
      <w:widowControl w:val="0"/>
      <w:adjustRightInd w:val="0"/>
      <w:snapToGrid w:val="0"/>
      <w:spacing w:beforeLines="50" w:afterLines="50"/>
      <w:jc w:val="center"/>
    </w:pPr>
    <w:rPr>
      <w:rFonts w:ascii="Times New Roman" w:hAnsi="Times New Roman" w:eastAsia="黑体" w:cs="Times New Roman"/>
      <w:color w:val="000000"/>
      <w:kern w:val="2"/>
      <w:sz w:val="21"/>
    </w:rPr>
  </w:style>
  <w:style w:type="character" w:customStyle="1" w:styleId="2026">
    <w:name w:val="样式 标题 2 + 四号 Char"/>
    <w:link w:val="2027"/>
    <w:qFormat/>
    <w:uiPriority w:val="0"/>
    <w:rPr>
      <w:rFonts w:eastAsia="黑体"/>
      <w:bCs/>
      <w:snapToGrid w:val="0"/>
      <w:sz w:val="28"/>
      <w:szCs w:val="32"/>
    </w:rPr>
  </w:style>
  <w:style w:type="paragraph" w:customStyle="1" w:styleId="2027">
    <w:name w:val="样式 标题 2 + 四号"/>
    <w:basedOn w:val="4"/>
    <w:link w:val="2026"/>
    <w:qFormat/>
    <w:uiPriority w:val="0"/>
    <w:pPr>
      <w:widowControl w:val="0"/>
      <w:adjustRightInd w:val="0"/>
      <w:snapToGrid w:val="0"/>
      <w:spacing w:before="240" w:after="120" w:line="240" w:lineRule="auto"/>
      <w:jc w:val="both"/>
    </w:pPr>
    <w:rPr>
      <w:rFonts w:ascii="Times New Roman" w:hAnsi="Times New Roman"/>
      <w:snapToGrid w:val="0"/>
    </w:rPr>
  </w:style>
  <w:style w:type="character" w:customStyle="1" w:styleId="2028">
    <w:name w:val="Char Char71"/>
    <w:qFormat/>
    <w:uiPriority w:val="0"/>
    <w:rPr>
      <w:rFonts w:eastAsia="宋体"/>
      <w:b/>
      <w:bCs/>
      <w:kern w:val="2"/>
      <w:sz w:val="32"/>
      <w:szCs w:val="32"/>
      <w:lang w:val="en-US" w:eastAsia="zh-CN" w:bidi="ar-SA"/>
    </w:rPr>
  </w:style>
  <w:style w:type="character" w:customStyle="1" w:styleId="2029">
    <w:name w:val="lmj题注 + 居中 + 黑体 Char Char"/>
    <w:link w:val="2030"/>
    <w:qFormat/>
    <w:uiPriority w:val="0"/>
    <w:rPr>
      <w:rFonts w:ascii="黑体" w:hAnsi="黑体" w:eastAsia="黑体"/>
      <w:kern w:val="2"/>
      <w:sz w:val="21"/>
    </w:rPr>
  </w:style>
  <w:style w:type="paragraph" w:customStyle="1" w:styleId="2030">
    <w:name w:val="lmj题注 + 居中 + 黑体"/>
    <w:basedOn w:val="1"/>
    <w:next w:val="1"/>
    <w:link w:val="2029"/>
    <w:qFormat/>
    <w:uiPriority w:val="0"/>
    <w:pPr>
      <w:widowControl w:val="0"/>
      <w:spacing w:line="240" w:lineRule="exact"/>
      <w:ind w:left="560"/>
      <w:jc w:val="center"/>
    </w:pPr>
    <w:rPr>
      <w:rFonts w:ascii="黑体" w:hAnsi="黑体" w:eastAsia="黑体" w:cs="Times New Roman"/>
      <w:kern w:val="2"/>
      <w:sz w:val="21"/>
      <w:szCs w:val="20"/>
    </w:rPr>
  </w:style>
  <w:style w:type="character" w:customStyle="1" w:styleId="2031">
    <w:name w:val="cucd-0 Char Char"/>
    <w:qFormat/>
    <w:uiPriority w:val="0"/>
    <w:rPr>
      <w:kern w:val="2"/>
      <w:sz w:val="24"/>
      <w:szCs w:val="24"/>
      <w:lang w:val="en-US" w:eastAsia="zh-CN" w:bidi="ar-SA"/>
    </w:rPr>
  </w:style>
  <w:style w:type="character" w:customStyle="1" w:styleId="2032">
    <w:name w:val="正文－首行缩进:2 字符 Char Char"/>
    <w:qFormat/>
    <w:uiPriority w:val="0"/>
    <w:rPr>
      <w:rFonts w:eastAsia="宋体" w:cs="宋体"/>
      <w:kern w:val="2"/>
      <w:sz w:val="28"/>
      <w:lang w:val="en-US" w:eastAsia="zh-CN" w:bidi="ar-SA"/>
    </w:rPr>
  </w:style>
  <w:style w:type="character" w:customStyle="1" w:styleId="2033">
    <w:name w:val="标题2T Char Char"/>
    <w:qFormat/>
    <w:uiPriority w:val="0"/>
    <w:rPr>
      <w:rFonts w:eastAsia="方正黑体简体"/>
      <w:kern w:val="2"/>
      <w:sz w:val="32"/>
      <w:szCs w:val="32"/>
      <w:lang w:val="en-US" w:eastAsia="zh-CN" w:bidi="ar-SA"/>
    </w:rPr>
  </w:style>
  <w:style w:type="character" w:customStyle="1" w:styleId="2034">
    <w:name w:val="样式 样式9 + (中文) 方正黑体简体 非加粗 段后: 0.8 行 Char Char"/>
    <w:qFormat/>
    <w:uiPriority w:val="0"/>
    <w:rPr>
      <w:rFonts w:eastAsia="方正黑体简体" w:cs="宋体"/>
      <w:kern w:val="2"/>
      <w:sz w:val="32"/>
    </w:rPr>
  </w:style>
  <w:style w:type="character" w:customStyle="1" w:styleId="2035">
    <w:name w:val="图表标题 Char Char Char Char Char Char Char Char"/>
    <w:qFormat/>
    <w:uiPriority w:val="0"/>
    <w:rPr>
      <w:rFonts w:ascii="黑体" w:eastAsia="黑体"/>
      <w:kern w:val="2"/>
      <w:sz w:val="24"/>
      <w:szCs w:val="24"/>
      <w:lang w:val="en-US" w:eastAsia="zh-CN" w:bidi="ar-SA"/>
    </w:rPr>
  </w:style>
  <w:style w:type="character" w:customStyle="1" w:styleId="2036">
    <w:name w:val="批注文字 Char Char"/>
    <w:qFormat/>
    <w:uiPriority w:val="0"/>
    <w:rPr>
      <w:rFonts w:ascii="Times New Roman" w:hAnsi="Times New Roman"/>
      <w:kern w:val="2"/>
      <w:sz w:val="21"/>
      <w:szCs w:val="24"/>
    </w:rPr>
  </w:style>
  <w:style w:type="character" w:customStyle="1" w:styleId="2037">
    <w:name w:val="样式5 Char Char"/>
    <w:qFormat/>
    <w:uiPriority w:val="0"/>
    <w:rPr>
      <w:rFonts w:eastAsia="黑体"/>
      <w:bCs/>
      <w:snapToGrid w:val="0"/>
      <w:sz w:val="28"/>
      <w:szCs w:val="28"/>
    </w:rPr>
  </w:style>
  <w:style w:type="character" w:customStyle="1" w:styleId="2038">
    <w:name w:val="样式15 Char Char"/>
    <w:qFormat/>
    <w:uiPriority w:val="0"/>
    <w:rPr>
      <w:rFonts w:ascii="方正黑体简体" w:eastAsia="方正黑体简体"/>
      <w:color w:val="000000"/>
      <w:kern w:val="2"/>
      <w:sz w:val="21"/>
      <w:szCs w:val="21"/>
      <w:lang w:val="en-US" w:eastAsia="zh-CN" w:bidi="ar-SA"/>
    </w:rPr>
  </w:style>
  <w:style w:type="character" w:customStyle="1" w:styleId="2039">
    <w:name w:val="样式12 Char Char"/>
    <w:qFormat/>
    <w:uiPriority w:val="0"/>
    <w:rPr>
      <w:rFonts w:eastAsia="方正楷体简体"/>
      <w:kern w:val="2"/>
      <w:sz w:val="28"/>
      <w:szCs w:val="28"/>
    </w:rPr>
  </w:style>
  <w:style w:type="character" w:customStyle="1" w:styleId="2040">
    <w:name w:val="正文缩进2字符 Char Char"/>
    <w:qFormat/>
    <w:uiPriority w:val="0"/>
    <w:rPr>
      <w:rFonts w:eastAsia="宋体"/>
      <w:kern w:val="2"/>
      <w:sz w:val="28"/>
      <w:szCs w:val="24"/>
      <w:lang w:val="en-US" w:eastAsia="zh-CN" w:bidi="ar-SA"/>
    </w:rPr>
  </w:style>
  <w:style w:type="character" w:customStyle="1" w:styleId="2041">
    <w:name w:val="正文－图表标题 Char Char"/>
    <w:qFormat/>
    <w:uiPriority w:val="0"/>
    <w:rPr>
      <w:rFonts w:eastAsia="黑体"/>
      <w:color w:val="000000"/>
      <w:kern w:val="2"/>
      <w:sz w:val="21"/>
      <w:szCs w:val="28"/>
    </w:rPr>
  </w:style>
  <w:style w:type="character" w:customStyle="1" w:styleId="2042">
    <w:name w:val="样式 报告名称 + 26 磅 Char"/>
    <w:qFormat/>
    <w:uiPriority w:val="0"/>
    <w:rPr>
      <w:rFonts w:eastAsia="黑体"/>
      <w:kern w:val="2"/>
      <w:sz w:val="52"/>
    </w:rPr>
  </w:style>
  <w:style w:type="character" w:customStyle="1" w:styleId="2043">
    <w:name w:val="Char Char91"/>
    <w:qFormat/>
    <w:uiPriority w:val="0"/>
    <w:rPr>
      <w:snapToGrid w:val="0"/>
      <w:sz w:val="28"/>
      <w:szCs w:val="24"/>
    </w:rPr>
  </w:style>
  <w:style w:type="character" w:customStyle="1" w:styleId="2044">
    <w:name w:val="t_tag"/>
    <w:basedOn w:val="83"/>
    <w:qFormat/>
    <w:uiPriority w:val="0"/>
  </w:style>
  <w:style w:type="character" w:customStyle="1" w:styleId="2045">
    <w:name w:val="报告正文 Char1"/>
    <w:qFormat/>
    <w:uiPriority w:val="0"/>
    <w:rPr>
      <w:rFonts w:ascii="宋体" w:eastAsia="宋体"/>
      <w:kern w:val="2"/>
      <w:sz w:val="28"/>
      <w:szCs w:val="28"/>
      <w:lang w:val="en-US" w:eastAsia="zh-CN" w:bidi="ar-SA"/>
    </w:rPr>
  </w:style>
  <w:style w:type="character" w:customStyle="1" w:styleId="2046">
    <w:name w:val="标题 字符"/>
    <w:qFormat/>
    <w:uiPriority w:val="0"/>
    <w:rPr>
      <w:rFonts w:ascii="宋体" w:hAnsi="Courier New"/>
    </w:rPr>
  </w:style>
  <w:style w:type="character" w:customStyle="1" w:styleId="2047">
    <w:name w:val="my标题1 Char"/>
    <w:qFormat/>
    <w:uiPriority w:val="0"/>
    <w:rPr>
      <w:rFonts w:eastAsia="宋体"/>
      <w:bCs/>
      <w:kern w:val="44"/>
      <w:sz w:val="30"/>
      <w:szCs w:val="30"/>
      <w:lang w:val="en-US" w:eastAsia="zh-CN" w:bidi="ar-SA"/>
    </w:rPr>
  </w:style>
  <w:style w:type="character" w:customStyle="1" w:styleId="2048">
    <w:name w:val="批注文字 字符4"/>
    <w:qFormat/>
    <w:uiPriority w:val="0"/>
    <w:rPr>
      <w:rFonts w:eastAsia="宋体"/>
      <w:kern w:val="2"/>
      <w:sz w:val="21"/>
      <w:szCs w:val="24"/>
      <w:lang w:bidi="ar-SA"/>
    </w:rPr>
  </w:style>
  <w:style w:type="character" w:customStyle="1" w:styleId="2049">
    <w:name w:val="正文首行缩进 Char3"/>
    <w:qFormat/>
    <w:uiPriority w:val="0"/>
    <w:rPr>
      <w:rFonts w:ascii="Times New Roman" w:hAnsi="Times New Roman" w:eastAsia="宋体" w:cs="Times New Roman"/>
      <w:sz w:val="24"/>
      <w:szCs w:val="20"/>
    </w:rPr>
  </w:style>
  <w:style w:type="character" w:customStyle="1" w:styleId="2050">
    <w:name w:val="标题2，， Char"/>
    <w:link w:val="2051"/>
    <w:qFormat/>
    <w:locked/>
    <w:uiPriority w:val="0"/>
    <w:rPr>
      <w:rFonts w:ascii="黑体" w:eastAsia="黑体"/>
      <w:bCs/>
      <w:kern w:val="44"/>
      <w:sz w:val="32"/>
      <w:szCs w:val="32"/>
    </w:rPr>
  </w:style>
  <w:style w:type="paragraph" w:customStyle="1" w:styleId="2051">
    <w:name w:val="标题2，，"/>
    <w:basedOn w:val="4"/>
    <w:link w:val="2050"/>
    <w:qFormat/>
    <w:uiPriority w:val="0"/>
    <w:pPr>
      <w:widowControl w:val="0"/>
      <w:adjustRightInd w:val="0"/>
      <w:spacing w:line="360" w:lineRule="auto"/>
    </w:pPr>
    <w:rPr>
      <w:rFonts w:ascii="黑体" w:hAnsi="Times New Roman"/>
      <w:kern w:val="44"/>
      <w:sz w:val="32"/>
    </w:rPr>
  </w:style>
  <w:style w:type="character" w:customStyle="1" w:styleId="2052">
    <w:name w:val="二级标题 Char2"/>
    <w:qFormat/>
    <w:uiPriority w:val="0"/>
    <w:rPr>
      <w:rFonts w:eastAsia="黑体"/>
      <w:bCs/>
      <w:snapToGrid w:val="0"/>
      <w:sz w:val="32"/>
      <w:szCs w:val="32"/>
      <w:lang w:val="en-US" w:eastAsia="zh-CN"/>
    </w:rPr>
  </w:style>
  <w:style w:type="character" w:customStyle="1" w:styleId="2053">
    <w:name w:val="报告正文 Char Char Char"/>
    <w:qFormat/>
    <w:uiPriority w:val="0"/>
    <w:rPr>
      <w:rFonts w:ascii="宋体" w:hAnsi="Times New Roman" w:eastAsia="宋体" w:cs="Times New Roman"/>
      <w:snapToGrid w:val="0"/>
      <w:kern w:val="0"/>
      <w:sz w:val="28"/>
      <w:szCs w:val="24"/>
    </w:rPr>
  </w:style>
  <w:style w:type="character" w:customStyle="1" w:styleId="2054">
    <w:name w:val="0正文 Char"/>
    <w:link w:val="2055"/>
    <w:qFormat/>
    <w:uiPriority w:val="0"/>
    <w:rPr>
      <w:rFonts w:ascii="宋体" w:hAnsi="宋体"/>
      <w:snapToGrid w:val="0"/>
      <w:kern w:val="44"/>
      <w:sz w:val="28"/>
      <w:szCs w:val="24"/>
      <w:lang w:val="zh-CN"/>
    </w:rPr>
  </w:style>
  <w:style w:type="paragraph" w:customStyle="1" w:styleId="2055">
    <w:name w:val="0正文"/>
    <w:basedOn w:val="1"/>
    <w:link w:val="2054"/>
    <w:qFormat/>
    <w:uiPriority w:val="0"/>
    <w:pPr>
      <w:widowControl w:val="0"/>
      <w:adjustRightInd w:val="0"/>
      <w:snapToGrid w:val="0"/>
      <w:spacing w:line="360" w:lineRule="auto"/>
      <w:ind w:firstLine="200" w:firstLineChars="200"/>
      <w:jc w:val="both"/>
      <w:textAlignment w:val="baseline"/>
    </w:pPr>
    <w:rPr>
      <w:rFonts w:cs="Times New Roman"/>
      <w:snapToGrid w:val="0"/>
      <w:kern w:val="44"/>
      <w:sz w:val="28"/>
      <w:lang w:val="zh-CN"/>
    </w:rPr>
  </w:style>
  <w:style w:type="character" w:customStyle="1" w:styleId="2056">
    <w:name w:val="正文文字 Char2"/>
    <w:qFormat/>
    <w:uiPriority w:val="0"/>
    <w:rPr>
      <w:b/>
      <w:kern w:val="2"/>
      <w:sz w:val="24"/>
    </w:rPr>
  </w:style>
  <w:style w:type="character" w:customStyle="1" w:styleId="2057">
    <w:name w:val="h Char Char"/>
    <w:qFormat/>
    <w:uiPriority w:val="0"/>
    <w:rPr>
      <w:kern w:val="2"/>
      <w:sz w:val="18"/>
      <w:szCs w:val="18"/>
    </w:rPr>
  </w:style>
  <w:style w:type="character" w:customStyle="1" w:styleId="2058">
    <w:name w:val="批注引用1"/>
    <w:qFormat/>
    <w:uiPriority w:val="0"/>
    <w:rPr>
      <w:sz w:val="21"/>
      <w:szCs w:val="21"/>
    </w:rPr>
  </w:style>
  <w:style w:type="character" w:customStyle="1" w:styleId="2059">
    <w:name w:val="批注文字 字符"/>
    <w:qFormat/>
    <w:uiPriority w:val="0"/>
    <w:rPr>
      <w:kern w:val="2"/>
      <w:sz w:val="24"/>
    </w:rPr>
  </w:style>
  <w:style w:type="character" w:customStyle="1" w:styleId="2060">
    <w:name w:val="Char Char92"/>
    <w:qFormat/>
    <w:uiPriority w:val="0"/>
    <w:rPr>
      <w:rFonts w:ascii="Arial" w:hAnsi="Arial" w:eastAsia="黑体"/>
      <w:sz w:val="24"/>
      <w:szCs w:val="21"/>
      <w:lang w:bidi="ar-SA"/>
    </w:rPr>
  </w:style>
  <w:style w:type="character" w:customStyle="1" w:styleId="2061">
    <w:name w:val="正文格式 Char"/>
    <w:qFormat/>
    <w:locked/>
    <w:uiPriority w:val="0"/>
    <w:rPr>
      <w:rFonts w:eastAsia="宋体"/>
      <w:kern w:val="2"/>
      <w:sz w:val="24"/>
      <w:szCs w:val="24"/>
      <w:lang w:bidi="ar-SA"/>
    </w:rPr>
  </w:style>
  <w:style w:type="character" w:customStyle="1" w:styleId="2062">
    <w:name w:val="fontstyle11"/>
    <w:qFormat/>
    <w:uiPriority w:val="0"/>
    <w:rPr>
      <w:rFonts w:hint="eastAsia" w:ascii="宋体" w:hAnsi="宋体" w:eastAsia="宋体"/>
      <w:color w:val="000000"/>
      <w:sz w:val="22"/>
      <w:szCs w:val="22"/>
    </w:rPr>
  </w:style>
  <w:style w:type="character" w:customStyle="1" w:styleId="2063">
    <w:name w:val="批注引用2"/>
    <w:qFormat/>
    <w:uiPriority w:val="0"/>
    <w:rPr>
      <w:sz w:val="21"/>
      <w:szCs w:val="21"/>
    </w:rPr>
  </w:style>
  <w:style w:type="character" w:customStyle="1" w:styleId="2064">
    <w:name w:val="正文文本 2 字符2"/>
    <w:qFormat/>
    <w:uiPriority w:val="0"/>
    <w:rPr>
      <w:kern w:val="28"/>
      <w:sz w:val="24"/>
    </w:rPr>
  </w:style>
  <w:style w:type="character" w:customStyle="1" w:styleId="2065">
    <w:name w:val="正文 + Char Char"/>
    <w:qFormat/>
    <w:uiPriority w:val="0"/>
    <w:rPr>
      <w:rFonts w:eastAsia="Times New Roman"/>
      <w:snapToGrid/>
      <w:kern w:val="24"/>
      <w:sz w:val="24"/>
      <w:szCs w:val="24"/>
      <w:lang w:val="en-US" w:eastAsia="zh-CN" w:bidi="ar-SA"/>
    </w:rPr>
  </w:style>
  <w:style w:type="character" w:customStyle="1" w:styleId="2066">
    <w:name w:val="正文首行缩进 2 字符2"/>
    <w:qFormat/>
    <w:uiPriority w:val="0"/>
    <w:rPr>
      <w:kern w:val="2"/>
      <w:sz w:val="24"/>
    </w:rPr>
  </w:style>
  <w:style w:type="character" w:customStyle="1" w:styleId="2067">
    <w:name w:val="正文文本 字符1"/>
    <w:qFormat/>
    <w:uiPriority w:val="0"/>
    <w:rPr>
      <w:rFonts w:ascii="Times New Roman" w:hAnsi="Times New Roman" w:eastAsia="宋体" w:cs="Times New Roman"/>
      <w:b/>
      <w:sz w:val="24"/>
      <w:szCs w:val="20"/>
    </w:rPr>
  </w:style>
  <w:style w:type="character" w:customStyle="1" w:styleId="2068">
    <w:name w:val="正文升平 Char Char"/>
    <w:qFormat/>
    <w:uiPriority w:val="0"/>
    <w:rPr>
      <w:rFonts w:ascii="楷体_GB2312" w:hAnsi="宋体" w:eastAsia="楷体_GB2312" w:cs="楷体_GB2312"/>
      <w:bCs/>
      <w:color w:val="000000"/>
      <w:sz w:val="28"/>
      <w:szCs w:val="28"/>
      <w:lang w:val="zh-CN"/>
    </w:rPr>
  </w:style>
  <w:style w:type="character" w:customStyle="1" w:styleId="2069">
    <w:name w:val="批注主题 字符1"/>
    <w:qFormat/>
    <w:uiPriority w:val="0"/>
    <w:rPr>
      <w:rFonts w:ascii="Times New Roman" w:hAnsi="Times New Roman" w:eastAsia="宋体" w:cs="Times New Roman"/>
      <w:b/>
      <w:bCs/>
      <w:sz w:val="24"/>
      <w:szCs w:val="20"/>
    </w:rPr>
  </w:style>
  <w:style w:type="character" w:customStyle="1" w:styleId="2070">
    <w:name w:val="批注框文本 字符2"/>
    <w:qFormat/>
    <w:uiPriority w:val="0"/>
    <w:rPr>
      <w:kern w:val="2"/>
      <w:sz w:val="18"/>
      <w:szCs w:val="18"/>
    </w:rPr>
  </w:style>
  <w:style w:type="character" w:customStyle="1" w:styleId="2071">
    <w:name w:val="f24"/>
    <w:qFormat/>
    <w:uiPriority w:val="0"/>
  </w:style>
  <w:style w:type="character" w:customStyle="1" w:styleId="2072">
    <w:name w:val="正文文本缩进 字符3"/>
    <w:qFormat/>
    <w:uiPriority w:val="0"/>
    <w:rPr>
      <w:kern w:val="2"/>
      <w:sz w:val="24"/>
    </w:rPr>
  </w:style>
  <w:style w:type="character" w:customStyle="1" w:styleId="2073">
    <w:name w:val="标题 2 字符4"/>
    <w:qFormat/>
    <w:uiPriority w:val="0"/>
    <w:rPr>
      <w:rFonts w:ascii="宋体" w:hAnsi="Arial"/>
      <w:kern w:val="2"/>
      <w:sz w:val="28"/>
    </w:rPr>
  </w:style>
  <w:style w:type="character" w:customStyle="1" w:styleId="2074">
    <w:name w:val="批注主题 字符3"/>
    <w:qFormat/>
    <w:uiPriority w:val="0"/>
    <w:rPr>
      <w:b/>
      <w:bCs/>
      <w:kern w:val="2"/>
      <w:sz w:val="21"/>
      <w:szCs w:val="24"/>
    </w:rPr>
  </w:style>
  <w:style w:type="character" w:customStyle="1" w:styleId="2075">
    <w:name w:val="正文文本 3 字符3"/>
    <w:qFormat/>
    <w:uiPriority w:val="0"/>
    <w:rPr>
      <w:rFonts w:eastAsia="宋体"/>
      <w:kern w:val="2"/>
      <w:sz w:val="18"/>
      <w:lang w:val="en-US" w:eastAsia="zh-CN" w:bidi="ar-SA"/>
    </w:rPr>
  </w:style>
  <w:style w:type="character" w:customStyle="1" w:styleId="2076">
    <w:name w:val="文档结构图 字符1"/>
    <w:qFormat/>
    <w:uiPriority w:val="0"/>
    <w:rPr>
      <w:rFonts w:ascii="宋体"/>
      <w:kern w:val="2"/>
      <w:sz w:val="18"/>
      <w:szCs w:val="18"/>
    </w:rPr>
  </w:style>
  <w:style w:type="character" w:customStyle="1" w:styleId="2077">
    <w:name w:val="脚注文本 字符3"/>
    <w:qFormat/>
    <w:uiPriority w:val="0"/>
    <w:rPr>
      <w:kern w:val="2"/>
      <w:sz w:val="18"/>
      <w:szCs w:val="18"/>
    </w:rPr>
  </w:style>
  <w:style w:type="character" w:customStyle="1" w:styleId="2078">
    <w:name w:val="正文首行缩进 字符3"/>
    <w:qFormat/>
    <w:uiPriority w:val="0"/>
    <w:rPr>
      <w:kern w:val="2"/>
      <w:sz w:val="21"/>
      <w:szCs w:val="24"/>
    </w:rPr>
  </w:style>
  <w:style w:type="character" w:customStyle="1" w:styleId="2079">
    <w:name w:val="正文文本 字符4"/>
    <w:qFormat/>
    <w:uiPriority w:val="0"/>
    <w:rPr>
      <w:rFonts w:eastAsia="宋体"/>
      <w:b/>
      <w:kern w:val="2"/>
      <w:sz w:val="24"/>
      <w:lang w:val="en-US" w:eastAsia="zh-CN" w:bidi="ar-SA"/>
    </w:rPr>
  </w:style>
  <w:style w:type="character" w:customStyle="1" w:styleId="2080">
    <w:name w:val="正文文本缩进 2 字符3"/>
    <w:qFormat/>
    <w:uiPriority w:val="0"/>
    <w:rPr>
      <w:kern w:val="2"/>
      <w:sz w:val="24"/>
    </w:rPr>
  </w:style>
  <w:style w:type="character" w:customStyle="1" w:styleId="2081">
    <w:name w:val="页脚 字符3"/>
    <w:qFormat/>
    <w:uiPriority w:val="99"/>
    <w:rPr>
      <w:kern w:val="2"/>
      <w:sz w:val="18"/>
    </w:rPr>
  </w:style>
  <w:style w:type="character" w:customStyle="1" w:styleId="2082">
    <w:name w:val="尾注文本 字符1"/>
    <w:qFormat/>
    <w:uiPriority w:val="0"/>
    <w:rPr>
      <w:szCs w:val="24"/>
    </w:rPr>
  </w:style>
  <w:style w:type="character" w:customStyle="1" w:styleId="2083">
    <w:name w:val="无间隔 字符1"/>
    <w:qFormat/>
    <w:uiPriority w:val="0"/>
    <w:rPr>
      <w:rFonts w:ascii="Calibri" w:hAnsi="Calibri"/>
      <w:sz w:val="22"/>
      <w:szCs w:val="22"/>
      <w:lang w:val="en-US" w:eastAsia="zh-CN" w:bidi="ar-SA"/>
    </w:rPr>
  </w:style>
  <w:style w:type="character" w:customStyle="1" w:styleId="2084">
    <w:name w:val="正5 Char Char"/>
    <w:qFormat/>
    <w:uiPriority w:val="0"/>
    <w:rPr>
      <w:rFonts w:ascii="宋体" w:eastAsia="宋体"/>
      <w:color w:val="000000"/>
      <w:kern w:val="2"/>
      <w:sz w:val="24"/>
      <w:szCs w:val="24"/>
      <w:lang w:val="en-US" w:eastAsia="zh-CN" w:bidi="ar-SA"/>
    </w:rPr>
  </w:style>
  <w:style w:type="character" w:customStyle="1" w:styleId="2085">
    <w:name w:val="表中文字 Char Char"/>
    <w:qFormat/>
    <w:uiPriority w:val="0"/>
    <w:rPr>
      <w:rFonts w:eastAsia="宋体"/>
      <w:sz w:val="21"/>
      <w:lang w:val="en-US" w:eastAsia="zh-CN" w:bidi="ar-SA"/>
    </w:rPr>
  </w:style>
  <w:style w:type="character" w:customStyle="1" w:styleId="2086">
    <w:name w:val="纯文本 字符4"/>
    <w:qFormat/>
    <w:uiPriority w:val="0"/>
    <w:rPr>
      <w:rFonts w:ascii="宋体" w:hAnsi="Courier New" w:eastAsia="宋体"/>
      <w:kern w:val="2"/>
      <w:sz w:val="21"/>
      <w:lang w:val="en-US" w:eastAsia="zh-CN" w:bidi="ar-SA"/>
    </w:rPr>
  </w:style>
  <w:style w:type="character" w:customStyle="1" w:styleId="2087">
    <w:name w:val="正文（首行缩进两字）1 Char2"/>
    <w:qFormat/>
    <w:uiPriority w:val="0"/>
    <w:rPr>
      <w:rFonts w:eastAsia="方正仿宋简体"/>
      <w:kern w:val="2"/>
      <w:sz w:val="28"/>
      <w:szCs w:val="24"/>
      <w:lang w:val="en-US" w:eastAsia="zh-CN" w:bidi="ar-SA"/>
    </w:rPr>
  </w:style>
  <w:style w:type="character" w:customStyle="1" w:styleId="2088">
    <w:name w:val="标题 1 字符4"/>
    <w:qFormat/>
    <w:uiPriority w:val="0"/>
    <w:rPr>
      <w:b/>
      <w:bCs/>
      <w:kern w:val="44"/>
      <w:sz w:val="44"/>
      <w:szCs w:val="44"/>
    </w:rPr>
  </w:style>
  <w:style w:type="character" w:customStyle="1" w:styleId="2089">
    <w:name w:val="标题 7 字符3"/>
    <w:qFormat/>
    <w:uiPriority w:val="0"/>
    <w:rPr>
      <w:b/>
      <w:kern w:val="2"/>
      <w:sz w:val="28"/>
    </w:rPr>
  </w:style>
  <w:style w:type="character" w:customStyle="1" w:styleId="2090">
    <w:name w:val="正文文本缩进 3 字符4"/>
    <w:qFormat/>
    <w:uiPriority w:val="0"/>
    <w:rPr>
      <w:kern w:val="2"/>
      <w:sz w:val="24"/>
    </w:rPr>
  </w:style>
  <w:style w:type="character" w:customStyle="1" w:styleId="2091">
    <w:name w:val="批注引用11"/>
    <w:qFormat/>
    <w:uiPriority w:val="0"/>
    <w:rPr>
      <w:sz w:val="21"/>
      <w:szCs w:val="21"/>
    </w:rPr>
  </w:style>
  <w:style w:type="character" w:customStyle="1" w:styleId="2092">
    <w:name w:val="正文文字 3 Char Char"/>
    <w:qFormat/>
    <w:uiPriority w:val="0"/>
    <w:rPr>
      <w:rFonts w:hint="default" w:ascii="Arial" w:hAnsi="Arial" w:cs="Arial"/>
      <w:kern w:val="2"/>
      <w:sz w:val="24"/>
    </w:rPr>
  </w:style>
  <w:style w:type="character" w:customStyle="1" w:styleId="2093">
    <w:name w:val="正文新 Char Char"/>
    <w:qFormat/>
    <w:uiPriority w:val="0"/>
    <w:rPr>
      <w:rFonts w:ascii="宋体" w:hAnsi="宋体" w:eastAsia="宋体"/>
      <w:kern w:val="2"/>
      <w:sz w:val="24"/>
      <w:szCs w:val="24"/>
      <w:lang w:val="en-US" w:eastAsia="zh-CN" w:bidi="ar-SA"/>
    </w:rPr>
  </w:style>
  <w:style w:type="character" w:customStyle="1" w:styleId="2094">
    <w:name w:val="新正文 Char Char"/>
    <w:qFormat/>
    <w:uiPriority w:val="0"/>
    <w:rPr>
      <w:rFonts w:ascii="宋体" w:eastAsia="宋体"/>
      <w:kern w:val="2"/>
      <w:sz w:val="24"/>
      <w:szCs w:val="24"/>
      <w:lang w:val="en-US" w:eastAsia="zh-CN" w:bidi="ar-SA"/>
    </w:rPr>
  </w:style>
  <w:style w:type="character" w:customStyle="1" w:styleId="2095">
    <w:name w:val="标3 Char Char"/>
    <w:qFormat/>
    <w:uiPriority w:val="0"/>
    <w:rPr>
      <w:rFonts w:hint="eastAsia" w:ascii="黑体" w:hAnsi="宋体" w:eastAsia="黑体"/>
      <w:b/>
      <w:bCs/>
      <w:color w:val="000000"/>
      <w:sz w:val="24"/>
      <w:szCs w:val="24"/>
      <w:lang w:val="en-US" w:eastAsia="zh-CN" w:bidi="ar-SA"/>
    </w:rPr>
  </w:style>
  <w:style w:type="character" w:customStyle="1" w:styleId="2096">
    <w:name w:val="body text Char"/>
    <w:qFormat/>
    <w:uiPriority w:val="0"/>
    <w:rPr>
      <w:rFonts w:ascii="宋体" w:hAnsi="宋体" w:cs="宋体"/>
      <w:sz w:val="28"/>
      <w:szCs w:val="24"/>
    </w:rPr>
  </w:style>
  <w:style w:type="character" w:customStyle="1" w:styleId="2097">
    <w:name w:val="标题3T Char Char"/>
    <w:qFormat/>
    <w:uiPriority w:val="0"/>
    <w:rPr>
      <w:snapToGrid/>
      <w:color w:val="000000"/>
      <w:sz w:val="24"/>
      <w:szCs w:val="24"/>
      <w:lang w:bidi="ar-SA"/>
    </w:rPr>
  </w:style>
  <w:style w:type="character" w:customStyle="1" w:styleId="2098">
    <w:name w:val="材料正文 Char Char Char"/>
    <w:qFormat/>
    <w:uiPriority w:val="0"/>
    <w:rPr>
      <w:rFonts w:eastAsia="方正仿宋简体"/>
      <w:kern w:val="2"/>
      <w:sz w:val="24"/>
      <w:lang w:bidi="ar-SA"/>
    </w:rPr>
  </w:style>
  <w:style w:type="character" w:customStyle="1" w:styleId="2099">
    <w:name w:val="我的样式 字符"/>
    <w:link w:val="2100"/>
    <w:qFormat/>
    <w:uiPriority w:val="0"/>
    <w:rPr>
      <w:color w:val="000000"/>
      <w:kern w:val="2"/>
      <w:sz w:val="24"/>
      <w:szCs w:val="24"/>
    </w:rPr>
  </w:style>
  <w:style w:type="paragraph" w:customStyle="1" w:styleId="2100">
    <w:name w:val="我的样式"/>
    <w:basedOn w:val="1"/>
    <w:link w:val="2099"/>
    <w:qFormat/>
    <w:uiPriority w:val="0"/>
    <w:pPr>
      <w:widowControl w:val="0"/>
      <w:spacing w:line="500" w:lineRule="exact"/>
      <w:ind w:firstLine="200" w:firstLineChars="200"/>
      <w:jc w:val="both"/>
    </w:pPr>
    <w:rPr>
      <w:rFonts w:ascii="Times New Roman" w:hAnsi="Times New Roman" w:cs="Times New Roman"/>
      <w:color w:val="000000"/>
      <w:kern w:val="2"/>
    </w:rPr>
  </w:style>
  <w:style w:type="character" w:customStyle="1" w:styleId="2101">
    <w:name w:val="样式9 Char Char Char"/>
    <w:qFormat/>
    <w:uiPriority w:val="0"/>
    <w:rPr>
      <w:rFonts w:ascii="黑体" w:eastAsia="黑体"/>
      <w:sz w:val="28"/>
      <w:lang w:bidi="ar-SA"/>
    </w:rPr>
  </w:style>
  <w:style w:type="character" w:customStyle="1" w:styleId="2102">
    <w:name w:val="正文首行缩进 字符"/>
    <w:qFormat/>
    <w:uiPriority w:val="0"/>
  </w:style>
  <w:style w:type="character" w:customStyle="1" w:styleId="2103">
    <w:name w:val="内容1 Char Char"/>
    <w:qFormat/>
    <w:uiPriority w:val="0"/>
    <w:rPr>
      <w:rFonts w:hAnsi="宋体"/>
      <w:sz w:val="28"/>
      <w:szCs w:val="28"/>
      <w:lang w:val="en-US" w:eastAsia="zh-CN" w:bidi="ar-SA"/>
    </w:rPr>
  </w:style>
  <w:style w:type="character" w:customStyle="1" w:styleId="2104">
    <w:name w:val="标题 6 字符1"/>
    <w:qFormat/>
    <w:uiPriority w:val="0"/>
    <w:rPr>
      <w:rFonts w:ascii="Arial" w:hAnsi="Arial" w:eastAsia="黑体"/>
      <w:b/>
      <w:bCs/>
      <w:kern w:val="2"/>
      <w:sz w:val="24"/>
      <w:szCs w:val="24"/>
    </w:rPr>
  </w:style>
  <w:style w:type="character" w:customStyle="1" w:styleId="2105">
    <w:name w:val="页脚 Char Char"/>
    <w:qFormat/>
    <w:uiPriority w:val="0"/>
    <w:rPr>
      <w:kern w:val="2"/>
      <w:sz w:val="18"/>
    </w:rPr>
  </w:style>
  <w:style w:type="character" w:customStyle="1" w:styleId="2106">
    <w:name w:val="表头-文字 Char Char"/>
    <w:qFormat/>
    <w:uiPriority w:val="0"/>
    <w:rPr>
      <w:b/>
      <w:kern w:val="24"/>
      <w:sz w:val="24"/>
      <w:szCs w:val="22"/>
      <w:lang w:bidi="ar-SA"/>
    </w:rPr>
  </w:style>
  <w:style w:type="character" w:customStyle="1" w:styleId="2107">
    <w:name w:val="标题4，， Char Char"/>
    <w:qFormat/>
    <w:uiPriority w:val="0"/>
    <w:rPr>
      <w:rFonts w:ascii="宋体" w:hAnsi="宋体" w:eastAsia="宋体"/>
      <w:kern w:val="2"/>
      <w:sz w:val="24"/>
      <w:lang w:bidi="ar-SA"/>
    </w:rPr>
  </w:style>
  <w:style w:type="character" w:customStyle="1" w:styleId="2108">
    <w:name w:val="标题 6 字符"/>
    <w:qFormat/>
    <w:uiPriority w:val="0"/>
    <w:rPr>
      <w:rFonts w:ascii="等线 Light" w:hAnsi="等线 Light" w:eastAsia="等线 Light" w:cs="Times New Roman"/>
      <w:b/>
      <w:bCs/>
      <w:kern w:val="2"/>
      <w:sz w:val="24"/>
      <w:szCs w:val="24"/>
    </w:rPr>
  </w:style>
  <w:style w:type="character" w:customStyle="1" w:styleId="2109">
    <w:name w:val="标题 字符3"/>
    <w:qFormat/>
    <w:uiPriority w:val="0"/>
    <w:rPr>
      <w:rFonts w:ascii="宋体" w:hAnsi="Courier New"/>
    </w:rPr>
  </w:style>
  <w:style w:type="character" w:customStyle="1" w:styleId="2110">
    <w:name w:val="批注主题 字符"/>
    <w:qFormat/>
    <w:uiPriority w:val="0"/>
    <w:rPr>
      <w:b/>
      <w:bCs/>
      <w:kern w:val="2"/>
      <w:sz w:val="24"/>
    </w:rPr>
  </w:style>
  <w:style w:type="character" w:customStyle="1" w:styleId="2111">
    <w:name w:val="标题 Char Char"/>
    <w:qFormat/>
    <w:uiPriority w:val="0"/>
    <w:rPr>
      <w:rFonts w:hint="eastAsia" w:ascii="宋体" w:hAnsi="Courier New" w:eastAsia="宋体"/>
      <w:kern w:val="2"/>
      <w:sz w:val="21"/>
    </w:rPr>
  </w:style>
  <w:style w:type="character" w:customStyle="1" w:styleId="2112">
    <w:name w:val="标题 1 字符1"/>
    <w:qFormat/>
    <w:uiPriority w:val="0"/>
    <w:rPr>
      <w:b/>
      <w:bCs/>
      <w:kern w:val="44"/>
      <w:sz w:val="44"/>
      <w:szCs w:val="44"/>
    </w:rPr>
  </w:style>
  <w:style w:type="character" w:customStyle="1" w:styleId="2113">
    <w:name w:val="批注引用3"/>
    <w:qFormat/>
    <w:uiPriority w:val="0"/>
    <w:rPr>
      <w:sz w:val="21"/>
      <w:szCs w:val="21"/>
    </w:rPr>
  </w:style>
  <w:style w:type="character" w:customStyle="1" w:styleId="2114">
    <w:name w:val="普通文字 Char4"/>
    <w:qFormat/>
    <w:uiPriority w:val="0"/>
    <w:rPr>
      <w:rFonts w:hint="eastAsia" w:ascii="宋体" w:hAnsi="Courier New" w:eastAsia="宋体"/>
      <w:kern w:val="2"/>
      <w:sz w:val="21"/>
      <w:lang w:val="en-US" w:eastAsia="zh-CN"/>
    </w:rPr>
  </w:style>
  <w:style w:type="character" w:customStyle="1" w:styleId="2115">
    <w:name w:val="标题 9 Char1"/>
    <w:qFormat/>
    <w:uiPriority w:val="0"/>
    <w:rPr>
      <w:rFonts w:hint="default" w:ascii="Cambria" w:hAnsi="Cambria" w:eastAsia="宋体" w:cs="Times New Roman"/>
      <w:sz w:val="21"/>
      <w:szCs w:val="21"/>
    </w:rPr>
  </w:style>
  <w:style w:type="character" w:customStyle="1" w:styleId="2116">
    <w:name w:val="正文首行缩进 Char1"/>
    <w:qFormat/>
    <w:uiPriority w:val="0"/>
  </w:style>
  <w:style w:type="character" w:customStyle="1" w:styleId="2117">
    <w:name w:val="电子邮件签名 字符4"/>
    <w:qFormat/>
    <w:uiPriority w:val="0"/>
    <w:rPr>
      <w:snapToGrid/>
      <w:sz w:val="24"/>
      <w:szCs w:val="28"/>
    </w:rPr>
  </w:style>
  <w:style w:type="character" w:customStyle="1" w:styleId="2118">
    <w:name w:val="日期 字符1"/>
    <w:qFormat/>
    <w:uiPriority w:val="0"/>
    <w:rPr>
      <w:rFonts w:ascii="宋体" w:hAnsi="Times New Roman" w:eastAsia="宋体" w:cs="Times New Roman"/>
      <w:szCs w:val="20"/>
    </w:rPr>
  </w:style>
  <w:style w:type="character" w:customStyle="1" w:styleId="2119">
    <w:name w:val="正文首行缩进 字符1"/>
    <w:qFormat/>
    <w:uiPriority w:val="0"/>
    <w:rPr>
      <w:rFonts w:ascii="Times New Roman" w:hAnsi="Times New Roman" w:eastAsia="宋体" w:cs="Times New Roman"/>
      <w:sz w:val="24"/>
      <w:szCs w:val="20"/>
    </w:rPr>
  </w:style>
  <w:style w:type="character" w:customStyle="1" w:styleId="2120">
    <w:name w:val="OK 修改正文 Char Char"/>
    <w:link w:val="2121"/>
    <w:qFormat/>
    <w:uiPriority w:val="0"/>
    <w:rPr>
      <w:rFonts w:ascii="宋体" w:hAnsi="宋体"/>
      <w:sz w:val="24"/>
      <w:u w:val="single"/>
    </w:rPr>
  </w:style>
  <w:style w:type="paragraph" w:customStyle="1" w:styleId="2121">
    <w:name w:val="OK 修改正文"/>
    <w:basedOn w:val="1"/>
    <w:link w:val="2120"/>
    <w:qFormat/>
    <w:uiPriority w:val="0"/>
    <w:pPr>
      <w:widowControl w:val="0"/>
      <w:spacing w:line="300" w:lineRule="auto"/>
      <w:ind w:firstLine="480" w:firstLineChars="200"/>
      <w:jc w:val="both"/>
    </w:pPr>
    <w:rPr>
      <w:rFonts w:cs="Times New Roman"/>
      <w:szCs w:val="20"/>
      <w:u w:val="single"/>
    </w:rPr>
  </w:style>
  <w:style w:type="character" w:customStyle="1" w:styleId="2122">
    <w:name w:val="正文文本 字符3"/>
    <w:qFormat/>
    <w:uiPriority w:val="0"/>
    <w:rPr>
      <w:b/>
      <w:kern w:val="2"/>
      <w:sz w:val="24"/>
    </w:rPr>
  </w:style>
  <w:style w:type="paragraph" w:customStyle="1" w:styleId="2123">
    <w:name w:val="标题标题"/>
    <w:basedOn w:val="1"/>
    <w:next w:val="1"/>
    <w:qFormat/>
    <w:uiPriority w:val="0"/>
    <w:pPr>
      <w:autoSpaceDE w:val="0"/>
      <w:autoSpaceDN w:val="0"/>
      <w:adjustRightInd w:val="0"/>
      <w:snapToGrid w:val="0"/>
      <w:spacing w:beforeLines="50" w:afterLines="50"/>
      <w:jc w:val="center"/>
    </w:pPr>
    <w:rPr>
      <w:rFonts w:cs="Times New Roman"/>
      <w:kern w:val="11"/>
      <w:sz w:val="28"/>
      <w:szCs w:val="28"/>
    </w:rPr>
  </w:style>
  <w:style w:type="paragraph" w:customStyle="1" w:styleId="2124">
    <w:name w:val="引文目录标题2"/>
    <w:basedOn w:val="1"/>
    <w:next w:val="1"/>
    <w:qFormat/>
    <w:uiPriority w:val="0"/>
    <w:pPr>
      <w:widowControl w:val="0"/>
      <w:spacing w:before="120" w:line="480" w:lineRule="exact"/>
      <w:jc w:val="both"/>
    </w:pPr>
    <w:rPr>
      <w:rFonts w:ascii="Arial" w:hAnsi="Arial" w:cs="Arial"/>
      <w:kern w:val="2"/>
    </w:rPr>
  </w:style>
  <w:style w:type="paragraph" w:customStyle="1" w:styleId="2125">
    <w:name w:val="样式 标题 3"/>
    <w:basedOn w:val="6"/>
    <w:qFormat/>
    <w:uiPriority w:val="0"/>
    <w:pPr>
      <w:widowControl w:val="0"/>
      <w:adjustRightInd w:val="0"/>
      <w:snapToGrid w:val="0"/>
      <w:spacing w:before="120" w:after="120" w:line="480" w:lineRule="exact"/>
      <w:jc w:val="both"/>
    </w:pPr>
    <w:rPr>
      <w:rFonts w:eastAsia="方正黑体简体"/>
      <w:b/>
      <w:bCs w:val="0"/>
      <w:kern w:val="2"/>
      <w:sz w:val="30"/>
      <w:szCs w:val="30"/>
    </w:rPr>
  </w:style>
  <w:style w:type="paragraph" w:customStyle="1" w:styleId="2126">
    <w:name w:val="报告名称 +"/>
    <w:basedOn w:val="1782"/>
    <w:qFormat/>
    <w:uiPriority w:val="0"/>
    <w:pPr>
      <w:spacing w:beforeLines="50" w:afterLines="50"/>
    </w:pPr>
    <w:rPr>
      <w:rFonts w:hint="eastAsia" w:ascii="黑体" w:hAnsi="黑体" w:cs="宋体"/>
      <w:sz w:val="52"/>
      <w:szCs w:val="24"/>
    </w:rPr>
  </w:style>
  <w:style w:type="paragraph" w:customStyle="1" w:styleId="2127">
    <w:name w:val="样式31"/>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szCs w:val="28"/>
    </w:rPr>
  </w:style>
  <w:style w:type="paragraph" w:customStyle="1" w:styleId="2128">
    <w:name w:val="样式 样式 样式5 + 段前: 0.5 行 段后: 0.3 行 + 段前: 0.5 行 段后: 0.3 行"/>
    <w:basedOn w:val="2129"/>
    <w:qFormat/>
    <w:uiPriority w:val="0"/>
    <w:pPr>
      <w:spacing w:before="120" w:afterLines="0"/>
    </w:pPr>
  </w:style>
  <w:style w:type="paragraph" w:customStyle="1" w:styleId="2129">
    <w:name w:val="样式 样式5 + 段前: 0.5 行 段后: 0.3 行"/>
    <w:basedOn w:val="1137"/>
    <w:qFormat/>
    <w:uiPriority w:val="0"/>
    <w:pPr>
      <w:topLinePunct/>
      <w:adjustRightInd/>
      <w:snapToGrid/>
      <w:spacing w:before="200" w:after="200" w:afterLines="30" w:line="240" w:lineRule="auto"/>
      <w:ind w:firstLine="0"/>
      <w:jc w:val="center"/>
      <w:textAlignment w:val="auto"/>
    </w:pPr>
    <w:rPr>
      <w:rFonts w:hint="eastAsia" w:ascii="方正黑体简体" w:hAnsi="Arial" w:eastAsia="方正黑体简体"/>
      <w:snapToGrid w:val="0"/>
      <w:szCs w:val="28"/>
    </w:rPr>
  </w:style>
  <w:style w:type="paragraph" w:customStyle="1" w:styleId="2130">
    <w:name w:val="环保表内字（六号）"/>
    <w:basedOn w:val="1665"/>
    <w:qFormat/>
    <w:uiPriority w:val="0"/>
    <w:pPr>
      <w:tabs>
        <w:tab w:val="clear" w:pos="540"/>
        <w:tab w:val="clear" w:pos="4095"/>
      </w:tabs>
      <w:topLinePunct w:val="0"/>
      <w:adjustRightInd w:val="0"/>
      <w:snapToGrid w:val="0"/>
      <w:spacing w:line="0" w:lineRule="atLeast"/>
    </w:pPr>
    <w:rPr>
      <w:rFonts w:ascii="Calibri" w:hAnsi="Calibri" w:cs="Times New Roman"/>
      <w:kern w:val="0"/>
      <w:sz w:val="15"/>
    </w:rPr>
  </w:style>
  <w:style w:type="paragraph" w:customStyle="1" w:styleId="2131">
    <w:name w:val="xl21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132">
    <w:name w:val="xl1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133">
    <w:name w:val="Знак Знак12"/>
    <w:basedOn w:val="1"/>
    <w:qFormat/>
    <w:uiPriority w:val="0"/>
    <w:pPr>
      <w:widowControl w:val="0"/>
      <w:jc w:val="both"/>
    </w:pPr>
    <w:rPr>
      <w:rFonts w:ascii="Times New Roman" w:hAnsi="Times New Roman" w:cs="Times New Roman"/>
      <w:kern w:val="2"/>
      <w:sz w:val="21"/>
    </w:rPr>
  </w:style>
  <w:style w:type="paragraph" w:customStyle="1" w:styleId="2134">
    <w:name w:val="样式27"/>
    <w:basedOn w:val="1"/>
    <w:qFormat/>
    <w:uiPriority w:val="0"/>
    <w:pPr>
      <w:widowControl w:val="0"/>
      <w:adjustRightInd w:val="0"/>
      <w:snapToGrid w:val="0"/>
      <w:spacing w:line="480" w:lineRule="exact"/>
      <w:ind w:firstLine="700" w:firstLineChars="250"/>
      <w:jc w:val="both"/>
    </w:pPr>
    <w:rPr>
      <w:rFonts w:ascii="Times New Roman" w:hAnsi="Times New Roman" w:cs="Times New Roman"/>
      <w:snapToGrid w:val="0"/>
      <w:sz w:val="28"/>
      <w:szCs w:val="28"/>
    </w:rPr>
  </w:style>
  <w:style w:type="paragraph" w:customStyle="1" w:styleId="2135">
    <w:name w:val="索引 32"/>
    <w:basedOn w:val="1"/>
    <w:next w:val="1"/>
    <w:qFormat/>
    <w:uiPriority w:val="0"/>
    <w:pPr>
      <w:widowControl w:val="0"/>
      <w:spacing w:line="480" w:lineRule="exact"/>
      <w:ind w:left="400" w:leftChars="400"/>
      <w:jc w:val="both"/>
    </w:pPr>
    <w:rPr>
      <w:rFonts w:ascii="Times New Roman" w:hAnsi="Times New Roman" w:cs="Times New Roman"/>
      <w:kern w:val="2"/>
    </w:rPr>
  </w:style>
  <w:style w:type="paragraph" w:customStyle="1" w:styleId="2136">
    <w:name w:val="表格文字居中（五号）"/>
    <w:basedOn w:val="1176"/>
    <w:qFormat/>
    <w:uiPriority w:val="0"/>
    <w:pPr>
      <w:adjustRightInd w:val="0"/>
      <w:spacing w:line="400" w:lineRule="exact"/>
      <w:ind w:firstLine="480" w:firstLineChars="0"/>
    </w:pPr>
    <w:rPr>
      <w:rFonts w:ascii="Verdana" w:hAnsi="Verdana" w:eastAsia="宋体" w:cs="Times New Roman"/>
      <w:kern w:val="0"/>
      <w:sz w:val="21"/>
      <w:szCs w:val="24"/>
    </w:rPr>
  </w:style>
  <w:style w:type="paragraph" w:customStyle="1" w:styleId="2137">
    <w:name w:val="Char Char Char Char Char Char Char Char Char Char3"/>
    <w:basedOn w:val="1"/>
    <w:qFormat/>
    <w:uiPriority w:val="0"/>
    <w:rPr>
      <w:szCs w:val="21"/>
    </w:rPr>
  </w:style>
  <w:style w:type="paragraph" w:customStyle="1" w:styleId="2138">
    <w:name w:val="Char Char Char Char Char Char Char Char Char Char Char Char Char1"/>
    <w:basedOn w:val="1"/>
    <w:qFormat/>
    <w:uiPriority w:val="0"/>
    <w:pPr>
      <w:widowControl w:val="0"/>
      <w:adjustRightInd w:val="0"/>
      <w:spacing w:line="360" w:lineRule="auto"/>
      <w:jc w:val="both"/>
    </w:pPr>
    <w:rPr>
      <w:rFonts w:ascii="Times New Roman" w:hAnsi="Times New Roman" w:cs="Times New Roman"/>
    </w:rPr>
  </w:style>
  <w:style w:type="paragraph" w:customStyle="1" w:styleId="2139">
    <w:name w:val="样式 样式5 + 段前: 0.5 行 段后: 0.3 行1"/>
    <w:basedOn w:val="1137"/>
    <w:qFormat/>
    <w:uiPriority w:val="0"/>
    <w:pPr>
      <w:topLinePunct/>
      <w:adjustRightInd/>
      <w:snapToGrid/>
      <w:spacing w:before="200" w:beforeLines="20" w:after="200" w:afterLines="30" w:line="240" w:lineRule="auto"/>
      <w:ind w:firstLine="0"/>
      <w:jc w:val="center"/>
      <w:textAlignment w:val="auto"/>
    </w:pPr>
    <w:rPr>
      <w:rFonts w:hint="eastAsia" w:ascii="方正黑体简体" w:hAnsi="Arial" w:eastAsia="方正黑体简体"/>
      <w:snapToGrid w:val="0"/>
      <w:kern w:val="2"/>
      <w:szCs w:val="28"/>
    </w:rPr>
  </w:style>
  <w:style w:type="paragraph" w:customStyle="1" w:styleId="2140">
    <w:name w:val="样式 (中文) 方正黑体简体 居中"/>
    <w:basedOn w:val="1"/>
    <w:qFormat/>
    <w:uiPriority w:val="0"/>
    <w:pPr>
      <w:widowControl w:val="0"/>
      <w:snapToGrid w:val="0"/>
      <w:spacing w:beforeLines="100" w:line="480" w:lineRule="exact"/>
      <w:jc w:val="center"/>
    </w:pPr>
    <w:rPr>
      <w:rFonts w:ascii="Times New Roman" w:hAnsi="Times New Roman" w:eastAsia="方正黑体简体"/>
      <w:szCs w:val="20"/>
    </w:rPr>
  </w:style>
  <w:style w:type="paragraph" w:customStyle="1" w:styleId="2141">
    <w:name w:val="xl179"/>
    <w:basedOn w:val="1"/>
    <w:qFormat/>
    <w:uiPriority w:val="0"/>
    <w:pPr>
      <w:shd w:val="clear" w:color="auto" w:fill="FF8080"/>
      <w:spacing w:before="100" w:beforeAutospacing="1" w:after="100" w:afterAutospacing="1"/>
    </w:pPr>
    <w:rPr>
      <w:rFonts w:ascii="方正综艺简体" w:eastAsia="方正综艺简体"/>
      <w:color w:val="000000"/>
      <w:sz w:val="20"/>
      <w:szCs w:val="20"/>
    </w:rPr>
  </w:style>
  <w:style w:type="paragraph" w:customStyle="1" w:styleId="2142">
    <w:name w:val="xl1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43">
    <w:name w:val="样式 样式 标题 7 + 首行缩进:  2 字符1 + 首行缩进:  2 字符"/>
    <w:basedOn w:val="2144"/>
    <w:qFormat/>
    <w:uiPriority w:val="0"/>
    <w:pPr>
      <w:tabs>
        <w:tab w:val="left" w:pos="425"/>
      </w:tabs>
      <w:spacing w:before="100"/>
    </w:pPr>
  </w:style>
  <w:style w:type="paragraph" w:customStyle="1" w:styleId="2144">
    <w:name w:val="样式 标题 7 + 首行缩进:  2 字符1"/>
    <w:basedOn w:val="10"/>
    <w:qFormat/>
    <w:uiPriority w:val="0"/>
    <w:pPr>
      <w:keepLines/>
      <w:tabs>
        <w:tab w:val="left" w:pos="425"/>
        <w:tab w:val="clear" w:pos="360"/>
      </w:tabs>
      <w:snapToGrid w:val="0"/>
      <w:spacing w:before="60" w:after="64" w:line="360" w:lineRule="auto"/>
      <w:ind w:left="0" w:firstLine="562" w:firstLineChars="200"/>
    </w:pPr>
    <w:rPr>
      <w:rFonts w:ascii="宋体" w:hAnsi="宋体" w:cs="宋体"/>
      <w:color w:val="000000"/>
      <w:kern w:val="0"/>
      <w:szCs w:val="20"/>
    </w:rPr>
  </w:style>
  <w:style w:type="paragraph" w:customStyle="1" w:styleId="2145">
    <w:name w:val="xl165"/>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color w:val="000000"/>
      <w:sz w:val="20"/>
      <w:szCs w:val="20"/>
    </w:rPr>
  </w:style>
  <w:style w:type="paragraph" w:customStyle="1" w:styleId="2146">
    <w:name w:val="xl161"/>
    <w:basedOn w:val="1"/>
    <w:qFormat/>
    <w:uiPriority w:val="0"/>
    <w:pPr>
      <w:spacing w:before="100" w:beforeAutospacing="1" w:after="100" w:afterAutospacing="1"/>
      <w:jc w:val="center"/>
    </w:pPr>
    <w:rPr>
      <w:color w:val="000000"/>
      <w:sz w:val="20"/>
      <w:szCs w:val="20"/>
    </w:rPr>
  </w:style>
  <w:style w:type="paragraph" w:customStyle="1" w:styleId="2147">
    <w:name w:val="xl312"/>
    <w:basedOn w:val="1"/>
    <w:qFormat/>
    <w:uiPriority w:val="0"/>
    <w:pPr>
      <w:pBdr>
        <w:top w:val="single" w:color="auto" w:sz="4" w:space="0"/>
        <w:lef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148">
    <w:name w:val="图表标题 Char Char Char Char Char Char"/>
    <w:basedOn w:val="1"/>
    <w:next w:val="1"/>
    <w:qFormat/>
    <w:uiPriority w:val="0"/>
    <w:pPr>
      <w:widowControl w:val="0"/>
      <w:adjustRightInd w:val="0"/>
      <w:snapToGrid w:val="0"/>
      <w:ind w:left="1120"/>
      <w:jc w:val="center"/>
    </w:pPr>
    <w:rPr>
      <w:rFonts w:ascii="黑体" w:hAnsi="Times New Roman" w:eastAsia="黑体" w:cs="Times New Roman"/>
      <w:kern w:val="2"/>
    </w:rPr>
  </w:style>
  <w:style w:type="paragraph" w:customStyle="1" w:styleId="2149">
    <w:name w:val="xl2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50">
    <w:name w:val="xl259"/>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151">
    <w:name w:val="样式49"/>
    <w:basedOn w:val="1"/>
    <w:qFormat/>
    <w:uiPriority w:val="0"/>
    <w:pPr>
      <w:widowControl w:val="0"/>
      <w:adjustRightInd w:val="0"/>
      <w:snapToGrid w:val="0"/>
      <w:spacing w:line="480" w:lineRule="exact"/>
      <w:ind w:left="-140" w:right="31"/>
      <w:jc w:val="center"/>
    </w:pPr>
    <w:rPr>
      <w:rFonts w:ascii="Times New Roman" w:hAnsi="Times New Roman" w:cs="Times New Roman"/>
      <w:snapToGrid w:val="0"/>
      <w:sz w:val="21"/>
      <w:szCs w:val="21"/>
    </w:rPr>
  </w:style>
  <w:style w:type="paragraph" w:customStyle="1" w:styleId="2152">
    <w:name w:val="xl270"/>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153">
    <w:name w:val="HTML 预设格式2"/>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000000"/>
      <w:kern w:val="2"/>
    </w:rPr>
  </w:style>
  <w:style w:type="paragraph" w:customStyle="1" w:styleId="2154">
    <w:name w:val="Char111"/>
    <w:basedOn w:val="1"/>
    <w:qFormat/>
    <w:uiPriority w:val="0"/>
    <w:pPr>
      <w:widowControl w:val="0"/>
      <w:jc w:val="both"/>
    </w:pPr>
    <w:rPr>
      <w:rFonts w:ascii="Times New Roman" w:hAnsi="Times New Roman" w:cs="Times New Roman"/>
      <w:kern w:val="2"/>
      <w:sz w:val="21"/>
    </w:rPr>
  </w:style>
  <w:style w:type="paragraph" w:customStyle="1" w:styleId="2155">
    <w:name w:val="单位名称"/>
    <w:qFormat/>
    <w:uiPriority w:val="0"/>
    <w:pPr>
      <w:spacing w:line="700" w:lineRule="exact"/>
      <w:jc w:val="center"/>
    </w:pPr>
    <w:rPr>
      <w:rFonts w:ascii="Arial" w:hAnsi="Arial" w:eastAsia="楷体_GB2312" w:cs="Arial"/>
      <w:bCs/>
      <w:kern w:val="2"/>
      <w:sz w:val="36"/>
      <w:szCs w:val="36"/>
      <w:lang w:val="en-US" w:eastAsia="zh-CN" w:bidi="ar-SA"/>
    </w:rPr>
  </w:style>
  <w:style w:type="paragraph" w:customStyle="1" w:styleId="2156">
    <w:name w:val="样式46"/>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157">
    <w:name w:val="xl1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58">
    <w:name w:val="xl145"/>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2"/>
      <w:szCs w:val="22"/>
    </w:rPr>
  </w:style>
  <w:style w:type="paragraph" w:customStyle="1" w:styleId="2159">
    <w:name w:val="档案号内容"/>
    <w:basedOn w:val="2160"/>
    <w:qFormat/>
    <w:uiPriority w:val="0"/>
    <w:pPr>
      <w:spacing w:beforeLines="0"/>
    </w:pPr>
    <w:rPr>
      <w:rFonts w:eastAsia="宋体"/>
    </w:rPr>
  </w:style>
  <w:style w:type="paragraph" w:customStyle="1" w:styleId="2160">
    <w:name w:val="封面档案号"/>
    <w:basedOn w:val="2161"/>
    <w:qFormat/>
    <w:uiPriority w:val="0"/>
    <w:pPr>
      <w:spacing w:beforeLines="100" w:line="480" w:lineRule="exact"/>
    </w:pPr>
    <w:rPr>
      <w:sz w:val="32"/>
      <w:szCs w:val="32"/>
    </w:rPr>
  </w:style>
  <w:style w:type="paragraph" w:customStyle="1" w:styleId="2161">
    <w:name w:val="封面题目"/>
    <w:basedOn w:val="1"/>
    <w:qFormat/>
    <w:uiPriority w:val="0"/>
    <w:pPr>
      <w:widowControl w:val="0"/>
      <w:spacing w:beforeLines="700" w:line="700" w:lineRule="exact"/>
      <w:jc w:val="center"/>
    </w:pPr>
    <w:rPr>
      <w:rFonts w:ascii="Times New Roman" w:hAnsi="Times New Roman" w:eastAsia="黑体" w:cs="Times New Roman"/>
      <w:kern w:val="2"/>
      <w:sz w:val="52"/>
      <w:szCs w:val="52"/>
    </w:rPr>
  </w:style>
  <w:style w:type="paragraph" w:customStyle="1" w:styleId="2162">
    <w:name w:val="标题4+"/>
    <w:basedOn w:val="7"/>
    <w:qFormat/>
    <w:uiPriority w:val="0"/>
    <w:pPr>
      <w:widowControl w:val="0"/>
      <w:adjustRightInd w:val="0"/>
      <w:snapToGrid w:val="0"/>
      <w:spacing w:before="120" w:after="120" w:line="600" w:lineRule="exact"/>
    </w:pPr>
    <w:rPr>
      <w:rFonts w:eastAsia="黑体" w:cs="Times New Roman"/>
      <w:bCs/>
      <w:snapToGrid w:val="0"/>
      <w:sz w:val="28"/>
      <w:szCs w:val="28"/>
      <w:lang w:val="en-US"/>
    </w:rPr>
  </w:style>
  <w:style w:type="paragraph" w:customStyle="1" w:styleId="2163">
    <w:name w:val="样式92"/>
    <w:basedOn w:val="2164"/>
    <w:qFormat/>
    <w:uiPriority w:val="0"/>
    <w:pPr>
      <w:spacing w:before="0" w:after="0" w:line="240" w:lineRule="auto"/>
      <w:ind w:firstLine="420" w:firstLineChars="150"/>
    </w:pPr>
    <w:rPr>
      <w:rFonts w:ascii="宋体" w:hAnsi="宋体" w:eastAsia="宋体"/>
      <w:color w:val="FF0000"/>
      <w:sz w:val="28"/>
      <w:szCs w:val="28"/>
    </w:rPr>
  </w:style>
  <w:style w:type="paragraph" w:customStyle="1" w:styleId="2164">
    <w:name w:val="标题2+"/>
    <w:basedOn w:val="4"/>
    <w:qFormat/>
    <w:uiPriority w:val="0"/>
    <w:pPr>
      <w:widowControl w:val="0"/>
      <w:adjustRightInd w:val="0"/>
      <w:snapToGrid w:val="0"/>
      <w:spacing w:before="240" w:after="120" w:line="480" w:lineRule="exact"/>
    </w:pPr>
    <w:rPr>
      <w:rFonts w:ascii="Times New Roman" w:hAnsi="Times New Roman" w:cs="宋体"/>
      <w:snapToGrid w:val="0"/>
      <w:sz w:val="32"/>
      <w:szCs w:val="20"/>
    </w:rPr>
  </w:style>
  <w:style w:type="paragraph" w:customStyle="1" w:styleId="2165">
    <w:name w:val="样式 正文二级标题 + 首行缩进:  2 字符"/>
    <w:basedOn w:val="2166"/>
    <w:qFormat/>
    <w:uiPriority w:val="0"/>
    <w:pPr>
      <w:spacing w:line="480" w:lineRule="exact"/>
      <w:ind w:firstLine="0" w:firstLineChars="0"/>
      <w:jc w:val="center"/>
    </w:pPr>
    <w:rPr>
      <w:rFonts w:cs="宋体"/>
      <w:sz w:val="44"/>
      <w:szCs w:val="44"/>
    </w:rPr>
  </w:style>
  <w:style w:type="paragraph" w:customStyle="1" w:styleId="2166">
    <w:name w:val="正文二级标题"/>
    <w:basedOn w:val="1"/>
    <w:qFormat/>
    <w:uiPriority w:val="0"/>
    <w:pPr>
      <w:widowControl w:val="0"/>
      <w:spacing w:before="240" w:after="120" w:line="240" w:lineRule="exact"/>
      <w:ind w:firstLine="200" w:firstLineChars="200"/>
      <w:jc w:val="both"/>
      <w:outlineLvl w:val="1"/>
    </w:pPr>
    <w:rPr>
      <w:rFonts w:ascii="Times New Roman" w:hAnsi="Times New Roman" w:eastAsia="黑体" w:cs="Times New Roman"/>
      <w:kern w:val="2"/>
      <w:sz w:val="32"/>
    </w:rPr>
  </w:style>
  <w:style w:type="paragraph" w:customStyle="1" w:styleId="2167">
    <w:name w:val="3"/>
    <w:basedOn w:val="1"/>
    <w:next w:val="31"/>
    <w:qFormat/>
    <w:uiPriority w:val="0"/>
    <w:pPr>
      <w:widowControl w:val="0"/>
      <w:jc w:val="both"/>
    </w:pPr>
    <w:rPr>
      <w:rFonts w:ascii="Times New Roman" w:hAnsi="Times New Roman" w:cs="Times New Roman"/>
      <w:kern w:val="2"/>
      <w:sz w:val="28"/>
    </w:rPr>
  </w:style>
  <w:style w:type="paragraph" w:customStyle="1" w:styleId="2168">
    <w:name w:val="xl308"/>
    <w:basedOn w:val="1"/>
    <w:qFormat/>
    <w:uiPriority w:val="0"/>
    <w:pPr>
      <w:pBdr>
        <w:top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169">
    <w:name w:val="xl1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rPr>
  </w:style>
  <w:style w:type="paragraph" w:customStyle="1" w:styleId="2170">
    <w:name w:val="文字内容"/>
    <w:basedOn w:val="31"/>
    <w:qFormat/>
    <w:uiPriority w:val="0"/>
    <w:pPr>
      <w:adjustRightInd w:val="0"/>
      <w:snapToGrid w:val="0"/>
      <w:spacing w:line="400" w:lineRule="exact"/>
      <w:ind w:firstLine="200" w:firstLineChars="200"/>
      <w:jc w:val="both"/>
    </w:pPr>
    <w:rPr>
      <w:rFonts w:ascii="Arial" w:hAnsi="Arial" w:cs="宋体"/>
      <w:kern w:val="24"/>
      <w:szCs w:val="24"/>
    </w:rPr>
  </w:style>
  <w:style w:type="paragraph" w:customStyle="1" w:styleId="2171">
    <w:name w:val="Char Char1 Char Char Char Char Char Char"/>
    <w:basedOn w:val="1"/>
    <w:qFormat/>
    <w:uiPriority w:val="0"/>
    <w:pPr>
      <w:spacing w:after="160" w:line="240" w:lineRule="exact"/>
    </w:pPr>
    <w:rPr>
      <w:rFonts w:ascii="Verdana" w:hAnsi="Verdana" w:cs="Times New Roman"/>
      <w:b/>
      <w:szCs w:val="20"/>
      <w:lang w:eastAsia="en-US"/>
    </w:rPr>
  </w:style>
  <w:style w:type="paragraph" w:customStyle="1" w:styleId="2172">
    <w:name w:val="xl2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73">
    <w:name w:val="xl213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174">
    <w:name w:val="样式36"/>
    <w:basedOn w:val="1"/>
    <w:qFormat/>
    <w:uiPriority w:val="0"/>
    <w:pPr>
      <w:widowControl w:val="0"/>
      <w:adjustRightInd w:val="0"/>
      <w:snapToGrid w:val="0"/>
      <w:spacing w:line="480" w:lineRule="exact"/>
      <w:ind w:firstLine="560" w:firstLineChars="200"/>
      <w:jc w:val="both"/>
    </w:pPr>
    <w:rPr>
      <w:rFonts w:ascii="Times New Roman" w:hAnsi="Times New Roman" w:cs="Times New Roman"/>
      <w:sz w:val="28"/>
    </w:rPr>
  </w:style>
  <w:style w:type="paragraph" w:customStyle="1" w:styleId="2175">
    <w:name w:val="xl14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2"/>
      <w:szCs w:val="22"/>
    </w:rPr>
  </w:style>
  <w:style w:type="paragraph" w:customStyle="1" w:styleId="2176">
    <w:name w:val="样式 居中 行距: 固定值 22 磅"/>
    <w:basedOn w:val="1"/>
    <w:qFormat/>
    <w:uiPriority w:val="0"/>
    <w:pPr>
      <w:widowControl w:val="0"/>
      <w:spacing w:line="480" w:lineRule="exact"/>
      <w:jc w:val="center"/>
    </w:pPr>
    <w:rPr>
      <w:rFonts w:ascii="Times New Roman" w:hAnsi="Times New Roman"/>
      <w:kern w:val="2"/>
      <w:szCs w:val="20"/>
    </w:rPr>
  </w:style>
  <w:style w:type="paragraph" w:customStyle="1" w:styleId="2177">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178">
    <w:name w:val="xl21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179">
    <w:name w:val="xl281"/>
    <w:basedOn w:val="1"/>
    <w:qFormat/>
    <w:uiPriority w:val="0"/>
    <w:pPr>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pPr>
    <w:rPr>
      <w:rFonts w:ascii="方正综艺简体" w:eastAsia="方正综艺简体"/>
      <w:color w:val="000000"/>
      <w:sz w:val="20"/>
      <w:szCs w:val="20"/>
    </w:rPr>
  </w:style>
  <w:style w:type="paragraph" w:customStyle="1" w:styleId="2180">
    <w:name w:val="样式 标题3 + 段前: 0.5 行 段后: 0.5 行"/>
    <w:basedOn w:val="1"/>
    <w:qFormat/>
    <w:uiPriority w:val="0"/>
    <w:pPr>
      <w:keepNext/>
      <w:keepLines/>
      <w:widowControl w:val="0"/>
      <w:adjustRightInd w:val="0"/>
      <w:snapToGrid w:val="0"/>
      <w:spacing w:beforeLines="50" w:afterLines="50" w:line="480" w:lineRule="exact"/>
      <w:jc w:val="both"/>
      <w:outlineLvl w:val="2"/>
    </w:pPr>
    <w:rPr>
      <w:rFonts w:ascii="Times New Roman" w:hAnsi="Times New Roman" w:eastAsia="黑体"/>
      <w:kern w:val="2"/>
      <w:sz w:val="28"/>
      <w:szCs w:val="20"/>
    </w:rPr>
  </w:style>
  <w:style w:type="paragraph" w:customStyle="1" w:styleId="2181">
    <w:name w:val="xl213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Times New Roman" w:hAnsi="Times New Roman" w:cs="Times New Roman"/>
      <w:b/>
      <w:bCs/>
      <w:sz w:val="21"/>
      <w:szCs w:val="21"/>
    </w:rPr>
  </w:style>
  <w:style w:type="paragraph" w:customStyle="1" w:styleId="2182">
    <w:name w:val="样式32"/>
    <w:basedOn w:val="1"/>
    <w:qFormat/>
    <w:uiPriority w:val="0"/>
    <w:pPr>
      <w:widowControl w:val="0"/>
      <w:adjustRightInd w:val="0"/>
      <w:snapToGrid w:val="0"/>
      <w:spacing w:line="480" w:lineRule="exact"/>
      <w:ind w:firstLine="1680" w:firstLineChars="600"/>
      <w:jc w:val="both"/>
    </w:pPr>
    <w:rPr>
      <w:rFonts w:ascii="Times New Roman" w:hAnsi="Times New Roman" w:cs="Times New Roman"/>
      <w:snapToGrid w:val="0"/>
      <w:sz w:val="28"/>
      <w:szCs w:val="28"/>
    </w:rPr>
  </w:style>
  <w:style w:type="paragraph" w:customStyle="1" w:styleId="2183">
    <w:name w:val="寄信人地址1"/>
    <w:basedOn w:val="1"/>
    <w:qFormat/>
    <w:uiPriority w:val="0"/>
    <w:pPr>
      <w:widowControl w:val="0"/>
      <w:snapToGrid w:val="0"/>
      <w:jc w:val="both"/>
    </w:pPr>
    <w:rPr>
      <w:rFonts w:ascii="Arial" w:hAnsi="Arial" w:cs="Arial"/>
      <w:kern w:val="2"/>
      <w:sz w:val="21"/>
      <w:szCs w:val="20"/>
    </w:rPr>
  </w:style>
  <w:style w:type="paragraph" w:customStyle="1" w:styleId="2184">
    <w:name w:val="框图"/>
    <w:basedOn w:val="1"/>
    <w:qFormat/>
    <w:uiPriority w:val="0"/>
    <w:pPr>
      <w:widowControl w:val="0"/>
      <w:jc w:val="center"/>
    </w:pPr>
    <w:rPr>
      <w:rFonts w:ascii="Times New Roman" w:hAnsi="Times New Roman" w:cs="Times New Roman"/>
      <w:kern w:val="2"/>
      <w:sz w:val="18"/>
    </w:rPr>
  </w:style>
  <w:style w:type="paragraph" w:customStyle="1" w:styleId="2185">
    <w:name w:val="正文文本缩进13"/>
    <w:basedOn w:val="1"/>
    <w:qFormat/>
    <w:uiPriority w:val="0"/>
    <w:pPr>
      <w:widowControl w:val="0"/>
      <w:adjustRightInd w:val="0"/>
      <w:spacing w:line="360" w:lineRule="atLeast"/>
      <w:ind w:left="280" w:firstLine="560"/>
      <w:textAlignment w:val="baseline"/>
    </w:pPr>
    <w:rPr>
      <w:rFonts w:ascii="Times New Roman" w:hAnsi="Times New Roman" w:cs="Times New Roman"/>
    </w:rPr>
  </w:style>
  <w:style w:type="paragraph" w:customStyle="1" w:styleId="2186">
    <w:name w:val="样式8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187">
    <w:name w:val="样式86"/>
    <w:basedOn w:val="1"/>
    <w:qFormat/>
    <w:uiPriority w:val="0"/>
    <w:pPr>
      <w:widowControl w:val="0"/>
      <w:adjustRightInd w:val="0"/>
      <w:snapToGrid w:val="0"/>
      <w:spacing w:line="480" w:lineRule="exact"/>
      <w:jc w:val="both"/>
    </w:pPr>
    <w:rPr>
      <w:rFonts w:ascii="Times New Roman" w:hAnsi="Times New Roman" w:cs="Times New Roman"/>
      <w:snapToGrid w:val="0"/>
      <w:color w:val="000000"/>
      <w:sz w:val="28"/>
      <w:szCs w:val="21"/>
    </w:rPr>
  </w:style>
  <w:style w:type="paragraph" w:customStyle="1" w:styleId="2188">
    <w:name w:val="批注主题1"/>
    <w:basedOn w:val="26"/>
    <w:next w:val="26"/>
    <w:qFormat/>
    <w:uiPriority w:val="0"/>
    <w:pPr>
      <w:widowControl w:val="0"/>
    </w:pPr>
    <w:rPr>
      <w:rFonts w:ascii="Times New Roman" w:hAnsi="Times New Roman"/>
      <w:b/>
      <w:bCs/>
      <w:kern w:val="2"/>
      <w:szCs w:val="20"/>
    </w:rPr>
  </w:style>
  <w:style w:type="paragraph" w:customStyle="1" w:styleId="2189">
    <w:name w:val="样式87"/>
    <w:basedOn w:val="2187"/>
    <w:qFormat/>
    <w:uiPriority w:val="0"/>
    <w:pPr>
      <w:ind w:firstLine="560" w:firstLineChars="200"/>
    </w:pPr>
    <w:rPr>
      <w:rFonts w:ascii="宋体" w:hAnsi="宋体" w:cs="宋体"/>
      <w:szCs w:val="28"/>
    </w:rPr>
  </w:style>
  <w:style w:type="paragraph" w:customStyle="1" w:styleId="2190">
    <w:name w:val="xl1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91">
    <w:name w:val="表格样式"/>
    <w:basedOn w:val="1"/>
    <w:qFormat/>
    <w:uiPriority w:val="0"/>
    <w:pPr>
      <w:widowControl w:val="0"/>
      <w:adjustRightInd w:val="0"/>
      <w:snapToGrid w:val="0"/>
      <w:spacing w:line="0" w:lineRule="atLeast"/>
      <w:jc w:val="center"/>
    </w:pPr>
    <w:rPr>
      <w:rFonts w:ascii="Times New Roman" w:hAnsi="Times New Roman" w:cs="Times New Roman"/>
      <w:kern w:val="2"/>
      <w:sz w:val="21"/>
    </w:rPr>
  </w:style>
  <w:style w:type="paragraph" w:customStyle="1" w:styleId="2192">
    <w:name w:val="xl1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193">
    <w:name w:val="xl306"/>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194">
    <w:name w:val="xl1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sz w:val="21"/>
      <w:szCs w:val="21"/>
    </w:rPr>
  </w:style>
  <w:style w:type="paragraph" w:customStyle="1" w:styleId="2195">
    <w:name w:val="xl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2"/>
      <w:szCs w:val="22"/>
    </w:rPr>
  </w:style>
  <w:style w:type="paragraph" w:customStyle="1" w:styleId="2196">
    <w:name w:val="样式 (符号) 宋体 右"/>
    <w:basedOn w:val="1"/>
    <w:qFormat/>
    <w:uiPriority w:val="0"/>
    <w:pPr>
      <w:widowControl w:val="0"/>
      <w:adjustRightInd w:val="0"/>
      <w:snapToGrid w:val="0"/>
      <w:spacing w:line="500" w:lineRule="exact"/>
      <w:ind w:firstLine="200" w:firstLineChars="200"/>
      <w:jc w:val="right"/>
    </w:pPr>
    <w:rPr>
      <w:rFonts w:ascii="Times New Roman"/>
      <w:sz w:val="28"/>
      <w:szCs w:val="20"/>
    </w:rPr>
  </w:style>
  <w:style w:type="paragraph" w:customStyle="1" w:styleId="2197">
    <w:name w:val="xl2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198">
    <w:name w:val="xl25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199">
    <w:name w:val="样式30"/>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rPr>
  </w:style>
  <w:style w:type="paragraph" w:customStyle="1" w:styleId="2200">
    <w:name w:val="普通(网站)2"/>
    <w:basedOn w:val="1"/>
    <w:qFormat/>
    <w:uiPriority w:val="0"/>
    <w:pPr>
      <w:spacing w:before="100" w:beforeAutospacing="1" w:after="100" w:afterAutospacing="1"/>
    </w:pPr>
  </w:style>
  <w:style w:type="paragraph" w:customStyle="1" w:styleId="2201">
    <w:name w:val="p16"/>
    <w:basedOn w:val="1"/>
    <w:qFormat/>
    <w:uiPriority w:val="0"/>
    <w:pPr>
      <w:spacing w:before="100" w:beforeAutospacing="1" w:after="100" w:afterAutospacing="1"/>
    </w:pPr>
  </w:style>
  <w:style w:type="paragraph" w:customStyle="1" w:styleId="2202">
    <w:name w:val="xl304"/>
    <w:basedOn w:val="1"/>
    <w:qFormat/>
    <w:uiPriority w:val="0"/>
    <w:pPr>
      <w:pBdr>
        <w:top w:val="single" w:color="auto" w:sz="4" w:space="0"/>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03">
    <w:name w:val="Char Char2 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2204">
    <w:name w:val="批注主题2"/>
    <w:basedOn w:val="26"/>
    <w:next w:val="26"/>
    <w:qFormat/>
    <w:uiPriority w:val="0"/>
    <w:pPr>
      <w:widowControl w:val="0"/>
      <w:adjustRightInd w:val="0"/>
      <w:snapToGrid w:val="0"/>
      <w:spacing w:line="480" w:lineRule="exact"/>
    </w:pPr>
    <w:rPr>
      <w:rFonts w:ascii="Times New Roman" w:hAnsi="Times New Roman"/>
      <w:b/>
      <w:bCs/>
      <w:kern w:val="2"/>
      <w:szCs w:val="24"/>
    </w:rPr>
  </w:style>
  <w:style w:type="paragraph" w:customStyle="1" w:styleId="2205">
    <w:name w:val="正文缩进5"/>
    <w:basedOn w:val="1"/>
    <w:qFormat/>
    <w:uiPriority w:val="0"/>
    <w:pPr>
      <w:spacing w:line="360" w:lineRule="exact"/>
      <w:ind w:firstLine="510"/>
    </w:pPr>
    <w:rPr>
      <w:szCs w:val="20"/>
    </w:rPr>
  </w:style>
  <w:style w:type="paragraph" w:customStyle="1" w:styleId="2206">
    <w:name w:val="样式41"/>
    <w:basedOn w:val="874"/>
    <w:qFormat/>
    <w:uiPriority w:val="0"/>
    <w:pPr>
      <w:adjustRightInd w:val="0"/>
      <w:spacing w:line="300" w:lineRule="exact"/>
      <w:ind w:left="-140" w:leftChars="-50" w:right="-140" w:rightChars="-50" w:firstLine="0"/>
    </w:pPr>
    <w:rPr>
      <w:rFonts w:hint="default" w:ascii="Times New Roman" w:hAnsi="Times New Roman" w:eastAsia="宋体"/>
      <w:color w:val="000000"/>
      <w:kern w:val="0"/>
      <w:szCs w:val="28"/>
    </w:rPr>
  </w:style>
  <w:style w:type="paragraph" w:customStyle="1" w:styleId="2207">
    <w:name w:val="xl1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08">
    <w:name w:val="正文－表格两端对齐"/>
    <w:basedOn w:val="1"/>
    <w:qFormat/>
    <w:uiPriority w:val="0"/>
    <w:pPr>
      <w:widowControl w:val="0"/>
      <w:adjustRightInd w:val="0"/>
      <w:snapToGrid w:val="0"/>
      <w:jc w:val="both"/>
    </w:pPr>
    <w:rPr>
      <w:rFonts w:ascii="Times New Roman" w:hAnsi="Times New Roman" w:cs="Times New Roman"/>
      <w:kern w:val="2"/>
      <w:sz w:val="21"/>
    </w:rPr>
  </w:style>
  <w:style w:type="paragraph" w:customStyle="1" w:styleId="2209">
    <w:name w:val="引文目录1"/>
    <w:basedOn w:val="1"/>
    <w:next w:val="1"/>
    <w:qFormat/>
    <w:uiPriority w:val="0"/>
    <w:pPr>
      <w:widowControl w:val="0"/>
      <w:spacing w:line="480" w:lineRule="exact"/>
      <w:ind w:left="420" w:leftChars="200"/>
      <w:jc w:val="both"/>
    </w:pPr>
    <w:rPr>
      <w:rFonts w:ascii="Times New Roman" w:hAnsi="Times New Roman" w:cs="Times New Roman"/>
      <w:kern w:val="2"/>
    </w:rPr>
  </w:style>
  <w:style w:type="paragraph" w:customStyle="1" w:styleId="2210">
    <w:name w:val="0L表"/>
    <w:basedOn w:val="1"/>
    <w:qFormat/>
    <w:uiPriority w:val="0"/>
    <w:pPr>
      <w:widowControl w:val="0"/>
      <w:adjustRightInd w:val="0"/>
      <w:spacing w:line="360" w:lineRule="auto"/>
      <w:jc w:val="center"/>
      <w:textAlignment w:val="baseline"/>
    </w:pPr>
    <w:rPr>
      <w:rFonts w:cs="Times New Roman"/>
    </w:rPr>
  </w:style>
  <w:style w:type="paragraph" w:customStyle="1" w:styleId="2211">
    <w:name w:val="正文（首行缩进两字）"/>
    <w:basedOn w:val="1"/>
    <w:qFormat/>
    <w:uiPriority w:val="0"/>
    <w:pPr>
      <w:widowControl w:val="0"/>
      <w:adjustRightInd w:val="0"/>
      <w:snapToGrid w:val="0"/>
      <w:spacing w:line="480" w:lineRule="atLeast"/>
      <w:ind w:firstLine="420"/>
      <w:jc w:val="both"/>
    </w:pPr>
    <w:rPr>
      <w:rFonts w:ascii="Times New Roman" w:hAnsi="Times New Roman" w:cs="Times New Roman"/>
      <w:kern w:val="2"/>
      <w:sz w:val="28"/>
      <w:szCs w:val="20"/>
    </w:rPr>
  </w:style>
  <w:style w:type="paragraph" w:customStyle="1" w:styleId="2212">
    <w:name w:val="1"/>
    <w:basedOn w:val="1"/>
    <w:next w:val="73"/>
    <w:qFormat/>
    <w:uiPriority w:val="0"/>
    <w:pPr>
      <w:spacing w:before="100" w:beforeAutospacing="1" w:after="100" w:afterAutospacing="1"/>
    </w:pPr>
    <w:rPr>
      <w:rFonts w:cs="Times New Roman"/>
    </w:rPr>
  </w:style>
  <w:style w:type="paragraph" w:customStyle="1" w:styleId="2213">
    <w:name w:val="xl1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14">
    <w:name w:val="签署页"/>
    <w:basedOn w:val="2155"/>
    <w:qFormat/>
    <w:uiPriority w:val="0"/>
    <w:pPr>
      <w:spacing w:line="900" w:lineRule="exact"/>
      <w:ind w:left="500" w:leftChars="500"/>
      <w:jc w:val="left"/>
    </w:pPr>
    <w:rPr>
      <w:rFonts w:eastAsia="黑体" w:cs="Times New Roman"/>
      <w:sz w:val="32"/>
    </w:rPr>
  </w:style>
  <w:style w:type="paragraph" w:customStyle="1" w:styleId="2215">
    <w:name w:val="寄信人地址11"/>
    <w:basedOn w:val="1"/>
    <w:qFormat/>
    <w:uiPriority w:val="0"/>
    <w:pPr>
      <w:widowControl w:val="0"/>
      <w:snapToGrid w:val="0"/>
      <w:jc w:val="both"/>
    </w:pPr>
    <w:rPr>
      <w:rFonts w:ascii="Arial" w:hAnsi="Arial" w:cs="Arial"/>
      <w:kern w:val="2"/>
      <w:sz w:val="21"/>
      <w:szCs w:val="20"/>
    </w:rPr>
  </w:style>
  <w:style w:type="paragraph" w:customStyle="1" w:styleId="2216">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color w:val="000000"/>
      <w:sz w:val="20"/>
      <w:szCs w:val="20"/>
    </w:rPr>
  </w:style>
  <w:style w:type="paragraph" w:customStyle="1" w:styleId="2217">
    <w:name w:val="样式82"/>
    <w:basedOn w:val="2218"/>
    <w:qFormat/>
    <w:uiPriority w:val="0"/>
    <w:pPr>
      <w:keepNext w:val="0"/>
      <w:keepLines w:val="0"/>
      <w:widowControl/>
      <w:spacing w:line="480" w:lineRule="exact"/>
      <w:ind w:firstLine="450" w:firstLineChars="150"/>
    </w:pPr>
    <w:rPr>
      <w:rFonts w:hAnsi="宋体"/>
      <w:color w:val="000000"/>
      <w:sz w:val="28"/>
      <w:szCs w:val="28"/>
    </w:rPr>
  </w:style>
  <w:style w:type="paragraph" w:customStyle="1" w:styleId="2218">
    <w:name w:val="标题3+"/>
    <w:basedOn w:val="6"/>
    <w:qFormat/>
    <w:uiPriority w:val="0"/>
    <w:pPr>
      <w:widowControl w:val="0"/>
      <w:adjustRightInd w:val="0"/>
      <w:snapToGrid w:val="0"/>
      <w:spacing w:before="120" w:after="120" w:line="600" w:lineRule="exact"/>
      <w:jc w:val="both"/>
    </w:pPr>
    <w:rPr>
      <w:bCs w:val="0"/>
      <w:snapToGrid w:val="0"/>
      <w:sz w:val="30"/>
    </w:rPr>
  </w:style>
  <w:style w:type="paragraph" w:customStyle="1" w:styleId="2219">
    <w:name w:val="引文目录标题1"/>
    <w:basedOn w:val="1"/>
    <w:next w:val="1"/>
    <w:qFormat/>
    <w:uiPriority w:val="0"/>
    <w:pPr>
      <w:widowControl w:val="0"/>
      <w:spacing w:before="120" w:line="480" w:lineRule="exact"/>
      <w:jc w:val="both"/>
    </w:pPr>
    <w:rPr>
      <w:rFonts w:ascii="Arial" w:hAnsi="Arial" w:cs="Arial"/>
      <w:kern w:val="2"/>
    </w:rPr>
  </w:style>
  <w:style w:type="paragraph" w:customStyle="1" w:styleId="2220">
    <w:name w:val="xl158"/>
    <w:basedOn w:val="1"/>
    <w:qFormat/>
    <w:uiPriority w:val="0"/>
    <w:pPr>
      <w:spacing w:before="100" w:beforeAutospacing="1" w:after="100" w:afterAutospacing="1"/>
    </w:pPr>
    <w:rPr>
      <w:color w:val="000000"/>
      <w:sz w:val="20"/>
      <w:szCs w:val="20"/>
    </w:rPr>
  </w:style>
  <w:style w:type="paragraph" w:customStyle="1" w:styleId="2221">
    <w:name w:val="样式57"/>
    <w:basedOn w:val="2222"/>
    <w:qFormat/>
    <w:uiPriority w:val="0"/>
    <w:pPr>
      <w:spacing w:line="500" w:lineRule="exact"/>
      <w:ind w:firstLine="560"/>
    </w:pPr>
    <w:rPr>
      <w:b w:val="0"/>
    </w:rPr>
  </w:style>
  <w:style w:type="paragraph" w:customStyle="1" w:styleId="2222">
    <w:name w:val="样式55"/>
    <w:basedOn w:val="5"/>
    <w:qFormat/>
    <w:uiPriority w:val="0"/>
    <w:pPr>
      <w:widowControl w:val="0"/>
      <w:spacing w:line="360" w:lineRule="auto"/>
      <w:ind w:firstLine="562" w:firstLineChars="200"/>
      <w:jc w:val="both"/>
    </w:pPr>
    <w:rPr>
      <w:rFonts w:ascii="宋体" w:hAnsi="宋体"/>
      <w:b/>
      <w:kern w:val="2"/>
      <w:szCs w:val="28"/>
    </w:rPr>
  </w:style>
  <w:style w:type="paragraph" w:customStyle="1" w:styleId="2223">
    <w:name w:val="宏文本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paragraph" w:customStyle="1" w:styleId="2224">
    <w:name w:val="正文6"/>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225">
    <w:name w:val="xl260"/>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226">
    <w:name w:val="Char Char1 Char Char Char Char Char Char Char Char Char Char Char Char Char Char Char Char Char Char"/>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227">
    <w:name w:val="项目号"/>
    <w:basedOn w:val="1"/>
    <w:qFormat/>
    <w:uiPriority w:val="0"/>
    <w:pPr>
      <w:widowControl w:val="0"/>
      <w:spacing w:afterLines="50" w:line="480" w:lineRule="exact"/>
      <w:ind w:firstLine="560" w:firstLineChars="200"/>
      <w:jc w:val="both"/>
    </w:pPr>
    <w:rPr>
      <w:rFonts w:cs="Times New Roman"/>
      <w:sz w:val="28"/>
      <w:szCs w:val="28"/>
    </w:rPr>
  </w:style>
  <w:style w:type="paragraph" w:customStyle="1" w:styleId="2228">
    <w:name w:val="样式80"/>
    <w:basedOn w:val="1176"/>
    <w:qFormat/>
    <w:uiPriority w:val="0"/>
    <w:pPr>
      <w:adjustRightInd w:val="0"/>
      <w:spacing w:line="480" w:lineRule="exact"/>
      <w:ind w:firstLine="420"/>
      <w:jc w:val="center"/>
      <w:textAlignment w:val="baseline"/>
    </w:pPr>
    <w:rPr>
      <w:rFonts w:ascii="Times New Roman" w:hAnsi="Times New Roman" w:eastAsia="宋体" w:cs="Times New Roman"/>
      <w:snapToGrid w:val="0"/>
      <w:color w:val="000000"/>
      <w:kern w:val="0"/>
      <w:sz w:val="21"/>
      <w:szCs w:val="21"/>
    </w:rPr>
  </w:style>
  <w:style w:type="paragraph" w:customStyle="1" w:styleId="2229">
    <w:name w:val="样式 非加粗 行距: 固定值 22 磅"/>
    <w:basedOn w:val="1"/>
    <w:qFormat/>
    <w:uiPriority w:val="0"/>
    <w:pPr>
      <w:widowControl w:val="0"/>
      <w:spacing w:line="360" w:lineRule="auto"/>
      <w:ind w:firstLine="544" w:firstLineChars="200"/>
      <w:jc w:val="both"/>
    </w:pPr>
    <w:rPr>
      <w:rFonts w:cs="Times New Roman"/>
      <w:color w:val="000000"/>
      <w:spacing w:val="-4"/>
      <w:kern w:val="2"/>
      <w:sz w:val="28"/>
      <w:szCs w:val="28"/>
    </w:rPr>
  </w:style>
  <w:style w:type="paragraph" w:customStyle="1" w:styleId="2230">
    <w:name w:val="参考文献、索引标题"/>
    <w:basedOn w:val="1"/>
    <w:next w:val="1"/>
    <w:qFormat/>
    <w:uiPriority w:val="0"/>
    <w:pPr>
      <w:shd w:val="clear" w:color="FFFFFF" w:fill="FFFFFF"/>
      <w:spacing w:before="640" w:after="200"/>
      <w:jc w:val="center"/>
      <w:outlineLvl w:val="0"/>
    </w:pPr>
    <w:rPr>
      <w:rFonts w:ascii="黑体" w:hAnsi="Times New Roman" w:eastAsia="黑体" w:cs="Times New Roman"/>
      <w:sz w:val="21"/>
      <w:szCs w:val="20"/>
    </w:rPr>
  </w:style>
  <w:style w:type="paragraph" w:customStyle="1" w:styleId="2231">
    <w:name w:val="Char1 Char Char Char3"/>
    <w:basedOn w:val="1"/>
    <w:qFormat/>
    <w:uiPriority w:val="0"/>
    <w:pPr>
      <w:widowControl w:val="0"/>
      <w:jc w:val="both"/>
    </w:pPr>
    <w:rPr>
      <w:rFonts w:ascii="Times New Roman" w:hAnsi="Times New Roman" w:cs="Times New Roman"/>
      <w:kern w:val="2"/>
      <w:sz w:val="21"/>
    </w:rPr>
  </w:style>
  <w:style w:type="paragraph" w:customStyle="1" w:styleId="2232">
    <w:name w:val="xl311"/>
    <w:basedOn w:val="1"/>
    <w:qFormat/>
    <w:uiPriority w:val="0"/>
    <w:pPr>
      <w:pBdr>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33">
    <w:name w:val="样式 样式 (符号) 宋体 右 + 首行缩进:  2 字符"/>
    <w:basedOn w:val="2196"/>
    <w:qFormat/>
    <w:uiPriority w:val="0"/>
    <w:pPr>
      <w:ind w:firstLine="560"/>
      <w:jc w:val="both"/>
    </w:pPr>
  </w:style>
  <w:style w:type="paragraph" w:customStyle="1" w:styleId="2234">
    <w:name w:val="样式81"/>
    <w:basedOn w:val="1176"/>
    <w:qFormat/>
    <w:uiPriority w:val="0"/>
    <w:pPr>
      <w:adjustRightInd w:val="0"/>
      <w:spacing w:line="480" w:lineRule="exact"/>
      <w:ind w:firstLine="560"/>
      <w:textAlignment w:val="baseline"/>
    </w:pPr>
    <w:rPr>
      <w:rFonts w:ascii="Times New Roman" w:hAnsi="Times New Roman" w:eastAsia="宋体" w:cs="Times New Roman"/>
      <w:snapToGrid w:val="0"/>
      <w:color w:val="000000"/>
      <w:kern w:val="0"/>
      <w:sz w:val="28"/>
    </w:rPr>
  </w:style>
  <w:style w:type="paragraph" w:customStyle="1" w:styleId="2235">
    <w:name w:val="_Style 77"/>
    <w:basedOn w:val="1"/>
    <w:qFormat/>
    <w:uiPriority w:val="0"/>
    <w:pPr>
      <w:widowControl w:val="0"/>
      <w:jc w:val="both"/>
    </w:pPr>
    <w:rPr>
      <w:rFonts w:ascii="Times New Roman" w:hAnsi="Times New Roman" w:cs="Times New Roman"/>
      <w:kern w:val="2"/>
      <w:sz w:val="21"/>
    </w:rPr>
  </w:style>
  <w:style w:type="paragraph" w:customStyle="1" w:styleId="2236">
    <w:name w:val="索引 51"/>
    <w:basedOn w:val="1"/>
    <w:next w:val="1"/>
    <w:qFormat/>
    <w:uiPriority w:val="0"/>
    <w:pPr>
      <w:widowControl w:val="0"/>
      <w:spacing w:line="480" w:lineRule="exact"/>
      <w:ind w:left="800" w:leftChars="800"/>
      <w:jc w:val="both"/>
    </w:pPr>
    <w:rPr>
      <w:rFonts w:ascii="Times New Roman" w:hAnsi="Times New Roman" w:cs="Times New Roman"/>
      <w:kern w:val="2"/>
    </w:rPr>
  </w:style>
  <w:style w:type="paragraph" w:customStyle="1" w:styleId="2237">
    <w:name w:val="索引 21"/>
    <w:basedOn w:val="1"/>
    <w:next w:val="1"/>
    <w:qFormat/>
    <w:uiPriority w:val="0"/>
    <w:pPr>
      <w:widowControl w:val="0"/>
      <w:spacing w:line="480" w:lineRule="exact"/>
      <w:ind w:left="200" w:leftChars="200"/>
      <w:jc w:val="both"/>
    </w:pPr>
    <w:rPr>
      <w:rFonts w:ascii="Times New Roman" w:hAnsi="Times New Roman" w:cs="Times New Roman"/>
      <w:kern w:val="2"/>
    </w:rPr>
  </w:style>
  <w:style w:type="paragraph" w:customStyle="1" w:styleId="2238">
    <w:name w:val="xl25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239">
    <w:name w:val="表格内的文字"/>
    <w:basedOn w:val="1176"/>
    <w:qFormat/>
    <w:uiPriority w:val="0"/>
    <w:pPr>
      <w:adjustRightInd w:val="0"/>
      <w:spacing w:line="360" w:lineRule="exact"/>
      <w:ind w:firstLine="0" w:firstLineChars="0"/>
      <w:jc w:val="center"/>
      <w:textAlignment w:val="baseline"/>
    </w:pPr>
    <w:rPr>
      <w:rFonts w:ascii="Times New Roman" w:hAnsi="Times New Roman" w:eastAsia="宋体" w:cs="Times New Roman"/>
      <w:kern w:val="0"/>
      <w:sz w:val="21"/>
      <w:szCs w:val="21"/>
    </w:rPr>
  </w:style>
  <w:style w:type="paragraph" w:customStyle="1" w:styleId="2240">
    <w:name w:val="样式 标题 2 + (符号) 宋体 四号 两端对齐 段前: 10 磅 段后: 10 磅"/>
    <w:basedOn w:val="4"/>
    <w:qFormat/>
    <w:uiPriority w:val="0"/>
    <w:pPr>
      <w:keepLines w:val="0"/>
      <w:widowControl w:val="0"/>
      <w:adjustRightInd w:val="0"/>
      <w:snapToGrid w:val="0"/>
      <w:spacing w:before="200" w:after="200" w:line="600" w:lineRule="exact"/>
      <w:jc w:val="both"/>
    </w:pPr>
    <w:rPr>
      <w:rFonts w:ascii="Times New Roman" w:hAnsi="宋体" w:cs="宋体"/>
      <w:b/>
      <w:kern w:val="2"/>
      <w:sz w:val="30"/>
      <w:szCs w:val="20"/>
    </w:rPr>
  </w:style>
  <w:style w:type="paragraph" w:customStyle="1" w:styleId="2241">
    <w:name w:val="xl2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42">
    <w:name w:val="reader-word-layer reader-word-s4-3"/>
    <w:basedOn w:val="1"/>
    <w:qFormat/>
    <w:uiPriority w:val="0"/>
    <w:pPr>
      <w:spacing w:before="100" w:beforeAutospacing="1" w:after="100" w:afterAutospacing="1"/>
    </w:pPr>
  </w:style>
  <w:style w:type="paragraph" w:customStyle="1" w:styleId="2243">
    <w:name w:val="xl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244">
    <w:name w:val="文档结构图2"/>
    <w:basedOn w:val="1"/>
    <w:qFormat/>
    <w:uiPriority w:val="0"/>
    <w:pPr>
      <w:widowControl w:val="0"/>
      <w:jc w:val="both"/>
    </w:pPr>
    <w:rPr>
      <w:rFonts w:hAnsi="Times New Roman" w:cs="Times New Roman"/>
      <w:kern w:val="2"/>
      <w:sz w:val="18"/>
      <w:szCs w:val="18"/>
    </w:rPr>
  </w:style>
  <w:style w:type="paragraph" w:customStyle="1" w:styleId="2245">
    <w:name w:val="xl2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246">
    <w:name w:val="xl291"/>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247">
    <w:name w:val="xl2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248">
    <w:name w:val="xl284"/>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49">
    <w:name w:val="目录目次"/>
    <w:basedOn w:val="2214"/>
    <w:qFormat/>
    <w:uiPriority w:val="0"/>
    <w:pPr>
      <w:spacing w:beforeLines="100" w:afterLines="100" w:line="480" w:lineRule="exact"/>
      <w:ind w:left="0" w:leftChars="0"/>
      <w:jc w:val="center"/>
    </w:pPr>
  </w:style>
  <w:style w:type="paragraph" w:customStyle="1" w:styleId="2250">
    <w:name w:val="时间"/>
    <w:qFormat/>
    <w:uiPriority w:val="0"/>
    <w:pPr>
      <w:spacing w:before="240" w:line="480" w:lineRule="exact"/>
      <w:jc w:val="center"/>
    </w:pPr>
    <w:rPr>
      <w:rFonts w:ascii="Times New Roman" w:hAnsi="Times New Roman" w:eastAsia="楷体_GB2312" w:cs="Arial"/>
      <w:bCs/>
      <w:kern w:val="2"/>
      <w:sz w:val="36"/>
      <w:szCs w:val="36"/>
      <w:lang w:val="en-US" w:eastAsia="zh-CN" w:bidi="ar-SA"/>
    </w:rPr>
  </w:style>
  <w:style w:type="paragraph" w:customStyle="1" w:styleId="2251">
    <w:name w:val="样式29"/>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szCs w:val="28"/>
    </w:rPr>
  </w:style>
  <w:style w:type="paragraph" w:customStyle="1" w:styleId="2252">
    <w:name w:val="xl213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style>
  <w:style w:type="paragraph" w:customStyle="1" w:styleId="2253">
    <w:name w:val="正文文本 24"/>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254">
    <w:name w:val="正文－首行缩进2字符"/>
    <w:basedOn w:val="1"/>
    <w:qFormat/>
    <w:uiPriority w:val="0"/>
    <w:pPr>
      <w:widowControl w:val="0"/>
      <w:adjustRightInd w:val="0"/>
      <w:snapToGrid w:val="0"/>
      <w:spacing w:line="480" w:lineRule="exact"/>
      <w:ind w:firstLine="560" w:firstLineChars="200"/>
      <w:jc w:val="both"/>
    </w:pPr>
    <w:rPr>
      <w:rFonts w:ascii="Times New Roman" w:hAnsi="Times New Roman" w:cs="Times New Roman"/>
      <w:kern w:val="2"/>
    </w:rPr>
  </w:style>
  <w:style w:type="paragraph" w:customStyle="1" w:styleId="2255">
    <w:name w:val="签署及档案号"/>
    <w:basedOn w:val="1"/>
    <w:next w:val="1"/>
    <w:qFormat/>
    <w:uiPriority w:val="0"/>
    <w:pPr>
      <w:widowControl w:val="0"/>
      <w:adjustRightInd w:val="0"/>
      <w:snapToGrid w:val="0"/>
      <w:spacing w:line="480" w:lineRule="exact"/>
      <w:jc w:val="center"/>
    </w:pPr>
    <w:rPr>
      <w:rFonts w:ascii="Times New Roman" w:hAnsi="Times New Roman" w:cs="Times New Roman"/>
      <w:sz w:val="21"/>
      <w:szCs w:val="21"/>
    </w:rPr>
  </w:style>
  <w:style w:type="paragraph" w:customStyle="1" w:styleId="2256">
    <w:name w:val="xl214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rPr>
  </w:style>
  <w:style w:type="paragraph" w:customStyle="1" w:styleId="2257">
    <w:name w:val="Char Char Char Char Char Char Char Char2"/>
    <w:basedOn w:val="1"/>
    <w:qFormat/>
    <w:uiPriority w:val="0"/>
    <w:pPr>
      <w:spacing w:after="160" w:line="240" w:lineRule="exact"/>
    </w:pPr>
    <w:rPr>
      <w:rFonts w:ascii="Verdana" w:hAnsi="Verdana" w:cs="Times New Roman"/>
      <w:sz w:val="20"/>
      <w:szCs w:val="20"/>
      <w:lang w:eastAsia="en-US"/>
    </w:rPr>
  </w:style>
  <w:style w:type="paragraph" w:customStyle="1" w:styleId="2258">
    <w:name w:val="文本块1"/>
    <w:basedOn w:val="1"/>
    <w:qFormat/>
    <w:uiPriority w:val="0"/>
    <w:pPr>
      <w:widowControl w:val="0"/>
      <w:ind w:left="144" w:right="90" w:firstLine="645"/>
      <w:jc w:val="both"/>
    </w:pPr>
    <w:rPr>
      <w:rFonts w:ascii="Times New Roman" w:hAnsi="Times New Roman" w:eastAsia="楷体_GB2312" w:cs="Times New Roman"/>
      <w:kern w:val="2"/>
      <w:szCs w:val="20"/>
    </w:rPr>
  </w:style>
  <w:style w:type="paragraph" w:customStyle="1" w:styleId="2259">
    <w:name w:val="xl309"/>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60">
    <w:name w:val="样式26"/>
    <w:basedOn w:val="1"/>
    <w:qFormat/>
    <w:uiPriority w:val="0"/>
    <w:pPr>
      <w:widowControl w:val="0"/>
      <w:adjustRightInd w:val="0"/>
      <w:snapToGrid w:val="0"/>
      <w:spacing w:line="480" w:lineRule="exact"/>
      <w:ind w:firstLine="700" w:firstLineChars="250"/>
      <w:jc w:val="both"/>
    </w:pPr>
    <w:rPr>
      <w:rFonts w:ascii="Times New Roman" w:hAnsi="Times New Roman" w:cs="Times New Roman"/>
      <w:snapToGrid w:val="0"/>
      <w:sz w:val="28"/>
      <w:szCs w:val="28"/>
    </w:rPr>
  </w:style>
  <w:style w:type="paragraph" w:customStyle="1" w:styleId="2261">
    <w:name w:val="样式78"/>
    <w:basedOn w:val="1"/>
    <w:qFormat/>
    <w:uiPriority w:val="0"/>
    <w:pPr>
      <w:widowControl w:val="0"/>
      <w:adjustRightInd w:val="0"/>
      <w:snapToGrid w:val="0"/>
      <w:spacing w:line="500" w:lineRule="exact"/>
      <w:ind w:firstLine="480" w:firstLineChars="200"/>
      <w:jc w:val="both"/>
    </w:pPr>
    <w:rPr>
      <w:rFonts w:ascii="Times New Roman" w:hAnsi="Times New Roman" w:cs="Times New Roman"/>
      <w:snapToGrid w:val="0"/>
    </w:rPr>
  </w:style>
  <w:style w:type="paragraph" w:customStyle="1" w:styleId="2262">
    <w:name w:val="列表 21"/>
    <w:basedOn w:val="1"/>
    <w:qFormat/>
    <w:uiPriority w:val="0"/>
    <w:pPr>
      <w:widowControl w:val="0"/>
      <w:spacing w:line="480" w:lineRule="exact"/>
      <w:ind w:left="840" w:hanging="420"/>
      <w:jc w:val="both"/>
    </w:pPr>
    <w:rPr>
      <w:rFonts w:ascii="Times New Roman" w:hAnsi="Times New Roman" w:cs="Times New Roman"/>
      <w:kern w:val="2"/>
      <w:szCs w:val="20"/>
    </w:rPr>
  </w:style>
  <w:style w:type="paragraph" w:customStyle="1" w:styleId="2263">
    <w:name w:val="lxb正文 Char Char Char"/>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264">
    <w:name w:val="样式54"/>
    <w:basedOn w:val="1"/>
    <w:qFormat/>
    <w:uiPriority w:val="0"/>
    <w:pPr>
      <w:widowControl w:val="0"/>
      <w:adjustRightInd w:val="0"/>
      <w:snapToGrid w:val="0"/>
      <w:spacing w:line="480" w:lineRule="exact"/>
      <w:ind w:firstLine="538" w:firstLineChars="192"/>
      <w:jc w:val="both"/>
    </w:pPr>
    <w:rPr>
      <w:rFonts w:ascii="Times New Roman" w:hAnsi="Times New Roman" w:cs="Times New Roman"/>
      <w:snapToGrid w:val="0"/>
      <w:sz w:val="28"/>
    </w:rPr>
  </w:style>
  <w:style w:type="paragraph" w:customStyle="1" w:styleId="2265">
    <w:name w:val="索引 41"/>
    <w:basedOn w:val="1"/>
    <w:next w:val="1"/>
    <w:qFormat/>
    <w:uiPriority w:val="0"/>
    <w:pPr>
      <w:widowControl w:val="0"/>
      <w:spacing w:line="480" w:lineRule="exact"/>
      <w:ind w:left="600" w:leftChars="600"/>
      <w:jc w:val="both"/>
    </w:pPr>
    <w:rPr>
      <w:rFonts w:ascii="Times New Roman" w:hAnsi="Times New Roman" w:cs="Times New Roman"/>
      <w:kern w:val="2"/>
    </w:rPr>
  </w:style>
  <w:style w:type="paragraph" w:customStyle="1" w:styleId="2266">
    <w:name w:val="Знак Знак1"/>
    <w:basedOn w:val="1"/>
    <w:qFormat/>
    <w:uiPriority w:val="0"/>
    <w:pPr>
      <w:widowControl w:val="0"/>
      <w:jc w:val="both"/>
    </w:pPr>
    <w:rPr>
      <w:rFonts w:ascii="Times New Roman" w:hAnsi="Times New Roman" w:cs="Times New Roman"/>
      <w:kern w:val="2"/>
      <w:sz w:val="21"/>
    </w:rPr>
  </w:style>
  <w:style w:type="paragraph" w:customStyle="1" w:styleId="2267">
    <w:name w:val="表中正文"/>
    <w:basedOn w:val="1"/>
    <w:qFormat/>
    <w:uiPriority w:val="0"/>
    <w:pPr>
      <w:widowControl w:val="0"/>
      <w:spacing w:before="60" w:after="60" w:line="240" w:lineRule="exact"/>
      <w:jc w:val="center"/>
    </w:pPr>
    <w:rPr>
      <w:rFonts w:cs="Times New Roman"/>
      <w:spacing w:val="-8"/>
      <w:kern w:val="2"/>
      <w:sz w:val="21"/>
    </w:rPr>
  </w:style>
  <w:style w:type="paragraph" w:customStyle="1" w:styleId="2268">
    <w:name w:val="正文文本 241"/>
    <w:basedOn w:val="1"/>
    <w:qFormat/>
    <w:uiPriority w:val="0"/>
    <w:pPr>
      <w:widowControl w:val="0"/>
      <w:adjustRightInd w:val="0"/>
      <w:jc w:val="center"/>
      <w:textAlignment w:val="baseline"/>
    </w:pPr>
    <w:rPr>
      <w:rFonts w:ascii="Arial" w:hAnsi="Arial" w:cs="Times New Roman"/>
      <w:kern w:val="2"/>
      <w:sz w:val="21"/>
      <w:szCs w:val="20"/>
    </w:rPr>
  </w:style>
  <w:style w:type="paragraph" w:customStyle="1" w:styleId="2269">
    <w:name w:val="lsw表格文字"/>
    <w:basedOn w:val="1"/>
    <w:qFormat/>
    <w:uiPriority w:val="0"/>
    <w:pPr>
      <w:widowControl w:val="0"/>
      <w:spacing w:line="320" w:lineRule="exact"/>
      <w:ind w:left="-10" w:leftChars="-32" w:hanging="67" w:hangingChars="32"/>
      <w:jc w:val="center"/>
    </w:pPr>
    <w:rPr>
      <w:rFonts w:ascii="Times New Roman" w:hAnsi="Times New Roman" w:cs="Times New Roman"/>
      <w:kern w:val="2"/>
      <w:sz w:val="21"/>
    </w:rPr>
  </w:style>
  <w:style w:type="paragraph" w:customStyle="1" w:styleId="2270">
    <w:name w:val="正文缩进4"/>
    <w:basedOn w:val="1"/>
    <w:qFormat/>
    <w:uiPriority w:val="0"/>
    <w:pPr>
      <w:widowControl w:val="0"/>
      <w:adjustRightInd w:val="0"/>
      <w:ind w:firstLine="420"/>
      <w:jc w:val="both"/>
      <w:textAlignment w:val="baseline"/>
    </w:pPr>
    <w:rPr>
      <w:rFonts w:ascii="Times New Roman" w:hAnsi="Times New Roman" w:cs="Times New Roman"/>
      <w:kern w:val="2"/>
      <w:szCs w:val="20"/>
    </w:rPr>
  </w:style>
  <w:style w:type="paragraph" w:customStyle="1" w:styleId="2271">
    <w:name w:val="索引 52"/>
    <w:basedOn w:val="1"/>
    <w:next w:val="1"/>
    <w:qFormat/>
    <w:uiPriority w:val="0"/>
    <w:pPr>
      <w:widowControl w:val="0"/>
      <w:spacing w:line="480" w:lineRule="exact"/>
      <w:ind w:left="800" w:leftChars="800"/>
      <w:jc w:val="both"/>
    </w:pPr>
    <w:rPr>
      <w:rFonts w:ascii="Times New Roman" w:hAnsi="Times New Roman" w:cs="Times New Roman"/>
      <w:kern w:val="2"/>
    </w:rPr>
  </w:style>
  <w:style w:type="paragraph" w:customStyle="1" w:styleId="2272">
    <w:name w:val="默认段落字体 Para Char Char Char1 Char Char Char Char"/>
    <w:basedOn w:val="1"/>
    <w:qFormat/>
    <w:uiPriority w:val="0"/>
    <w:pPr>
      <w:widowControl w:val="0"/>
      <w:spacing w:line="360" w:lineRule="auto"/>
      <w:jc w:val="both"/>
    </w:pPr>
    <w:rPr>
      <w:rFonts w:hAnsi="Times New Roman" w:eastAsia="方正仿宋简体" w:cs="Times New Roman"/>
      <w:color w:val="000000"/>
      <w:kern w:val="2"/>
      <w:szCs w:val="32"/>
    </w:rPr>
  </w:style>
  <w:style w:type="paragraph" w:customStyle="1" w:styleId="2273">
    <w:name w:val="小表格"/>
    <w:basedOn w:val="1"/>
    <w:qFormat/>
    <w:uiPriority w:val="0"/>
    <w:pPr>
      <w:widowControl w:val="0"/>
      <w:jc w:val="center"/>
    </w:pPr>
    <w:rPr>
      <w:rFonts w:cs="Times New Roman"/>
      <w:kern w:val="2"/>
      <w:sz w:val="18"/>
      <w:szCs w:val="20"/>
    </w:rPr>
  </w:style>
  <w:style w:type="paragraph" w:customStyle="1" w:styleId="2274">
    <w:name w:val="样式56"/>
    <w:basedOn w:val="2222"/>
    <w:qFormat/>
    <w:uiPriority w:val="0"/>
    <w:pPr>
      <w:spacing w:line="500" w:lineRule="exact"/>
      <w:ind w:firstLine="560"/>
    </w:pPr>
    <w:rPr>
      <w:b w:val="0"/>
    </w:rPr>
  </w:style>
  <w:style w:type="paragraph" w:customStyle="1" w:styleId="2275">
    <w:name w:val="正文表格头"/>
    <w:basedOn w:val="1"/>
    <w:qFormat/>
    <w:uiPriority w:val="0"/>
    <w:pPr>
      <w:widowControl w:val="0"/>
      <w:jc w:val="center"/>
    </w:pPr>
    <w:rPr>
      <w:rFonts w:ascii="Times New Roman" w:hAnsi="Times New Roman" w:eastAsia="黑体" w:cs="Times New Roman"/>
      <w:kern w:val="2"/>
      <w:sz w:val="28"/>
    </w:rPr>
  </w:style>
  <w:style w:type="paragraph" w:customStyle="1" w:styleId="2276">
    <w:name w:val="样式75"/>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color w:val="000000"/>
      <w:sz w:val="28"/>
      <w:szCs w:val="21"/>
    </w:rPr>
  </w:style>
  <w:style w:type="paragraph" w:customStyle="1" w:styleId="2277">
    <w:name w:val="样式17"/>
    <w:basedOn w:val="1"/>
    <w:qFormat/>
    <w:uiPriority w:val="0"/>
    <w:pPr>
      <w:widowControl w:val="0"/>
      <w:tabs>
        <w:tab w:val="left" w:pos="0"/>
      </w:tabs>
      <w:adjustRightInd w:val="0"/>
      <w:snapToGrid w:val="0"/>
      <w:spacing w:line="500" w:lineRule="exact"/>
      <w:ind w:firstLine="560" w:firstLineChars="200"/>
      <w:jc w:val="center"/>
    </w:pPr>
    <w:rPr>
      <w:rFonts w:ascii="Times New Roman" w:hAnsi="Times New Roman" w:eastAsia="黑体" w:cs="Times New Roman"/>
      <w:snapToGrid w:val="0"/>
      <w:sz w:val="28"/>
      <w:szCs w:val="28"/>
    </w:rPr>
  </w:style>
  <w:style w:type="paragraph" w:customStyle="1" w:styleId="2278">
    <w:name w:val="报告标3"/>
    <w:basedOn w:val="1"/>
    <w:qFormat/>
    <w:uiPriority w:val="0"/>
    <w:pPr>
      <w:widowControl w:val="0"/>
      <w:adjustRightInd w:val="0"/>
      <w:snapToGrid w:val="0"/>
      <w:spacing w:line="300" w:lineRule="auto"/>
      <w:jc w:val="both"/>
    </w:pPr>
    <w:rPr>
      <w:rFonts w:hAnsi="Times New Roman" w:cs="Times New Roman"/>
      <w:kern w:val="2"/>
      <w:szCs w:val="20"/>
    </w:rPr>
  </w:style>
  <w:style w:type="paragraph" w:customStyle="1" w:styleId="2279">
    <w:name w:val="样式 标题 6 + 首行缩进:  2 字符"/>
    <w:basedOn w:val="9"/>
    <w:qFormat/>
    <w:uiPriority w:val="0"/>
    <w:pPr>
      <w:keepLines/>
      <w:tabs>
        <w:tab w:val="left" w:pos="1372"/>
        <w:tab w:val="clear" w:pos="360"/>
      </w:tabs>
      <w:adjustRightInd w:val="0"/>
      <w:snapToGrid w:val="0"/>
      <w:spacing w:beforeLines="50" w:line="460" w:lineRule="exact"/>
      <w:ind w:left="0" w:firstLine="200" w:firstLineChars="200"/>
    </w:pPr>
    <w:rPr>
      <w:rFonts w:cs="宋体"/>
      <w:sz w:val="28"/>
      <w:lang w:val="zh-CN"/>
    </w:rPr>
  </w:style>
  <w:style w:type="paragraph" w:customStyle="1" w:styleId="2280">
    <w:name w:val="样式2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281">
    <w:name w:val="Char Char Char Char Char Char Char Char Char Char Char Char Char"/>
    <w:basedOn w:val="1"/>
    <w:qFormat/>
    <w:uiPriority w:val="0"/>
    <w:pPr>
      <w:widowControl w:val="0"/>
      <w:adjustRightInd w:val="0"/>
      <w:spacing w:line="360" w:lineRule="auto"/>
      <w:jc w:val="both"/>
    </w:pPr>
    <w:rPr>
      <w:rFonts w:ascii="Times New Roman" w:hAnsi="Times New Roman" w:cs="Times New Roman"/>
    </w:rPr>
  </w:style>
  <w:style w:type="paragraph" w:customStyle="1" w:styleId="2282">
    <w:name w:val="样式91"/>
    <w:basedOn w:val="1"/>
    <w:qFormat/>
    <w:uiPriority w:val="0"/>
    <w:pPr>
      <w:widowControl w:val="0"/>
      <w:adjustRightInd w:val="0"/>
      <w:snapToGrid w:val="0"/>
      <w:spacing w:line="480" w:lineRule="exact"/>
      <w:ind w:left="-77" w:firstLine="560" w:firstLineChars="200"/>
      <w:jc w:val="both"/>
    </w:pPr>
    <w:rPr>
      <w:rFonts w:ascii="Times New Roman" w:hAnsi="Times New Roman" w:cs="Times New Roman"/>
      <w:snapToGrid w:val="0"/>
      <w:color w:val="FF0000"/>
      <w:sz w:val="28"/>
      <w:szCs w:val="28"/>
    </w:rPr>
  </w:style>
  <w:style w:type="paragraph" w:customStyle="1" w:styleId="2283">
    <w:name w:val="样式77"/>
    <w:basedOn w:val="2284"/>
    <w:qFormat/>
    <w:uiPriority w:val="0"/>
    <w:pPr>
      <w:spacing w:line="320" w:lineRule="exact"/>
      <w:ind w:firstLine="0" w:firstLineChars="0"/>
      <w:jc w:val="left"/>
    </w:pPr>
    <w:rPr>
      <w:rFonts w:hAnsi="宋体"/>
      <w:sz w:val="21"/>
      <w:szCs w:val="21"/>
    </w:rPr>
  </w:style>
  <w:style w:type="paragraph" w:customStyle="1" w:styleId="2284">
    <w:name w:val="样式47"/>
    <w:basedOn w:val="2156"/>
    <w:qFormat/>
    <w:uiPriority w:val="0"/>
  </w:style>
  <w:style w:type="paragraph" w:customStyle="1" w:styleId="2285">
    <w:name w:val="流程图"/>
    <w:basedOn w:val="1"/>
    <w:qFormat/>
    <w:uiPriority w:val="0"/>
    <w:pPr>
      <w:widowControl w:val="0"/>
      <w:tabs>
        <w:tab w:val="left" w:pos="0"/>
      </w:tabs>
      <w:autoSpaceDE w:val="0"/>
      <w:autoSpaceDN w:val="0"/>
      <w:adjustRightInd w:val="0"/>
      <w:spacing w:line="240" w:lineRule="atLeast"/>
      <w:jc w:val="center"/>
      <w:textAlignment w:val="bottom"/>
    </w:pPr>
    <w:rPr>
      <w:rFonts w:hAnsi="Times New Roman" w:cs="Times New Roman"/>
      <w:kern w:val="2"/>
      <w:sz w:val="21"/>
      <w:szCs w:val="20"/>
    </w:rPr>
  </w:style>
  <w:style w:type="paragraph" w:customStyle="1" w:styleId="2286">
    <w:name w:val="样式65"/>
    <w:basedOn w:val="5"/>
    <w:qFormat/>
    <w:uiPriority w:val="0"/>
    <w:pPr>
      <w:widowControl w:val="0"/>
      <w:spacing w:line="480" w:lineRule="exact"/>
      <w:ind w:firstLine="560" w:firstLineChars="200"/>
      <w:jc w:val="both"/>
    </w:pPr>
    <w:rPr>
      <w:rFonts w:ascii="Times New Roman" w:hAnsi="宋体"/>
      <w:kern w:val="2"/>
      <w:szCs w:val="28"/>
    </w:rPr>
  </w:style>
  <w:style w:type="paragraph" w:customStyle="1" w:styleId="2287">
    <w:name w:val="Char Char Char Char Char Char Char Char Char Char Char Char Char Char Char Char Char Char Char Char Char Char Char Char Char Char Char Char Char Char Char Char Char Char Char Char Char Char Char Char Char 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288">
    <w:name w:val="样式33"/>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szCs w:val="28"/>
    </w:rPr>
  </w:style>
  <w:style w:type="paragraph" w:customStyle="1" w:styleId="2289">
    <w:name w:val="表格式 Char Char"/>
    <w:basedOn w:val="59"/>
    <w:qFormat/>
    <w:uiPriority w:val="0"/>
    <w:pPr>
      <w:spacing w:before="60" w:after="60"/>
      <w:ind w:left="0" w:firstLine="0"/>
      <w:jc w:val="center"/>
    </w:pPr>
    <w:rPr>
      <w:rFonts w:hint="default" w:ascii="宋体" w:hAnsi="宋体" w:eastAsia="宋体"/>
      <w:color w:val="000000"/>
      <w:sz w:val="21"/>
      <w:szCs w:val="20"/>
    </w:rPr>
  </w:style>
  <w:style w:type="paragraph" w:customStyle="1" w:styleId="2290">
    <w:name w:val="样式40"/>
    <w:basedOn w:val="1"/>
    <w:qFormat/>
    <w:uiPriority w:val="0"/>
    <w:pPr>
      <w:widowControl w:val="0"/>
      <w:adjustRightInd w:val="0"/>
      <w:snapToGrid w:val="0"/>
      <w:spacing w:line="480" w:lineRule="exact"/>
      <w:ind w:firstLine="420" w:firstLineChars="200"/>
      <w:jc w:val="both"/>
    </w:pPr>
    <w:rPr>
      <w:rFonts w:ascii="Times New Roman" w:hAnsi="Times New Roman" w:cs="Times New Roman"/>
      <w:snapToGrid w:val="0"/>
      <w:sz w:val="21"/>
      <w:szCs w:val="21"/>
    </w:rPr>
  </w:style>
  <w:style w:type="paragraph" w:customStyle="1" w:styleId="2291">
    <w:name w:val="样式58"/>
    <w:basedOn w:val="2292"/>
    <w:qFormat/>
    <w:uiPriority w:val="0"/>
    <w:pPr>
      <w:tabs>
        <w:tab w:val="left" w:pos="0"/>
      </w:tabs>
    </w:pPr>
  </w:style>
  <w:style w:type="paragraph" w:customStyle="1" w:styleId="2292">
    <w:name w:val="样式20"/>
    <w:basedOn w:val="1"/>
    <w:qFormat/>
    <w:uiPriority w:val="0"/>
    <w:pPr>
      <w:widowControl w:val="0"/>
      <w:tabs>
        <w:tab w:val="left" w:pos="0"/>
      </w:tabs>
      <w:adjustRightInd w:val="0"/>
      <w:snapToGrid w:val="0"/>
      <w:spacing w:line="500" w:lineRule="exact"/>
      <w:ind w:firstLine="560" w:firstLineChars="200"/>
      <w:jc w:val="center"/>
    </w:pPr>
    <w:rPr>
      <w:rFonts w:ascii="Times New Roman" w:hAnsi="Times New Roman" w:eastAsia="黑体" w:cs="Times New Roman"/>
      <w:snapToGrid w:val="0"/>
      <w:sz w:val="28"/>
      <w:szCs w:val="28"/>
    </w:rPr>
  </w:style>
  <w:style w:type="paragraph" w:customStyle="1" w:styleId="2293">
    <w:name w:val="BIG BOLD"/>
    <w:basedOn w:val="1"/>
    <w:qFormat/>
    <w:uiPriority w:val="0"/>
    <w:pPr>
      <w:widowControl w:val="0"/>
      <w:tabs>
        <w:tab w:val="left" w:leader="underscore" w:pos="1134"/>
      </w:tabs>
      <w:jc w:val="both"/>
    </w:pPr>
    <w:rPr>
      <w:rFonts w:ascii="Times New Roman" w:hAnsi="Times New Roman" w:cs="Times New Roman"/>
      <w:kern w:val="2"/>
      <w:sz w:val="21"/>
      <w:szCs w:val="20"/>
    </w:rPr>
  </w:style>
  <w:style w:type="paragraph" w:customStyle="1" w:styleId="2294">
    <w:name w:val="正文－首行缩进:2 字符"/>
    <w:basedOn w:val="1"/>
    <w:qFormat/>
    <w:uiPriority w:val="0"/>
    <w:pPr>
      <w:widowControl w:val="0"/>
      <w:spacing w:line="440" w:lineRule="exact"/>
      <w:ind w:firstLine="560" w:firstLineChars="200"/>
      <w:jc w:val="both"/>
    </w:pPr>
    <w:rPr>
      <w:rFonts w:ascii="Times New Roman" w:hAnsi="Times New Roman"/>
      <w:kern w:val="2"/>
      <w:sz w:val="28"/>
      <w:szCs w:val="20"/>
    </w:rPr>
  </w:style>
  <w:style w:type="paragraph" w:customStyle="1" w:styleId="2295">
    <w:name w:val="Char Char Char Char Char Char Char Char Char Char4"/>
    <w:basedOn w:val="1"/>
    <w:qFormat/>
    <w:uiPriority w:val="0"/>
    <w:pPr>
      <w:widowControl w:val="0"/>
      <w:jc w:val="both"/>
    </w:pPr>
    <w:rPr>
      <w:rFonts w:ascii="Times New Roman" w:hAnsi="Times New Roman" w:cs="Times New Roman"/>
      <w:kern w:val="2"/>
      <w:sz w:val="21"/>
    </w:rPr>
  </w:style>
  <w:style w:type="paragraph" w:customStyle="1" w:styleId="2296">
    <w:name w:val="样式 样式 标题 3标题4标题 3 Char1标题 3 Char Char标题 3 Char + (中文) 仿宋_GB2312...."/>
    <w:basedOn w:val="1"/>
    <w:qFormat/>
    <w:uiPriority w:val="0"/>
    <w:pPr>
      <w:keepNext/>
      <w:keepLines/>
      <w:widowControl w:val="0"/>
      <w:adjustRightInd w:val="0"/>
      <w:snapToGrid w:val="0"/>
      <w:spacing w:line="460" w:lineRule="exact"/>
      <w:ind w:firstLine="480" w:firstLineChars="200"/>
      <w:outlineLvl w:val="2"/>
    </w:pPr>
    <w:rPr>
      <w:rFonts w:ascii="Times New Roman" w:hAnsi="Times New Roman"/>
      <w:sz w:val="28"/>
      <w:szCs w:val="28"/>
    </w:rPr>
  </w:style>
  <w:style w:type="paragraph" w:customStyle="1" w:styleId="2297">
    <w:name w:val="xl286"/>
    <w:basedOn w:val="1"/>
    <w:qFormat/>
    <w:uiPriority w:val="0"/>
    <w:pPr>
      <w:pBdr>
        <w:top w:val="single" w:color="auto" w:sz="4" w:space="0"/>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98">
    <w:name w:val="样式 表文字 + 字符缩放: 90%"/>
    <w:basedOn w:val="1"/>
    <w:qFormat/>
    <w:uiPriority w:val="0"/>
    <w:pPr>
      <w:keepNext/>
      <w:adjustRightInd w:val="0"/>
      <w:spacing w:line="240" w:lineRule="exact"/>
      <w:ind w:left="-50" w:leftChars="-50" w:right="-50" w:rightChars="-50"/>
      <w:jc w:val="center"/>
      <w:textAlignment w:val="baseline"/>
    </w:pPr>
    <w:rPr>
      <w:snapToGrid w:val="0"/>
      <w:sz w:val="18"/>
      <w:szCs w:val="18"/>
    </w:rPr>
  </w:style>
  <w:style w:type="paragraph" w:customStyle="1" w:styleId="2299">
    <w:name w:val="样式50"/>
    <w:basedOn w:val="87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300">
    <w:name w:val="正文文本缩进 23"/>
    <w:basedOn w:val="1"/>
    <w:qFormat/>
    <w:uiPriority w:val="0"/>
    <w:pPr>
      <w:widowControl w:val="0"/>
      <w:spacing w:line="300" w:lineRule="auto"/>
      <w:ind w:firstLine="482" w:firstLineChars="200"/>
      <w:jc w:val="both"/>
    </w:pPr>
    <w:rPr>
      <w:rFonts w:ascii="Times New Roman" w:hAnsi="Times New Roman" w:cs="Times New Roman"/>
      <w:kern w:val="2"/>
      <w:szCs w:val="20"/>
    </w:rPr>
  </w:style>
  <w:style w:type="paragraph" w:customStyle="1" w:styleId="2301">
    <w:name w:val="样式 样式4 +"/>
    <w:basedOn w:val="988"/>
    <w:qFormat/>
    <w:uiPriority w:val="0"/>
    <w:pPr>
      <w:spacing w:line="480" w:lineRule="exact"/>
      <w:ind w:firstLine="200" w:firstLineChars="200"/>
      <w:jc w:val="both"/>
      <w:textAlignment w:val="auto"/>
      <w:outlineLvl w:val="3"/>
    </w:pPr>
    <w:rPr>
      <w:rFonts w:eastAsia="楷体_GB2312" w:cs="宋体"/>
      <w:b/>
      <w:bCs/>
      <w:snapToGrid w:val="0"/>
      <w:sz w:val="30"/>
    </w:rPr>
  </w:style>
  <w:style w:type="paragraph" w:customStyle="1" w:styleId="2302">
    <w:name w:val="xl2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303">
    <w:name w:val="样式10"/>
    <w:basedOn w:val="1054"/>
    <w:qFormat/>
    <w:uiPriority w:val="0"/>
    <w:pPr>
      <w:widowControl w:val="0"/>
      <w:topLinePunct/>
      <w:adjustRightInd/>
      <w:snapToGrid/>
      <w:spacing w:beforeLines="0" w:afterLines="0" w:line="240" w:lineRule="auto"/>
      <w:jc w:val="center"/>
      <w:textAlignment w:val="auto"/>
      <w:outlineLvl w:val="9"/>
    </w:pPr>
    <w:rPr>
      <w:rFonts w:ascii="Times New Roman" w:hAnsi="Times New Roman" w:cs="宋体"/>
      <w:b w:val="0"/>
      <w:sz w:val="21"/>
      <w:szCs w:val="21"/>
    </w:rPr>
  </w:style>
  <w:style w:type="paragraph" w:customStyle="1" w:styleId="2304">
    <w:name w:val="表格内部"/>
    <w:basedOn w:val="1"/>
    <w:qFormat/>
    <w:uiPriority w:val="0"/>
    <w:pPr>
      <w:widowControl w:val="0"/>
      <w:adjustRightInd w:val="0"/>
      <w:snapToGrid w:val="0"/>
      <w:spacing w:line="300" w:lineRule="auto"/>
      <w:jc w:val="center"/>
    </w:pPr>
    <w:rPr>
      <w:rFonts w:ascii="Arial" w:hAnsi="Arial" w:eastAsia="仿宋_GB2312" w:cs="Times New Roman"/>
      <w:kern w:val="2"/>
      <w:sz w:val="21"/>
    </w:rPr>
  </w:style>
  <w:style w:type="paragraph" w:customStyle="1" w:styleId="2305">
    <w:name w:val="xl2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06">
    <w:name w:val="Char1 Char Char Char5"/>
    <w:basedOn w:val="1"/>
    <w:qFormat/>
    <w:uiPriority w:val="0"/>
    <w:pPr>
      <w:widowControl w:val="0"/>
      <w:jc w:val="both"/>
    </w:pPr>
    <w:rPr>
      <w:rFonts w:ascii="Times New Roman" w:hAnsi="Times New Roman" w:cs="Times New Roman"/>
      <w:kern w:val="2"/>
      <w:sz w:val="21"/>
    </w:rPr>
  </w:style>
  <w:style w:type="paragraph" w:customStyle="1" w:styleId="2307">
    <w:name w:val="报告标题2"/>
    <w:basedOn w:val="4"/>
    <w:qFormat/>
    <w:uiPriority w:val="0"/>
    <w:pPr>
      <w:keepNext w:val="0"/>
      <w:keepLines w:val="0"/>
      <w:widowControl w:val="0"/>
      <w:spacing w:line="240" w:lineRule="auto"/>
      <w:jc w:val="center"/>
      <w:outlineLvl w:val="9"/>
    </w:pPr>
    <w:rPr>
      <w:rFonts w:ascii="方正书宋简体" w:hAnsi="Times New Roman" w:eastAsia="方正书宋简体"/>
      <w:bCs w:val="0"/>
      <w:kern w:val="2"/>
      <w:sz w:val="21"/>
      <w:szCs w:val="24"/>
    </w:rPr>
  </w:style>
  <w:style w:type="paragraph" w:customStyle="1" w:styleId="2308">
    <w:name w:val="样式 仿宋_GB2312 四号"/>
    <w:basedOn w:val="1"/>
    <w:qFormat/>
    <w:uiPriority w:val="0"/>
    <w:pPr>
      <w:widowControl w:val="0"/>
      <w:adjustRightInd w:val="0"/>
      <w:snapToGrid w:val="0"/>
      <w:spacing w:beforeLines="50" w:line="480" w:lineRule="exact"/>
      <w:ind w:firstLine="560" w:firstLineChars="200"/>
      <w:jc w:val="both"/>
    </w:pPr>
    <w:rPr>
      <w:rFonts w:cs="Times New Roman"/>
      <w:sz w:val="28"/>
      <w:szCs w:val="28"/>
    </w:rPr>
  </w:style>
  <w:style w:type="paragraph" w:customStyle="1" w:styleId="2309">
    <w:name w:val="Char7"/>
    <w:basedOn w:val="1"/>
    <w:next w:val="1558"/>
    <w:qFormat/>
    <w:uiPriority w:val="0"/>
    <w:pPr>
      <w:widowControl w:val="0"/>
      <w:spacing w:line="360" w:lineRule="auto"/>
      <w:ind w:firstLine="480" w:firstLineChars="200"/>
      <w:jc w:val="both"/>
    </w:pPr>
    <w:rPr>
      <w:rFonts w:ascii="Times New Roman" w:hAnsi="Times New Roman" w:cs="Times New Roman"/>
    </w:rPr>
  </w:style>
  <w:style w:type="paragraph" w:customStyle="1" w:styleId="2310">
    <w:name w:val="xl1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311">
    <w:name w:val="样式64"/>
    <w:basedOn w:val="2218"/>
    <w:qFormat/>
    <w:uiPriority w:val="0"/>
    <w:pPr>
      <w:keepNext w:val="0"/>
      <w:keepLines w:val="0"/>
      <w:widowControl/>
      <w:spacing w:line="480" w:lineRule="exact"/>
      <w:ind w:left="-140" w:right="31" w:firstLine="450" w:firstLineChars="150"/>
    </w:pPr>
  </w:style>
  <w:style w:type="paragraph" w:customStyle="1" w:styleId="2312">
    <w:name w:val="标题 4环保 + 段前: 0.3 行"/>
    <w:basedOn w:val="7"/>
    <w:next w:val="1"/>
    <w:qFormat/>
    <w:uiPriority w:val="0"/>
    <w:pPr>
      <w:keepNext w:val="0"/>
      <w:keepLines w:val="0"/>
      <w:widowControl w:val="0"/>
      <w:tabs>
        <w:tab w:val="left" w:pos="780"/>
      </w:tabs>
      <w:spacing w:before="280" w:beforeLines="30" w:line="300" w:lineRule="auto"/>
      <w:ind w:left="780" w:leftChars="200" w:hanging="360" w:hangingChars="200"/>
      <w:jc w:val="both"/>
    </w:pPr>
    <w:rPr>
      <w:rFonts w:eastAsia="黑体"/>
      <w:lang w:val="en-US"/>
    </w:rPr>
  </w:style>
  <w:style w:type="paragraph" w:customStyle="1" w:styleId="2313">
    <w:name w:val="图表内文字"/>
    <w:basedOn w:val="1"/>
    <w:next w:val="1"/>
    <w:qFormat/>
    <w:uiPriority w:val="0"/>
    <w:pPr>
      <w:widowControl w:val="0"/>
      <w:adjustRightInd w:val="0"/>
      <w:snapToGrid w:val="0"/>
      <w:spacing w:line="240" w:lineRule="atLeast"/>
      <w:jc w:val="center"/>
    </w:pPr>
    <w:rPr>
      <w:rFonts w:ascii="黑体" w:hAnsi="Times New Roman" w:cs="Times New Roman"/>
      <w:kern w:val="2"/>
      <w:sz w:val="21"/>
      <w:szCs w:val="21"/>
    </w:rPr>
  </w:style>
  <w:style w:type="paragraph" w:customStyle="1" w:styleId="2314">
    <w:name w:val="图表内文字（居中）"/>
    <w:basedOn w:val="1"/>
    <w:qFormat/>
    <w:uiPriority w:val="0"/>
    <w:pPr>
      <w:adjustRightInd w:val="0"/>
      <w:snapToGrid w:val="0"/>
      <w:jc w:val="center"/>
    </w:pPr>
    <w:rPr>
      <w:rFonts w:cs="Times New Roman"/>
      <w:kern w:val="2"/>
      <w:sz w:val="21"/>
    </w:rPr>
  </w:style>
  <w:style w:type="paragraph" w:customStyle="1" w:styleId="2315">
    <w:name w:val="目录二级"/>
    <w:basedOn w:val="1"/>
    <w:qFormat/>
    <w:uiPriority w:val="0"/>
    <w:pPr>
      <w:spacing w:line="480" w:lineRule="exact"/>
      <w:jc w:val="center"/>
    </w:pPr>
    <w:rPr>
      <w:rFonts w:ascii="Times New Roman" w:hAnsi="Times New Roman" w:cs="Times New Roman"/>
      <w:bCs/>
      <w:kern w:val="2"/>
      <w:sz w:val="21"/>
      <w:szCs w:val="21"/>
    </w:rPr>
  </w:style>
  <w:style w:type="paragraph" w:customStyle="1" w:styleId="2316">
    <w:name w:val="正文六级标题"/>
    <w:basedOn w:val="1"/>
    <w:qFormat/>
    <w:uiPriority w:val="0"/>
    <w:pPr>
      <w:widowControl w:val="0"/>
      <w:spacing w:line="480" w:lineRule="exact"/>
      <w:ind w:firstLine="200" w:firstLineChars="200"/>
      <w:jc w:val="both"/>
      <w:outlineLvl w:val="5"/>
    </w:pPr>
    <w:rPr>
      <w:rFonts w:ascii="Times New Roman" w:hAnsi="Times New Roman" w:cs="Times New Roman"/>
      <w:b/>
      <w:kern w:val="2"/>
      <w:sz w:val="28"/>
    </w:rPr>
  </w:style>
  <w:style w:type="paragraph" w:customStyle="1" w:styleId="2317">
    <w:name w:val="5正文"/>
    <w:basedOn w:val="1"/>
    <w:qFormat/>
    <w:uiPriority w:val="0"/>
    <w:pPr>
      <w:snapToGrid w:val="0"/>
      <w:spacing w:line="400" w:lineRule="exact"/>
      <w:ind w:firstLine="200" w:firstLineChars="200"/>
    </w:pPr>
    <w:rPr>
      <w:color w:val="000000"/>
      <w:szCs w:val="18"/>
    </w:rPr>
  </w:style>
  <w:style w:type="paragraph" w:customStyle="1" w:styleId="2318">
    <w:name w:val="样式 四号 首行缩进:  2 字符 字符缩放: 90% 行距: 固定值 28 磅"/>
    <w:basedOn w:val="1"/>
    <w:qFormat/>
    <w:uiPriority w:val="0"/>
    <w:pPr>
      <w:widowControl w:val="0"/>
      <w:spacing w:line="480" w:lineRule="exact"/>
      <w:ind w:firstLine="200" w:firstLineChars="200"/>
      <w:jc w:val="both"/>
    </w:pPr>
    <w:rPr>
      <w:rFonts w:ascii="Times New Roman" w:hAnsi="Times New Roman" w:eastAsia="方正书宋简体" w:cs="Times New Roman"/>
      <w:w w:val="90"/>
      <w:kern w:val="2"/>
      <w:sz w:val="28"/>
      <w:szCs w:val="20"/>
    </w:rPr>
  </w:style>
  <w:style w:type="paragraph" w:customStyle="1" w:styleId="2319">
    <w:name w:val="样式 标题 4标题 4 Char + 宋体 段前: 5 磅 段后: 5 磅 行距: 1.5 倍行距"/>
    <w:basedOn w:val="7"/>
    <w:qFormat/>
    <w:uiPriority w:val="0"/>
    <w:pPr>
      <w:widowControl w:val="0"/>
      <w:adjustRightInd w:val="0"/>
      <w:snapToGrid w:val="0"/>
      <w:spacing w:line="360" w:lineRule="auto"/>
      <w:jc w:val="both"/>
    </w:pPr>
    <w:rPr>
      <w:rFonts w:cs="Times New Roman"/>
      <w:bCs/>
      <w:kern w:val="2"/>
      <w:sz w:val="28"/>
      <w:lang w:val="en-US"/>
    </w:rPr>
  </w:style>
  <w:style w:type="paragraph" w:customStyle="1" w:styleId="2320">
    <w:name w:val="样式37"/>
    <w:basedOn w:val="5"/>
    <w:qFormat/>
    <w:uiPriority w:val="0"/>
    <w:pPr>
      <w:widowControl w:val="0"/>
      <w:spacing w:line="480" w:lineRule="exact"/>
      <w:ind w:firstLine="560" w:firstLineChars="200"/>
      <w:jc w:val="both"/>
    </w:pPr>
    <w:rPr>
      <w:rFonts w:ascii="Times New Roman" w:hAnsi="Times New Roman"/>
      <w:kern w:val="2"/>
      <w:szCs w:val="28"/>
    </w:rPr>
  </w:style>
  <w:style w:type="paragraph" w:customStyle="1" w:styleId="2321">
    <w:name w:val="样式正文"/>
    <w:basedOn w:val="2211"/>
    <w:qFormat/>
    <w:uiPriority w:val="0"/>
    <w:pPr>
      <w:spacing w:line="360" w:lineRule="auto"/>
      <w:ind w:firstLine="624"/>
    </w:pPr>
  </w:style>
  <w:style w:type="paragraph" w:customStyle="1" w:styleId="2322">
    <w:name w:val="xl285"/>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323">
    <w:name w:val="5正文 + 两端对齐"/>
    <w:basedOn w:val="1"/>
    <w:qFormat/>
    <w:uiPriority w:val="0"/>
    <w:pPr>
      <w:snapToGrid w:val="0"/>
      <w:spacing w:line="480" w:lineRule="exact"/>
      <w:ind w:firstLine="200" w:firstLineChars="200"/>
      <w:jc w:val="both"/>
    </w:pPr>
    <w:rPr>
      <w:color w:val="000000"/>
      <w:szCs w:val="18"/>
    </w:rPr>
  </w:style>
  <w:style w:type="paragraph" w:customStyle="1" w:styleId="2324">
    <w:name w:val="样式28"/>
    <w:basedOn w:val="2134"/>
    <w:qFormat/>
    <w:uiPriority w:val="0"/>
    <w:pPr>
      <w:spacing w:line="500" w:lineRule="exact"/>
      <w:ind w:firstLine="560" w:firstLineChars="200"/>
    </w:pPr>
  </w:style>
  <w:style w:type="paragraph" w:customStyle="1" w:styleId="2325">
    <w:name w:val="样式88"/>
    <w:basedOn w:val="2162"/>
    <w:qFormat/>
    <w:uiPriority w:val="0"/>
    <w:pPr>
      <w:spacing w:before="0" w:after="0"/>
      <w:ind w:firstLine="560" w:firstLineChars="200"/>
    </w:pPr>
    <w:rPr>
      <w:rFonts w:eastAsia="仿宋_GB2312"/>
      <w:bCs w:val="0"/>
    </w:rPr>
  </w:style>
  <w:style w:type="paragraph" w:customStyle="1" w:styleId="2326">
    <w:name w:val="xl283"/>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327">
    <w:name w:val="xl296"/>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328">
    <w:name w:val="样式71"/>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29">
    <w:name w:val="样式 标题 1一级标题(章)标题 1 Char封皮名1h11st levelSection Headl1my标..."/>
    <w:basedOn w:val="3"/>
    <w:qFormat/>
    <w:uiPriority w:val="0"/>
    <w:pPr>
      <w:keepNext/>
      <w:keepLines/>
      <w:widowControl w:val="0"/>
      <w:adjustRightInd w:val="0"/>
      <w:snapToGrid w:val="0"/>
      <w:spacing w:before="360" w:after="240"/>
      <w:jc w:val="center"/>
    </w:pPr>
    <w:rPr>
      <w:rFonts w:ascii="Times New Roman" w:hAnsi="Times New Roman" w:eastAsia="宋体" w:cs="宋体"/>
      <w:kern w:val="44"/>
      <w:sz w:val="36"/>
      <w:szCs w:val="20"/>
    </w:rPr>
  </w:style>
  <w:style w:type="paragraph" w:customStyle="1" w:styleId="2330">
    <w:name w:val="xl254"/>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31">
    <w:name w:val="xl14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2332">
    <w:name w:val="xl14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333">
    <w:name w:val="xl267"/>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34">
    <w:name w:val="标题 1+"/>
    <w:basedOn w:val="3"/>
    <w:qFormat/>
    <w:uiPriority w:val="0"/>
    <w:pPr>
      <w:keepNext/>
      <w:keepLines/>
      <w:widowControl w:val="0"/>
      <w:adjustRightInd w:val="0"/>
      <w:snapToGrid w:val="0"/>
      <w:spacing w:before="400" w:after="240" w:line="480" w:lineRule="exact"/>
      <w:jc w:val="center"/>
    </w:pPr>
    <w:rPr>
      <w:rFonts w:ascii="Times New Roman" w:hAnsi="Times New Roman" w:eastAsia="楷体_GB2312"/>
      <w:bCs/>
      <w:kern w:val="44"/>
      <w:sz w:val="36"/>
      <w:szCs w:val="36"/>
    </w:rPr>
  </w:style>
  <w:style w:type="paragraph" w:customStyle="1" w:styleId="2335">
    <w:name w:val="正文表格内容"/>
    <w:basedOn w:val="1"/>
    <w:qFormat/>
    <w:uiPriority w:val="0"/>
    <w:pPr>
      <w:widowControl w:val="0"/>
      <w:jc w:val="center"/>
    </w:pPr>
    <w:rPr>
      <w:rFonts w:ascii="Times New Roman" w:hAnsi="Times New Roman" w:cs="Times New Roman"/>
      <w:kern w:val="2"/>
      <w:sz w:val="21"/>
    </w:rPr>
  </w:style>
  <w:style w:type="paragraph" w:customStyle="1" w:styleId="2336">
    <w:name w:val="表格文字两端对齐"/>
    <w:basedOn w:val="1"/>
    <w:qFormat/>
    <w:uiPriority w:val="0"/>
    <w:pPr>
      <w:widowControl w:val="0"/>
      <w:spacing w:line="300" w:lineRule="auto"/>
      <w:jc w:val="both"/>
    </w:pPr>
    <w:rPr>
      <w:rFonts w:ascii="Times New Roman" w:hAnsi="Times New Roman" w:cs="Times New Roman"/>
      <w:kern w:val="2"/>
      <w:sz w:val="21"/>
    </w:rPr>
  </w:style>
  <w:style w:type="paragraph" w:customStyle="1" w:styleId="2337">
    <w:name w:val="xl2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333399"/>
      <w:sz w:val="20"/>
      <w:szCs w:val="20"/>
    </w:rPr>
  </w:style>
  <w:style w:type="paragraph" w:customStyle="1" w:styleId="2338">
    <w:name w:val="xl14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sz w:val="22"/>
      <w:szCs w:val="22"/>
    </w:rPr>
  </w:style>
  <w:style w:type="paragraph" w:customStyle="1" w:styleId="2339">
    <w:name w:val="xl27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color w:val="FF0000"/>
      <w:sz w:val="20"/>
      <w:szCs w:val="20"/>
    </w:rPr>
  </w:style>
  <w:style w:type="paragraph" w:customStyle="1" w:styleId="2340">
    <w:name w:val="xl164"/>
    <w:basedOn w:val="1"/>
    <w:qFormat/>
    <w:uiPriority w:val="0"/>
    <w:pPr>
      <w:shd w:val="clear" w:color="auto" w:fill="FFFFFF"/>
      <w:spacing w:before="100" w:beforeAutospacing="1" w:after="100" w:afterAutospacing="1"/>
    </w:pPr>
    <w:rPr>
      <w:color w:val="000000"/>
      <w:sz w:val="20"/>
      <w:szCs w:val="20"/>
    </w:rPr>
  </w:style>
  <w:style w:type="paragraph" w:customStyle="1" w:styleId="2341">
    <w:name w:val="样式66"/>
    <w:basedOn w:val="5"/>
    <w:qFormat/>
    <w:uiPriority w:val="0"/>
    <w:pPr>
      <w:widowControl w:val="0"/>
      <w:spacing w:line="480" w:lineRule="exact"/>
      <w:ind w:left="-140" w:right="31" w:firstLine="560" w:firstLineChars="200"/>
      <w:jc w:val="both"/>
    </w:pPr>
    <w:rPr>
      <w:rFonts w:ascii="Times New Roman" w:hAnsi="宋体"/>
      <w:kern w:val="2"/>
      <w:szCs w:val="28"/>
    </w:rPr>
  </w:style>
  <w:style w:type="paragraph" w:customStyle="1" w:styleId="2342">
    <w:name w:val="样式 样式 标题 1 + 黑体 二号 段前: 20 磅 段后: 20 磅 行距: 固定值 28 磅 + 非加粗 段前: 1 行..."/>
    <w:basedOn w:val="1"/>
    <w:qFormat/>
    <w:uiPriority w:val="0"/>
    <w:pPr>
      <w:keepNext/>
      <w:widowControl w:val="0"/>
      <w:adjustRightInd w:val="0"/>
      <w:snapToGrid w:val="0"/>
      <w:spacing w:beforeLines="100" w:afterLines="100" w:line="480" w:lineRule="auto"/>
      <w:jc w:val="center"/>
      <w:outlineLvl w:val="0"/>
    </w:pPr>
    <w:rPr>
      <w:rFonts w:ascii="黑体" w:hAnsi="黑体" w:eastAsia="黑体"/>
      <w:kern w:val="2"/>
      <w:sz w:val="44"/>
      <w:szCs w:val="20"/>
    </w:rPr>
  </w:style>
  <w:style w:type="paragraph" w:customStyle="1" w:styleId="2343">
    <w:name w:val="格式"/>
    <w:basedOn w:val="1"/>
    <w:qFormat/>
    <w:uiPriority w:val="0"/>
    <w:pPr>
      <w:widowControl w:val="0"/>
      <w:spacing w:line="360" w:lineRule="auto"/>
      <w:ind w:firstLine="200" w:firstLineChars="200"/>
      <w:jc w:val="both"/>
    </w:pPr>
    <w:rPr>
      <w:rFonts w:ascii="Times New Roman" w:hAnsi="Times New Roman" w:cs="Times New Roman"/>
      <w:kern w:val="2"/>
    </w:rPr>
  </w:style>
  <w:style w:type="paragraph" w:customStyle="1" w:styleId="2344">
    <w:name w:val="Char1 Char Char Char2"/>
    <w:basedOn w:val="1"/>
    <w:qFormat/>
    <w:uiPriority w:val="0"/>
    <w:pPr>
      <w:widowControl w:val="0"/>
      <w:jc w:val="both"/>
    </w:pPr>
    <w:rPr>
      <w:rFonts w:ascii="Times New Roman" w:hAnsi="Times New Roman" w:cs="Times New Roman"/>
      <w:kern w:val="2"/>
      <w:sz w:val="21"/>
      <w:szCs w:val="28"/>
    </w:rPr>
  </w:style>
  <w:style w:type="paragraph" w:customStyle="1" w:styleId="2345">
    <w:name w:val="样式73"/>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46">
    <w:name w:val="样式83"/>
    <w:basedOn w:val="2218"/>
    <w:qFormat/>
    <w:uiPriority w:val="0"/>
    <w:pPr>
      <w:keepNext w:val="0"/>
      <w:keepLines w:val="0"/>
      <w:widowControl/>
      <w:spacing w:line="480" w:lineRule="exact"/>
      <w:ind w:firstLine="450" w:firstLineChars="150"/>
    </w:pPr>
  </w:style>
  <w:style w:type="paragraph" w:customStyle="1" w:styleId="2347">
    <w:name w:val="样式68"/>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48">
    <w:name w:val="索引 91"/>
    <w:basedOn w:val="1"/>
    <w:next w:val="1"/>
    <w:qFormat/>
    <w:uiPriority w:val="0"/>
    <w:pPr>
      <w:widowControl w:val="0"/>
      <w:ind w:left="1600" w:leftChars="1600"/>
      <w:jc w:val="both"/>
    </w:pPr>
    <w:rPr>
      <w:rFonts w:ascii="Times New Roman" w:hAnsi="Times New Roman" w:cs="Times New Roman"/>
      <w:kern w:val="2"/>
      <w:sz w:val="21"/>
    </w:rPr>
  </w:style>
  <w:style w:type="paragraph" w:customStyle="1" w:styleId="2349">
    <w:name w:val="修订2"/>
    <w:qFormat/>
    <w:uiPriority w:val="99"/>
    <w:rPr>
      <w:rFonts w:ascii="Times New Roman" w:hAnsi="Times New Roman" w:eastAsia="宋体" w:cs="Times New Roman"/>
      <w:kern w:val="2"/>
      <w:sz w:val="21"/>
      <w:szCs w:val="24"/>
      <w:lang w:val="en-US" w:eastAsia="zh-CN" w:bidi="ar-SA"/>
    </w:rPr>
  </w:style>
  <w:style w:type="paragraph" w:customStyle="1" w:styleId="2350">
    <w:name w:val="reader-word-layer reader-word-s11-14"/>
    <w:basedOn w:val="1"/>
    <w:qFormat/>
    <w:uiPriority w:val="0"/>
    <w:pPr>
      <w:spacing w:before="100" w:beforeAutospacing="1" w:after="100" w:afterAutospacing="1"/>
    </w:pPr>
  </w:style>
  <w:style w:type="paragraph" w:customStyle="1" w:styleId="2351">
    <w:name w:val="样式53"/>
    <w:basedOn w:val="87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352">
    <w:name w:val="样式79"/>
    <w:basedOn w:val="2261"/>
    <w:qFormat/>
    <w:uiPriority w:val="0"/>
    <w:pPr>
      <w:ind w:firstLine="562"/>
    </w:pPr>
    <w:rPr>
      <w:rFonts w:hAnsi="宋体"/>
      <w:b/>
      <w:bCs/>
      <w:sz w:val="28"/>
      <w:szCs w:val="28"/>
    </w:rPr>
  </w:style>
  <w:style w:type="paragraph" w:customStyle="1" w:styleId="2353">
    <w:name w:val="xl14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2354">
    <w:name w:val="xl11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rFonts w:ascii="Times New Roman" w:hAnsi="Times New Roman" w:cs="Times New Roman"/>
      <w:b/>
      <w:bCs/>
      <w:sz w:val="21"/>
      <w:szCs w:val="21"/>
    </w:rPr>
  </w:style>
  <w:style w:type="paragraph" w:customStyle="1" w:styleId="2355">
    <w:name w:val="样式89"/>
    <w:basedOn w:val="1"/>
    <w:qFormat/>
    <w:uiPriority w:val="0"/>
    <w:pPr>
      <w:widowControl w:val="0"/>
      <w:adjustRightInd w:val="0"/>
      <w:snapToGrid w:val="0"/>
      <w:spacing w:line="480" w:lineRule="exact"/>
      <w:ind w:firstLine="560" w:firstLineChars="200"/>
      <w:jc w:val="both"/>
    </w:pPr>
    <w:rPr>
      <w:snapToGrid w:val="0"/>
      <w:sz w:val="28"/>
      <w:szCs w:val="28"/>
    </w:rPr>
  </w:style>
  <w:style w:type="paragraph" w:customStyle="1" w:styleId="2356">
    <w:name w:val="样式59"/>
    <w:basedOn w:val="103"/>
    <w:qFormat/>
    <w:uiPriority w:val="0"/>
    <w:pPr>
      <w:spacing w:line="480" w:lineRule="exact"/>
      <w:ind w:left="-140" w:leftChars="-6" w:right="31" w:hanging="8" w:hangingChars="8"/>
    </w:pPr>
    <w:rPr>
      <w:rFonts w:ascii="方正黑体简体" w:eastAsia="方正黑体简体"/>
      <w:sz w:val="30"/>
    </w:rPr>
  </w:style>
  <w:style w:type="paragraph" w:customStyle="1" w:styleId="2357">
    <w:name w:val="样式72"/>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58">
    <w:name w:val="正文首行缩进 22"/>
    <w:basedOn w:val="307"/>
    <w:qFormat/>
    <w:uiPriority w:val="0"/>
    <w:pPr>
      <w:spacing w:after="120"/>
      <w:ind w:left="420" w:firstLine="420"/>
    </w:pPr>
  </w:style>
  <w:style w:type="paragraph" w:customStyle="1" w:styleId="2359">
    <w:name w:val="样式25"/>
    <w:basedOn w:val="1"/>
    <w:qFormat/>
    <w:uiPriority w:val="0"/>
    <w:pPr>
      <w:widowControl w:val="0"/>
      <w:adjustRightInd w:val="0"/>
      <w:snapToGrid w:val="0"/>
      <w:spacing w:line="500" w:lineRule="exact"/>
      <w:ind w:firstLine="560" w:firstLineChars="200"/>
      <w:jc w:val="both"/>
    </w:pPr>
    <w:rPr>
      <w:rFonts w:ascii="Times New Roman" w:hAnsi="Times New Roman" w:cs="Times New Roman"/>
      <w:snapToGrid w:val="0"/>
      <w:sz w:val="28"/>
      <w:szCs w:val="28"/>
    </w:rPr>
  </w:style>
  <w:style w:type="paragraph" w:customStyle="1" w:styleId="2360">
    <w:name w:val="xl195"/>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361">
    <w:name w:val="样式43"/>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362">
    <w:name w:val="样式 标题 1 + 黑体 二号 段前: 20 磅 段后: 20 磅 行距: 固定值 28 磅"/>
    <w:basedOn w:val="3"/>
    <w:qFormat/>
    <w:uiPriority w:val="0"/>
    <w:pPr>
      <w:keepNext/>
      <w:widowControl w:val="0"/>
      <w:adjustRightInd w:val="0"/>
      <w:snapToGrid w:val="0"/>
      <w:spacing w:before="340" w:beforeLines="100" w:after="330" w:afterLines="100" w:line="480" w:lineRule="auto"/>
      <w:jc w:val="center"/>
    </w:pPr>
    <w:rPr>
      <w:rFonts w:ascii="黑体" w:hAnsi="黑体" w:cs="宋体"/>
      <w:b/>
      <w:bCs/>
      <w:sz w:val="44"/>
      <w:szCs w:val="20"/>
    </w:rPr>
  </w:style>
  <w:style w:type="paragraph" w:customStyle="1" w:styleId="2363">
    <w:name w:val="样式69"/>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64">
    <w:name w:val="标题1T"/>
    <w:next w:val="3"/>
    <w:qFormat/>
    <w:uiPriority w:val="0"/>
    <w:pPr>
      <w:spacing w:beforeLines="100" w:afterLines="100" w:line="480" w:lineRule="exact"/>
      <w:jc w:val="center"/>
    </w:pPr>
    <w:rPr>
      <w:rFonts w:ascii="Times New Roman" w:hAnsi="Times New Roman" w:eastAsia="楷体_GB2312" w:cs="Times New Roman"/>
      <w:kern w:val="2"/>
      <w:sz w:val="32"/>
      <w:szCs w:val="32"/>
      <w:lang w:val="en-US" w:eastAsia="zh-CN" w:bidi="ar-SA"/>
    </w:rPr>
  </w:style>
  <w:style w:type="paragraph" w:customStyle="1" w:styleId="2365">
    <w:name w:val="xl2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66">
    <w:name w:val="正文五级标题"/>
    <w:basedOn w:val="1"/>
    <w:qFormat/>
    <w:uiPriority w:val="0"/>
    <w:pPr>
      <w:widowControl w:val="0"/>
      <w:spacing w:line="480" w:lineRule="exact"/>
      <w:ind w:firstLine="200" w:firstLineChars="200"/>
      <w:jc w:val="both"/>
      <w:outlineLvl w:val="4"/>
    </w:pPr>
    <w:rPr>
      <w:rFonts w:ascii="Times New Roman" w:hAnsi="Times New Roman" w:eastAsia="仿宋_GB2312" w:cs="Times New Roman"/>
      <w:b/>
      <w:kern w:val="2"/>
      <w:sz w:val="30"/>
    </w:rPr>
  </w:style>
  <w:style w:type="paragraph" w:customStyle="1" w:styleId="2367">
    <w:name w:val="正文一级"/>
    <w:qFormat/>
    <w:uiPriority w:val="0"/>
    <w:pPr>
      <w:tabs>
        <w:tab w:val="left" w:pos="200"/>
      </w:tabs>
      <w:spacing w:before="360" w:after="240"/>
      <w:ind w:left="200"/>
      <w:jc w:val="center"/>
      <w:outlineLvl w:val="0"/>
    </w:pPr>
    <w:rPr>
      <w:rFonts w:ascii="Times New Roman" w:hAnsi="Times New Roman" w:eastAsia="黑体" w:cs="Times New Roman"/>
      <w:bCs/>
      <w:kern w:val="44"/>
      <w:sz w:val="36"/>
      <w:szCs w:val="36"/>
      <w:lang w:val="en-US" w:eastAsia="zh-CN" w:bidi="ar-SA"/>
    </w:rPr>
  </w:style>
  <w:style w:type="paragraph" w:customStyle="1" w:styleId="2368">
    <w:name w:val="注"/>
    <w:basedOn w:val="1"/>
    <w:qFormat/>
    <w:uiPriority w:val="0"/>
    <w:pPr>
      <w:widowControl w:val="0"/>
      <w:ind w:firstLine="57"/>
      <w:jc w:val="both"/>
    </w:pPr>
    <w:rPr>
      <w:rFonts w:hAnsi="Times New Roman" w:cs="Times New Roman"/>
      <w:kern w:val="2"/>
      <w:sz w:val="21"/>
      <w:szCs w:val="20"/>
    </w:rPr>
  </w:style>
  <w:style w:type="paragraph" w:customStyle="1" w:styleId="2369">
    <w:name w:val="正文+"/>
    <w:basedOn w:val="1"/>
    <w:qFormat/>
    <w:uiPriority w:val="0"/>
    <w:pPr>
      <w:adjustRightInd w:val="0"/>
      <w:snapToGrid w:val="0"/>
      <w:spacing w:line="480" w:lineRule="exact"/>
      <w:ind w:firstLine="560" w:firstLineChars="200"/>
    </w:pPr>
    <w:rPr>
      <w:snapToGrid w:val="0"/>
      <w:sz w:val="28"/>
      <w:szCs w:val="20"/>
    </w:rPr>
  </w:style>
  <w:style w:type="paragraph" w:customStyle="1" w:styleId="2370">
    <w:name w:val="样式39"/>
    <w:basedOn w:val="874"/>
    <w:qFormat/>
    <w:uiPriority w:val="0"/>
    <w:pPr>
      <w:adjustRightInd w:val="0"/>
      <w:spacing w:line="300" w:lineRule="exact"/>
      <w:ind w:left="-140" w:leftChars="-50" w:right="-140" w:rightChars="-50" w:firstLine="0"/>
    </w:pPr>
    <w:rPr>
      <w:rFonts w:hint="default" w:ascii="Times New Roman" w:hAnsi="Times New Roman" w:eastAsia="宋体"/>
      <w:color w:val="000000"/>
      <w:kern w:val="0"/>
      <w:szCs w:val="28"/>
    </w:rPr>
  </w:style>
  <w:style w:type="paragraph" w:customStyle="1" w:styleId="2371">
    <w:name w:val="xl1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72">
    <w:name w:val="样式85"/>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color w:val="000000"/>
      <w:sz w:val="28"/>
      <w:szCs w:val="21"/>
    </w:rPr>
  </w:style>
  <w:style w:type="paragraph" w:customStyle="1" w:styleId="2373">
    <w:name w:val="xl2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74">
    <w:name w:val="正文文本缩进 33"/>
    <w:basedOn w:val="1"/>
    <w:qFormat/>
    <w:uiPriority w:val="0"/>
    <w:pPr>
      <w:widowControl w:val="0"/>
      <w:spacing w:line="300" w:lineRule="auto"/>
      <w:ind w:firstLine="525"/>
      <w:jc w:val="both"/>
    </w:pPr>
    <w:rPr>
      <w:rFonts w:ascii="Times New Roman" w:hAnsi="Times New Roman" w:cs="Times New Roman"/>
      <w:kern w:val="2"/>
      <w:szCs w:val="20"/>
    </w:rPr>
  </w:style>
  <w:style w:type="paragraph" w:customStyle="1" w:styleId="2375">
    <w:name w:val="xl31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0"/>
      <w:szCs w:val="20"/>
    </w:rPr>
  </w:style>
  <w:style w:type="paragraph" w:customStyle="1" w:styleId="2376">
    <w:name w:val="样式42"/>
    <w:basedOn w:val="103"/>
    <w:qFormat/>
    <w:uiPriority w:val="0"/>
    <w:pPr>
      <w:spacing w:line="480" w:lineRule="exact"/>
      <w:ind w:left="-6" w:leftChars="-6" w:hanging="17" w:hangingChars="8"/>
    </w:pPr>
    <w:rPr>
      <w:rFonts w:ascii="方正黑体简体" w:eastAsia="方正黑体简体"/>
      <w:snapToGrid w:val="0"/>
      <w:sz w:val="30"/>
    </w:rPr>
  </w:style>
  <w:style w:type="paragraph" w:customStyle="1" w:styleId="2377">
    <w:name w:val="日期2"/>
    <w:basedOn w:val="1"/>
    <w:next w:val="1"/>
    <w:qFormat/>
    <w:uiPriority w:val="0"/>
    <w:pPr>
      <w:widowControl w:val="0"/>
      <w:jc w:val="both"/>
    </w:pPr>
    <w:rPr>
      <w:rFonts w:ascii="Times New Roman" w:hAnsi="Times New Roman" w:cs="Times New Roman"/>
      <w:kern w:val="2"/>
      <w:sz w:val="21"/>
      <w:szCs w:val="20"/>
    </w:rPr>
  </w:style>
  <w:style w:type="paragraph" w:customStyle="1" w:styleId="2378">
    <w:name w:val="正文题目"/>
    <w:basedOn w:val="1"/>
    <w:qFormat/>
    <w:uiPriority w:val="0"/>
    <w:pPr>
      <w:widowControl w:val="0"/>
      <w:spacing w:beforeLines="50" w:afterLines="100" w:line="700" w:lineRule="exact"/>
      <w:jc w:val="center"/>
    </w:pPr>
    <w:rPr>
      <w:rFonts w:ascii="Times New Roman" w:hAnsi="Times New Roman" w:eastAsia="黑体" w:cs="Times New Roman"/>
      <w:kern w:val="2"/>
      <w:sz w:val="44"/>
    </w:rPr>
  </w:style>
  <w:style w:type="paragraph" w:customStyle="1" w:styleId="2379">
    <w:name w:val="样式63"/>
    <w:basedOn w:val="2380"/>
    <w:qFormat/>
    <w:uiPriority w:val="0"/>
    <w:pPr>
      <w:spacing w:line="500" w:lineRule="exact"/>
      <w:ind w:left="0" w:leftChars="0" w:right="0" w:rightChars="0"/>
    </w:pPr>
    <w:rPr>
      <w:rFonts w:ascii="Times New Roman" w:hAnsi="Times New Roman" w:cs="Times New Roman"/>
      <w:color w:val="auto"/>
    </w:rPr>
  </w:style>
  <w:style w:type="paragraph" w:customStyle="1" w:styleId="2380">
    <w:name w:val="样式62"/>
    <w:basedOn w:val="1"/>
    <w:qFormat/>
    <w:uiPriority w:val="0"/>
    <w:pPr>
      <w:widowControl w:val="0"/>
      <w:adjustRightInd w:val="0"/>
      <w:snapToGrid w:val="0"/>
      <w:spacing w:line="480" w:lineRule="exact"/>
      <w:ind w:left="140" w:leftChars="50" w:right="140" w:rightChars="50" w:firstLine="560" w:firstLineChars="200"/>
      <w:jc w:val="both"/>
    </w:pPr>
    <w:rPr>
      <w:bCs/>
      <w:snapToGrid w:val="0"/>
      <w:color w:val="FF0000"/>
      <w:sz w:val="28"/>
      <w:szCs w:val="28"/>
    </w:rPr>
  </w:style>
  <w:style w:type="paragraph" w:customStyle="1" w:styleId="2381">
    <w:name w:val="索引 31"/>
    <w:basedOn w:val="1"/>
    <w:next w:val="1"/>
    <w:qFormat/>
    <w:uiPriority w:val="0"/>
    <w:pPr>
      <w:widowControl w:val="0"/>
      <w:spacing w:line="480" w:lineRule="exact"/>
      <w:ind w:left="400" w:leftChars="400"/>
      <w:jc w:val="both"/>
    </w:pPr>
    <w:rPr>
      <w:rFonts w:ascii="Times New Roman" w:hAnsi="Times New Roman" w:cs="Times New Roman"/>
      <w:kern w:val="2"/>
    </w:rPr>
  </w:style>
  <w:style w:type="paragraph" w:customStyle="1" w:styleId="2382">
    <w:name w:val="设料表居中"/>
    <w:basedOn w:val="1"/>
    <w:qFormat/>
    <w:uiPriority w:val="0"/>
    <w:pPr>
      <w:widowControl w:val="0"/>
      <w:adjustRightInd w:val="0"/>
      <w:ind w:left="-101" w:leftChars="-48"/>
      <w:jc w:val="center"/>
    </w:pPr>
    <w:rPr>
      <w:rFonts w:ascii="Times New Roman" w:hAnsi="Times New Roman" w:eastAsia="仿宋_GB2312" w:cs="Times New Roman"/>
      <w:kern w:val="2"/>
      <w:sz w:val="18"/>
      <w:szCs w:val="20"/>
    </w:rPr>
  </w:style>
  <w:style w:type="paragraph" w:customStyle="1" w:styleId="2383">
    <w:name w:val="xl263"/>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84">
    <w:name w:val="正文四级"/>
    <w:basedOn w:val="1"/>
    <w:qFormat/>
    <w:uiPriority w:val="0"/>
    <w:pPr>
      <w:widowControl w:val="0"/>
      <w:tabs>
        <w:tab w:val="left" w:pos="1022"/>
      </w:tabs>
      <w:ind w:left="1022" w:hanging="420"/>
      <w:outlineLvl w:val="3"/>
    </w:pPr>
    <w:rPr>
      <w:rFonts w:ascii="Times New Roman" w:hAnsi="Times New Roman" w:cs="Times New Roman"/>
      <w:b/>
      <w:kern w:val="2"/>
      <w:sz w:val="30"/>
    </w:rPr>
  </w:style>
  <w:style w:type="paragraph" w:customStyle="1" w:styleId="2385">
    <w:name w:val="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2386">
    <w:name w:val="Char Char Char Char Char Char Char 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2387">
    <w:name w:val="TOC 标题2"/>
    <w:basedOn w:val="3"/>
    <w:next w:val="1"/>
    <w:qFormat/>
    <w:uiPriority w:val="0"/>
    <w:pPr>
      <w:keepNext/>
      <w:keepLines/>
      <w:spacing w:before="480" w:line="276" w:lineRule="auto"/>
      <w:outlineLvl w:val="9"/>
    </w:pPr>
    <w:rPr>
      <w:rFonts w:ascii="Cambria" w:hAnsi="Cambria" w:eastAsia="宋体"/>
      <w:b/>
      <w:bCs/>
      <w:color w:val="365F91"/>
      <w:kern w:val="0"/>
      <w:sz w:val="28"/>
      <w:szCs w:val="28"/>
    </w:rPr>
  </w:style>
  <w:style w:type="paragraph" w:customStyle="1" w:styleId="2388">
    <w:name w:val="cucd-2"/>
    <w:next w:val="1"/>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2389">
    <w:name w:val="样式52"/>
    <w:basedOn w:val="1"/>
    <w:qFormat/>
    <w:uiPriority w:val="0"/>
    <w:pPr>
      <w:widowControl w:val="0"/>
      <w:adjustRightInd w:val="0"/>
      <w:snapToGrid w:val="0"/>
      <w:spacing w:line="480" w:lineRule="exact"/>
      <w:ind w:left="-140" w:right="31"/>
      <w:jc w:val="center"/>
    </w:pPr>
    <w:rPr>
      <w:rFonts w:ascii="Times New Roman" w:hAnsi="Times New Roman" w:cs="Times New Roman"/>
      <w:snapToGrid w:val="0"/>
      <w:sz w:val="21"/>
      <w:szCs w:val="21"/>
    </w:rPr>
  </w:style>
  <w:style w:type="paragraph" w:customStyle="1" w:styleId="2390">
    <w:name w:val="样式 zw + Times New Roman"/>
    <w:basedOn w:val="1"/>
    <w:qFormat/>
    <w:uiPriority w:val="0"/>
    <w:pPr>
      <w:widowControl w:val="0"/>
      <w:snapToGrid w:val="0"/>
      <w:spacing w:line="300" w:lineRule="auto"/>
      <w:ind w:firstLine="200" w:firstLineChars="200"/>
      <w:jc w:val="both"/>
    </w:pPr>
    <w:rPr>
      <w:rFonts w:ascii="Times New Roman" w:hAnsi="Times New Roman" w:eastAsia="楷体_GB2312" w:cs="Times New Roman"/>
      <w:kern w:val="2"/>
      <w:sz w:val="28"/>
      <w:szCs w:val="20"/>
    </w:rPr>
  </w:style>
  <w:style w:type="paragraph" w:customStyle="1" w:styleId="2391">
    <w:name w:val="xl214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392">
    <w:name w:val="样式 小四 黑色 首行缩进:  0.77 厘米 行距: 1.5 倍行距"/>
    <w:basedOn w:val="1"/>
    <w:qFormat/>
    <w:uiPriority w:val="0"/>
    <w:pPr>
      <w:widowControl w:val="0"/>
      <w:spacing w:line="360" w:lineRule="auto"/>
      <w:ind w:firstLine="437"/>
      <w:jc w:val="both"/>
    </w:pPr>
    <w:rPr>
      <w:rFonts w:ascii="Times New Roman" w:hAnsi="Times New Roman" w:cs="Times New Roman"/>
      <w:color w:val="000000"/>
      <w:kern w:val="2"/>
    </w:rPr>
  </w:style>
  <w:style w:type="paragraph" w:customStyle="1" w:styleId="2393">
    <w:name w:val="样式70"/>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94">
    <w:name w:val="xl1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95">
    <w:name w:val="样式90"/>
    <w:basedOn w:val="1"/>
    <w:qFormat/>
    <w:uiPriority w:val="0"/>
    <w:pPr>
      <w:widowControl w:val="0"/>
      <w:adjustRightInd w:val="0"/>
      <w:snapToGrid w:val="0"/>
      <w:spacing w:line="320" w:lineRule="exact"/>
      <w:jc w:val="both"/>
    </w:pPr>
    <w:rPr>
      <w:rFonts w:ascii="Times New Roman" w:cs="Times New Roman"/>
      <w:snapToGrid w:val="0"/>
      <w:color w:val="000000"/>
      <w:sz w:val="21"/>
      <w:szCs w:val="21"/>
    </w:rPr>
  </w:style>
  <w:style w:type="paragraph" w:customStyle="1" w:styleId="2396">
    <w:name w:val="样式 表格标注 + 首行缩进:  2 字符"/>
    <w:basedOn w:val="1"/>
    <w:qFormat/>
    <w:uiPriority w:val="0"/>
    <w:pPr>
      <w:widowControl w:val="0"/>
      <w:spacing w:before="156" w:beforeLines="50" w:after="156" w:afterLines="50"/>
      <w:ind w:firstLine="420" w:firstLineChars="200"/>
      <w:jc w:val="both"/>
    </w:pPr>
    <w:rPr>
      <w:rFonts w:ascii="Times New Roman" w:hAnsi="Times New Roman"/>
      <w:kern w:val="2"/>
      <w:sz w:val="21"/>
      <w:szCs w:val="20"/>
    </w:rPr>
  </w:style>
  <w:style w:type="paragraph" w:customStyle="1" w:styleId="2397">
    <w:name w:val="xl26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98">
    <w:name w:val="样式76"/>
    <w:basedOn w:val="874"/>
    <w:qFormat/>
    <w:uiPriority w:val="0"/>
    <w:pPr>
      <w:adjustRightInd w:val="0"/>
      <w:spacing w:line="300" w:lineRule="exact"/>
      <w:ind w:left="-140" w:leftChars="-50" w:right="-140" w:rightChars="-50" w:firstLine="420"/>
    </w:pPr>
    <w:rPr>
      <w:rFonts w:hint="default" w:ascii="Times New Roman" w:hAnsi="Times New Roman" w:eastAsia="宋体"/>
      <w:color w:val="000000"/>
      <w:kern w:val="0"/>
      <w:szCs w:val="28"/>
    </w:rPr>
  </w:style>
  <w:style w:type="paragraph" w:customStyle="1" w:styleId="2399">
    <w:name w:val="样式 表格头 + (符号) 宋体 段前: 0.5 行"/>
    <w:basedOn w:val="1"/>
    <w:qFormat/>
    <w:uiPriority w:val="0"/>
    <w:pPr>
      <w:keepNext/>
      <w:keepLines/>
      <w:adjustRightInd w:val="0"/>
      <w:snapToGrid w:val="0"/>
      <w:spacing w:beforeLines="50" w:line="400" w:lineRule="exact"/>
      <w:jc w:val="center"/>
    </w:pPr>
    <w:rPr>
      <w:rFonts w:ascii="Arial"/>
      <w:snapToGrid w:val="0"/>
      <w:color w:val="000000"/>
      <w:sz w:val="28"/>
      <w:szCs w:val="20"/>
    </w:rPr>
  </w:style>
  <w:style w:type="paragraph" w:customStyle="1" w:styleId="2400">
    <w:name w:val="xl303"/>
    <w:basedOn w:val="1"/>
    <w:qFormat/>
    <w:uiPriority w:val="0"/>
    <w:pPr>
      <w:pBdr>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01">
    <w:name w:val="123"/>
    <w:basedOn w:val="1"/>
    <w:qFormat/>
    <w:uiPriority w:val="0"/>
    <w:pPr>
      <w:widowControl w:val="0"/>
      <w:spacing w:line="360" w:lineRule="auto"/>
      <w:ind w:firstLine="420"/>
      <w:jc w:val="both"/>
    </w:pPr>
    <w:rPr>
      <w:rFonts w:ascii="Times New Roman" w:hAnsi="Times New Roman" w:cs="Times New Roman"/>
      <w:kern w:val="2"/>
    </w:rPr>
  </w:style>
  <w:style w:type="paragraph" w:customStyle="1" w:styleId="2402">
    <w:name w:val="xl215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2"/>
      <w:szCs w:val="22"/>
    </w:rPr>
  </w:style>
  <w:style w:type="paragraph" w:customStyle="1" w:styleId="2403">
    <w:name w:val="标题 4 + 四号"/>
    <w:basedOn w:val="6"/>
    <w:qFormat/>
    <w:uiPriority w:val="0"/>
    <w:pPr>
      <w:widowControl w:val="0"/>
      <w:spacing w:before="260" w:beforeLines="50" w:after="260" w:afterLines="50" w:line="480" w:lineRule="exact"/>
      <w:jc w:val="both"/>
    </w:pPr>
    <w:rPr>
      <w:sz w:val="28"/>
      <w:szCs w:val="28"/>
    </w:rPr>
  </w:style>
  <w:style w:type="paragraph" w:customStyle="1" w:styleId="2404">
    <w:name w:val="正文缩进3"/>
    <w:basedOn w:val="1"/>
    <w:qFormat/>
    <w:uiPriority w:val="0"/>
    <w:pPr>
      <w:widowControl w:val="0"/>
      <w:adjustRightInd w:val="0"/>
      <w:snapToGrid w:val="0"/>
      <w:spacing w:line="480" w:lineRule="exact"/>
      <w:ind w:firstLine="200" w:firstLineChars="200"/>
      <w:jc w:val="both"/>
    </w:pPr>
    <w:rPr>
      <w:rFonts w:ascii="Times New Roman" w:hAnsi="Times New Roman" w:eastAsia="方正仿宋简体" w:cs="Times New Roman"/>
      <w:kern w:val="2"/>
      <w:sz w:val="28"/>
      <w:szCs w:val="20"/>
    </w:rPr>
  </w:style>
  <w:style w:type="paragraph" w:customStyle="1" w:styleId="2405">
    <w:name w:val="样式 标题2 + 行距: 固定值 23 磅"/>
    <w:basedOn w:val="1"/>
    <w:qFormat/>
    <w:uiPriority w:val="0"/>
    <w:pPr>
      <w:keepNext/>
      <w:keepLines/>
      <w:widowControl w:val="0"/>
      <w:adjustRightInd w:val="0"/>
      <w:spacing w:line="460" w:lineRule="exact"/>
      <w:jc w:val="both"/>
      <w:outlineLvl w:val="1"/>
    </w:pPr>
    <w:rPr>
      <w:rFonts w:ascii="黑体" w:hAnsi="Times New Roman" w:eastAsia="黑体"/>
      <w:bCs/>
      <w:color w:val="000000"/>
      <w:sz w:val="28"/>
      <w:szCs w:val="20"/>
    </w:rPr>
  </w:style>
  <w:style w:type="paragraph" w:customStyle="1" w:styleId="2406">
    <w:name w:val="正文文本 31"/>
    <w:basedOn w:val="1"/>
    <w:qFormat/>
    <w:uiPriority w:val="0"/>
    <w:pPr>
      <w:widowControl w:val="0"/>
      <w:adjustRightInd w:val="0"/>
      <w:snapToGrid w:val="0"/>
      <w:spacing w:after="120" w:line="480" w:lineRule="exact"/>
      <w:ind w:firstLine="200" w:firstLineChars="200"/>
      <w:jc w:val="both"/>
    </w:pPr>
    <w:rPr>
      <w:rFonts w:ascii="Times New Roman" w:hAnsi="Times New Roman" w:cs="Times New Roman"/>
      <w:sz w:val="16"/>
      <w:szCs w:val="16"/>
    </w:rPr>
  </w:style>
  <w:style w:type="paragraph" w:customStyle="1" w:styleId="2407">
    <w:name w:val="样式 标题 3条标题1.1.1BSH-3H3h33rd levell3CT段二级节名条 1二级节名1二级...1"/>
    <w:basedOn w:val="6"/>
    <w:qFormat/>
    <w:uiPriority w:val="0"/>
    <w:pPr>
      <w:widowControl w:val="0"/>
      <w:adjustRightInd w:val="0"/>
      <w:spacing w:line="360" w:lineRule="auto"/>
      <w:jc w:val="both"/>
    </w:pPr>
    <w:rPr>
      <w:rFonts w:eastAsia="宋体" w:cs="宋体"/>
      <w:b/>
      <w:sz w:val="28"/>
      <w:szCs w:val="20"/>
    </w:rPr>
  </w:style>
  <w:style w:type="paragraph" w:customStyle="1" w:styleId="2408">
    <w:name w:val="样式21"/>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szCs w:val="28"/>
    </w:rPr>
  </w:style>
  <w:style w:type="paragraph" w:customStyle="1" w:styleId="2409">
    <w:name w:val="文本框文字"/>
    <w:basedOn w:val="41"/>
    <w:next w:val="41"/>
    <w:qFormat/>
    <w:uiPriority w:val="0"/>
    <w:pPr>
      <w:widowControl w:val="0"/>
      <w:spacing w:line="360" w:lineRule="exact"/>
      <w:jc w:val="both"/>
    </w:pPr>
    <w:rPr>
      <w:sz w:val="24"/>
      <w:szCs w:val="20"/>
    </w:rPr>
  </w:style>
  <w:style w:type="paragraph" w:customStyle="1" w:styleId="2410">
    <w:name w:val="封面落款"/>
    <w:basedOn w:val="1"/>
    <w:next w:val="1"/>
    <w:qFormat/>
    <w:uiPriority w:val="0"/>
    <w:pPr>
      <w:widowControl w:val="0"/>
      <w:spacing w:line="460" w:lineRule="exact"/>
      <w:ind w:firstLine="200" w:firstLineChars="200"/>
      <w:jc w:val="center"/>
    </w:pPr>
    <w:rPr>
      <w:rFonts w:ascii="Times New Roman" w:hAnsi="Times New Roman" w:cs="Times New Roman"/>
      <w:kern w:val="2"/>
      <w:sz w:val="28"/>
    </w:rPr>
  </w:style>
  <w:style w:type="paragraph" w:customStyle="1" w:styleId="2411">
    <w:name w:val="列出段落5"/>
    <w:basedOn w:val="1"/>
    <w:qFormat/>
    <w:uiPriority w:val="34"/>
    <w:pPr>
      <w:widowControl w:val="0"/>
      <w:ind w:firstLine="420" w:firstLineChars="200"/>
      <w:jc w:val="both"/>
    </w:pPr>
    <w:rPr>
      <w:rFonts w:ascii="Times New Roman" w:hAnsi="Times New Roman" w:cs="Times New Roman"/>
      <w:kern w:val="2"/>
      <w:szCs w:val="20"/>
    </w:rPr>
  </w:style>
  <w:style w:type="paragraph" w:customStyle="1" w:styleId="2412">
    <w:name w:val="正文-表格居中"/>
    <w:basedOn w:val="1223"/>
    <w:qFormat/>
    <w:uiPriority w:val="0"/>
    <w:pPr>
      <w:adjustRightInd w:val="0"/>
      <w:snapToGrid w:val="0"/>
      <w:spacing w:line="240" w:lineRule="auto"/>
      <w:ind w:firstLine="0"/>
      <w:jc w:val="center"/>
    </w:pPr>
    <w:rPr>
      <w:sz w:val="21"/>
      <w:szCs w:val="24"/>
    </w:rPr>
  </w:style>
  <w:style w:type="paragraph" w:customStyle="1" w:styleId="2413">
    <w:name w:val="图形标题"/>
    <w:basedOn w:val="5"/>
    <w:next w:val="1"/>
    <w:qFormat/>
    <w:uiPriority w:val="0"/>
    <w:pPr>
      <w:widowControl w:val="0"/>
      <w:tabs>
        <w:tab w:val="left" w:pos="1120"/>
      </w:tabs>
      <w:spacing w:before="120" w:after="120" w:line="290" w:lineRule="auto"/>
      <w:ind w:right="-108" w:firstLine="0"/>
      <w:jc w:val="center"/>
    </w:pPr>
    <w:rPr>
      <w:rFonts w:ascii="Times New Roman" w:hAnsi="Times New Roman"/>
      <w:kern w:val="24"/>
      <w:sz w:val="24"/>
    </w:rPr>
  </w:style>
  <w:style w:type="paragraph" w:customStyle="1" w:styleId="2414">
    <w:name w:val="样式  表头"/>
    <w:basedOn w:val="103"/>
    <w:qFormat/>
    <w:uiPriority w:val="0"/>
    <w:pPr>
      <w:spacing w:line="520" w:lineRule="exact"/>
    </w:pPr>
    <w:rPr>
      <w:snapToGrid w:val="0"/>
    </w:rPr>
  </w:style>
  <w:style w:type="paragraph" w:customStyle="1" w:styleId="2415">
    <w:name w:val="xl273"/>
    <w:basedOn w:val="1"/>
    <w:qFormat/>
    <w:uiPriority w:val="0"/>
    <w:pPr>
      <w:pBdr>
        <w:top w:val="single" w:color="auto" w:sz="4" w:space="0"/>
        <w:left w:val="single" w:color="auto" w:sz="4" w:space="0"/>
        <w:bottom w:val="single" w:color="auto" w:sz="4" w:space="0"/>
        <w:right w:val="single" w:color="auto" w:sz="4" w:space="0"/>
      </w:pBdr>
      <w:shd w:val="clear" w:color="auto" w:fill="800080"/>
      <w:spacing w:before="100" w:beforeAutospacing="1" w:after="100" w:afterAutospacing="1"/>
    </w:pPr>
    <w:rPr>
      <w:b/>
      <w:bCs/>
      <w:sz w:val="20"/>
      <w:szCs w:val="20"/>
    </w:rPr>
  </w:style>
  <w:style w:type="paragraph" w:customStyle="1" w:styleId="2416">
    <w:name w:val="样式23"/>
    <w:basedOn w:val="1"/>
    <w:qFormat/>
    <w:uiPriority w:val="0"/>
    <w:pPr>
      <w:spacing w:line="240" w:lineRule="exact"/>
      <w:jc w:val="center"/>
    </w:pPr>
    <w:rPr>
      <w:rFonts w:ascii="Times New Roman" w:cs="Times New Roman"/>
      <w:sz w:val="18"/>
      <w:szCs w:val="18"/>
    </w:rPr>
  </w:style>
  <w:style w:type="paragraph" w:customStyle="1" w:styleId="2417">
    <w:name w:val="样式60"/>
    <w:basedOn w:val="2222"/>
    <w:qFormat/>
    <w:uiPriority w:val="0"/>
    <w:pPr>
      <w:spacing w:line="500" w:lineRule="exact"/>
      <w:ind w:firstLine="560"/>
    </w:pPr>
    <w:rPr>
      <w:b w:val="0"/>
      <w:color w:val="FF0000"/>
    </w:rPr>
  </w:style>
  <w:style w:type="paragraph" w:customStyle="1" w:styleId="2418">
    <w:name w:val="17"/>
    <w:basedOn w:val="1"/>
    <w:next w:val="32"/>
    <w:qFormat/>
    <w:uiPriority w:val="0"/>
    <w:pPr>
      <w:widowControl w:val="0"/>
      <w:adjustRightInd w:val="0"/>
      <w:snapToGrid w:val="0"/>
      <w:ind w:firstLine="645"/>
      <w:jc w:val="both"/>
    </w:pPr>
    <w:rPr>
      <w:rFonts w:hAnsi="Times New Roman" w:cs="Times New Roman"/>
      <w:kern w:val="2"/>
      <w:sz w:val="28"/>
      <w:szCs w:val="20"/>
    </w:rPr>
  </w:style>
  <w:style w:type="paragraph" w:customStyle="1" w:styleId="2419">
    <w:name w:val="Char Char Char Char Char Char Char2"/>
    <w:basedOn w:val="1"/>
    <w:qFormat/>
    <w:uiPriority w:val="0"/>
    <w:pPr>
      <w:spacing w:after="160" w:line="240" w:lineRule="exact"/>
    </w:pPr>
    <w:rPr>
      <w:rFonts w:ascii="Verdana" w:hAnsi="Verdana" w:cs="Times New Roman"/>
      <w:sz w:val="20"/>
      <w:szCs w:val="20"/>
      <w:lang w:eastAsia="en-US"/>
    </w:rPr>
  </w:style>
  <w:style w:type="paragraph" w:customStyle="1" w:styleId="2420">
    <w:name w:val="xl1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21">
    <w:name w:val="样式34"/>
    <w:basedOn w:val="2288"/>
    <w:qFormat/>
    <w:uiPriority w:val="0"/>
    <w:pPr>
      <w:spacing w:line="500" w:lineRule="exact"/>
    </w:pPr>
  </w:style>
  <w:style w:type="paragraph" w:customStyle="1" w:styleId="2422">
    <w:name w:val="Char Char Char1 Char Char Char Char Char Char Char Char Char Char Char Char Char Char Char Char Char Char Char Char Char Char"/>
    <w:basedOn w:val="1"/>
    <w:qFormat/>
    <w:uiPriority w:val="0"/>
    <w:pPr>
      <w:widowControl w:val="0"/>
      <w:adjustRightInd w:val="0"/>
      <w:snapToGrid w:val="0"/>
      <w:spacing w:line="360" w:lineRule="auto"/>
      <w:ind w:firstLine="200" w:firstLineChars="200"/>
      <w:jc w:val="both"/>
    </w:pPr>
    <w:rPr>
      <w:kern w:val="2"/>
      <w:szCs w:val="26"/>
    </w:rPr>
  </w:style>
  <w:style w:type="paragraph" w:customStyle="1" w:styleId="2423">
    <w:name w:val="xl1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1"/>
      <w:szCs w:val="21"/>
    </w:rPr>
  </w:style>
  <w:style w:type="paragraph" w:customStyle="1" w:styleId="2424">
    <w:name w:val="样式4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425">
    <w:name w:val="样式67"/>
    <w:basedOn w:val="1"/>
    <w:qFormat/>
    <w:uiPriority w:val="0"/>
    <w:pPr>
      <w:widowControl w:val="0"/>
      <w:tabs>
        <w:tab w:val="left" w:pos="720"/>
      </w:tabs>
      <w:adjustRightInd w:val="0"/>
      <w:snapToGrid w:val="0"/>
      <w:spacing w:afterLines="50" w:line="480" w:lineRule="exact"/>
      <w:ind w:firstLine="560" w:firstLineChars="200"/>
      <w:jc w:val="both"/>
    </w:pPr>
    <w:rPr>
      <w:rFonts w:ascii="Times New Roman" w:hAnsi="Times New Roman" w:cs="Times New Roman"/>
      <w:snapToGrid w:val="0"/>
      <w:color w:val="FF0000"/>
      <w:sz w:val="28"/>
      <w:szCs w:val="28"/>
    </w:rPr>
  </w:style>
  <w:style w:type="paragraph" w:customStyle="1" w:styleId="2426">
    <w:name w:val="样式48"/>
    <w:basedOn w:val="1"/>
    <w:qFormat/>
    <w:uiPriority w:val="0"/>
    <w:pPr>
      <w:widowControl w:val="0"/>
      <w:adjustRightInd w:val="0"/>
      <w:snapToGrid w:val="0"/>
      <w:spacing w:line="480" w:lineRule="exact"/>
      <w:ind w:firstLine="480" w:firstLineChars="200"/>
      <w:jc w:val="both"/>
    </w:pPr>
    <w:rPr>
      <w:rFonts w:ascii="Times New Roman" w:hAnsi="Times New Roman" w:cs="Times New Roman"/>
      <w:snapToGrid w:val="0"/>
    </w:rPr>
  </w:style>
  <w:style w:type="paragraph" w:customStyle="1" w:styleId="2427">
    <w:name w:val="文本块2"/>
    <w:basedOn w:val="1"/>
    <w:qFormat/>
    <w:uiPriority w:val="0"/>
    <w:pPr>
      <w:widowControl w:val="0"/>
      <w:spacing w:line="480" w:lineRule="exact"/>
      <w:ind w:left="-143" w:leftChars="-68" w:right="-120" w:rightChars="-57"/>
      <w:jc w:val="center"/>
    </w:pPr>
    <w:rPr>
      <w:rFonts w:cs="Times New Roman"/>
      <w:color w:val="000000"/>
      <w:kern w:val="2"/>
    </w:rPr>
  </w:style>
  <w:style w:type="paragraph" w:customStyle="1" w:styleId="2428">
    <w:name w:val="多"/>
    <w:basedOn w:val="1"/>
    <w:qFormat/>
    <w:uiPriority w:val="0"/>
    <w:pPr>
      <w:widowControl w:val="0"/>
      <w:spacing w:line="300" w:lineRule="auto"/>
      <w:ind w:firstLine="200" w:firstLineChars="200"/>
      <w:jc w:val="both"/>
    </w:pPr>
    <w:rPr>
      <w:kern w:val="2"/>
    </w:rPr>
  </w:style>
  <w:style w:type="paragraph" w:customStyle="1" w:styleId="2429">
    <w:name w:val="标题 5 + 四号"/>
    <w:basedOn w:val="2403"/>
    <w:qFormat/>
    <w:uiPriority w:val="0"/>
    <w:pPr>
      <w:spacing w:line="415" w:lineRule="auto"/>
    </w:pPr>
    <w:rPr>
      <w:rFonts w:eastAsia="宋体"/>
      <w:b/>
      <w:kern w:val="2"/>
    </w:rPr>
  </w:style>
  <w:style w:type="paragraph" w:customStyle="1" w:styleId="2430">
    <w:name w:val="样式 标题 1 + (中文) 黑体 二号"/>
    <w:basedOn w:val="3"/>
    <w:qFormat/>
    <w:uiPriority w:val="0"/>
    <w:pPr>
      <w:keepNext/>
      <w:widowControl w:val="0"/>
      <w:adjustRightInd w:val="0"/>
      <w:snapToGrid w:val="0"/>
      <w:spacing w:before="340" w:beforeLines="100" w:after="330" w:afterLines="100" w:line="480" w:lineRule="auto"/>
      <w:jc w:val="center"/>
    </w:pPr>
    <w:rPr>
      <w:rFonts w:ascii="Times New Roman" w:hAnsi="Times New Roman"/>
      <w:b/>
      <w:bCs/>
      <w:sz w:val="44"/>
      <w:szCs w:val="20"/>
    </w:rPr>
  </w:style>
  <w:style w:type="paragraph" w:customStyle="1" w:styleId="2431">
    <w:name w:val="xl2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FF0000"/>
      <w:sz w:val="21"/>
      <w:szCs w:val="21"/>
    </w:rPr>
  </w:style>
  <w:style w:type="paragraph" w:customStyle="1" w:styleId="2432">
    <w:name w:val="样式 列表 + 黑色"/>
    <w:basedOn w:val="59"/>
    <w:qFormat/>
    <w:uiPriority w:val="0"/>
    <w:pPr>
      <w:spacing w:afterLines="150"/>
      <w:ind w:left="0" w:firstLine="0"/>
      <w:jc w:val="right"/>
    </w:pPr>
    <w:rPr>
      <w:rFonts w:hint="default"/>
      <w:b/>
      <w:color w:val="000000"/>
    </w:rPr>
  </w:style>
  <w:style w:type="paragraph" w:customStyle="1" w:styleId="2433">
    <w:name w:val="Char Char Char1 Char41"/>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434">
    <w:name w:val="xl11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cs="Times New Roman"/>
      <w:color w:val="FF0000"/>
      <w:sz w:val="20"/>
      <w:szCs w:val="20"/>
    </w:rPr>
  </w:style>
  <w:style w:type="paragraph" w:customStyle="1" w:styleId="2435">
    <w:name w:val="样式 首行缩进:  2 字符1"/>
    <w:basedOn w:val="1"/>
    <w:qFormat/>
    <w:uiPriority w:val="0"/>
    <w:pPr>
      <w:widowControl w:val="0"/>
      <w:adjustRightInd w:val="0"/>
      <w:snapToGrid w:val="0"/>
      <w:spacing w:line="480" w:lineRule="exact"/>
      <w:ind w:firstLine="620" w:firstLineChars="200"/>
      <w:jc w:val="both"/>
    </w:pPr>
    <w:rPr>
      <w:rFonts w:ascii="Times New Roman" w:hAnsi="Times New Roman" w:eastAsia="楷体_GB2312"/>
      <w:sz w:val="28"/>
      <w:szCs w:val="20"/>
    </w:rPr>
  </w:style>
  <w:style w:type="paragraph" w:customStyle="1" w:styleId="2436">
    <w:name w:val="正文文本 32"/>
    <w:basedOn w:val="1"/>
    <w:qFormat/>
    <w:uiPriority w:val="0"/>
    <w:pPr>
      <w:widowControl w:val="0"/>
      <w:spacing w:line="240" w:lineRule="exact"/>
      <w:jc w:val="both"/>
    </w:pPr>
    <w:rPr>
      <w:rFonts w:ascii="Times New Roman" w:hAnsi="Times New Roman" w:cs="Times New Roman"/>
      <w:kern w:val="2"/>
      <w:sz w:val="18"/>
      <w:szCs w:val="20"/>
    </w:rPr>
  </w:style>
  <w:style w:type="paragraph" w:customStyle="1" w:styleId="2437">
    <w:name w:val="样式 列表 + 段前: 0.5 行"/>
    <w:basedOn w:val="1"/>
    <w:qFormat/>
    <w:uiPriority w:val="0"/>
    <w:pPr>
      <w:widowControl w:val="0"/>
      <w:spacing w:line="480" w:lineRule="exact"/>
      <w:ind w:firstLine="480" w:firstLineChars="200"/>
      <w:jc w:val="both"/>
    </w:pPr>
    <w:rPr>
      <w:rFonts w:ascii="黑体" w:eastAsia="黑体" w:cs="Times New Roman"/>
      <w:szCs w:val="32"/>
    </w:rPr>
  </w:style>
  <w:style w:type="paragraph" w:customStyle="1" w:styleId="2438">
    <w:name w:val="样式 样式 5正文 + 两端对齐 + 首行缩进:  2 字符 + 首行缩进:  2 字符"/>
    <w:basedOn w:val="2439"/>
    <w:qFormat/>
    <w:uiPriority w:val="0"/>
  </w:style>
  <w:style w:type="paragraph" w:customStyle="1" w:styleId="2439">
    <w:name w:val="样式 5正文 + 两端对齐 + 首行缩进:  2 字符"/>
    <w:basedOn w:val="2323"/>
    <w:qFormat/>
    <w:uiPriority w:val="0"/>
  </w:style>
  <w:style w:type="paragraph" w:customStyle="1" w:styleId="2440">
    <w:name w:val="xl112"/>
    <w:basedOn w:val="1"/>
    <w:qFormat/>
    <w:uiPriority w:val="0"/>
    <w:pPr>
      <w:pBdr>
        <w:top w:val="single" w:color="auto" w:sz="4" w:space="0"/>
        <w:left w:val="single" w:color="auto" w:sz="4" w:space="0"/>
        <w:right w:val="single" w:color="auto" w:sz="4" w:space="0"/>
      </w:pBdr>
      <w:spacing w:before="100" w:beforeAutospacing="1" w:after="100" w:afterAutospacing="1"/>
      <w:jc w:val="center"/>
    </w:pPr>
    <w:rPr>
      <w:b/>
      <w:bCs/>
      <w:color w:val="000000"/>
      <w:sz w:val="20"/>
      <w:szCs w:val="20"/>
    </w:rPr>
  </w:style>
  <w:style w:type="paragraph" w:customStyle="1" w:styleId="2441">
    <w:name w:val="文本块11"/>
    <w:basedOn w:val="1"/>
    <w:qFormat/>
    <w:uiPriority w:val="0"/>
    <w:pPr>
      <w:widowControl w:val="0"/>
      <w:ind w:left="144" w:right="90" w:firstLine="645"/>
      <w:jc w:val="both"/>
    </w:pPr>
    <w:rPr>
      <w:rFonts w:ascii="Times New Roman" w:hAnsi="Times New Roman" w:eastAsia="楷体_GB2312" w:cs="Times New Roman"/>
      <w:kern w:val="2"/>
      <w:szCs w:val="20"/>
    </w:rPr>
  </w:style>
  <w:style w:type="paragraph" w:customStyle="1" w:styleId="2442">
    <w:name w:val="图标"/>
    <w:basedOn w:val="1"/>
    <w:qFormat/>
    <w:uiPriority w:val="0"/>
    <w:pPr>
      <w:widowControl w:val="0"/>
      <w:tabs>
        <w:tab w:val="left" w:pos="6395"/>
      </w:tabs>
      <w:spacing w:line="480" w:lineRule="exact"/>
      <w:jc w:val="center"/>
      <w:outlineLvl w:val="5"/>
    </w:pPr>
    <w:rPr>
      <w:rFonts w:cs="Times New Roman"/>
      <w:b/>
      <w:bCs/>
      <w:kern w:val="2"/>
      <w:sz w:val="36"/>
      <w:szCs w:val="20"/>
    </w:rPr>
  </w:style>
  <w:style w:type="paragraph" w:customStyle="1" w:styleId="2443">
    <w:name w:val="Char Char2 Char Char Char1 Char Char Char Char Char Char Char2"/>
    <w:basedOn w:val="1"/>
    <w:qFormat/>
    <w:uiPriority w:val="0"/>
    <w:pPr>
      <w:widowControl w:val="0"/>
      <w:jc w:val="both"/>
    </w:pPr>
    <w:rPr>
      <w:rFonts w:ascii="Times New Roman" w:hAnsi="Times New Roman" w:cs="Times New Roman"/>
      <w:kern w:val="2"/>
      <w:sz w:val="21"/>
    </w:rPr>
  </w:style>
  <w:style w:type="paragraph" w:customStyle="1" w:styleId="2444">
    <w:name w:val="xl313"/>
    <w:basedOn w:val="1"/>
    <w:qFormat/>
    <w:uiPriority w:val="0"/>
    <w:pPr>
      <w:pBdr>
        <w:left w:val="single" w:color="auto" w:sz="4" w:space="0"/>
        <w:bottom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445">
    <w:name w:val="索引 11"/>
    <w:basedOn w:val="1"/>
    <w:next w:val="1"/>
    <w:qFormat/>
    <w:uiPriority w:val="0"/>
    <w:pPr>
      <w:widowControl w:val="0"/>
      <w:spacing w:line="360" w:lineRule="exact"/>
      <w:jc w:val="center"/>
    </w:pPr>
    <w:rPr>
      <w:rFonts w:cs="Times New Roman"/>
      <w:kern w:val="2"/>
      <w:sz w:val="21"/>
    </w:rPr>
  </w:style>
  <w:style w:type="paragraph" w:customStyle="1" w:styleId="2446">
    <w:name w:val="xl253"/>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447">
    <w:name w:val="样式74"/>
    <w:basedOn w:val="2345"/>
    <w:qFormat/>
    <w:uiPriority w:val="0"/>
    <w:pPr>
      <w:ind w:firstLine="480"/>
    </w:pPr>
    <w:rPr>
      <w:color w:val="000000"/>
      <w:sz w:val="24"/>
      <w:szCs w:val="24"/>
    </w:rPr>
  </w:style>
  <w:style w:type="paragraph" w:customStyle="1" w:styleId="2448">
    <w:name w:val="缩进正文"/>
    <w:basedOn w:val="1779"/>
    <w:qFormat/>
    <w:uiPriority w:val="0"/>
    <w:pPr>
      <w:widowControl w:val="0"/>
      <w:spacing w:line="310" w:lineRule="atLeast"/>
      <w:ind w:left="0" w:firstLine="525"/>
      <w:jc w:val="both"/>
      <w:textAlignment w:val="auto"/>
    </w:pPr>
    <w:rPr>
      <w:rFonts w:ascii="楷体_GB2312" w:hAnsi="Times New Roman" w:eastAsia="楷体_GB2312" w:cs="Times New Roman"/>
      <w:sz w:val="28"/>
      <w:szCs w:val="20"/>
    </w:rPr>
  </w:style>
  <w:style w:type="paragraph" w:customStyle="1" w:styleId="2449">
    <w:name w:val="样式61"/>
    <w:basedOn w:val="1"/>
    <w:qFormat/>
    <w:uiPriority w:val="0"/>
    <w:pPr>
      <w:widowControl w:val="0"/>
      <w:spacing w:line="500" w:lineRule="exact"/>
      <w:ind w:firstLine="560" w:firstLineChars="200"/>
      <w:jc w:val="both"/>
    </w:pPr>
    <w:rPr>
      <w:rFonts w:cs="Times New Roman"/>
      <w:color w:val="000000"/>
      <w:kern w:val="2"/>
      <w:sz w:val="28"/>
      <w:szCs w:val="28"/>
    </w:rPr>
  </w:style>
  <w:style w:type="paragraph" w:customStyle="1" w:styleId="2450">
    <w:name w:val="正文三级"/>
    <w:qFormat/>
    <w:uiPriority w:val="0"/>
    <w:pPr>
      <w:tabs>
        <w:tab w:val="left" w:pos="1204"/>
      </w:tabs>
      <w:spacing w:before="120" w:after="120" w:line="480" w:lineRule="exact"/>
      <w:ind w:left="1204"/>
      <w:jc w:val="both"/>
      <w:outlineLvl w:val="2"/>
    </w:pPr>
    <w:rPr>
      <w:rFonts w:ascii="Times New Roman" w:hAnsi="Times New Roman" w:eastAsia="黑体" w:cs="Times New Roman"/>
      <w:bCs/>
      <w:kern w:val="44"/>
      <w:sz w:val="30"/>
      <w:szCs w:val="30"/>
      <w:lang w:val="en-US" w:eastAsia="zh-CN" w:bidi="ar-SA"/>
    </w:rPr>
  </w:style>
  <w:style w:type="paragraph" w:customStyle="1" w:styleId="2451">
    <w:name w:val="标题4"/>
    <w:basedOn w:val="1"/>
    <w:qFormat/>
    <w:uiPriority w:val="0"/>
    <w:pPr>
      <w:widowControl w:val="0"/>
      <w:adjustRightInd w:val="0"/>
      <w:snapToGrid w:val="0"/>
      <w:spacing w:line="480" w:lineRule="atLeast"/>
      <w:jc w:val="both"/>
    </w:pPr>
    <w:rPr>
      <w:rFonts w:ascii="Times New Roman" w:hAnsi="Times New Roman" w:cs="Times New Roman"/>
      <w:b/>
      <w:snapToGrid w:val="0"/>
      <w:kern w:val="28"/>
      <w:sz w:val="30"/>
      <w:szCs w:val="20"/>
    </w:rPr>
  </w:style>
  <w:style w:type="paragraph" w:customStyle="1" w:styleId="2452">
    <w:name w:val="xl264"/>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453">
    <w:name w:val="样式 5正文"/>
    <w:basedOn w:val="2317"/>
    <w:qFormat/>
    <w:uiPriority w:val="0"/>
    <w:pPr>
      <w:spacing w:line="440" w:lineRule="exact"/>
      <w:ind w:firstLine="480"/>
    </w:pPr>
  </w:style>
  <w:style w:type="paragraph" w:customStyle="1" w:styleId="2454">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2455">
    <w:name w:val="Char31"/>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456">
    <w:name w:val="样式51"/>
    <w:basedOn w:val="87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457">
    <w:name w:val="样式22"/>
    <w:basedOn w:val="1"/>
    <w:qFormat/>
    <w:uiPriority w:val="0"/>
    <w:pPr>
      <w:widowControl w:val="0"/>
      <w:adjustRightInd w:val="0"/>
      <w:snapToGrid w:val="0"/>
      <w:spacing w:line="500" w:lineRule="exact"/>
      <w:ind w:firstLine="560" w:firstLineChars="200"/>
      <w:jc w:val="both"/>
    </w:pPr>
    <w:rPr>
      <w:rFonts w:ascii="Times New Roman" w:hAnsi="Times New Roman" w:cs="Times New Roman"/>
      <w:snapToGrid w:val="0"/>
      <w:sz w:val="28"/>
    </w:rPr>
  </w:style>
  <w:style w:type="paragraph" w:customStyle="1" w:styleId="2458">
    <w:name w:val="Char Char Char Char Char Char Char Char Char Char Char Char 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2459">
    <w:name w:val="列表 31"/>
    <w:basedOn w:val="1"/>
    <w:qFormat/>
    <w:uiPriority w:val="0"/>
    <w:pPr>
      <w:widowControl w:val="0"/>
      <w:ind w:left="1260" w:hanging="420"/>
      <w:jc w:val="both"/>
    </w:pPr>
    <w:rPr>
      <w:rFonts w:ascii="Times New Roman" w:hAnsi="Times New Roman" w:cs="Times New Roman"/>
      <w:kern w:val="2"/>
      <w:sz w:val="21"/>
    </w:rPr>
  </w:style>
  <w:style w:type="paragraph" w:customStyle="1" w:styleId="2460">
    <w:name w:val="列表2"/>
    <w:basedOn w:val="1"/>
    <w:qFormat/>
    <w:uiPriority w:val="0"/>
    <w:pPr>
      <w:widowControl w:val="0"/>
      <w:jc w:val="center"/>
    </w:pPr>
    <w:rPr>
      <w:rFonts w:ascii="Times New Roman" w:hAnsi="Times New Roman" w:cs="Times New Roman"/>
      <w:sz w:val="21"/>
      <w:szCs w:val="20"/>
    </w:rPr>
  </w:style>
  <w:style w:type="paragraph" w:customStyle="1" w:styleId="2461">
    <w:name w:val="样式35"/>
    <w:basedOn w:val="2164"/>
    <w:qFormat/>
    <w:uiPriority w:val="0"/>
    <w:pPr>
      <w:spacing w:before="0" w:after="0" w:line="240" w:lineRule="auto"/>
      <w:ind w:firstLine="1366" w:firstLineChars="427"/>
    </w:pPr>
    <w:rPr>
      <w:rFonts w:ascii="方正黑体简体" w:eastAsia="方正黑体简体"/>
      <w:sz w:val="28"/>
      <w:szCs w:val="28"/>
    </w:rPr>
  </w:style>
  <w:style w:type="paragraph" w:customStyle="1" w:styleId="2462">
    <w:name w:val="无间隔1"/>
    <w:qFormat/>
    <w:uiPriority w:val="0"/>
    <w:rPr>
      <w:rFonts w:ascii="Calibri" w:hAnsi="Calibri" w:eastAsia="Times New Roman" w:cs="Times New Roman"/>
      <w:kern w:val="2"/>
      <w:sz w:val="22"/>
      <w:szCs w:val="22"/>
      <w:lang w:val="en-US" w:eastAsia="zh-CN" w:bidi="ar-SA"/>
    </w:rPr>
  </w:style>
  <w:style w:type="paragraph" w:customStyle="1" w:styleId="2463">
    <w:name w:val="xl1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64">
    <w:name w:val="样式38"/>
    <w:basedOn w:val="5"/>
    <w:qFormat/>
    <w:uiPriority w:val="0"/>
    <w:pPr>
      <w:widowControl w:val="0"/>
      <w:spacing w:line="480" w:lineRule="exact"/>
      <w:ind w:firstLine="560" w:firstLineChars="200"/>
      <w:jc w:val="both"/>
    </w:pPr>
    <w:rPr>
      <w:rFonts w:ascii="Times New Roman" w:hAnsi="Times New Roman"/>
      <w:kern w:val="2"/>
      <w:szCs w:val="28"/>
    </w:rPr>
  </w:style>
  <w:style w:type="paragraph" w:customStyle="1" w:styleId="2465">
    <w:name w:val="xl212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style>
  <w:style w:type="paragraph" w:customStyle="1" w:styleId="2466">
    <w:name w:val="HTML 预设格式3"/>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000000"/>
    </w:rPr>
  </w:style>
  <w:style w:type="paragraph" w:customStyle="1" w:styleId="2467">
    <w:name w:val="正文首行缩进 221"/>
    <w:basedOn w:val="2468"/>
    <w:qFormat/>
    <w:uiPriority w:val="0"/>
    <w:pPr>
      <w:widowControl w:val="0"/>
      <w:snapToGrid w:val="0"/>
      <w:spacing w:after="120" w:line="480" w:lineRule="exact"/>
      <w:ind w:left="420" w:leftChars="200" w:firstLine="420" w:firstLineChars="200"/>
      <w:jc w:val="both"/>
      <w:textAlignment w:val="auto"/>
    </w:pPr>
    <w:rPr>
      <w:rFonts w:ascii="楷体_GB2312" w:hAnsi="等线" w:eastAsia="楷体_GB2312" w:cs="Times New Roman"/>
      <w:kern w:val="2"/>
      <w:sz w:val="28"/>
    </w:rPr>
  </w:style>
  <w:style w:type="paragraph" w:customStyle="1" w:styleId="2468">
    <w:name w:val="正文文本缩进21"/>
    <w:basedOn w:val="1"/>
    <w:qFormat/>
    <w:uiPriority w:val="0"/>
    <w:pPr>
      <w:adjustRightInd w:val="0"/>
      <w:spacing w:line="360" w:lineRule="atLeast"/>
      <w:ind w:left="280" w:firstLine="560"/>
      <w:textAlignment w:val="baseline"/>
    </w:pPr>
  </w:style>
  <w:style w:type="paragraph" w:customStyle="1" w:styleId="2469">
    <w:name w:val="xl305"/>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70">
    <w:name w:val="xl23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2471">
    <w:name w:val="xl25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472">
    <w:name w:val="xl2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473">
    <w:name w:val="样式 样式6 + 居中"/>
    <w:basedOn w:val="1316"/>
    <w:qFormat/>
    <w:uiPriority w:val="0"/>
    <w:pPr>
      <w:topLinePunct/>
      <w:adjustRightInd/>
      <w:snapToGrid/>
      <w:spacing w:line="240" w:lineRule="auto"/>
      <w:ind w:firstLine="360" w:firstLineChars="0"/>
      <w:jc w:val="center"/>
      <w:textAlignment w:val="auto"/>
    </w:pPr>
    <w:rPr>
      <w:rFonts w:ascii="Times New Roman"/>
      <w:sz w:val="18"/>
      <w:szCs w:val="20"/>
    </w:rPr>
  </w:style>
  <w:style w:type="paragraph" w:customStyle="1" w:styleId="2474">
    <w:name w:val="xl2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75">
    <w:name w:val="xl1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476">
    <w:name w:val="xl2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77">
    <w:name w:val="xl12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478">
    <w:name w:val="xl21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2479">
    <w:name w:val="xl1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0">
    <w:name w:val="Знак Знак13"/>
    <w:basedOn w:val="1"/>
    <w:qFormat/>
    <w:uiPriority w:val="0"/>
    <w:pPr>
      <w:widowControl w:val="0"/>
      <w:jc w:val="both"/>
    </w:pPr>
    <w:rPr>
      <w:rFonts w:ascii="Times New Roman" w:hAnsi="Times New Roman" w:cs="Times New Roman"/>
      <w:kern w:val="2"/>
      <w:sz w:val="21"/>
    </w:rPr>
  </w:style>
  <w:style w:type="paragraph" w:customStyle="1" w:styleId="2481">
    <w:name w:val="xl1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0"/>
      <w:szCs w:val="20"/>
    </w:rPr>
  </w:style>
  <w:style w:type="paragraph" w:customStyle="1" w:styleId="2482">
    <w:name w:val="xl1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2483">
    <w:name w:val="xl194"/>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484">
    <w:name w:val="xl1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5">
    <w:name w:val="xl2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6">
    <w:name w:val="文本"/>
    <w:basedOn w:val="1"/>
    <w:next w:val="31"/>
    <w:qFormat/>
    <w:uiPriority w:val="0"/>
    <w:pPr>
      <w:widowControl w:val="0"/>
      <w:jc w:val="both"/>
    </w:pPr>
    <w:rPr>
      <w:rFonts w:ascii="Times New Roman" w:hAnsi="Times New Roman" w:cs="Times New Roman"/>
      <w:kern w:val="2"/>
      <w:sz w:val="28"/>
    </w:rPr>
  </w:style>
  <w:style w:type="paragraph" w:customStyle="1" w:styleId="2487">
    <w:name w:val="A标题2"/>
    <w:basedOn w:val="4"/>
    <w:qFormat/>
    <w:uiPriority w:val="0"/>
    <w:pPr>
      <w:widowControl w:val="0"/>
      <w:adjustRightInd w:val="0"/>
      <w:snapToGrid w:val="0"/>
      <w:spacing w:before="240" w:after="240" w:line="480" w:lineRule="exact"/>
      <w:ind w:firstLine="480" w:firstLineChars="200"/>
      <w:jc w:val="both"/>
    </w:pPr>
    <w:rPr>
      <w:rFonts w:ascii="Times New Roman" w:hAnsi="Times New Roman" w:eastAsia="方正黑体简体"/>
      <w:bCs w:val="0"/>
      <w:kern w:val="2"/>
      <w:sz w:val="24"/>
      <w:szCs w:val="24"/>
    </w:rPr>
  </w:style>
  <w:style w:type="paragraph" w:customStyle="1" w:styleId="2488">
    <w:name w:val="xl2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9">
    <w:name w:val="索引 211"/>
    <w:basedOn w:val="1"/>
    <w:next w:val="1"/>
    <w:qFormat/>
    <w:uiPriority w:val="0"/>
    <w:pPr>
      <w:widowControl w:val="0"/>
      <w:spacing w:line="480" w:lineRule="exact"/>
      <w:ind w:left="200" w:leftChars="200"/>
      <w:jc w:val="both"/>
    </w:pPr>
    <w:rPr>
      <w:rFonts w:ascii="Times New Roman" w:hAnsi="Times New Roman" w:cs="Times New Roman"/>
      <w:kern w:val="2"/>
    </w:rPr>
  </w:style>
  <w:style w:type="paragraph" w:customStyle="1" w:styleId="2490">
    <w:name w:val="Char Char2 Char Char Char1 Char Char Char Char Char Char Char1"/>
    <w:basedOn w:val="1"/>
    <w:qFormat/>
    <w:uiPriority w:val="0"/>
    <w:pPr>
      <w:widowControl w:val="0"/>
      <w:jc w:val="both"/>
    </w:pPr>
    <w:rPr>
      <w:rFonts w:ascii="Times New Roman" w:hAnsi="Times New Roman" w:cs="Times New Roman"/>
      <w:kern w:val="2"/>
      <w:sz w:val="21"/>
    </w:rPr>
  </w:style>
  <w:style w:type="paragraph" w:customStyle="1" w:styleId="2491">
    <w:name w:val="样式 非加粗"/>
    <w:basedOn w:val="1"/>
    <w:qFormat/>
    <w:uiPriority w:val="0"/>
    <w:pPr>
      <w:widowControl w:val="0"/>
      <w:spacing w:line="440" w:lineRule="exact"/>
      <w:ind w:firstLine="480" w:firstLineChars="200"/>
      <w:jc w:val="both"/>
    </w:pPr>
    <w:rPr>
      <w:rFonts w:ascii="Times New Roman" w:hAnsi="Times New Roman" w:cs="Times New Roman"/>
      <w:kern w:val="2"/>
    </w:rPr>
  </w:style>
  <w:style w:type="paragraph" w:customStyle="1" w:styleId="2492">
    <w:name w:val="xl2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3">
    <w:name w:val="xl143"/>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1"/>
      <w:szCs w:val="21"/>
    </w:rPr>
  </w:style>
  <w:style w:type="paragraph" w:customStyle="1" w:styleId="2494">
    <w:name w:val="列出段落11"/>
    <w:basedOn w:val="1"/>
    <w:qFormat/>
    <w:uiPriority w:val="99"/>
    <w:pPr>
      <w:widowControl w:val="0"/>
      <w:ind w:firstLine="420" w:firstLineChars="200"/>
      <w:jc w:val="both"/>
    </w:pPr>
    <w:rPr>
      <w:rFonts w:ascii="Calibri" w:hAnsi="Calibri" w:cs="Times New Roman"/>
      <w:kern w:val="2"/>
      <w:sz w:val="21"/>
      <w:szCs w:val="22"/>
    </w:rPr>
  </w:style>
  <w:style w:type="paragraph" w:customStyle="1" w:styleId="2495">
    <w:name w:val="xl27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96">
    <w:name w:val="xl2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7">
    <w:name w:val="xl1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FF0000"/>
      <w:sz w:val="21"/>
      <w:szCs w:val="21"/>
    </w:rPr>
  </w:style>
  <w:style w:type="paragraph" w:customStyle="1" w:styleId="2498">
    <w:name w:val="xl1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9">
    <w:name w:val="正文三级标题"/>
    <w:basedOn w:val="1"/>
    <w:qFormat/>
    <w:uiPriority w:val="0"/>
    <w:pPr>
      <w:widowControl w:val="0"/>
      <w:spacing w:before="120" w:after="120" w:line="480" w:lineRule="exact"/>
      <w:ind w:firstLine="600" w:firstLineChars="200"/>
      <w:jc w:val="both"/>
      <w:outlineLvl w:val="2"/>
    </w:pPr>
    <w:rPr>
      <w:rFonts w:ascii="Times New Roman" w:hAnsi="Times New Roman" w:eastAsia="黑体" w:cs="Times New Roman"/>
      <w:kern w:val="2"/>
      <w:sz w:val="30"/>
    </w:rPr>
  </w:style>
  <w:style w:type="paragraph" w:customStyle="1" w:styleId="2500">
    <w:name w:val="xl261"/>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01">
    <w:name w:val="样式 表头 + 左侧:  0.99 字符"/>
    <w:basedOn w:val="103"/>
    <w:qFormat/>
    <w:uiPriority w:val="0"/>
    <w:pPr>
      <w:spacing w:line="240" w:lineRule="auto"/>
      <w:ind w:left="277" w:leftChars="350" w:firstLine="480"/>
      <w:jc w:val="left"/>
    </w:pPr>
    <w:rPr>
      <w:rFonts w:eastAsia="宋体" w:cs="宋体"/>
      <w:b/>
      <w:bCs/>
      <w:snapToGrid w:val="0"/>
      <w:sz w:val="28"/>
      <w:lang w:val="zh-CN"/>
    </w:rPr>
  </w:style>
  <w:style w:type="paragraph" w:customStyle="1" w:styleId="2502">
    <w:name w:val="xl1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03">
    <w:name w:val="xl2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04">
    <w:name w:val="正文文本 25"/>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505">
    <w:name w:val="xl1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1"/>
      <w:szCs w:val="21"/>
    </w:rPr>
  </w:style>
  <w:style w:type="paragraph" w:customStyle="1" w:styleId="2506">
    <w:name w:val="xl1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0"/>
      <w:szCs w:val="20"/>
    </w:rPr>
  </w:style>
  <w:style w:type="paragraph" w:customStyle="1" w:styleId="2507">
    <w:name w:val="xl265"/>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08">
    <w:name w:val="xl1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FF0000"/>
      <w:sz w:val="21"/>
      <w:szCs w:val="21"/>
    </w:rPr>
  </w:style>
  <w:style w:type="paragraph" w:customStyle="1" w:styleId="2509">
    <w:name w:val="xl21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510">
    <w:name w:val="xl12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2"/>
      <w:szCs w:val="22"/>
    </w:rPr>
  </w:style>
  <w:style w:type="paragraph" w:customStyle="1" w:styleId="2511">
    <w:name w:val="xl2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12">
    <w:name w:val="标题0"/>
    <w:basedOn w:val="1"/>
    <w:qFormat/>
    <w:uiPriority w:val="0"/>
    <w:pPr>
      <w:widowControl w:val="0"/>
      <w:adjustRightInd w:val="0"/>
      <w:snapToGrid w:val="0"/>
      <w:spacing w:beforeLines="50" w:afterLines="100" w:line="700" w:lineRule="exact"/>
      <w:jc w:val="center"/>
    </w:pPr>
    <w:rPr>
      <w:rFonts w:ascii="黑体" w:hAnsi="Times New Roman" w:eastAsia="黑体" w:cs="Times New Roman"/>
      <w:sz w:val="44"/>
      <w:szCs w:val="44"/>
    </w:rPr>
  </w:style>
  <w:style w:type="paragraph" w:customStyle="1" w:styleId="2513">
    <w:name w:val="索引标题1"/>
    <w:basedOn w:val="1"/>
    <w:next w:val="2445"/>
    <w:qFormat/>
    <w:uiPriority w:val="0"/>
    <w:pPr>
      <w:widowControl w:val="0"/>
      <w:spacing w:line="480" w:lineRule="exact"/>
      <w:jc w:val="both"/>
    </w:pPr>
    <w:rPr>
      <w:rFonts w:ascii="Arial" w:hAnsi="Arial" w:cs="Arial"/>
      <w:b/>
      <w:bCs/>
      <w:kern w:val="2"/>
    </w:rPr>
  </w:style>
  <w:style w:type="paragraph" w:customStyle="1" w:styleId="2514">
    <w:name w:val="样式 样式5 + 段前: 0.5 行 段后: 0.3 行2"/>
    <w:basedOn w:val="1137"/>
    <w:qFormat/>
    <w:uiPriority w:val="0"/>
    <w:pPr>
      <w:topLinePunct/>
      <w:adjustRightInd/>
      <w:snapToGrid/>
      <w:spacing w:before="200" w:after="200" w:afterLines="30" w:line="240" w:lineRule="auto"/>
      <w:ind w:firstLine="0"/>
      <w:jc w:val="center"/>
      <w:textAlignment w:val="auto"/>
    </w:pPr>
    <w:rPr>
      <w:rFonts w:hint="eastAsia" w:ascii="方正黑体简体" w:hAnsi="Arial" w:eastAsia="方正黑体简体"/>
      <w:snapToGrid w:val="0"/>
      <w:kern w:val="2"/>
      <w:szCs w:val="28"/>
    </w:rPr>
  </w:style>
  <w:style w:type="paragraph" w:customStyle="1" w:styleId="2515">
    <w:name w:val="xl16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2516">
    <w:name w:val="Char81"/>
    <w:basedOn w:val="1"/>
    <w:next w:val="1558"/>
    <w:qFormat/>
    <w:uiPriority w:val="0"/>
    <w:pPr>
      <w:widowControl w:val="0"/>
      <w:spacing w:line="360" w:lineRule="auto"/>
      <w:ind w:firstLine="480" w:firstLineChars="200"/>
      <w:jc w:val="both"/>
    </w:pPr>
    <w:rPr>
      <w:rFonts w:ascii="Times New Roman" w:hAnsi="Times New Roman" w:cs="Times New Roman"/>
    </w:rPr>
  </w:style>
  <w:style w:type="paragraph" w:customStyle="1" w:styleId="2517">
    <w:name w:val="xl252"/>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18">
    <w:name w:val="xl21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519">
    <w:name w:val="正文五级"/>
    <w:basedOn w:val="1"/>
    <w:qFormat/>
    <w:uiPriority w:val="0"/>
    <w:pPr>
      <w:widowControl w:val="0"/>
      <w:tabs>
        <w:tab w:val="left" w:pos="840"/>
      </w:tabs>
      <w:spacing w:line="480" w:lineRule="exact"/>
      <w:ind w:left="840" w:hanging="420"/>
      <w:outlineLvl w:val="4"/>
    </w:pPr>
    <w:rPr>
      <w:rFonts w:ascii="Times New Roman" w:hAnsi="Times New Roman" w:eastAsia="仿宋_GB2312" w:cs="Times New Roman"/>
      <w:b/>
      <w:kern w:val="2"/>
      <w:sz w:val="30"/>
      <w:szCs w:val="30"/>
    </w:rPr>
  </w:style>
  <w:style w:type="paragraph" w:customStyle="1" w:styleId="2520">
    <w:name w:val="xl275"/>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pPr>
    <w:rPr>
      <w:b/>
      <w:bCs/>
      <w:sz w:val="20"/>
      <w:szCs w:val="20"/>
    </w:rPr>
  </w:style>
  <w:style w:type="paragraph" w:customStyle="1" w:styleId="2521">
    <w:name w:val="xl292"/>
    <w:basedOn w:val="1"/>
    <w:qFormat/>
    <w:uiPriority w:val="0"/>
    <w:pPr>
      <w:pBdr>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522">
    <w:name w:val="样式11"/>
    <w:basedOn w:val="3"/>
    <w:qFormat/>
    <w:uiPriority w:val="0"/>
    <w:pPr>
      <w:keepNext/>
      <w:keepLines/>
      <w:widowControl w:val="0"/>
      <w:spacing w:before="340" w:after="330" w:line="520" w:lineRule="exact"/>
      <w:jc w:val="both"/>
    </w:pPr>
    <w:rPr>
      <w:rFonts w:ascii="Times New Roman" w:hAnsi="Times New Roman" w:eastAsia="仿宋_GB2312"/>
      <w:bCs/>
      <w:kern w:val="44"/>
      <w:sz w:val="28"/>
      <w:szCs w:val="28"/>
    </w:rPr>
  </w:style>
  <w:style w:type="paragraph" w:customStyle="1" w:styleId="2523">
    <w:name w:val="样式 首行缩进:  2 字符2"/>
    <w:basedOn w:val="1"/>
    <w:qFormat/>
    <w:uiPriority w:val="0"/>
    <w:pPr>
      <w:widowControl w:val="0"/>
      <w:adjustRightInd w:val="0"/>
      <w:snapToGrid w:val="0"/>
      <w:spacing w:line="400" w:lineRule="exact"/>
      <w:ind w:firstLine="200" w:firstLineChars="200"/>
      <w:jc w:val="both"/>
    </w:pPr>
    <w:rPr>
      <w:rFonts w:ascii="Times New Roman" w:hAnsi="Times New Roman"/>
      <w:szCs w:val="28"/>
    </w:rPr>
  </w:style>
  <w:style w:type="paragraph" w:customStyle="1" w:styleId="2524">
    <w:name w:val="xl301"/>
    <w:basedOn w:val="1"/>
    <w:qFormat/>
    <w:uiPriority w:val="0"/>
    <w:pPr>
      <w:pBdr>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25">
    <w:name w:val="xl21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2"/>
      <w:szCs w:val="22"/>
    </w:rPr>
  </w:style>
  <w:style w:type="paragraph" w:customStyle="1" w:styleId="2526">
    <w:name w:val="xl14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527">
    <w:name w:val="xl215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color w:val="FF0000"/>
      <w:sz w:val="21"/>
      <w:szCs w:val="21"/>
    </w:rPr>
  </w:style>
  <w:style w:type="paragraph" w:customStyle="1" w:styleId="2528">
    <w:name w:val="xl1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29">
    <w:name w:val="xl1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0">
    <w:name w:val="xl2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531">
    <w:name w:val="xl21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2">
    <w:name w:val="xl314"/>
    <w:basedOn w:val="1"/>
    <w:qFormat/>
    <w:uiPriority w:val="0"/>
    <w:pPr>
      <w:pBdr>
        <w:top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533">
    <w:name w:val="xl1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534">
    <w:name w:val="Char Char Char Char Char Char Char11"/>
    <w:basedOn w:val="1"/>
    <w:qFormat/>
    <w:uiPriority w:val="0"/>
    <w:pPr>
      <w:spacing w:after="160" w:line="240" w:lineRule="exact"/>
    </w:pPr>
    <w:rPr>
      <w:rFonts w:ascii="Verdana" w:hAnsi="Verdana" w:cs="Times New Roman"/>
      <w:sz w:val="20"/>
      <w:szCs w:val="20"/>
      <w:lang w:eastAsia="en-US"/>
    </w:rPr>
  </w:style>
  <w:style w:type="paragraph" w:customStyle="1" w:styleId="2535">
    <w:name w:val="样式 黑体 小二 居中 段前: 140 磅 行距: 固定值 35 磅"/>
    <w:basedOn w:val="1"/>
    <w:qFormat/>
    <w:uiPriority w:val="0"/>
    <w:pPr>
      <w:widowControl w:val="0"/>
      <w:adjustRightInd w:val="0"/>
      <w:snapToGrid w:val="0"/>
      <w:spacing w:before="2000" w:line="700" w:lineRule="exact"/>
      <w:jc w:val="center"/>
    </w:pPr>
    <w:rPr>
      <w:rFonts w:ascii="黑体" w:hAnsi="Times New Roman" w:eastAsia="黑体"/>
      <w:sz w:val="36"/>
      <w:szCs w:val="20"/>
    </w:rPr>
  </w:style>
  <w:style w:type="paragraph" w:customStyle="1" w:styleId="2536">
    <w:name w:val="xl2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7">
    <w:name w:val="xl2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8">
    <w:name w:val="WPSOffice手动目录 2"/>
    <w:qFormat/>
    <w:uiPriority w:val="0"/>
    <w:pPr>
      <w:ind w:left="200" w:leftChars="200"/>
    </w:pPr>
    <w:rPr>
      <w:rFonts w:ascii="Calibri" w:hAnsi="Calibri" w:eastAsia="宋体" w:cs="Times New Roman"/>
      <w:lang w:val="en-US" w:eastAsia="zh-CN" w:bidi="ar-SA"/>
    </w:rPr>
  </w:style>
  <w:style w:type="paragraph" w:customStyle="1" w:styleId="2539">
    <w:name w:val="xl21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540">
    <w:name w:val="正文首行缩进 211"/>
    <w:basedOn w:val="1"/>
    <w:qFormat/>
    <w:uiPriority w:val="0"/>
    <w:pPr>
      <w:widowControl w:val="0"/>
      <w:spacing w:after="120"/>
      <w:ind w:left="420" w:firstLine="420"/>
      <w:jc w:val="both"/>
    </w:pPr>
    <w:rPr>
      <w:rFonts w:ascii="Times New Roman" w:hAnsi="Times New Roman" w:cs="Times New Roman"/>
      <w:kern w:val="2"/>
      <w:szCs w:val="20"/>
    </w:rPr>
  </w:style>
  <w:style w:type="paragraph" w:customStyle="1" w:styleId="2541">
    <w:name w:val="Знак Знак11"/>
    <w:basedOn w:val="1"/>
    <w:qFormat/>
    <w:uiPriority w:val="0"/>
    <w:pPr>
      <w:widowControl w:val="0"/>
      <w:jc w:val="both"/>
    </w:pPr>
    <w:rPr>
      <w:rFonts w:ascii="Times New Roman" w:hAnsi="Times New Roman" w:cs="Times New Roman"/>
      <w:kern w:val="2"/>
      <w:sz w:val="21"/>
    </w:rPr>
  </w:style>
  <w:style w:type="paragraph" w:customStyle="1" w:styleId="2542">
    <w:name w:val="xl20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3">
    <w:name w:val="xl2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4">
    <w:name w:val="xl21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5">
    <w:name w:val="xl1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sz w:val="21"/>
      <w:szCs w:val="21"/>
    </w:rPr>
  </w:style>
  <w:style w:type="paragraph" w:customStyle="1" w:styleId="2546">
    <w:name w:val="样式 宋体 10 磅 左 行距: 单倍行距"/>
    <w:basedOn w:val="1"/>
    <w:qFormat/>
    <w:uiPriority w:val="0"/>
    <w:pPr>
      <w:widowControl w:val="0"/>
      <w:adjustRightInd w:val="0"/>
      <w:snapToGrid w:val="0"/>
      <w:jc w:val="center"/>
    </w:pPr>
    <w:rPr>
      <w:rFonts w:hAnsi="Times New Roman"/>
      <w:sz w:val="20"/>
      <w:szCs w:val="20"/>
    </w:rPr>
  </w:style>
  <w:style w:type="paragraph" w:customStyle="1" w:styleId="2547">
    <w:name w:val="日期3"/>
    <w:basedOn w:val="1"/>
    <w:next w:val="1"/>
    <w:qFormat/>
    <w:uiPriority w:val="0"/>
    <w:pPr>
      <w:widowControl w:val="0"/>
      <w:jc w:val="both"/>
    </w:pPr>
    <w:rPr>
      <w:rFonts w:hAnsi="Times New Roman" w:cs="Times New Roman"/>
      <w:kern w:val="2"/>
      <w:sz w:val="28"/>
      <w:szCs w:val="20"/>
    </w:rPr>
  </w:style>
  <w:style w:type="paragraph" w:customStyle="1" w:styleId="2548">
    <w:name w:val="zw"/>
    <w:basedOn w:val="1"/>
    <w:qFormat/>
    <w:uiPriority w:val="0"/>
    <w:pPr>
      <w:widowControl w:val="0"/>
      <w:snapToGrid w:val="0"/>
      <w:spacing w:line="400" w:lineRule="exact"/>
      <w:jc w:val="both"/>
      <w:outlineLvl w:val="0"/>
    </w:pPr>
    <w:rPr>
      <w:rFonts w:ascii="Times New Roman" w:hAnsi="Times New Roman" w:eastAsia="楷体_GB2312" w:cs="Times New Roman"/>
      <w:kern w:val="2"/>
      <w:sz w:val="28"/>
      <w:szCs w:val="20"/>
    </w:rPr>
  </w:style>
  <w:style w:type="paragraph" w:customStyle="1" w:styleId="2549">
    <w:name w:val="普通(网站)21"/>
    <w:basedOn w:val="1"/>
    <w:qFormat/>
    <w:uiPriority w:val="0"/>
    <w:pPr>
      <w:spacing w:before="100" w:beforeAutospacing="1" w:after="100" w:afterAutospacing="1"/>
    </w:pPr>
  </w:style>
  <w:style w:type="paragraph" w:customStyle="1" w:styleId="2550">
    <w:name w:val="标题 5 + 首行缩进:  2 字符"/>
    <w:basedOn w:val="8"/>
    <w:next w:val="1"/>
    <w:qFormat/>
    <w:uiPriority w:val="0"/>
    <w:pPr>
      <w:tabs>
        <w:tab w:val="left" w:pos="1260"/>
      </w:tabs>
      <w:topLinePunct w:val="0"/>
      <w:spacing w:before="0" w:after="0" w:line="440" w:lineRule="exact"/>
      <w:ind w:firstLine="562"/>
      <w:jc w:val="both"/>
    </w:pPr>
    <w:rPr>
      <w:rFonts w:ascii="Times New Roman" w:eastAsia="宋体" w:cs="宋体"/>
      <w:kern w:val="2"/>
      <w:szCs w:val="20"/>
    </w:rPr>
  </w:style>
  <w:style w:type="paragraph" w:customStyle="1" w:styleId="2551">
    <w:name w:val="xl13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552">
    <w:name w:val="Char Char2 Char Char Char Char Char Char Char Char Char Char Char Char Char Char"/>
    <w:basedOn w:val="1"/>
    <w:qFormat/>
    <w:uiPriority w:val="0"/>
    <w:pPr>
      <w:widowControl w:val="0"/>
      <w:spacing w:beforeLines="20" w:afterLines="20" w:line="300" w:lineRule="auto"/>
      <w:jc w:val="both"/>
    </w:pPr>
    <w:rPr>
      <w:rFonts w:ascii="Times New Roman" w:hAnsi="Times New Roman" w:cs="Times New Roman"/>
      <w:kern w:val="2"/>
      <w:sz w:val="28"/>
    </w:rPr>
  </w:style>
  <w:style w:type="paragraph" w:customStyle="1" w:styleId="2553">
    <w:name w:val="目录一级标题"/>
    <w:basedOn w:val="2249"/>
    <w:qFormat/>
    <w:uiPriority w:val="0"/>
    <w:pPr>
      <w:jc w:val="left"/>
    </w:pPr>
    <w:rPr>
      <w:rFonts w:eastAsia="宋体"/>
      <w:sz w:val="28"/>
    </w:rPr>
  </w:style>
  <w:style w:type="paragraph" w:customStyle="1" w:styleId="2554">
    <w:name w:val="xl1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55">
    <w:name w:val="xl2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56">
    <w:name w:val="正文二级"/>
    <w:basedOn w:val="1"/>
    <w:qFormat/>
    <w:uiPriority w:val="0"/>
    <w:pPr>
      <w:widowControl w:val="0"/>
      <w:tabs>
        <w:tab w:val="left" w:pos="0"/>
      </w:tabs>
      <w:spacing w:before="240" w:after="120"/>
      <w:jc w:val="both"/>
      <w:outlineLvl w:val="1"/>
    </w:pPr>
    <w:rPr>
      <w:rFonts w:ascii="Times New Roman" w:hAnsi="Times New Roman" w:eastAsia="黑体" w:cs="Times New Roman"/>
      <w:bCs/>
      <w:kern w:val="44"/>
      <w:sz w:val="32"/>
      <w:szCs w:val="36"/>
    </w:rPr>
  </w:style>
  <w:style w:type="paragraph" w:customStyle="1" w:styleId="2557">
    <w:name w:val="样式 表头 + 左侧:  0.99 字符 首行缩进:  3.19 厘米"/>
    <w:basedOn w:val="103"/>
    <w:qFormat/>
    <w:uiPriority w:val="0"/>
    <w:pPr>
      <w:spacing w:line="240" w:lineRule="auto"/>
      <w:ind w:left="1120" w:leftChars="400" w:firstLine="480"/>
      <w:jc w:val="left"/>
    </w:pPr>
    <w:rPr>
      <w:rFonts w:eastAsia="宋体" w:cs="宋体"/>
      <w:b/>
      <w:bCs/>
      <w:snapToGrid w:val="0"/>
      <w:sz w:val="28"/>
      <w:lang w:val="zh-CN"/>
    </w:rPr>
  </w:style>
  <w:style w:type="paragraph" w:customStyle="1" w:styleId="2558">
    <w:name w:val="批注主题12"/>
    <w:basedOn w:val="26"/>
    <w:next w:val="26"/>
    <w:qFormat/>
    <w:uiPriority w:val="0"/>
    <w:pPr>
      <w:widowControl w:val="0"/>
      <w:adjustRightInd w:val="0"/>
      <w:snapToGrid w:val="0"/>
      <w:spacing w:line="480" w:lineRule="exact"/>
    </w:pPr>
    <w:rPr>
      <w:rFonts w:ascii="Times New Roman" w:hAnsi="Times New Roman"/>
      <w:b/>
      <w:bCs/>
      <w:kern w:val="2"/>
      <w:szCs w:val="24"/>
    </w:rPr>
  </w:style>
  <w:style w:type="paragraph" w:customStyle="1" w:styleId="2559">
    <w:name w:val="xl316"/>
    <w:basedOn w:val="1"/>
    <w:qFormat/>
    <w:uiPriority w:val="0"/>
    <w:pPr>
      <w:pBdr>
        <w:top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560">
    <w:name w:val="xl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1"/>
      <w:szCs w:val="21"/>
    </w:rPr>
  </w:style>
  <w:style w:type="paragraph" w:customStyle="1" w:styleId="2561">
    <w:name w:val="xl2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62">
    <w:name w:val="样式 标题 2节标题 + 小三 加粗 段前: 6 磅 行距: 1.5 倍行距"/>
    <w:basedOn w:val="4"/>
    <w:qFormat/>
    <w:uiPriority w:val="0"/>
    <w:pPr>
      <w:widowControl w:val="0"/>
      <w:adjustRightInd w:val="0"/>
      <w:snapToGrid w:val="0"/>
      <w:spacing w:before="240" w:after="240" w:line="240" w:lineRule="auto"/>
      <w:jc w:val="center"/>
    </w:pPr>
    <w:rPr>
      <w:rFonts w:ascii="Times New Roman" w:hAnsi="Times New Roman" w:cs="宋体"/>
      <w:b/>
      <w:kern w:val="2"/>
      <w:sz w:val="30"/>
      <w:szCs w:val="20"/>
    </w:rPr>
  </w:style>
  <w:style w:type="paragraph" w:customStyle="1" w:styleId="2563">
    <w:name w:val="样式 标题3 + 黑体 行距: 固定值 23 磅"/>
    <w:basedOn w:val="1"/>
    <w:qFormat/>
    <w:uiPriority w:val="0"/>
    <w:pPr>
      <w:keepNext/>
      <w:keepLines/>
      <w:widowControl w:val="0"/>
      <w:topLinePunct/>
      <w:adjustRightInd w:val="0"/>
      <w:spacing w:line="460" w:lineRule="exact"/>
      <w:jc w:val="both"/>
      <w:outlineLvl w:val="2"/>
    </w:pPr>
    <w:rPr>
      <w:rFonts w:ascii="Times New Roman" w:hAnsi="Times New Roman" w:eastAsia="楷体_GB2312"/>
      <w:b/>
      <w:color w:val="000000"/>
      <w:sz w:val="28"/>
      <w:szCs w:val="20"/>
    </w:rPr>
  </w:style>
  <w:style w:type="paragraph" w:customStyle="1" w:styleId="2564">
    <w:name w:val="xl2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65">
    <w:name w:val="xl280"/>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66">
    <w:name w:val="正文居中"/>
    <w:basedOn w:val="1"/>
    <w:qFormat/>
    <w:uiPriority w:val="0"/>
    <w:pPr>
      <w:widowControl w:val="0"/>
      <w:jc w:val="center"/>
    </w:pPr>
    <w:rPr>
      <w:rFonts w:ascii="Times New Roman" w:hAnsi="Times New Roman" w:cs="Times New Roman"/>
      <w:kern w:val="2"/>
      <w:sz w:val="21"/>
      <w:szCs w:val="20"/>
    </w:rPr>
  </w:style>
  <w:style w:type="paragraph" w:customStyle="1" w:styleId="2567">
    <w:name w:val="正文文本 311"/>
    <w:basedOn w:val="1"/>
    <w:qFormat/>
    <w:uiPriority w:val="0"/>
    <w:pPr>
      <w:widowControl w:val="0"/>
      <w:spacing w:line="240" w:lineRule="exact"/>
      <w:jc w:val="both"/>
    </w:pPr>
    <w:rPr>
      <w:rFonts w:ascii="Times New Roman" w:hAnsi="Times New Roman" w:cs="Times New Roman"/>
      <w:kern w:val="2"/>
      <w:sz w:val="18"/>
      <w:szCs w:val="20"/>
    </w:rPr>
  </w:style>
  <w:style w:type="paragraph" w:customStyle="1" w:styleId="2568">
    <w:name w:val="索引 12"/>
    <w:basedOn w:val="1"/>
    <w:next w:val="1"/>
    <w:qFormat/>
    <w:uiPriority w:val="0"/>
    <w:pPr>
      <w:widowControl w:val="0"/>
      <w:spacing w:line="360" w:lineRule="exact"/>
      <w:jc w:val="center"/>
    </w:pPr>
    <w:rPr>
      <w:rFonts w:cs="Times New Roman"/>
      <w:kern w:val="2"/>
      <w:sz w:val="21"/>
    </w:rPr>
  </w:style>
  <w:style w:type="paragraph" w:customStyle="1" w:styleId="2569">
    <w:name w:val="121"/>
    <w:basedOn w:val="1"/>
    <w:qFormat/>
    <w:uiPriority w:val="0"/>
    <w:pPr>
      <w:widowControl w:val="0"/>
      <w:adjustRightInd w:val="0"/>
      <w:spacing w:before="120" w:line="460" w:lineRule="exact"/>
      <w:jc w:val="center"/>
      <w:outlineLvl w:val="3"/>
    </w:pPr>
    <w:rPr>
      <w:rFonts w:ascii="Times New Roman" w:hAnsi="Times New Roman" w:eastAsia="黑体" w:cs="Times New Roman"/>
    </w:rPr>
  </w:style>
  <w:style w:type="paragraph" w:customStyle="1" w:styleId="2570">
    <w:name w:val="xl1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71">
    <w:name w:val="日期21"/>
    <w:basedOn w:val="1"/>
    <w:next w:val="1"/>
    <w:qFormat/>
    <w:uiPriority w:val="0"/>
    <w:pPr>
      <w:widowControl w:val="0"/>
      <w:jc w:val="both"/>
    </w:pPr>
    <w:rPr>
      <w:rFonts w:hAnsi="Times New Roman" w:cs="Times New Roman"/>
      <w:kern w:val="2"/>
      <w:sz w:val="28"/>
      <w:szCs w:val="20"/>
    </w:rPr>
  </w:style>
  <w:style w:type="paragraph" w:customStyle="1" w:styleId="2572">
    <w:name w:val="xl2133"/>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rFonts w:ascii="Times New Roman" w:hAnsi="Times New Roman" w:cs="Times New Roman"/>
      <w:b/>
      <w:bCs/>
      <w:sz w:val="21"/>
      <w:szCs w:val="21"/>
    </w:rPr>
  </w:style>
  <w:style w:type="paragraph" w:customStyle="1" w:styleId="2573">
    <w:name w:val="xl310"/>
    <w:basedOn w:val="1"/>
    <w:qFormat/>
    <w:uiPriority w:val="0"/>
    <w:pPr>
      <w:pBdr>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74">
    <w:name w:val="xl214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rPr>
  </w:style>
  <w:style w:type="paragraph" w:customStyle="1" w:styleId="2575">
    <w:name w:val="xl2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76">
    <w:name w:val="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2577">
    <w:name w:val="xl298"/>
    <w:basedOn w:val="1"/>
    <w:qFormat/>
    <w:uiPriority w:val="0"/>
    <w:pPr>
      <w:pBdr>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78">
    <w:name w:val="正文四级标题"/>
    <w:basedOn w:val="1"/>
    <w:qFormat/>
    <w:uiPriority w:val="0"/>
    <w:pPr>
      <w:widowControl w:val="0"/>
      <w:adjustRightInd w:val="0"/>
      <w:snapToGrid w:val="0"/>
      <w:spacing w:line="480" w:lineRule="exact"/>
      <w:ind w:firstLine="560" w:firstLineChars="200"/>
      <w:jc w:val="both"/>
    </w:pPr>
    <w:rPr>
      <w:rFonts w:cs="Times New Roman"/>
      <w:bCs/>
      <w:sz w:val="28"/>
      <w:szCs w:val="28"/>
    </w:rPr>
  </w:style>
  <w:style w:type="paragraph" w:customStyle="1" w:styleId="2579">
    <w:name w:val="xl2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580">
    <w:name w:val="索引 61"/>
    <w:basedOn w:val="1"/>
    <w:next w:val="1"/>
    <w:qFormat/>
    <w:uiPriority w:val="0"/>
    <w:pPr>
      <w:widowControl w:val="0"/>
      <w:spacing w:line="480" w:lineRule="exact"/>
      <w:ind w:left="1000" w:leftChars="1000"/>
      <w:jc w:val="both"/>
    </w:pPr>
    <w:rPr>
      <w:rFonts w:ascii="Times New Roman" w:hAnsi="Times New Roman" w:cs="Times New Roman"/>
      <w:kern w:val="2"/>
    </w:rPr>
  </w:style>
  <w:style w:type="paragraph" w:customStyle="1" w:styleId="2581">
    <w:name w:val="xl2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582">
    <w:name w:val="xl2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3">
    <w:name w:val="xl2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4">
    <w:name w:val="普通(网站)3"/>
    <w:basedOn w:val="1"/>
    <w:qFormat/>
    <w:uiPriority w:val="0"/>
    <w:pPr>
      <w:spacing w:before="100" w:beforeAutospacing="1" w:after="100" w:afterAutospacing="1"/>
    </w:pPr>
  </w:style>
  <w:style w:type="paragraph" w:customStyle="1" w:styleId="2585">
    <w:name w:val="xl18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586">
    <w:name w:val="四级"/>
    <w:basedOn w:val="1558"/>
    <w:qFormat/>
    <w:uiPriority w:val="0"/>
    <w:pPr>
      <w:adjustRightInd/>
      <w:snapToGrid w:val="0"/>
      <w:ind w:firstLine="0"/>
      <w:textAlignment w:val="auto"/>
    </w:pPr>
    <w:rPr>
      <w:rFonts w:ascii="Times New Roman" w:hAnsi="Times New Roman" w:eastAsia="楷体_GB2312"/>
    </w:rPr>
  </w:style>
  <w:style w:type="paragraph" w:customStyle="1" w:styleId="2587">
    <w:name w:val="正文缩进11"/>
    <w:basedOn w:val="1"/>
    <w:qFormat/>
    <w:uiPriority w:val="0"/>
    <w:pPr>
      <w:widowControl w:val="0"/>
      <w:adjustRightInd w:val="0"/>
      <w:snapToGrid w:val="0"/>
      <w:spacing w:line="480" w:lineRule="exact"/>
      <w:ind w:firstLine="200" w:firstLineChars="200"/>
      <w:jc w:val="both"/>
    </w:pPr>
    <w:rPr>
      <w:rFonts w:ascii="Times New Roman" w:hAnsi="Times New Roman" w:eastAsia="方正仿宋简体" w:cs="Times New Roman"/>
      <w:kern w:val="2"/>
      <w:sz w:val="28"/>
    </w:rPr>
  </w:style>
  <w:style w:type="paragraph" w:customStyle="1" w:styleId="2588">
    <w:name w:val="xl1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9">
    <w:name w:val="xl21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style>
  <w:style w:type="paragraph" w:customStyle="1" w:styleId="2590">
    <w:name w:val="xl2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91">
    <w:name w:val="xl288"/>
    <w:basedOn w:val="1"/>
    <w:qFormat/>
    <w:uiPriority w:val="0"/>
    <w:pPr>
      <w:pBdr>
        <w:top w:val="single" w:color="auto" w:sz="4" w:space="0"/>
        <w:left w:val="single" w:color="auto" w:sz="4" w:space="0"/>
        <w:right w:val="single" w:color="auto" w:sz="4" w:space="0"/>
      </w:pBdr>
      <w:spacing w:before="100" w:beforeAutospacing="1" w:after="100" w:afterAutospacing="1"/>
    </w:pPr>
    <w:rPr>
      <w:color w:val="0000FF"/>
      <w:sz w:val="20"/>
      <w:szCs w:val="20"/>
    </w:rPr>
  </w:style>
  <w:style w:type="paragraph" w:customStyle="1" w:styleId="2592">
    <w:name w:val="xl1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93">
    <w:name w:val="列表 311"/>
    <w:basedOn w:val="1"/>
    <w:qFormat/>
    <w:uiPriority w:val="0"/>
    <w:pPr>
      <w:widowControl w:val="0"/>
      <w:ind w:left="1260" w:hanging="420"/>
      <w:jc w:val="both"/>
    </w:pPr>
    <w:rPr>
      <w:rFonts w:ascii="Times New Roman" w:hAnsi="Times New Roman" w:cs="Times New Roman"/>
      <w:kern w:val="2"/>
      <w:sz w:val="21"/>
    </w:rPr>
  </w:style>
  <w:style w:type="paragraph" w:customStyle="1" w:styleId="2594">
    <w:name w:val="样式 样式 标题 3 + 首行缩进:  2 字符 + 首行缩进:  2 字符"/>
    <w:basedOn w:val="1"/>
    <w:qFormat/>
    <w:uiPriority w:val="0"/>
    <w:pPr>
      <w:keepNext/>
      <w:keepLines/>
      <w:widowControl w:val="0"/>
      <w:tabs>
        <w:tab w:val="left" w:pos="3900"/>
      </w:tabs>
      <w:adjustRightInd w:val="0"/>
      <w:snapToGrid w:val="0"/>
      <w:spacing w:beforeLines="50" w:line="480" w:lineRule="exact"/>
      <w:ind w:firstLine="620" w:firstLineChars="200"/>
      <w:jc w:val="both"/>
      <w:outlineLvl w:val="2"/>
    </w:pPr>
    <w:rPr>
      <w:rFonts w:ascii="Times New Roman" w:hAnsi="Times New Roman" w:eastAsia="黑体"/>
      <w:bCs/>
      <w:color w:val="000000"/>
      <w:szCs w:val="20"/>
    </w:rPr>
  </w:style>
  <w:style w:type="paragraph" w:customStyle="1" w:styleId="2595">
    <w:name w:val="xl294"/>
    <w:basedOn w:val="1"/>
    <w:qFormat/>
    <w:uiPriority w:val="0"/>
    <w:pPr>
      <w:pBdr>
        <w:top w:val="single" w:color="auto" w:sz="4" w:space="0"/>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96">
    <w:name w:val="文本块3"/>
    <w:basedOn w:val="1"/>
    <w:qFormat/>
    <w:uiPriority w:val="0"/>
    <w:pPr>
      <w:widowControl w:val="0"/>
      <w:spacing w:line="480" w:lineRule="exact"/>
      <w:ind w:left="-143" w:leftChars="-68" w:right="-120" w:rightChars="-57"/>
      <w:jc w:val="center"/>
    </w:pPr>
    <w:rPr>
      <w:rFonts w:cs="Times New Roman"/>
      <w:color w:val="000000"/>
      <w:kern w:val="2"/>
    </w:rPr>
  </w:style>
  <w:style w:type="paragraph" w:customStyle="1" w:styleId="2597">
    <w:name w:val="索引 71"/>
    <w:basedOn w:val="1"/>
    <w:next w:val="1"/>
    <w:qFormat/>
    <w:uiPriority w:val="0"/>
    <w:pPr>
      <w:widowControl w:val="0"/>
      <w:spacing w:line="480" w:lineRule="exact"/>
      <w:ind w:left="1200" w:leftChars="1200"/>
      <w:jc w:val="both"/>
    </w:pPr>
    <w:rPr>
      <w:rFonts w:ascii="Times New Roman" w:hAnsi="Times New Roman" w:cs="Times New Roman"/>
      <w:kern w:val="2"/>
    </w:rPr>
  </w:style>
  <w:style w:type="paragraph" w:customStyle="1" w:styleId="2598">
    <w:name w:val="封面副标题"/>
    <w:basedOn w:val="2161"/>
    <w:qFormat/>
    <w:uiPriority w:val="0"/>
    <w:pPr>
      <w:spacing w:line="1100" w:lineRule="exact"/>
    </w:pPr>
    <w:rPr>
      <w:sz w:val="44"/>
    </w:rPr>
  </w:style>
  <w:style w:type="paragraph" w:customStyle="1" w:styleId="2599">
    <w:name w:val="xl1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00">
    <w:name w:val="文档结构图22"/>
    <w:basedOn w:val="1"/>
    <w:qFormat/>
    <w:uiPriority w:val="0"/>
    <w:pPr>
      <w:widowControl w:val="0"/>
      <w:shd w:val="clear" w:color="auto" w:fill="000080"/>
      <w:adjustRightInd w:val="0"/>
      <w:snapToGrid w:val="0"/>
      <w:spacing w:line="480" w:lineRule="exact"/>
      <w:ind w:firstLine="560" w:firstLineChars="200"/>
      <w:jc w:val="both"/>
    </w:pPr>
    <w:rPr>
      <w:rFonts w:ascii="Times New Roman" w:hAnsi="Times New Roman" w:cs="Times New Roman"/>
      <w:sz w:val="28"/>
    </w:rPr>
  </w:style>
  <w:style w:type="paragraph" w:customStyle="1" w:styleId="2601">
    <w:name w:val="样式 正文缩进 + 仿宋_GB2312 行距: 固定值 20 磅"/>
    <w:basedOn w:val="5"/>
    <w:qFormat/>
    <w:uiPriority w:val="0"/>
    <w:pPr>
      <w:widowControl w:val="0"/>
      <w:topLinePunct/>
      <w:adjustRightInd w:val="0"/>
      <w:spacing w:line="400" w:lineRule="exact"/>
      <w:ind w:firstLine="560" w:firstLineChars="200"/>
      <w:jc w:val="both"/>
    </w:pPr>
    <w:rPr>
      <w:rFonts w:ascii="仿宋_GB2312" w:hAnsi="Times New Roman" w:eastAsia="仿宋_GB2312" w:cs="宋体"/>
      <w:kern w:val="2"/>
      <w:sz w:val="24"/>
    </w:rPr>
  </w:style>
  <w:style w:type="paragraph" w:customStyle="1" w:styleId="2602">
    <w:name w:val="xl180"/>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pPr>
    <w:rPr>
      <w:rFonts w:ascii="方正综艺简体" w:eastAsia="方正综艺简体"/>
      <w:color w:val="000000"/>
      <w:sz w:val="20"/>
      <w:szCs w:val="20"/>
    </w:rPr>
  </w:style>
  <w:style w:type="paragraph" w:customStyle="1" w:styleId="2603">
    <w:name w:val="样式 标题 4图标题1.1.1.1标题 4 Char + 首行缩进:  2 字符"/>
    <w:basedOn w:val="7"/>
    <w:qFormat/>
    <w:uiPriority w:val="0"/>
    <w:pPr>
      <w:keepNext w:val="0"/>
      <w:keepLines w:val="0"/>
      <w:widowControl w:val="0"/>
      <w:adjustRightInd w:val="0"/>
      <w:snapToGrid w:val="0"/>
      <w:spacing w:line="460" w:lineRule="exact"/>
      <w:ind w:firstLine="602" w:firstLineChars="200"/>
      <w:jc w:val="both"/>
    </w:pPr>
    <w:rPr>
      <w:rFonts w:eastAsia="楷体_GB2312"/>
      <w:b/>
      <w:bCs/>
      <w:sz w:val="30"/>
      <w:lang w:val="en-US"/>
    </w:rPr>
  </w:style>
  <w:style w:type="paragraph" w:customStyle="1" w:styleId="2604">
    <w:name w:val="xl2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FF"/>
      <w:sz w:val="20"/>
      <w:szCs w:val="20"/>
    </w:rPr>
  </w:style>
  <w:style w:type="paragraph" w:customStyle="1" w:styleId="2605">
    <w:name w:val="xl213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sz w:val="22"/>
      <w:szCs w:val="22"/>
    </w:rPr>
  </w:style>
  <w:style w:type="paragraph" w:customStyle="1" w:styleId="2606">
    <w:name w:val="正文一级标题"/>
    <w:basedOn w:val="1"/>
    <w:qFormat/>
    <w:uiPriority w:val="0"/>
    <w:pPr>
      <w:widowControl w:val="0"/>
      <w:spacing w:before="360" w:after="240"/>
      <w:jc w:val="center"/>
      <w:outlineLvl w:val="0"/>
    </w:pPr>
    <w:rPr>
      <w:rFonts w:ascii="Times New Roman" w:hAnsi="Times New Roman" w:eastAsia="楷体_GB2312" w:cs="Times New Roman"/>
      <w:kern w:val="2"/>
      <w:sz w:val="36"/>
    </w:rPr>
  </w:style>
  <w:style w:type="paragraph" w:customStyle="1" w:styleId="2607">
    <w:name w:val="xl2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608">
    <w:name w:val="Char9"/>
    <w:basedOn w:val="1"/>
    <w:qFormat/>
    <w:uiPriority w:val="0"/>
    <w:pPr>
      <w:widowControl w:val="0"/>
      <w:jc w:val="both"/>
    </w:pPr>
    <w:rPr>
      <w:rFonts w:ascii="Times New Roman" w:hAnsi="Times New Roman" w:cs="Times New Roman"/>
      <w:kern w:val="2"/>
      <w:sz w:val="21"/>
    </w:rPr>
  </w:style>
  <w:style w:type="paragraph" w:customStyle="1" w:styleId="2609">
    <w:name w:val="xl16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610">
    <w:name w:val="xl1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1"/>
      <w:szCs w:val="21"/>
    </w:rPr>
  </w:style>
  <w:style w:type="paragraph" w:customStyle="1" w:styleId="2611">
    <w:name w:val="xl1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12">
    <w:name w:val="xl23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613">
    <w:name w:val="xl215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1"/>
      <w:szCs w:val="21"/>
    </w:rPr>
  </w:style>
  <w:style w:type="paragraph" w:customStyle="1" w:styleId="2614">
    <w:name w:val="xl21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color w:val="FF0000"/>
    </w:rPr>
  </w:style>
  <w:style w:type="paragraph" w:customStyle="1" w:styleId="2615">
    <w:name w:val="xl2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2616">
    <w:name w:val="xl26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617">
    <w:name w:val="xl1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1"/>
      <w:szCs w:val="21"/>
    </w:rPr>
  </w:style>
  <w:style w:type="paragraph" w:customStyle="1" w:styleId="2618">
    <w:name w:val="xl2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19">
    <w:name w:val="xl274"/>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620">
    <w:name w:val="xl2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21">
    <w:name w:val="样式19"/>
    <w:basedOn w:val="2622"/>
    <w:qFormat/>
    <w:uiPriority w:val="0"/>
    <w:pPr>
      <w:spacing w:afterLines="50"/>
    </w:pPr>
  </w:style>
  <w:style w:type="paragraph" w:customStyle="1" w:styleId="2622">
    <w:name w:val="样式18"/>
    <w:basedOn w:val="1"/>
    <w:qFormat/>
    <w:uiPriority w:val="0"/>
    <w:pPr>
      <w:widowControl w:val="0"/>
      <w:snapToGrid w:val="0"/>
      <w:spacing w:line="480" w:lineRule="exact"/>
      <w:jc w:val="center"/>
    </w:pPr>
    <w:rPr>
      <w:rFonts w:ascii="Times New Roman" w:hAnsi="Times New Roman"/>
      <w:szCs w:val="21"/>
    </w:rPr>
  </w:style>
  <w:style w:type="paragraph" w:customStyle="1" w:styleId="2623">
    <w:name w:val="签署"/>
    <w:basedOn w:val="1"/>
    <w:qFormat/>
    <w:uiPriority w:val="0"/>
    <w:pPr>
      <w:widowControl w:val="0"/>
      <w:adjustRightInd w:val="0"/>
      <w:snapToGrid w:val="0"/>
      <w:spacing w:line="900" w:lineRule="exact"/>
      <w:ind w:firstLine="1280" w:firstLineChars="400"/>
    </w:pPr>
    <w:rPr>
      <w:rFonts w:ascii="Times New Roman" w:hAnsi="Times New Roman" w:eastAsia="黑体"/>
      <w:kern w:val="2"/>
      <w:sz w:val="32"/>
      <w:szCs w:val="20"/>
    </w:rPr>
  </w:style>
  <w:style w:type="paragraph" w:customStyle="1" w:styleId="2624">
    <w:name w:val="xl1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25">
    <w:name w:val="Char Char1 Char Char Char Char Char Char Char Char"/>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626">
    <w:name w:val="修订21"/>
    <w:qFormat/>
    <w:uiPriority w:val="0"/>
    <w:rPr>
      <w:rFonts w:ascii="Times New Roman" w:hAnsi="Times New Roman" w:eastAsia="宋体" w:cs="Times New Roman"/>
      <w:kern w:val="2"/>
      <w:sz w:val="21"/>
      <w:szCs w:val="24"/>
      <w:lang w:val="en-US" w:eastAsia="zh-CN" w:bidi="ar-SA"/>
    </w:rPr>
  </w:style>
  <w:style w:type="paragraph" w:customStyle="1" w:styleId="2627">
    <w:name w:val="正文缩进2字符"/>
    <w:basedOn w:val="1"/>
    <w:next w:val="1"/>
    <w:qFormat/>
    <w:uiPriority w:val="0"/>
    <w:pPr>
      <w:adjustRightInd w:val="0"/>
      <w:snapToGrid w:val="0"/>
      <w:spacing w:line="288" w:lineRule="auto"/>
      <w:ind w:firstLine="200" w:firstLineChars="200"/>
    </w:pPr>
    <w:rPr>
      <w:rFonts w:cs="Times New Roman"/>
      <w:kern w:val="2"/>
    </w:rPr>
  </w:style>
  <w:style w:type="paragraph" w:customStyle="1" w:styleId="2628">
    <w:name w:val="xl192"/>
    <w:basedOn w:val="1"/>
    <w:qFormat/>
    <w:uiPriority w:val="0"/>
    <w:pPr>
      <w:spacing w:before="100" w:beforeAutospacing="1" w:after="100" w:afterAutospacing="1"/>
    </w:pPr>
    <w:rPr>
      <w:color w:val="000000"/>
      <w:sz w:val="20"/>
      <w:szCs w:val="20"/>
    </w:rPr>
  </w:style>
  <w:style w:type="paragraph" w:customStyle="1" w:styleId="2629">
    <w:name w:val="样式 首行缩进:  2 字符 右侧:  -0.27 厘米"/>
    <w:basedOn w:val="1"/>
    <w:qFormat/>
    <w:uiPriority w:val="0"/>
    <w:pPr>
      <w:widowControl w:val="0"/>
      <w:adjustRightInd w:val="0"/>
      <w:snapToGrid w:val="0"/>
      <w:spacing w:line="460" w:lineRule="exact"/>
      <w:ind w:right="-155" w:firstLine="560" w:firstLineChars="200"/>
      <w:jc w:val="both"/>
    </w:pPr>
    <w:rPr>
      <w:rFonts w:ascii="Times New Roman" w:hAnsi="Times New Roman"/>
      <w:sz w:val="28"/>
      <w:szCs w:val="28"/>
    </w:rPr>
  </w:style>
  <w:style w:type="paragraph" w:customStyle="1" w:styleId="2630">
    <w:name w:val="xl279"/>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31">
    <w:name w:val="索引 81"/>
    <w:basedOn w:val="1"/>
    <w:next w:val="1"/>
    <w:qFormat/>
    <w:uiPriority w:val="0"/>
    <w:pPr>
      <w:widowControl w:val="0"/>
      <w:spacing w:line="480" w:lineRule="exact"/>
      <w:ind w:left="1400" w:leftChars="1400"/>
      <w:jc w:val="both"/>
    </w:pPr>
    <w:rPr>
      <w:rFonts w:ascii="Times New Roman" w:hAnsi="Times New Roman" w:cs="Times New Roman"/>
      <w:kern w:val="2"/>
    </w:rPr>
  </w:style>
  <w:style w:type="paragraph" w:customStyle="1" w:styleId="2632">
    <w:name w:val="Char Char Char Char4"/>
    <w:basedOn w:val="1"/>
    <w:qFormat/>
    <w:uiPriority w:val="0"/>
    <w:pPr>
      <w:widowControl w:val="0"/>
      <w:jc w:val="both"/>
    </w:pPr>
    <w:rPr>
      <w:rFonts w:ascii="Times New Roman" w:hAnsi="Times New Roman" w:cs="Times New Roman"/>
      <w:kern w:val="2"/>
      <w:sz w:val="21"/>
    </w:rPr>
  </w:style>
  <w:style w:type="paragraph" w:customStyle="1" w:styleId="2633">
    <w:name w:val="xl282"/>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634">
    <w:name w:val="d"/>
    <w:basedOn w:val="1558"/>
    <w:qFormat/>
    <w:uiPriority w:val="0"/>
    <w:pPr>
      <w:adjustRightInd/>
      <w:spacing w:line="420" w:lineRule="exact"/>
      <w:ind w:firstLine="480"/>
      <w:textAlignment w:val="auto"/>
    </w:pPr>
    <w:rPr>
      <w:rFonts w:ascii="Times New Roman" w:hAnsi="Times New Roman"/>
      <w:sz w:val="24"/>
    </w:rPr>
  </w:style>
  <w:style w:type="paragraph" w:customStyle="1" w:styleId="2635">
    <w:name w:val="xl315"/>
    <w:basedOn w:val="1"/>
    <w:qFormat/>
    <w:uiPriority w:val="0"/>
    <w:pPr>
      <w:pBdr>
        <w:bottom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36">
    <w:name w:val="xl1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37">
    <w:name w:val="xl16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638">
    <w:name w:val="xl2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39">
    <w:name w:val="正文文本 321"/>
    <w:basedOn w:val="1"/>
    <w:qFormat/>
    <w:uiPriority w:val="0"/>
    <w:pPr>
      <w:widowControl w:val="0"/>
      <w:adjustRightInd w:val="0"/>
      <w:snapToGrid w:val="0"/>
      <w:spacing w:after="120" w:line="480" w:lineRule="exact"/>
      <w:ind w:firstLine="200" w:firstLineChars="200"/>
      <w:jc w:val="both"/>
    </w:pPr>
    <w:rPr>
      <w:rFonts w:ascii="Times New Roman" w:hAnsi="Times New Roman" w:cs="Times New Roman"/>
      <w:sz w:val="16"/>
      <w:szCs w:val="16"/>
    </w:rPr>
  </w:style>
  <w:style w:type="paragraph" w:customStyle="1" w:styleId="2640">
    <w:name w:val="封面－报告名称"/>
    <w:basedOn w:val="1"/>
    <w:next w:val="1"/>
    <w:qFormat/>
    <w:uiPriority w:val="0"/>
    <w:pPr>
      <w:widowControl w:val="0"/>
      <w:adjustRightInd w:val="0"/>
      <w:snapToGrid w:val="0"/>
      <w:spacing w:before="240" w:after="240" w:line="480" w:lineRule="exact"/>
      <w:ind w:firstLine="560" w:firstLineChars="200"/>
      <w:jc w:val="center"/>
    </w:pPr>
    <w:rPr>
      <w:rFonts w:ascii="Times New Roman" w:hAnsi="Times New Roman" w:eastAsia="黑体" w:cs="Times New Roman"/>
      <w:sz w:val="44"/>
      <w:szCs w:val="20"/>
    </w:rPr>
  </w:style>
  <w:style w:type="paragraph" w:customStyle="1" w:styleId="2641">
    <w:name w:val="正文文本缩进12"/>
    <w:basedOn w:val="1"/>
    <w:qFormat/>
    <w:uiPriority w:val="0"/>
    <w:pPr>
      <w:widowControl w:val="0"/>
      <w:adjustRightInd w:val="0"/>
      <w:spacing w:line="360" w:lineRule="atLeast"/>
      <w:ind w:left="280" w:firstLine="560"/>
    </w:pPr>
    <w:rPr>
      <w:rFonts w:ascii="Times New Roman" w:hAnsi="Times New Roman" w:cs="Times New Roman"/>
    </w:rPr>
  </w:style>
  <w:style w:type="paragraph" w:customStyle="1" w:styleId="2642">
    <w:name w:val="样式 标题 7 + 首行缩进:  2 字符"/>
    <w:basedOn w:val="10"/>
    <w:qFormat/>
    <w:uiPriority w:val="0"/>
    <w:pPr>
      <w:keepLines/>
      <w:tabs>
        <w:tab w:val="left" w:pos="425"/>
        <w:tab w:val="clear" w:pos="360"/>
      </w:tabs>
      <w:snapToGrid w:val="0"/>
      <w:spacing w:before="40" w:after="64" w:line="360" w:lineRule="auto"/>
      <w:ind w:left="0" w:firstLine="200" w:firstLineChars="200"/>
    </w:pPr>
    <w:rPr>
      <w:rFonts w:ascii="宋体" w:hAnsi="宋体" w:cs="宋体"/>
      <w:color w:val="000000"/>
      <w:kern w:val="0"/>
      <w:szCs w:val="20"/>
    </w:rPr>
  </w:style>
  <w:style w:type="paragraph" w:customStyle="1" w:styleId="2643">
    <w:name w:val="表格标注"/>
    <w:basedOn w:val="2335"/>
    <w:qFormat/>
    <w:uiPriority w:val="0"/>
    <w:pPr>
      <w:ind w:firstLine="200" w:firstLineChars="200"/>
      <w:jc w:val="both"/>
    </w:pPr>
  </w:style>
  <w:style w:type="paragraph" w:customStyle="1" w:styleId="2644">
    <w:name w:val="xl293"/>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645">
    <w:name w:val="xl21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rPr>
  </w:style>
  <w:style w:type="paragraph" w:customStyle="1" w:styleId="2646">
    <w:name w:val="xl2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47">
    <w:name w:val="Char8"/>
    <w:basedOn w:val="1"/>
    <w:next w:val="1558"/>
    <w:qFormat/>
    <w:uiPriority w:val="0"/>
    <w:pPr>
      <w:widowControl w:val="0"/>
      <w:spacing w:line="360" w:lineRule="auto"/>
      <w:ind w:firstLine="480" w:firstLineChars="200"/>
      <w:jc w:val="both"/>
    </w:pPr>
    <w:rPr>
      <w:rFonts w:ascii="Times New Roman" w:hAnsi="Times New Roman" w:cs="Times New Roman"/>
    </w:rPr>
  </w:style>
  <w:style w:type="paragraph" w:customStyle="1" w:styleId="2648">
    <w:name w:val="xl11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color w:val="FF0000"/>
      <w:sz w:val="21"/>
      <w:szCs w:val="21"/>
    </w:rPr>
  </w:style>
  <w:style w:type="paragraph" w:customStyle="1" w:styleId="2649">
    <w:name w:val="列表11"/>
    <w:basedOn w:val="1"/>
    <w:qFormat/>
    <w:uiPriority w:val="0"/>
    <w:pPr>
      <w:widowControl w:val="0"/>
      <w:jc w:val="center"/>
    </w:pPr>
    <w:rPr>
      <w:rFonts w:ascii="Times New Roman" w:hAnsi="Times New Roman" w:cs="Times New Roman"/>
      <w:sz w:val="21"/>
      <w:szCs w:val="20"/>
    </w:rPr>
  </w:style>
  <w:style w:type="paragraph" w:customStyle="1" w:styleId="2650">
    <w:name w:val="xl21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1">
    <w:name w:val="xl20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2">
    <w:name w:val="xl276"/>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pPr>
    <w:rPr>
      <w:sz w:val="20"/>
      <w:szCs w:val="20"/>
    </w:rPr>
  </w:style>
  <w:style w:type="paragraph" w:customStyle="1" w:styleId="2653">
    <w:name w:val="xl213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1"/>
      <w:szCs w:val="21"/>
    </w:rPr>
  </w:style>
  <w:style w:type="paragraph" w:customStyle="1" w:styleId="2654">
    <w:name w:val="xl2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5">
    <w:name w:val="样式 样式 首行缩进:  2 字符3 + 行距: 固定值 24 磅"/>
    <w:basedOn w:val="2656"/>
    <w:qFormat/>
    <w:uiPriority w:val="0"/>
    <w:pPr>
      <w:ind w:firstLine="560"/>
    </w:pPr>
  </w:style>
  <w:style w:type="paragraph" w:customStyle="1" w:styleId="2656">
    <w:name w:val="样式 首行缩进:  2 字符3"/>
    <w:basedOn w:val="1"/>
    <w:qFormat/>
    <w:uiPriority w:val="0"/>
    <w:pPr>
      <w:widowControl w:val="0"/>
      <w:adjustRightInd w:val="0"/>
      <w:snapToGrid w:val="0"/>
      <w:spacing w:line="500" w:lineRule="exact"/>
      <w:ind w:firstLine="200" w:firstLineChars="200"/>
      <w:jc w:val="both"/>
    </w:pPr>
    <w:rPr>
      <w:rFonts w:ascii="Times New Roman" w:hAnsi="Times New Roman"/>
      <w:sz w:val="28"/>
      <w:szCs w:val="20"/>
    </w:rPr>
  </w:style>
  <w:style w:type="paragraph" w:customStyle="1" w:styleId="2657">
    <w:name w:val="Char Char Char1 Char4"/>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658">
    <w:name w:val="索引 92"/>
    <w:basedOn w:val="1"/>
    <w:next w:val="1"/>
    <w:qFormat/>
    <w:uiPriority w:val="0"/>
    <w:pPr>
      <w:widowControl w:val="0"/>
      <w:ind w:left="1600" w:leftChars="1600"/>
      <w:jc w:val="both"/>
    </w:pPr>
    <w:rPr>
      <w:rFonts w:ascii="Times New Roman" w:hAnsi="Times New Roman" w:cs="Times New Roman"/>
      <w:kern w:val="2"/>
      <w:sz w:val="21"/>
    </w:rPr>
  </w:style>
  <w:style w:type="paragraph" w:customStyle="1" w:styleId="2659">
    <w:name w:val="bb"/>
    <w:basedOn w:val="1"/>
    <w:qFormat/>
    <w:uiPriority w:val="0"/>
    <w:pPr>
      <w:widowControl w:val="0"/>
      <w:adjustRightInd w:val="0"/>
      <w:spacing w:line="300" w:lineRule="auto"/>
      <w:jc w:val="both"/>
    </w:pPr>
    <w:rPr>
      <w:rFonts w:ascii="Times New Roman" w:hAnsi="Times New Roman" w:cs="Times New Roman"/>
      <w:kern w:val="2"/>
      <w:sz w:val="21"/>
    </w:rPr>
  </w:style>
  <w:style w:type="paragraph" w:customStyle="1" w:styleId="2660">
    <w:name w:val="xl1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1">
    <w:name w:val="xl295"/>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62">
    <w:name w:val="xl2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3">
    <w:name w:val="xl2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4">
    <w:name w:val="xl26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665">
    <w:name w:val="xl2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6">
    <w:name w:val="表内文字（两端对齐）"/>
    <w:basedOn w:val="1"/>
    <w:next w:val="41"/>
    <w:qFormat/>
    <w:uiPriority w:val="0"/>
    <w:pPr>
      <w:widowControl w:val="0"/>
      <w:adjustRightInd w:val="0"/>
      <w:snapToGrid w:val="0"/>
      <w:jc w:val="both"/>
    </w:pPr>
    <w:rPr>
      <w:rFonts w:ascii="Times New Roman" w:hAnsi="Times New Roman" w:cs="Times New Roman"/>
      <w:sz w:val="21"/>
    </w:rPr>
  </w:style>
  <w:style w:type="paragraph" w:customStyle="1" w:styleId="2667">
    <w:name w:val="样式16"/>
    <w:basedOn w:val="461"/>
    <w:qFormat/>
    <w:uiPriority w:val="0"/>
    <w:pPr>
      <w:topLinePunct/>
      <w:adjustRightInd/>
      <w:spacing w:beforeLines="50" w:afterLines="30" w:line="240" w:lineRule="auto"/>
      <w:ind w:firstLine="0"/>
      <w:jc w:val="both"/>
      <w:textAlignment w:val="auto"/>
    </w:pPr>
    <w:rPr>
      <w:rFonts w:hint="eastAsia" w:hAnsi="黑体" w:eastAsia="方正楷体简体"/>
      <w:b/>
      <w:color w:val="000000"/>
      <w:kern w:val="2"/>
      <w:sz w:val="21"/>
      <w:szCs w:val="28"/>
    </w:rPr>
  </w:style>
  <w:style w:type="paragraph" w:customStyle="1" w:styleId="2668">
    <w:name w:val="msonormal"/>
    <w:basedOn w:val="1"/>
    <w:qFormat/>
    <w:uiPriority w:val="0"/>
    <w:pPr>
      <w:spacing w:before="100" w:beforeAutospacing="1" w:after="100" w:afterAutospacing="1"/>
    </w:pPr>
  </w:style>
  <w:style w:type="paragraph" w:customStyle="1" w:styleId="2669">
    <w:name w:val="文档结构图21"/>
    <w:basedOn w:val="1"/>
    <w:qFormat/>
    <w:uiPriority w:val="0"/>
    <w:pPr>
      <w:widowControl w:val="0"/>
      <w:shd w:val="clear" w:color="auto" w:fill="000080"/>
      <w:adjustRightInd w:val="0"/>
      <w:snapToGrid w:val="0"/>
      <w:spacing w:line="480" w:lineRule="exact"/>
      <w:ind w:firstLine="560" w:firstLineChars="200"/>
      <w:jc w:val="both"/>
    </w:pPr>
    <w:rPr>
      <w:rFonts w:ascii="Times New Roman" w:hAnsi="Times New Roman" w:cs="Times New Roman"/>
      <w:sz w:val="28"/>
    </w:rPr>
  </w:style>
  <w:style w:type="paragraph" w:customStyle="1" w:styleId="2670">
    <w:name w:val="标题4  1）"/>
    <w:basedOn w:val="41"/>
    <w:qFormat/>
    <w:uiPriority w:val="0"/>
    <w:pPr>
      <w:widowControl w:val="0"/>
      <w:spacing w:line="360" w:lineRule="auto"/>
      <w:jc w:val="both"/>
    </w:pPr>
    <w:rPr>
      <w:rFonts w:eastAsia="楷体_GB2312"/>
      <w:sz w:val="24"/>
      <w:szCs w:val="20"/>
    </w:rPr>
  </w:style>
  <w:style w:type="paragraph" w:customStyle="1" w:styleId="2671">
    <w:name w:val="列表21"/>
    <w:basedOn w:val="1"/>
    <w:qFormat/>
    <w:uiPriority w:val="0"/>
    <w:pPr>
      <w:widowControl w:val="0"/>
      <w:spacing w:beforeLines="50"/>
      <w:jc w:val="right"/>
    </w:pPr>
    <w:rPr>
      <w:rFonts w:ascii="Times New Roman" w:hAnsi="Times New Roman" w:eastAsia="黑体" w:cs="Times New Roman"/>
      <w:kern w:val="2"/>
    </w:rPr>
  </w:style>
  <w:style w:type="paragraph" w:customStyle="1" w:styleId="2672">
    <w:name w:val="xl2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73">
    <w:name w:val="xl18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sz w:val="20"/>
      <w:szCs w:val="20"/>
    </w:rPr>
  </w:style>
  <w:style w:type="paragraph" w:customStyle="1" w:styleId="2674">
    <w:name w:val="索引 611"/>
    <w:basedOn w:val="1"/>
    <w:next w:val="1"/>
    <w:qFormat/>
    <w:uiPriority w:val="0"/>
    <w:pPr>
      <w:widowControl w:val="0"/>
      <w:spacing w:line="480" w:lineRule="exact"/>
      <w:ind w:left="1000" w:leftChars="1000"/>
      <w:jc w:val="both"/>
    </w:pPr>
    <w:rPr>
      <w:rFonts w:ascii="Times New Roman" w:hAnsi="Times New Roman" w:cs="Times New Roman"/>
      <w:kern w:val="2"/>
    </w:rPr>
  </w:style>
  <w:style w:type="paragraph" w:customStyle="1" w:styleId="2675">
    <w:name w:val="索引 811"/>
    <w:basedOn w:val="1"/>
    <w:next w:val="1"/>
    <w:qFormat/>
    <w:uiPriority w:val="0"/>
    <w:pPr>
      <w:widowControl w:val="0"/>
      <w:spacing w:line="480" w:lineRule="exact"/>
      <w:ind w:left="1400" w:leftChars="1400"/>
      <w:jc w:val="both"/>
    </w:pPr>
    <w:rPr>
      <w:rFonts w:ascii="Times New Roman" w:hAnsi="Times New Roman" w:cs="Times New Roman"/>
      <w:kern w:val="2"/>
    </w:rPr>
  </w:style>
  <w:style w:type="paragraph" w:customStyle="1" w:styleId="2676">
    <w:name w:val="xl317"/>
    <w:basedOn w:val="1"/>
    <w:qFormat/>
    <w:uiPriority w:val="0"/>
    <w:pPr>
      <w:pBdr>
        <w:bottom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77">
    <w:name w:val="xl2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78">
    <w:name w:val="xl2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CC"/>
      <w:sz w:val="20"/>
      <w:szCs w:val="20"/>
    </w:rPr>
  </w:style>
  <w:style w:type="paragraph" w:customStyle="1" w:styleId="2679">
    <w:name w:val="样式 标题 5 + 首行缩进:  2 字符1"/>
    <w:basedOn w:val="8"/>
    <w:qFormat/>
    <w:uiPriority w:val="0"/>
    <w:pPr>
      <w:keepNext w:val="0"/>
      <w:keepLines w:val="0"/>
      <w:tabs>
        <w:tab w:val="left" w:pos="1260"/>
      </w:tabs>
      <w:topLinePunct w:val="0"/>
      <w:adjustRightInd w:val="0"/>
      <w:snapToGrid w:val="0"/>
      <w:spacing w:before="0" w:after="0" w:line="480" w:lineRule="exact"/>
      <w:ind w:firstLine="562"/>
      <w:jc w:val="both"/>
    </w:pPr>
    <w:rPr>
      <w:rFonts w:ascii="Times New Roman" w:cs="宋体"/>
      <w:color w:val="000000"/>
      <w:szCs w:val="20"/>
    </w:rPr>
  </w:style>
  <w:style w:type="paragraph" w:customStyle="1" w:styleId="2680">
    <w:name w:val="WPSOffice手动目录 3"/>
    <w:qFormat/>
    <w:uiPriority w:val="0"/>
    <w:pPr>
      <w:ind w:left="400" w:leftChars="400"/>
    </w:pPr>
    <w:rPr>
      <w:rFonts w:ascii="Calibri" w:hAnsi="Calibri" w:eastAsia="宋体" w:cs="Times New Roman"/>
      <w:lang w:val="en-US" w:eastAsia="zh-CN" w:bidi="ar-SA"/>
    </w:rPr>
  </w:style>
  <w:style w:type="paragraph" w:customStyle="1" w:styleId="2681">
    <w:name w:val="xl256"/>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682">
    <w:name w:val="xl2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3">
    <w:name w:val="xl26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684">
    <w:name w:val="xl2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5">
    <w:name w:val="xl2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6">
    <w:name w:val="样式 非加粗 首行缩进:  1.01 厘米"/>
    <w:basedOn w:val="1"/>
    <w:qFormat/>
    <w:uiPriority w:val="0"/>
    <w:pPr>
      <w:widowControl w:val="0"/>
      <w:spacing w:line="440" w:lineRule="exact"/>
      <w:ind w:firstLine="560" w:firstLineChars="200"/>
      <w:jc w:val="center"/>
    </w:pPr>
    <w:rPr>
      <w:color w:val="000000"/>
      <w:kern w:val="2"/>
      <w:sz w:val="28"/>
      <w:szCs w:val="20"/>
    </w:rPr>
  </w:style>
  <w:style w:type="paragraph" w:customStyle="1" w:styleId="2687">
    <w:name w:val="xl299"/>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88">
    <w:name w:val="xl300"/>
    <w:basedOn w:val="1"/>
    <w:qFormat/>
    <w:uiPriority w:val="0"/>
    <w:pPr>
      <w:shd w:val="clear" w:color="auto" w:fill="FF8080"/>
      <w:spacing w:before="100" w:beforeAutospacing="1" w:after="100" w:afterAutospacing="1"/>
      <w:jc w:val="center"/>
    </w:pPr>
    <w:rPr>
      <w:rFonts w:ascii="方正综艺简体" w:eastAsia="方正综艺简体"/>
      <w:sz w:val="20"/>
      <w:szCs w:val="20"/>
    </w:rPr>
  </w:style>
  <w:style w:type="paragraph" w:customStyle="1" w:styleId="2689">
    <w:name w:val="列表 211"/>
    <w:basedOn w:val="1"/>
    <w:qFormat/>
    <w:uiPriority w:val="0"/>
    <w:pPr>
      <w:widowControl w:val="0"/>
      <w:spacing w:line="480" w:lineRule="exact"/>
      <w:ind w:left="840" w:hanging="420"/>
      <w:jc w:val="both"/>
    </w:pPr>
    <w:rPr>
      <w:rFonts w:ascii="Times New Roman" w:hAnsi="Times New Roman" w:cs="Times New Roman"/>
      <w:kern w:val="2"/>
      <w:szCs w:val="20"/>
    </w:rPr>
  </w:style>
  <w:style w:type="paragraph" w:customStyle="1" w:styleId="2690">
    <w:name w:val="xl287"/>
    <w:basedOn w:val="1"/>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91">
    <w:name w:val="索引 411"/>
    <w:basedOn w:val="1"/>
    <w:next w:val="1"/>
    <w:qFormat/>
    <w:uiPriority w:val="0"/>
    <w:pPr>
      <w:widowControl w:val="0"/>
      <w:spacing w:line="480" w:lineRule="exact"/>
      <w:ind w:left="600" w:leftChars="600"/>
      <w:jc w:val="both"/>
    </w:pPr>
    <w:rPr>
      <w:rFonts w:ascii="Times New Roman" w:hAnsi="Times New Roman" w:cs="Times New Roman"/>
      <w:kern w:val="2"/>
    </w:rPr>
  </w:style>
  <w:style w:type="paragraph" w:customStyle="1" w:styleId="2692">
    <w:name w:val="xl302"/>
    <w:basedOn w:val="1"/>
    <w:qFormat/>
    <w:uiPriority w:val="0"/>
    <w:pPr>
      <w:pBdr>
        <w:top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3">
    <w:name w:val="xl289"/>
    <w:basedOn w:val="1"/>
    <w:qFormat/>
    <w:uiPriority w:val="0"/>
    <w:pPr>
      <w:pBdr>
        <w:left w:val="single" w:color="auto" w:sz="4" w:space="0"/>
        <w:bottom w:val="single" w:color="auto" w:sz="4" w:space="0"/>
        <w:right w:val="single" w:color="auto" w:sz="4" w:space="0"/>
      </w:pBdr>
      <w:spacing w:before="100" w:beforeAutospacing="1" w:after="100" w:afterAutospacing="1"/>
    </w:pPr>
    <w:rPr>
      <w:color w:val="0000FF"/>
      <w:sz w:val="20"/>
      <w:szCs w:val="20"/>
    </w:rPr>
  </w:style>
  <w:style w:type="paragraph" w:customStyle="1" w:styleId="2694">
    <w:name w:val="xl290"/>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5">
    <w:name w:val="xl307"/>
    <w:basedOn w:val="1"/>
    <w:qFormat/>
    <w:uiPriority w:val="0"/>
    <w:pPr>
      <w:pBdr>
        <w:top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6">
    <w:name w:val="封面项目名称"/>
    <w:basedOn w:val="1"/>
    <w:next w:val="1"/>
    <w:qFormat/>
    <w:uiPriority w:val="0"/>
    <w:pPr>
      <w:widowControl w:val="0"/>
      <w:adjustRightInd w:val="0"/>
      <w:snapToGrid w:val="0"/>
      <w:spacing w:line="360" w:lineRule="auto"/>
      <w:jc w:val="center"/>
    </w:pPr>
    <w:rPr>
      <w:rFonts w:ascii="Times New Roman" w:hAnsi="Times New Roman" w:eastAsia="黑体" w:cs="Times New Roman"/>
      <w:kern w:val="2"/>
      <w:sz w:val="36"/>
      <w:szCs w:val="20"/>
    </w:rPr>
  </w:style>
  <w:style w:type="paragraph" w:customStyle="1" w:styleId="2697">
    <w:name w:val="公司名称及日期"/>
    <w:basedOn w:val="1"/>
    <w:next w:val="1"/>
    <w:qFormat/>
    <w:uiPriority w:val="0"/>
    <w:pPr>
      <w:widowControl w:val="0"/>
      <w:adjustRightInd w:val="0"/>
      <w:snapToGrid w:val="0"/>
      <w:spacing w:line="360" w:lineRule="auto"/>
      <w:ind w:left="567"/>
      <w:jc w:val="center"/>
    </w:pPr>
    <w:rPr>
      <w:rFonts w:ascii="Times New Roman" w:hAnsi="Times New Roman" w:eastAsia="楷体_GB2312" w:cs="Times New Roman"/>
      <w:kern w:val="2"/>
      <w:sz w:val="32"/>
      <w:szCs w:val="20"/>
    </w:rPr>
  </w:style>
  <w:style w:type="paragraph" w:customStyle="1" w:styleId="2698">
    <w:name w:val="Char Char2 Char Char Char Char Char 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rPr>
  </w:style>
  <w:style w:type="paragraph" w:customStyle="1" w:styleId="2699">
    <w:name w:val="Char Char2 Char Char Char Char Char Char Char Char Char Char Char Char Char Char Char Char Char Char Char Char Char Char Char Char Char Char Char1"/>
    <w:basedOn w:val="1"/>
    <w:qFormat/>
    <w:uiPriority w:val="0"/>
    <w:pPr>
      <w:widowControl w:val="0"/>
      <w:jc w:val="both"/>
    </w:pPr>
    <w:rPr>
      <w:rFonts w:ascii="Times New Roman" w:hAnsi="Times New Roman" w:eastAsia="Arial" w:cs="Times New Roman"/>
      <w:kern w:val="2"/>
      <w:sz w:val="21"/>
    </w:rPr>
  </w:style>
  <w:style w:type="paragraph" w:customStyle="1" w:styleId="2700">
    <w:name w:val="Char1 Char Char Char4"/>
    <w:basedOn w:val="1"/>
    <w:qFormat/>
    <w:uiPriority w:val="0"/>
    <w:pPr>
      <w:widowControl w:val="0"/>
      <w:jc w:val="both"/>
    </w:pPr>
    <w:rPr>
      <w:rFonts w:ascii="Times New Roman" w:hAnsi="Times New Roman" w:cs="Times New Roman"/>
      <w:kern w:val="2"/>
      <w:sz w:val="21"/>
    </w:rPr>
  </w:style>
  <w:style w:type="paragraph" w:customStyle="1" w:styleId="2701">
    <w:name w:val="正文六级"/>
    <w:basedOn w:val="1"/>
    <w:qFormat/>
    <w:uiPriority w:val="0"/>
    <w:pPr>
      <w:widowControl w:val="0"/>
      <w:tabs>
        <w:tab w:val="left" w:pos="620"/>
      </w:tabs>
      <w:spacing w:line="480" w:lineRule="exact"/>
      <w:ind w:left="620" w:hanging="420"/>
      <w:outlineLvl w:val="5"/>
    </w:pPr>
    <w:rPr>
      <w:rFonts w:ascii="Times New Roman" w:hAnsi="Times New Roman" w:cs="Times New Roman"/>
      <w:b/>
      <w:kern w:val="2"/>
      <w:sz w:val="28"/>
      <w:szCs w:val="28"/>
    </w:rPr>
  </w:style>
  <w:style w:type="paragraph" w:customStyle="1" w:styleId="2702">
    <w:name w:val="样式 样式 首行缩进:  2 字符3 + 首行缩进:  2 字符"/>
    <w:basedOn w:val="1"/>
    <w:qFormat/>
    <w:uiPriority w:val="0"/>
    <w:pPr>
      <w:adjustRightInd w:val="0"/>
      <w:snapToGrid w:val="0"/>
      <w:spacing w:line="480" w:lineRule="exact"/>
      <w:ind w:firstLine="560" w:firstLineChars="200"/>
      <w:jc w:val="both"/>
    </w:pPr>
    <w:rPr>
      <w:rFonts w:ascii="Times New Roman" w:hAnsi="Times New Roman" w:cs="Times New Roman"/>
      <w:sz w:val="28"/>
      <w:szCs w:val="20"/>
    </w:rPr>
  </w:style>
  <w:style w:type="paragraph" w:customStyle="1" w:styleId="2703">
    <w:name w:val="0表内字"/>
    <w:basedOn w:val="1"/>
    <w:qFormat/>
    <w:uiPriority w:val="0"/>
    <w:pPr>
      <w:widowControl w:val="0"/>
      <w:adjustRightInd w:val="0"/>
      <w:snapToGrid w:val="0"/>
    </w:pPr>
    <w:rPr>
      <w:kern w:val="2"/>
      <w:sz w:val="21"/>
    </w:rPr>
  </w:style>
  <w:style w:type="paragraph" w:customStyle="1" w:styleId="2704">
    <w:name w:val="样式 Times 四号 行距: 固定值 22 磅"/>
    <w:basedOn w:val="1"/>
    <w:qFormat/>
    <w:uiPriority w:val="0"/>
    <w:pPr>
      <w:widowControl w:val="0"/>
      <w:spacing w:line="520" w:lineRule="exact"/>
      <w:ind w:firstLine="538" w:firstLineChars="192"/>
      <w:jc w:val="both"/>
    </w:pPr>
    <w:rPr>
      <w:rFonts w:ascii="Times" w:hAnsi="Times" w:cs="Times New Roman"/>
      <w:color w:val="000000"/>
      <w:kern w:val="2"/>
      <w:sz w:val="28"/>
      <w:szCs w:val="28"/>
    </w:rPr>
  </w:style>
  <w:style w:type="paragraph" w:customStyle="1" w:styleId="2705">
    <w:name w:val="Char6"/>
    <w:basedOn w:val="1"/>
    <w:next w:val="1558"/>
    <w:qFormat/>
    <w:uiPriority w:val="0"/>
    <w:pPr>
      <w:widowControl w:val="0"/>
      <w:spacing w:line="360" w:lineRule="auto"/>
      <w:ind w:firstLine="480" w:firstLineChars="200"/>
      <w:jc w:val="both"/>
    </w:pPr>
    <w:rPr>
      <w:rFonts w:ascii="Times New Roman" w:hAnsi="Times New Roman" w:cs="Times New Roman"/>
    </w:rPr>
  </w:style>
  <w:style w:type="paragraph" w:customStyle="1" w:styleId="2706">
    <w:name w:val="样式 标题 3 + 首行缩进:  2 字符"/>
    <w:basedOn w:val="6"/>
    <w:qFormat/>
    <w:uiPriority w:val="0"/>
    <w:pPr>
      <w:widowControl w:val="0"/>
      <w:spacing w:before="260" w:after="260" w:line="240" w:lineRule="auto"/>
      <w:ind w:left="358" w:leftChars="75" w:hanging="178" w:hangingChars="74"/>
    </w:pPr>
    <w:rPr>
      <w:rFonts w:eastAsia="宋体" w:cs="宋体"/>
      <w:b/>
      <w:kern w:val="2"/>
      <w:sz w:val="24"/>
      <w:szCs w:val="20"/>
    </w:rPr>
  </w:style>
  <w:style w:type="paragraph" w:customStyle="1" w:styleId="2707">
    <w:name w:val="b"/>
    <w:basedOn w:val="1"/>
    <w:qFormat/>
    <w:uiPriority w:val="0"/>
    <w:pPr>
      <w:widowControl w:val="0"/>
      <w:spacing w:line="360" w:lineRule="auto"/>
      <w:jc w:val="center"/>
      <w:outlineLvl w:val="0"/>
    </w:pPr>
    <w:rPr>
      <w:rFonts w:ascii="Times New Roman" w:hAnsi="Times New Roman" w:eastAsia="黑体" w:cs="Times New Roman"/>
      <w:kern w:val="10"/>
      <w:szCs w:val="20"/>
    </w:rPr>
  </w:style>
  <w:style w:type="paragraph" w:customStyle="1" w:styleId="2708">
    <w:name w:val="索引 72"/>
    <w:basedOn w:val="1"/>
    <w:next w:val="1"/>
    <w:qFormat/>
    <w:uiPriority w:val="0"/>
    <w:pPr>
      <w:widowControl w:val="0"/>
      <w:spacing w:line="480" w:lineRule="exact"/>
      <w:ind w:left="1200" w:leftChars="1200"/>
      <w:jc w:val="both"/>
    </w:pPr>
    <w:rPr>
      <w:rFonts w:ascii="Times New Roman" w:hAnsi="Times New Roman" w:cs="Times New Roman"/>
      <w:kern w:val="2"/>
    </w:rPr>
  </w:style>
  <w:style w:type="paragraph" w:customStyle="1" w:styleId="2709">
    <w:name w:val="索引标题2"/>
    <w:basedOn w:val="1"/>
    <w:next w:val="2568"/>
    <w:qFormat/>
    <w:uiPriority w:val="0"/>
    <w:pPr>
      <w:widowControl w:val="0"/>
      <w:spacing w:line="480" w:lineRule="exact"/>
      <w:jc w:val="both"/>
    </w:pPr>
    <w:rPr>
      <w:rFonts w:ascii="Arial" w:hAnsi="Arial" w:cs="Arial"/>
      <w:b/>
      <w:bCs/>
      <w:kern w:val="2"/>
    </w:rPr>
  </w:style>
  <w:style w:type="paragraph" w:customStyle="1" w:styleId="2710">
    <w:name w:val="引文目录2"/>
    <w:basedOn w:val="1"/>
    <w:next w:val="1"/>
    <w:qFormat/>
    <w:uiPriority w:val="0"/>
    <w:pPr>
      <w:widowControl w:val="0"/>
      <w:spacing w:line="480" w:lineRule="exact"/>
      <w:ind w:left="420" w:leftChars="200"/>
      <w:jc w:val="both"/>
    </w:pPr>
    <w:rPr>
      <w:rFonts w:ascii="Times New Roman" w:hAnsi="Times New Roman" w:cs="Times New Roman"/>
      <w:kern w:val="2"/>
    </w:rPr>
  </w:style>
  <w:style w:type="paragraph" w:customStyle="1" w:styleId="2711">
    <w:name w:val="样式 样式 表头 + 左侧:  0.99 字符 + 首行缩进:  3.19 厘米"/>
    <w:basedOn w:val="2501"/>
    <w:qFormat/>
    <w:uiPriority w:val="0"/>
    <w:pPr>
      <w:ind w:left="200" w:leftChars="200"/>
    </w:pPr>
    <w:rPr>
      <w:szCs w:val="20"/>
    </w:rPr>
  </w:style>
  <w:style w:type="paragraph" w:customStyle="1" w:styleId="2712">
    <w:name w:val="xl126"/>
    <w:basedOn w:val="1"/>
    <w:qFormat/>
    <w:uiPriority w:val="0"/>
    <w:pPr>
      <w:spacing w:before="100" w:beforeAutospacing="1" w:after="100" w:afterAutospacing="1"/>
    </w:pPr>
  </w:style>
  <w:style w:type="paragraph" w:customStyle="1" w:styleId="2713">
    <w:name w:val="xl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000000"/>
      <w:sz w:val="21"/>
      <w:szCs w:val="21"/>
    </w:rPr>
  </w:style>
  <w:style w:type="paragraph" w:customStyle="1" w:styleId="2714">
    <w:name w:val="xl1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2"/>
      <w:szCs w:val="22"/>
    </w:rPr>
  </w:style>
  <w:style w:type="paragraph" w:customStyle="1" w:styleId="2715">
    <w:name w:val="xl2127"/>
    <w:basedOn w:val="1"/>
    <w:qFormat/>
    <w:uiPriority w:val="0"/>
    <w:pPr>
      <w:spacing w:before="100" w:beforeAutospacing="1" w:after="100" w:afterAutospacing="1"/>
      <w:jc w:val="center"/>
    </w:pPr>
  </w:style>
  <w:style w:type="paragraph" w:customStyle="1" w:styleId="2716">
    <w:name w:val="xl215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717">
    <w:name w:val="正文-表头"/>
    <w:basedOn w:val="1"/>
    <w:qFormat/>
    <w:uiPriority w:val="0"/>
    <w:pPr>
      <w:widowControl w:val="0"/>
      <w:adjustRightInd w:val="0"/>
      <w:snapToGrid w:val="0"/>
      <w:spacing w:beforeLines="50" w:afterLines="50"/>
      <w:jc w:val="center"/>
    </w:pPr>
    <w:rPr>
      <w:rFonts w:ascii="黑体" w:hAnsi="Times New Roman" w:eastAsia="黑体" w:cs="Times New Roman"/>
      <w:kern w:val="2"/>
      <w:sz w:val="21"/>
    </w:rPr>
  </w:style>
  <w:style w:type="paragraph" w:customStyle="1" w:styleId="2718">
    <w:name w:val="xl214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right"/>
    </w:pPr>
  </w:style>
  <w:style w:type="paragraph" w:customStyle="1" w:styleId="2719">
    <w:name w:val="xl21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1"/>
      <w:szCs w:val="21"/>
    </w:rPr>
  </w:style>
  <w:style w:type="paragraph" w:customStyle="1" w:styleId="2720">
    <w:name w:val="xl215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FF0000"/>
      <w:sz w:val="21"/>
      <w:szCs w:val="21"/>
    </w:rPr>
  </w:style>
  <w:style w:type="paragraph" w:customStyle="1" w:styleId="2721">
    <w:name w:val="样式 标题 5 + 首行缩进:  2 字符"/>
    <w:basedOn w:val="8"/>
    <w:qFormat/>
    <w:uiPriority w:val="0"/>
    <w:pPr>
      <w:keepNext w:val="0"/>
      <w:keepLines w:val="0"/>
      <w:tabs>
        <w:tab w:val="left" w:pos="1260"/>
      </w:tabs>
      <w:topLinePunct w:val="0"/>
      <w:adjustRightInd w:val="0"/>
      <w:snapToGrid w:val="0"/>
      <w:spacing w:before="0" w:after="0" w:line="480" w:lineRule="exact"/>
      <w:ind w:firstLine="560"/>
      <w:jc w:val="both"/>
      <w:outlineLvl w:val="9"/>
    </w:pPr>
    <w:rPr>
      <w:rFonts w:ascii="宋体" w:hAnsi="宋体" w:eastAsia="宋体" w:cs="宋体"/>
      <w:b w:val="0"/>
    </w:rPr>
  </w:style>
  <w:style w:type="paragraph" w:customStyle="1" w:styleId="2722">
    <w:name w:val="图片，环保"/>
    <w:basedOn w:val="1"/>
    <w:qFormat/>
    <w:uiPriority w:val="0"/>
    <w:pPr>
      <w:widowControl w:val="0"/>
      <w:jc w:val="center"/>
    </w:pPr>
    <w:rPr>
      <w:rFonts w:cs="Times New Roman"/>
      <w:szCs w:val="20"/>
    </w:rPr>
  </w:style>
  <w:style w:type="paragraph" w:customStyle="1" w:styleId="2723">
    <w:name w:val="图名，环保"/>
    <w:basedOn w:val="1"/>
    <w:next w:val="1"/>
    <w:qFormat/>
    <w:uiPriority w:val="0"/>
    <w:pPr>
      <w:widowControl w:val="0"/>
      <w:spacing w:line="300" w:lineRule="auto"/>
      <w:jc w:val="center"/>
    </w:pPr>
    <w:rPr>
      <w:rFonts w:cs="Times New Roman"/>
      <w:b/>
      <w:szCs w:val="20"/>
    </w:rPr>
  </w:style>
  <w:style w:type="paragraph" w:customStyle="1" w:styleId="2724">
    <w:name w:val="Char Char Char Char Char Char Char Char1"/>
    <w:basedOn w:val="1"/>
    <w:qFormat/>
    <w:uiPriority w:val="0"/>
    <w:pPr>
      <w:spacing w:after="160" w:line="240" w:lineRule="exact"/>
    </w:pPr>
    <w:rPr>
      <w:rFonts w:ascii="Verdana" w:hAnsi="Verdana" w:cs="Times New Roman"/>
      <w:sz w:val="20"/>
      <w:szCs w:val="20"/>
      <w:lang w:eastAsia="en-US"/>
    </w:rPr>
  </w:style>
  <w:style w:type="paragraph" w:customStyle="1" w:styleId="2725">
    <w:name w:val="纯文本11"/>
    <w:basedOn w:val="1"/>
    <w:qFormat/>
    <w:uiPriority w:val="0"/>
    <w:pPr>
      <w:widowControl w:val="0"/>
      <w:jc w:val="both"/>
    </w:pPr>
    <w:rPr>
      <w:rFonts w:hAnsi="Courier New" w:cs="Times New Roman"/>
      <w:kern w:val="2"/>
      <w:sz w:val="21"/>
      <w:szCs w:val="20"/>
    </w:rPr>
  </w:style>
  <w:style w:type="paragraph" w:customStyle="1" w:styleId="2726">
    <w:name w:val="WW-纯文本"/>
    <w:basedOn w:val="1"/>
    <w:qFormat/>
    <w:uiPriority w:val="0"/>
    <w:pPr>
      <w:widowControl w:val="0"/>
      <w:suppressAutoHyphens/>
      <w:spacing w:line="312" w:lineRule="atLeast"/>
      <w:jc w:val="both"/>
      <w:textAlignment w:val="baseline"/>
    </w:pPr>
    <w:rPr>
      <w:rFonts w:eastAsia="楷体_GB2312" w:cs="Courier New"/>
      <w:kern w:val="2"/>
      <w:sz w:val="21"/>
      <w:szCs w:val="21"/>
    </w:rPr>
  </w:style>
  <w:style w:type="character" w:customStyle="1" w:styleId="2727">
    <w:name w:val="批注文字 Char3"/>
    <w:qFormat/>
    <w:uiPriority w:val="99"/>
    <w:rPr>
      <w:kern w:val="2"/>
      <w:sz w:val="21"/>
      <w:szCs w:val="24"/>
    </w:rPr>
  </w:style>
  <w:style w:type="character" w:customStyle="1" w:styleId="2728">
    <w:name w:val="正文文本首行缩进 2 字符"/>
    <w:qFormat/>
    <w:uiPriority w:val="0"/>
    <w:rPr>
      <w:rFonts w:ascii="宋体" w:hAnsi="Arial"/>
      <w:snapToGrid/>
      <w:kern w:val="2"/>
      <w:sz w:val="28"/>
      <w:szCs w:val="24"/>
    </w:rPr>
  </w:style>
  <w:style w:type="character" w:customStyle="1" w:styleId="2729">
    <w:name w:val="正文文本首行缩进 字符1"/>
    <w:qFormat/>
    <w:uiPriority w:val="0"/>
    <w:rPr>
      <w:kern w:val="2"/>
      <w:sz w:val="21"/>
      <w:szCs w:val="24"/>
    </w:rPr>
  </w:style>
  <w:style w:type="paragraph" w:customStyle="1" w:styleId="2730">
    <w:name w:val="正文文本 26"/>
    <w:basedOn w:val="1"/>
    <w:qFormat/>
    <w:uiPriority w:val="0"/>
    <w:pPr>
      <w:widowControl w:val="0"/>
      <w:adjustRightInd w:val="0"/>
      <w:jc w:val="center"/>
      <w:textAlignment w:val="baseline"/>
    </w:pPr>
    <w:rPr>
      <w:rFonts w:ascii="Arial" w:hAnsi="Arial" w:eastAsia="Arial" w:cs="Times New Roman"/>
      <w:kern w:val="2"/>
      <w:sz w:val="21"/>
      <w:szCs w:val="20"/>
    </w:rPr>
  </w:style>
  <w:style w:type="character" w:customStyle="1" w:styleId="2731">
    <w:name w:val="环保表内字（五号） Char"/>
    <w:qFormat/>
    <w:uiPriority w:val="0"/>
    <w:rPr>
      <w:rFonts w:hint="default" w:ascii="Times New Roman" w:hAnsi="Times New Roman" w:cs="Times New Roman"/>
      <w:snapToGrid/>
      <w:sz w:val="21"/>
    </w:rPr>
  </w:style>
  <w:style w:type="paragraph" w:customStyle="1" w:styleId="2732">
    <w:name w:val="Char Char Char3"/>
    <w:basedOn w:val="1"/>
    <w:qFormat/>
    <w:uiPriority w:val="0"/>
    <w:pPr>
      <w:widowControl w:val="0"/>
      <w:jc w:val="both"/>
    </w:pPr>
    <w:rPr>
      <w:rFonts w:ascii="Tahoma" w:hAnsi="Tahoma" w:eastAsia="黑体" w:cs="Times New Roman"/>
      <w:kern w:val="2"/>
      <w:sz w:val="28"/>
      <w:szCs w:val="28"/>
    </w:rPr>
  </w:style>
  <w:style w:type="paragraph" w:customStyle="1" w:styleId="2733">
    <w:name w:val="正文文本 27"/>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734">
    <w:name w:val="修订3"/>
    <w:hidden/>
    <w:qFormat/>
    <w:uiPriority w:val="99"/>
    <w:rPr>
      <w:rFonts w:ascii="宋体" w:hAnsi="宋体" w:eastAsia="宋体" w:cs="宋体"/>
      <w:sz w:val="24"/>
      <w:szCs w:val="24"/>
      <w:lang w:val="en-US" w:eastAsia="zh-CN" w:bidi="ar-SA"/>
    </w:rPr>
  </w:style>
  <w:style w:type="paragraph" w:customStyle="1" w:styleId="2735">
    <w:name w:val="修订4"/>
    <w:hidden/>
    <w:semiHidden/>
    <w:qFormat/>
    <w:uiPriority w:val="99"/>
    <w:rPr>
      <w:rFonts w:ascii="宋体" w:hAnsi="宋体" w:eastAsia="宋体" w:cs="宋体"/>
      <w:sz w:val="24"/>
      <w:szCs w:val="24"/>
      <w:lang w:val="en-US" w:eastAsia="zh-CN" w:bidi="ar-SA"/>
    </w:rPr>
  </w:style>
  <w:style w:type="paragraph" w:customStyle="1" w:styleId="2736">
    <w:name w:val="5表格"/>
    <w:basedOn w:val="1"/>
    <w:link w:val="2737"/>
    <w:qFormat/>
    <w:uiPriority w:val="0"/>
    <w:pPr>
      <w:jc w:val="center"/>
    </w:pPr>
    <w:rPr>
      <w:rFonts w:ascii="Times New Roman" w:hAnsi="Times New Roman" w:cs="Times New Roman"/>
      <w:bCs/>
      <w:iCs/>
      <w:color w:val="000000"/>
      <w:sz w:val="18"/>
    </w:rPr>
  </w:style>
  <w:style w:type="character" w:customStyle="1" w:styleId="2737">
    <w:name w:val="5表格 Char"/>
    <w:link w:val="2736"/>
    <w:qFormat/>
    <w:uiPriority w:val="0"/>
    <w:rPr>
      <w:bCs/>
      <w:iCs/>
      <w:color w:val="000000"/>
      <w:sz w:val="18"/>
      <w:szCs w:val="24"/>
    </w:rPr>
  </w:style>
  <w:style w:type="paragraph" w:customStyle="1" w:styleId="2738">
    <w:name w:val="O.K. 表格内"/>
    <w:basedOn w:val="41"/>
    <w:qFormat/>
    <w:uiPriority w:val="0"/>
    <w:pPr>
      <w:adjustRightInd w:val="0"/>
      <w:snapToGrid w:val="0"/>
      <w:jc w:val="center"/>
    </w:pPr>
  </w:style>
  <w:style w:type="paragraph" w:customStyle="1" w:styleId="2739">
    <w:name w:val="样式 样式 样式 样式 样式 正文文本 + (中文) 宋体 + 首行缩进:  2 字符 + 首行缩进:  2 字符 + (中文)..."/>
    <w:basedOn w:val="1"/>
    <w:qFormat/>
    <w:uiPriority w:val="0"/>
    <w:pPr>
      <w:adjustRightInd w:val="0"/>
      <w:snapToGrid w:val="0"/>
      <w:spacing w:line="360" w:lineRule="auto"/>
      <w:ind w:firstLine="560" w:firstLineChars="200"/>
    </w:pPr>
    <w:rPr>
      <w:sz w:val="28"/>
      <w:szCs w:val="28"/>
    </w:rPr>
  </w:style>
  <w:style w:type="paragraph" w:customStyle="1" w:styleId="2740">
    <w:name w:val="样式 正文文本 + (中文) 宋体"/>
    <w:qFormat/>
    <w:uiPriority w:val="0"/>
    <w:pPr>
      <w:adjustRightInd w:val="0"/>
      <w:snapToGrid w:val="0"/>
      <w:spacing w:line="360" w:lineRule="auto"/>
      <w:ind w:firstLine="200" w:firstLineChars="200"/>
      <w:jc w:val="both"/>
    </w:pPr>
    <w:rPr>
      <w:rFonts w:ascii="宋体" w:hAnsi="宋体" w:eastAsia="宋体" w:cs="宋体"/>
      <w:sz w:val="28"/>
      <w:szCs w:val="28"/>
      <w:lang w:val="en-US" w:eastAsia="zh-CN" w:bidi="ar-SA"/>
    </w:rPr>
  </w:style>
  <w:style w:type="paragraph" w:customStyle="1" w:styleId="2741">
    <w:name w:val="样式 正文11 + 首行缩进:  2 字符"/>
    <w:basedOn w:val="2742"/>
    <w:qFormat/>
    <w:uiPriority w:val="0"/>
    <w:pPr>
      <w:ind w:firstLine="560" w:firstLineChars="200"/>
    </w:pPr>
    <w:rPr>
      <w:color w:val="FF0000"/>
      <w:szCs w:val="20"/>
    </w:rPr>
  </w:style>
  <w:style w:type="paragraph" w:customStyle="1" w:styleId="2742">
    <w:name w:val="O.K.1"/>
    <w:basedOn w:val="4"/>
    <w:qFormat/>
    <w:uiPriority w:val="0"/>
    <w:pPr>
      <w:ind w:firstLine="482"/>
    </w:pPr>
  </w:style>
  <w:style w:type="paragraph" w:customStyle="1" w:styleId="2743">
    <w:name w:val="Body text|1"/>
    <w:basedOn w:val="1"/>
    <w:qFormat/>
    <w:uiPriority w:val="0"/>
    <w:pPr>
      <w:widowControl w:val="0"/>
      <w:spacing w:line="449" w:lineRule="auto"/>
      <w:ind w:firstLine="400"/>
    </w:pPr>
    <w:rPr>
      <w:sz w:val="22"/>
      <w:szCs w:val="22"/>
      <w:lang w:val="zh-TW" w:eastAsia="zh-TW" w:bidi="zh-TW"/>
    </w:rPr>
  </w:style>
  <w:style w:type="paragraph" w:customStyle="1" w:styleId="2744">
    <w:name w:val="Char41"/>
    <w:basedOn w:val="1"/>
    <w:qFormat/>
    <w:uiPriority w:val="0"/>
    <w:pPr>
      <w:widowControl w:val="0"/>
      <w:adjustRightInd w:val="0"/>
      <w:snapToGrid w:val="0"/>
      <w:spacing w:line="480" w:lineRule="exact"/>
      <w:ind w:firstLine="200" w:firstLineChars="200"/>
      <w:jc w:val="both"/>
    </w:pPr>
    <w:rPr>
      <w:rFonts w:ascii="Times New Roman" w:hAnsi="Times New Roman" w:cs="Times New Roman"/>
      <w:snapToGrid w:val="0"/>
      <w:sz w:val="28"/>
    </w:rPr>
  </w:style>
  <w:style w:type="paragraph" w:customStyle="1" w:styleId="2745">
    <w:name w:val="Char51"/>
    <w:basedOn w:val="1"/>
    <w:qFormat/>
    <w:uiPriority w:val="0"/>
    <w:pPr>
      <w:adjustRightInd w:val="0"/>
      <w:snapToGrid w:val="0"/>
      <w:spacing w:after="200"/>
    </w:pPr>
    <w:rPr>
      <w:rFonts w:ascii="Tahoma" w:hAnsi="Tahoma" w:eastAsia="微软雅黑" w:cs="Times New Roman"/>
      <w:sz w:val="22"/>
      <w:szCs w:val="22"/>
    </w:rPr>
  </w:style>
  <w:style w:type="paragraph" w:customStyle="1" w:styleId="2746">
    <w:name w:val="Normal (Web)1"/>
    <w:basedOn w:val="1"/>
    <w:next w:val="2747"/>
    <w:qFormat/>
    <w:uiPriority w:val="0"/>
    <w:rPr>
      <w:szCs w:val="21"/>
    </w:rPr>
  </w:style>
  <w:style w:type="paragraph" w:customStyle="1" w:styleId="2747">
    <w:name w:val="Date1"/>
    <w:basedOn w:val="1"/>
    <w:next w:val="1"/>
    <w:qFormat/>
    <w:uiPriority w:val="0"/>
    <w:pPr>
      <w:ind w:left="2500" w:leftChars="2500"/>
    </w:pPr>
  </w:style>
  <w:style w:type="paragraph" w:customStyle="1" w:styleId="2748">
    <w:name w:val="Char Char Char Char Char Char Char3"/>
    <w:basedOn w:val="1"/>
    <w:qFormat/>
    <w:uiPriority w:val="0"/>
    <w:pPr>
      <w:spacing w:line="360" w:lineRule="auto"/>
      <w:ind w:firstLine="200" w:firstLineChars="200"/>
    </w:pPr>
    <w:rPr>
      <w:kern w:val="2"/>
    </w:rPr>
  </w:style>
  <w:style w:type="paragraph" w:customStyle="1" w:styleId="2749">
    <w:name w:val="Char Char Char4"/>
    <w:basedOn w:val="1"/>
    <w:qFormat/>
    <w:uiPriority w:val="0"/>
    <w:pPr>
      <w:widowControl w:val="0"/>
      <w:jc w:val="both"/>
    </w:pPr>
    <w:rPr>
      <w:rFonts w:ascii="Tahoma" w:hAnsi="Tahoma" w:eastAsia="黑体" w:cs="Times New Roman"/>
      <w:kern w:val="2"/>
      <w:sz w:val="28"/>
      <w:szCs w:val="28"/>
    </w:rPr>
  </w:style>
  <w:style w:type="paragraph" w:customStyle="1" w:styleId="2750">
    <w:name w:val="lmj表格"/>
    <w:basedOn w:val="1"/>
    <w:next w:val="1"/>
    <w:qFormat/>
    <w:uiPriority w:val="0"/>
    <w:pPr>
      <w:widowControl w:val="0"/>
      <w:jc w:val="both"/>
    </w:pPr>
    <w:rPr>
      <w:rFonts w:ascii="黑体" w:hAnsi="Times New Roman" w:cs="Times New Roman"/>
      <w:sz w:val="21"/>
      <w:szCs w:val="36"/>
    </w:rPr>
  </w:style>
  <w:style w:type="paragraph" w:customStyle="1" w:styleId="2751">
    <w:name w:val="_Style 3"/>
    <w:basedOn w:val="1"/>
    <w:qFormat/>
    <w:uiPriority w:val="0"/>
    <w:pPr>
      <w:widowControl w:val="0"/>
      <w:jc w:val="center"/>
    </w:pPr>
    <w:rPr>
      <w:rFonts w:hAnsi="Calibri"/>
      <w:sz w:val="21"/>
      <w:szCs w:val="21"/>
    </w:rPr>
  </w:style>
  <w:style w:type="paragraph" w:customStyle="1" w:styleId="2752">
    <w:name w:val="书表格"/>
    <w:basedOn w:val="1"/>
    <w:next w:val="1"/>
    <w:qFormat/>
    <w:uiPriority w:val="0"/>
    <w:pPr>
      <w:widowControl w:val="0"/>
      <w:autoSpaceDE w:val="0"/>
      <w:autoSpaceDN w:val="0"/>
      <w:adjustRightInd w:val="0"/>
      <w:jc w:val="center"/>
      <w:textAlignment w:val="bottom"/>
    </w:pPr>
    <w:rPr>
      <w:rFonts w:ascii="Times New Roman" w:hAnsi="Times New Roman" w:cs="Times New Roman"/>
      <w:sz w:val="21"/>
      <w:szCs w:val="20"/>
    </w:rPr>
  </w:style>
  <w:style w:type="paragraph" w:customStyle="1" w:styleId="2753">
    <w:name w:val="_Style 6"/>
    <w:basedOn w:val="1"/>
    <w:qFormat/>
    <w:uiPriority w:val="0"/>
    <w:pPr>
      <w:widowControl w:val="0"/>
      <w:jc w:val="center"/>
    </w:pPr>
    <w:rPr>
      <w:rFonts w:cs="Times New Roman"/>
      <w:kern w:val="2"/>
      <w:sz w:val="21"/>
      <w:szCs w:val="20"/>
    </w:rPr>
  </w:style>
  <w:style w:type="table" w:customStyle="1" w:styleId="2754">
    <w:name w:val="网格型2"/>
    <w:basedOn w:val="8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755">
    <w:name w:val="SSEC 正文"/>
    <w:link w:val="2756"/>
    <w:qFormat/>
    <w:uiPriority w:val="0"/>
    <w:pPr>
      <w:widowControl w:val="0"/>
      <w:adjustRightInd w:val="0"/>
      <w:snapToGrid w:val="0"/>
      <w:spacing w:line="331" w:lineRule="auto"/>
      <w:ind w:firstLine="200" w:firstLineChars="200"/>
      <w:jc w:val="both"/>
    </w:pPr>
    <w:rPr>
      <w:rFonts w:ascii="宋体" w:hAnsi="宋体" w:eastAsia="宋体" w:cs="Times New Roman"/>
      <w:kern w:val="2"/>
      <w:sz w:val="24"/>
      <w:szCs w:val="24"/>
      <w:lang w:val="en-US" w:eastAsia="zh-CN" w:bidi="ar-SA"/>
    </w:rPr>
  </w:style>
  <w:style w:type="character" w:customStyle="1" w:styleId="2756">
    <w:name w:val="SSEC 正文 字符"/>
    <w:basedOn w:val="83"/>
    <w:link w:val="2755"/>
    <w:qFormat/>
    <w:uiPriority w:val="0"/>
    <w:rPr>
      <w:rFonts w:ascii="宋体" w:hAnsi="宋体"/>
      <w:kern w:val="2"/>
      <w:sz w:val="24"/>
      <w:szCs w:val="24"/>
    </w:rPr>
  </w:style>
  <w:style w:type="character" w:customStyle="1" w:styleId="2757">
    <w:name w:val="题注 Char2"/>
    <w:qFormat/>
    <w:locked/>
    <w:uiPriority w:val="0"/>
    <w:rPr>
      <w:rFonts w:ascii="宋体" w:hAnsi="Cambria" w:eastAsia="宋体" w:cs="Times New Roman"/>
      <w:kern w:val="2"/>
      <w:sz w:val="21"/>
    </w:rPr>
  </w:style>
  <w:style w:type="character" w:customStyle="1" w:styleId="2758">
    <w:name w:val="目录 1 Char"/>
    <w:basedOn w:val="83"/>
    <w:link w:val="54"/>
    <w:qFormat/>
    <w:uiPriority w:val="39"/>
    <w:rPr>
      <w:rFonts w:ascii="宋体" w:hAnsi="宋体"/>
      <w:b/>
      <w:caps/>
    </w:rPr>
  </w:style>
  <w:style w:type="character" w:customStyle="1" w:styleId="2759">
    <w:name w:val="目录 2 Char"/>
    <w:basedOn w:val="83"/>
    <w:link w:val="66"/>
    <w:qFormat/>
    <w:uiPriority w:val="39"/>
    <w:rPr>
      <w:rFonts w:ascii="Calibri" w:hAnsi="Calibri"/>
      <w:smallCaps/>
      <w:kern w:val="2"/>
    </w:rPr>
  </w:style>
  <w:style w:type="table" w:customStyle="1" w:styleId="2760">
    <w:name w:val="网格型3"/>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761">
    <w:name w:val="附表"/>
    <w:basedOn w:val="1"/>
    <w:link w:val="2762"/>
    <w:qFormat/>
    <w:uiPriority w:val="0"/>
    <w:pPr>
      <w:keepNext/>
      <w:widowControl w:val="0"/>
      <w:numPr>
        <w:ilvl w:val="0"/>
        <w:numId w:val="2"/>
      </w:numPr>
      <w:jc w:val="both"/>
      <w:outlineLvl w:val="1"/>
    </w:pPr>
    <w:rPr>
      <w:rFonts w:ascii="黑体" w:hAnsi="黑体" w:eastAsia="黑体" w:cs="Times New Roman"/>
      <w:kern w:val="2"/>
      <w:sz w:val="28"/>
      <w:szCs w:val="28"/>
    </w:rPr>
  </w:style>
  <w:style w:type="character" w:customStyle="1" w:styleId="2762">
    <w:name w:val="附表 Char"/>
    <w:basedOn w:val="83"/>
    <w:link w:val="2761"/>
    <w:qFormat/>
    <w:uiPriority w:val="0"/>
    <w:rPr>
      <w:rFonts w:ascii="黑体" w:hAnsi="黑体" w:eastAsia="黑体"/>
      <w:kern w:val="2"/>
      <w:sz w:val="28"/>
      <w:szCs w:val="28"/>
    </w:rPr>
  </w:style>
  <w:style w:type="paragraph" w:customStyle="1" w:styleId="2763">
    <w:name w:val="附件"/>
    <w:basedOn w:val="4"/>
    <w:link w:val="2764"/>
    <w:qFormat/>
    <w:uiPriority w:val="0"/>
    <w:pPr>
      <w:keepLines w:val="0"/>
      <w:widowControl w:val="0"/>
      <w:numPr>
        <w:ilvl w:val="0"/>
        <w:numId w:val="3"/>
      </w:numPr>
      <w:spacing w:line="240" w:lineRule="auto"/>
    </w:pPr>
    <w:rPr>
      <w:rFonts w:ascii="宋体" w:hAnsi="宋体"/>
      <w:color w:val="000000"/>
      <w:kern w:val="2"/>
    </w:rPr>
  </w:style>
  <w:style w:type="character" w:customStyle="1" w:styleId="2764">
    <w:name w:val="附件 Char"/>
    <w:basedOn w:val="106"/>
    <w:link w:val="2763"/>
    <w:qFormat/>
    <w:uiPriority w:val="0"/>
    <w:rPr>
      <w:rFonts w:ascii="宋体" w:hAnsi="宋体" w:eastAsia="黑体"/>
      <w:color w:val="000000"/>
      <w:kern w:val="2"/>
      <w:sz w:val="28"/>
      <w:szCs w:val="32"/>
    </w:rPr>
  </w:style>
  <w:style w:type="paragraph" w:customStyle="1" w:styleId="2765">
    <w:name w:val="附图"/>
    <w:link w:val="2766"/>
    <w:qFormat/>
    <w:uiPriority w:val="0"/>
    <w:pPr>
      <w:keepNext/>
      <w:numPr>
        <w:ilvl w:val="0"/>
        <w:numId w:val="4"/>
      </w:numPr>
      <w:outlineLvl w:val="1"/>
    </w:pPr>
    <w:rPr>
      <w:rFonts w:ascii="黑体" w:hAnsi="黑体" w:eastAsia="黑体" w:cs="Times New Roman"/>
      <w:kern w:val="2"/>
      <w:sz w:val="28"/>
      <w:szCs w:val="28"/>
      <w:lang w:val="en-US" w:eastAsia="zh-CN" w:bidi="ar-SA"/>
    </w:rPr>
  </w:style>
  <w:style w:type="character" w:customStyle="1" w:styleId="2766">
    <w:name w:val="附图 Char"/>
    <w:basedOn w:val="83"/>
    <w:link w:val="2765"/>
    <w:qFormat/>
    <w:uiPriority w:val="0"/>
    <w:rPr>
      <w:rFonts w:ascii="黑体" w:hAnsi="黑体" w:eastAsia="黑体"/>
      <w:kern w:val="2"/>
      <w:sz w:val="28"/>
      <w:szCs w:val="28"/>
    </w:rPr>
  </w:style>
  <w:style w:type="paragraph" w:customStyle="1" w:styleId="2767">
    <w:name w:val="SSEC 表内序号"/>
    <w:link w:val="2768"/>
    <w:qFormat/>
    <w:uiPriority w:val="0"/>
    <w:pPr>
      <w:widowControl w:val="0"/>
      <w:numPr>
        <w:ilvl w:val="0"/>
        <w:numId w:val="5"/>
      </w:numPr>
      <w:adjustRightInd w:val="0"/>
      <w:snapToGrid w:val="0"/>
      <w:jc w:val="center"/>
      <w:textAlignment w:val="center"/>
    </w:pPr>
    <w:rPr>
      <w:rFonts w:ascii="宋体" w:hAnsi="Times New Roman" w:eastAsia="宋体" w:cs="Times New Roman"/>
      <w:kern w:val="2"/>
      <w:sz w:val="21"/>
      <w:szCs w:val="21"/>
      <w:lang w:val="en-US" w:eastAsia="zh-CN" w:bidi="ar-SA"/>
    </w:rPr>
  </w:style>
  <w:style w:type="character" w:customStyle="1" w:styleId="2768">
    <w:name w:val="SSEC 表内序号 字符"/>
    <w:basedOn w:val="83"/>
    <w:link w:val="2767"/>
    <w:qFormat/>
    <w:uiPriority w:val="0"/>
    <w:rPr>
      <w:rFonts w:ascii="宋体"/>
      <w:kern w:val="2"/>
      <w:sz w:val="21"/>
      <w:szCs w:val="21"/>
    </w:rPr>
  </w:style>
  <w:style w:type="paragraph" w:customStyle="1" w:styleId="2769">
    <w:name w:val="SSEC 目录名"/>
    <w:link w:val="2770"/>
    <w:qFormat/>
    <w:uiPriority w:val="0"/>
    <w:pPr>
      <w:widowControl w:val="0"/>
      <w:adjustRightInd w:val="0"/>
      <w:snapToGrid w:val="0"/>
      <w:spacing w:before="100" w:beforeAutospacing="1" w:line="360" w:lineRule="auto"/>
      <w:jc w:val="center"/>
    </w:pPr>
    <w:rPr>
      <w:rFonts w:ascii="黑体" w:hAnsi="黑体" w:eastAsia="黑体" w:cs="Times New Roman"/>
      <w:kern w:val="2"/>
      <w:sz w:val="32"/>
      <w:szCs w:val="30"/>
      <w:lang w:val="en-US" w:eastAsia="zh-CN" w:bidi="ar-SA"/>
    </w:rPr>
  </w:style>
  <w:style w:type="character" w:customStyle="1" w:styleId="2770">
    <w:name w:val="SSEC 目录名 字符"/>
    <w:basedOn w:val="83"/>
    <w:link w:val="2769"/>
    <w:qFormat/>
    <w:uiPriority w:val="0"/>
    <w:rPr>
      <w:rFonts w:ascii="黑体" w:hAnsi="黑体" w:eastAsia="黑体"/>
      <w:kern w:val="2"/>
      <w:sz w:val="32"/>
      <w:szCs w:val="30"/>
    </w:rPr>
  </w:style>
  <w:style w:type="paragraph" w:customStyle="1" w:styleId="2771">
    <w:name w:val="SSEC 表字居左"/>
    <w:link w:val="2772"/>
    <w:qFormat/>
    <w:uiPriority w:val="0"/>
    <w:pPr>
      <w:keepNext/>
      <w:widowControl w:val="0"/>
      <w:adjustRightInd w:val="0"/>
      <w:snapToGrid w:val="0"/>
      <w:jc w:val="right"/>
    </w:pPr>
    <w:rPr>
      <w:rFonts w:ascii="宋体" w:hAnsi="Calibri" w:eastAsia="宋体" w:cs="Times New Roman"/>
      <w:kern w:val="2"/>
      <w:sz w:val="21"/>
      <w:szCs w:val="21"/>
      <w:lang w:val="en-US" w:eastAsia="zh-CN" w:bidi="ar-SA"/>
    </w:rPr>
  </w:style>
  <w:style w:type="character" w:customStyle="1" w:styleId="2772">
    <w:name w:val="SSEC 表字居左 字符"/>
    <w:basedOn w:val="83"/>
    <w:link w:val="2771"/>
    <w:qFormat/>
    <w:uiPriority w:val="0"/>
    <w:rPr>
      <w:rFonts w:ascii="宋体" w:hAnsi="Calibri"/>
      <w:kern w:val="2"/>
      <w:sz w:val="21"/>
      <w:szCs w:val="21"/>
    </w:rPr>
  </w:style>
  <w:style w:type="paragraph" w:customStyle="1" w:styleId="2773">
    <w:name w:val="SSEC 表字居中"/>
    <w:link w:val="2774"/>
    <w:qFormat/>
    <w:uiPriority w:val="0"/>
    <w:pPr>
      <w:widowControl w:val="0"/>
      <w:adjustRightInd w:val="0"/>
      <w:snapToGrid w:val="0"/>
      <w:jc w:val="center"/>
      <w:textAlignment w:val="center"/>
    </w:pPr>
    <w:rPr>
      <w:rFonts w:ascii="宋体" w:hAnsi="Times New Roman" w:eastAsia="宋体" w:cs="Times New Roman"/>
      <w:kern w:val="2"/>
      <w:sz w:val="21"/>
      <w:szCs w:val="21"/>
      <w:lang w:val="en-US" w:eastAsia="zh-CN" w:bidi="ar-SA"/>
    </w:rPr>
  </w:style>
  <w:style w:type="character" w:customStyle="1" w:styleId="2774">
    <w:name w:val="SSEC 表字居中 字符"/>
    <w:basedOn w:val="83"/>
    <w:link w:val="2773"/>
    <w:qFormat/>
    <w:uiPriority w:val="0"/>
    <w:rPr>
      <w:rFonts w:ascii="宋体"/>
      <w:kern w:val="2"/>
      <w:sz w:val="21"/>
      <w:szCs w:val="21"/>
    </w:rPr>
  </w:style>
  <w:style w:type="table" w:customStyle="1" w:styleId="2775">
    <w:name w:val="SSEC表格样式"/>
    <w:basedOn w:val="80"/>
    <w:qFormat/>
    <w:uiPriority w:val="99"/>
    <w:pPr>
      <w:adjustRightInd w:val="0"/>
      <w:snapToGrid w:val="0"/>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style>
  <w:style w:type="paragraph" w:customStyle="1" w:styleId="2776">
    <w:name w:val="SSEC 1级序号"/>
    <w:link w:val="2777"/>
    <w:qFormat/>
    <w:uiPriority w:val="0"/>
    <w:pPr>
      <w:widowControl w:val="0"/>
      <w:numPr>
        <w:ilvl w:val="1"/>
        <w:numId w:val="6"/>
      </w:numPr>
      <w:adjustRightInd w:val="0"/>
      <w:snapToGrid w:val="0"/>
      <w:spacing w:line="331" w:lineRule="auto"/>
      <w:jc w:val="both"/>
    </w:pPr>
    <w:rPr>
      <w:rFonts w:ascii="宋体" w:hAnsi="宋体" w:eastAsia="宋体" w:cs="Times New Roman"/>
      <w:kern w:val="2"/>
      <w:sz w:val="24"/>
      <w:szCs w:val="24"/>
      <w:lang w:val="en-US" w:eastAsia="zh-CN" w:bidi="ar-SA"/>
    </w:rPr>
  </w:style>
  <w:style w:type="character" w:customStyle="1" w:styleId="2777">
    <w:name w:val="SSEC 1级序号 字符"/>
    <w:basedOn w:val="2756"/>
    <w:link w:val="2776"/>
    <w:qFormat/>
    <w:uiPriority w:val="0"/>
    <w:rPr>
      <w:rFonts w:ascii="宋体" w:hAnsi="宋体"/>
      <w:kern w:val="2"/>
      <w:sz w:val="24"/>
      <w:szCs w:val="24"/>
    </w:rPr>
  </w:style>
  <w:style w:type="paragraph" w:customStyle="1" w:styleId="2778">
    <w:name w:val="SSEC 2级序号"/>
    <w:basedOn w:val="2776"/>
    <w:link w:val="2779"/>
    <w:qFormat/>
    <w:uiPriority w:val="0"/>
    <w:pPr>
      <w:numPr>
        <w:ilvl w:val="2"/>
      </w:numPr>
    </w:pPr>
  </w:style>
  <w:style w:type="character" w:customStyle="1" w:styleId="2779">
    <w:name w:val="SSEC 2级序号 字符"/>
    <w:basedOn w:val="2777"/>
    <w:link w:val="2778"/>
    <w:qFormat/>
    <w:uiPriority w:val="0"/>
    <w:rPr>
      <w:rFonts w:ascii="宋体" w:hAnsi="宋体"/>
      <w:kern w:val="2"/>
      <w:sz w:val="24"/>
      <w:szCs w:val="24"/>
    </w:rPr>
  </w:style>
  <w:style w:type="paragraph" w:customStyle="1" w:styleId="2780">
    <w:name w:val="SSEC 3级序号"/>
    <w:basedOn w:val="2776"/>
    <w:link w:val="2781"/>
    <w:qFormat/>
    <w:uiPriority w:val="0"/>
    <w:pPr>
      <w:numPr>
        <w:ilvl w:val="0"/>
        <w:numId w:val="0"/>
      </w:numPr>
      <w:ind w:firstLine="476"/>
    </w:pPr>
  </w:style>
  <w:style w:type="character" w:customStyle="1" w:styleId="2781">
    <w:name w:val="SSEC 3级序号 字符"/>
    <w:basedOn w:val="2777"/>
    <w:link w:val="2780"/>
    <w:qFormat/>
    <w:uiPriority w:val="0"/>
    <w:rPr>
      <w:rFonts w:ascii="宋体" w:hAnsi="宋体"/>
      <w:kern w:val="2"/>
      <w:sz w:val="24"/>
      <w:szCs w:val="24"/>
    </w:rPr>
  </w:style>
  <w:style w:type="paragraph" w:customStyle="1" w:styleId="2782">
    <w:name w:val="SSEC 4级序号"/>
    <w:basedOn w:val="2776"/>
    <w:link w:val="2783"/>
    <w:qFormat/>
    <w:uiPriority w:val="0"/>
    <w:pPr>
      <w:numPr>
        <w:ilvl w:val="0"/>
        <w:numId w:val="0"/>
      </w:numPr>
      <w:ind w:firstLine="476"/>
    </w:pPr>
  </w:style>
  <w:style w:type="character" w:customStyle="1" w:styleId="2783">
    <w:name w:val="SSEC 4级序号 字符"/>
    <w:basedOn w:val="2781"/>
    <w:link w:val="2782"/>
    <w:qFormat/>
    <w:uiPriority w:val="0"/>
    <w:rPr>
      <w:rFonts w:ascii="宋体" w:hAnsi="宋体"/>
      <w:kern w:val="2"/>
      <w:sz w:val="24"/>
      <w:szCs w:val="24"/>
    </w:rPr>
  </w:style>
  <w:style w:type="paragraph" w:customStyle="1" w:styleId="2784">
    <w:name w:val="SSEC 5级序号"/>
    <w:basedOn w:val="2776"/>
    <w:link w:val="2785"/>
    <w:qFormat/>
    <w:uiPriority w:val="0"/>
    <w:pPr>
      <w:numPr>
        <w:ilvl w:val="0"/>
        <w:numId w:val="0"/>
      </w:numPr>
      <w:ind w:firstLine="476"/>
    </w:pPr>
  </w:style>
  <w:style w:type="character" w:customStyle="1" w:styleId="2785">
    <w:name w:val="SSEC 5级序号 字符"/>
    <w:basedOn w:val="2777"/>
    <w:link w:val="2784"/>
    <w:qFormat/>
    <w:uiPriority w:val="0"/>
    <w:rPr>
      <w:rFonts w:ascii="宋体" w:hAnsi="宋体"/>
      <w:kern w:val="2"/>
      <w:sz w:val="24"/>
      <w:szCs w:val="24"/>
    </w:rPr>
  </w:style>
  <w:style w:type="paragraph" w:customStyle="1" w:styleId="2786">
    <w:name w:val="SSEC 6级序号"/>
    <w:basedOn w:val="2776"/>
    <w:link w:val="2787"/>
    <w:qFormat/>
    <w:uiPriority w:val="0"/>
    <w:pPr>
      <w:numPr>
        <w:ilvl w:val="0"/>
        <w:numId w:val="0"/>
      </w:numPr>
      <w:ind w:firstLine="476"/>
    </w:pPr>
  </w:style>
  <w:style w:type="character" w:customStyle="1" w:styleId="2787">
    <w:name w:val="SSEC 6级序号 字符"/>
    <w:basedOn w:val="2785"/>
    <w:link w:val="2786"/>
    <w:qFormat/>
    <w:uiPriority w:val="0"/>
    <w:rPr>
      <w:rFonts w:ascii="宋体" w:hAnsi="宋体"/>
      <w:kern w:val="2"/>
      <w:sz w:val="24"/>
      <w:szCs w:val="24"/>
    </w:rPr>
  </w:style>
  <w:style w:type="paragraph" w:customStyle="1" w:styleId="2788">
    <w:name w:val="SSEC 7级序号"/>
    <w:basedOn w:val="2776"/>
    <w:link w:val="2789"/>
    <w:qFormat/>
    <w:uiPriority w:val="0"/>
    <w:pPr>
      <w:numPr>
        <w:ilvl w:val="0"/>
        <w:numId w:val="0"/>
      </w:numPr>
      <w:ind w:firstLine="476"/>
    </w:pPr>
  </w:style>
  <w:style w:type="character" w:customStyle="1" w:styleId="2789">
    <w:name w:val="SSEC 7级序号 字符"/>
    <w:basedOn w:val="2787"/>
    <w:link w:val="2788"/>
    <w:qFormat/>
    <w:uiPriority w:val="0"/>
    <w:rPr>
      <w:rFonts w:ascii="宋体" w:hAnsi="宋体"/>
      <w:kern w:val="2"/>
      <w:sz w:val="24"/>
      <w:szCs w:val="24"/>
    </w:rPr>
  </w:style>
  <w:style w:type="paragraph" w:customStyle="1" w:styleId="2790">
    <w:name w:val="修订11"/>
    <w:hidden/>
    <w:qFormat/>
    <w:uiPriority w:val="99"/>
    <w:rPr>
      <w:rFonts w:ascii="Times New Roman" w:hAnsi="Times New Roman" w:eastAsia="宋体" w:cs="Times New Roman"/>
      <w:kern w:val="2"/>
      <w:sz w:val="21"/>
      <w:szCs w:val="24"/>
      <w:lang w:val="en-US" w:eastAsia="zh-CN" w:bidi="ar-SA"/>
    </w:rPr>
  </w:style>
  <w:style w:type="paragraph" w:customStyle="1" w:styleId="2791">
    <w:name w:val="z-窗体底端2"/>
    <w:basedOn w:val="1"/>
    <w:next w:val="1"/>
    <w:hidden/>
    <w:semiHidden/>
    <w:unhideWhenUsed/>
    <w:qFormat/>
    <w:uiPriority w:val="0"/>
    <w:pPr>
      <w:widowControl w:val="0"/>
      <w:pBdr>
        <w:top w:val="single" w:color="auto" w:sz="6" w:space="1"/>
      </w:pBdr>
      <w:jc w:val="center"/>
    </w:pPr>
    <w:rPr>
      <w:rFonts w:ascii="Arial" w:hAnsi="Arial" w:cs="Arial"/>
      <w:vanish/>
      <w:kern w:val="2"/>
      <w:sz w:val="16"/>
      <w:szCs w:val="16"/>
    </w:rPr>
  </w:style>
  <w:style w:type="character" w:customStyle="1" w:styleId="2792">
    <w:name w:val="z-窗体底端 字符"/>
    <w:basedOn w:val="83"/>
    <w:semiHidden/>
    <w:qFormat/>
    <w:uiPriority w:val="0"/>
    <w:rPr>
      <w:rFonts w:ascii="Arial" w:hAnsi="Arial" w:cs="Arial"/>
      <w:vanish/>
      <w:kern w:val="2"/>
      <w:sz w:val="16"/>
      <w:szCs w:val="16"/>
    </w:rPr>
  </w:style>
  <w:style w:type="character" w:customStyle="1" w:styleId="2793">
    <w:name w:val="z-窗体顶端 字符"/>
    <w:basedOn w:val="83"/>
    <w:semiHidden/>
    <w:qFormat/>
    <w:uiPriority w:val="0"/>
    <w:rPr>
      <w:rFonts w:ascii="Arial" w:hAnsi="Arial" w:cs="Arial"/>
      <w:vanish/>
      <w:kern w:val="2"/>
      <w:sz w:val="16"/>
      <w:szCs w:val="16"/>
    </w:rPr>
  </w:style>
  <w:style w:type="character" w:customStyle="1" w:styleId="2794">
    <w:name w:val="列出段落 Char"/>
    <w:link w:val="181"/>
    <w:qFormat/>
    <w:uiPriority w:val="34"/>
    <w:rPr>
      <w:rFonts w:ascii="宋体" w:hAnsi="宋体" w:cs="宋体"/>
      <w:sz w:val="24"/>
      <w:szCs w:val="24"/>
      <w:lang w:val="zh-CN" w:bidi="zh-CN"/>
    </w:rPr>
  </w:style>
  <w:style w:type="table" w:customStyle="1" w:styleId="2795">
    <w:name w:val="网格型11"/>
    <w:basedOn w:val="80"/>
    <w:qFormat/>
    <w:locked/>
    <w:uiPriority w:val="59"/>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796">
    <w:name w:val="STC表格 字符"/>
    <w:basedOn w:val="83"/>
    <w:link w:val="2797"/>
    <w:qFormat/>
    <w:locked/>
    <w:uiPriority w:val="0"/>
  </w:style>
  <w:style w:type="paragraph" w:customStyle="1" w:styleId="2797">
    <w:name w:val="STC表格"/>
    <w:link w:val="2796"/>
    <w:qFormat/>
    <w:uiPriority w:val="0"/>
    <w:pPr>
      <w:widowControl w:val="0"/>
      <w:adjustRightInd w:val="0"/>
      <w:snapToGrid w:val="0"/>
      <w:jc w:val="center"/>
    </w:pPr>
    <w:rPr>
      <w:rFonts w:ascii="Times New Roman" w:hAnsi="Times New Roman" w:eastAsia="宋体" w:cs="Times New Roman"/>
      <w:lang w:val="en-US" w:eastAsia="zh-CN" w:bidi="ar-SA"/>
    </w:rPr>
  </w:style>
  <w:style w:type="table" w:customStyle="1" w:styleId="2798">
    <w:name w:val="灰度表格1211"/>
    <w:basedOn w:val="80"/>
    <w:qFormat/>
    <w:uiPriority w:val="59"/>
    <w:rPr>
      <w:rFonts w:ascii="Calibri" w:hAnsi="Calibri" w:eastAsia="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99">
    <w:name w:val="网格型21"/>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00">
    <w:name w:val="Table Normal1"/>
    <w:qFormat/>
    <w:uiPriority w:val="0"/>
    <w:pPr>
      <w:widowControl w:val="0"/>
      <w:autoSpaceDE w:val="0"/>
      <w:autoSpaceDN w:val="0"/>
    </w:pPr>
    <w:rPr>
      <w:rFonts w:ascii="Calibri" w:hAnsi="Calibri" w:eastAsia="Times New Roman"/>
      <w:sz w:val="22"/>
      <w:szCs w:val="22"/>
      <w:lang w:eastAsia="en-US"/>
    </w:rPr>
    <w:tblPr>
      <w:tblCellMar>
        <w:top w:w="0" w:type="dxa"/>
        <w:left w:w="0" w:type="dxa"/>
        <w:bottom w:w="0" w:type="dxa"/>
        <w:right w:w="0" w:type="dxa"/>
      </w:tblCellMar>
    </w:tblPr>
  </w:style>
  <w:style w:type="table" w:customStyle="1" w:styleId="2801">
    <w:name w:val="SSEC表格样式1"/>
    <w:basedOn w:val="80"/>
    <w:qFormat/>
    <w:uiPriority w:val="99"/>
    <w:pPr>
      <w:adjustRightInd w:val="0"/>
      <w:snapToGrid w:val="0"/>
    </w:pPr>
    <w:rPr>
      <w:kern w:val="2"/>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table" w:customStyle="1" w:styleId="2802">
    <w:name w:val="Table Normal1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03">
    <w:name w:val="Table Normal2"/>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04">
    <w:name w:val="STC表头 字符"/>
    <w:basedOn w:val="83"/>
    <w:link w:val="2805"/>
    <w:qFormat/>
    <w:locked/>
    <w:uiPriority w:val="0"/>
    <w:rPr>
      <w:rFonts w:ascii="宋体" w:hAnsi="宋体" w:cs="宋体"/>
      <w:kern w:val="2"/>
      <w:sz w:val="21"/>
    </w:rPr>
  </w:style>
  <w:style w:type="paragraph" w:customStyle="1" w:styleId="2805">
    <w:name w:val="STC表头"/>
    <w:basedOn w:val="1"/>
    <w:link w:val="2804"/>
    <w:qFormat/>
    <w:uiPriority w:val="0"/>
    <w:pPr>
      <w:widowControl w:val="0"/>
      <w:adjustRightInd w:val="0"/>
      <w:snapToGrid w:val="0"/>
      <w:spacing w:beforeLines="50" w:line="360" w:lineRule="auto"/>
      <w:jc w:val="center"/>
    </w:pPr>
    <w:rPr>
      <w:kern w:val="2"/>
      <w:sz w:val="21"/>
      <w:szCs w:val="20"/>
    </w:rPr>
  </w:style>
  <w:style w:type="character" w:customStyle="1" w:styleId="2806">
    <w:name w:val="STC 正文 字符"/>
    <w:basedOn w:val="83"/>
    <w:link w:val="2807"/>
    <w:qFormat/>
    <w:locked/>
    <w:uiPriority w:val="0"/>
    <w:rPr>
      <w:rFonts w:ascii="宋体" w:hAnsi="宋体"/>
      <w:kern w:val="2"/>
      <w:sz w:val="24"/>
      <w:szCs w:val="21"/>
    </w:rPr>
  </w:style>
  <w:style w:type="paragraph" w:customStyle="1" w:styleId="2807">
    <w:name w:val="STC 正文"/>
    <w:link w:val="2806"/>
    <w:qFormat/>
    <w:uiPriority w:val="0"/>
    <w:pPr>
      <w:widowControl w:val="0"/>
      <w:adjustRightInd w:val="0"/>
      <w:snapToGrid w:val="0"/>
      <w:spacing w:line="328" w:lineRule="auto"/>
      <w:ind w:firstLine="200" w:firstLineChars="200"/>
      <w:jc w:val="both"/>
    </w:pPr>
    <w:rPr>
      <w:rFonts w:ascii="宋体" w:hAnsi="宋体" w:eastAsia="宋体" w:cs="Times New Roman"/>
      <w:kern w:val="2"/>
      <w:sz w:val="24"/>
      <w:szCs w:val="21"/>
      <w:lang w:val="en-US" w:eastAsia="zh-CN" w:bidi="ar-SA"/>
    </w:rPr>
  </w:style>
  <w:style w:type="character" w:customStyle="1" w:styleId="2808">
    <w:name w:val="STC 表格 字符"/>
    <w:link w:val="2809"/>
    <w:autoRedefine/>
    <w:qFormat/>
    <w:locked/>
    <w:uiPriority w:val="0"/>
    <w:rPr>
      <w:rFonts w:ascii="宋体" w:hAnsi="宋体" w:cs="宋体"/>
      <w:sz w:val="21"/>
      <w:szCs w:val="21"/>
      <w:lang w:eastAsia="en-US"/>
    </w:rPr>
  </w:style>
  <w:style w:type="paragraph" w:customStyle="1" w:styleId="2809">
    <w:name w:val="STC 表格"/>
    <w:basedOn w:val="1"/>
    <w:link w:val="2808"/>
    <w:qFormat/>
    <w:uiPriority w:val="0"/>
    <w:pPr>
      <w:widowControl w:val="0"/>
      <w:adjustRightInd w:val="0"/>
      <w:snapToGrid w:val="0"/>
      <w:jc w:val="center"/>
    </w:pPr>
    <w:rPr>
      <w:sz w:val="21"/>
      <w:szCs w:val="21"/>
      <w:lang w:eastAsia="en-US"/>
    </w:rPr>
  </w:style>
  <w:style w:type="table" w:customStyle="1" w:styleId="2810">
    <w:name w:val="SSEC表格样式2"/>
    <w:basedOn w:val="80"/>
    <w:qFormat/>
    <w:uiPriority w:val="99"/>
    <w:pPr>
      <w:adjustRightInd w:val="0"/>
      <w:snapToGrid w:val="0"/>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customStyle="1" w:styleId="2811">
    <w:name w:val="插图 Char"/>
    <w:link w:val="2812"/>
    <w:qFormat/>
    <w:locked/>
    <w:uiPriority w:val="0"/>
  </w:style>
  <w:style w:type="paragraph" w:customStyle="1" w:styleId="2812">
    <w:name w:val="插图"/>
    <w:link w:val="2811"/>
    <w:qFormat/>
    <w:uiPriority w:val="0"/>
    <w:pPr>
      <w:jc w:val="center"/>
    </w:pPr>
    <w:rPr>
      <w:rFonts w:ascii="Times New Roman" w:hAnsi="Times New Roman" w:eastAsia="宋体" w:cs="Times New Roman"/>
      <w:lang w:val="en-US" w:eastAsia="zh-CN" w:bidi="ar-SA"/>
    </w:rPr>
  </w:style>
  <w:style w:type="character" w:customStyle="1" w:styleId="2813">
    <w:name w:val="SSEC正文 20150323 Char"/>
    <w:basedOn w:val="83"/>
    <w:link w:val="2814"/>
    <w:qFormat/>
    <w:locked/>
    <w:uiPriority w:val="0"/>
    <w:rPr>
      <w:rFonts w:ascii="宋体" w:hAnsi="宋体"/>
      <w:sz w:val="24"/>
      <w:szCs w:val="24"/>
    </w:rPr>
  </w:style>
  <w:style w:type="paragraph" w:customStyle="1" w:styleId="2814">
    <w:name w:val="SSEC正文 20150323"/>
    <w:link w:val="2813"/>
    <w:qFormat/>
    <w:uiPriority w:val="0"/>
    <w:pPr>
      <w:adjustRightInd w:val="0"/>
      <w:snapToGrid w:val="0"/>
      <w:spacing w:line="326" w:lineRule="auto"/>
      <w:ind w:firstLine="200" w:firstLineChars="200"/>
      <w:jc w:val="both"/>
    </w:pPr>
    <w:rPr>
      <w:rFonts w:ascii="宋体" w:hAnsi="宋体" w:eastAsia="宋体" w:cs="Times New Roman"/>
      <w:sz w:val="24"/>
      <w:szCs w:val="24"/>
      <w:lang w:val="en-US" w:eastAsia="zh-CN" w:bidi="ar-SA"/>
    </w:rPr>
  </w:style>
  <w:style w:type="table" w:customStyle="1" w:styleId="2815">
    <w:name w:val="Table Normal3"/>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16">
    <w:name w:val="Table Normal4"/>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17">
    <w:name w:val="Table Normal5"/>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18">
    <w:name w:val="AF-表中表 字符"/>
    <w:link w:val="2819"/>
    <w:qFormat/>
    <w:uiPriority w:val="0"/>
    <w:rPr>
      <w:sz w:val="18"/>
      <w:szCs w:val="21"/>
    </w:rPr>
  </w:style>
  <w:style w:type="paragraph" w:customStyle="1" w:styleId="2819">
    <w:name w:val="AF-表中表"/>
    <w:basedOn w:val="1"/>
    <w:link w:val="2818"/>
    <w:qFormat/>
    <w:uiPriority w:val="0"/>
    <w:pPr>
      <w:adjustRightInd w:val="0"/>
      <w:snapToGrid w:val="0"/>
      <w:jc w:val="center"/>
    </w:pPr>
    <w:rPr>
      <w:rFonts w:ascii="Times New Roman" w:hAnsi="Times New Roman" w:cs="Times New Roman"/>
      <w:sz w:val="18"/>
      <w:szCs w:val="21"/>
    </w:rPr>
  </w:style>
  <w:style w:type="paragraph" w:customStyle="1" w:styleId="2820">
    <w:name w:val="A报告正文"/>
    <w:link w:val="2821"/>
    <w:qFormat/>
    <w:uiPriority w:val="0"/>
    <w:pPr>
      <w:widowControl w:val="0"/>
      <w:spacing w:line="360" w:lineRule="auto"/>
      <w:ind w:firstLine="480" w:firstLineChars="200"/>
      <w:jc w:val="both"/>
    </w:pPr>
    <w:rPr>
      <w:rFonts w:ascii="Times New Roman" w:hAnsi="Times New Roman" w:eastAsia="宋体" w:cs="微软雅黑"/>
      <w:kern w:val="2"/>
      <w:sz w:val="24"/>
      <w:szCs w:val="22"/>
      <w:lang w:val="en-US" w:eastAsia="zh-CN" w:bidi="ar-SA"/>
    </w:rPr>
  </w:style>
  <w:style w:type="character" w:customStyle="1" w:styleId="2821">
    <w:name w:val="A报告正文 Char"/>
    <w:link w:val="2820"/>
    <w:qFormat/>
    <w:uiPriority w:val="0"/>
    <w:rPr>
      <w:rFonts w:cs="微软雅黑"/>
      <w:kern w:val="2"/>
      <w:sz w:val="24"/>
      <w:szCs w:val="22"/>
    </w:rPr>
  </w:style>
  <w:style w:type="paragraph" w:customStyle="1" w:styleId="2822">
    <w:name w:val="A图表名"/>
    <w:link w:val="2823"/>
    <w:qFormat/>
    <w:uiPriority w:val="0"/>
    <w:pPr>
      <w:widowControl w:val="0"/>
      <w:spacing w:line="360" w:lineRule="auto"/>
      <w:jc w:val="center"/>
    </w:pPr>
    <w:rPr>
      <w:rFonts w:ascii="Times New Roman" w:hAnsi="Times New Roman" w:eastAsia="黑体" w:cs="微软雅黑"/>
      <w:kern w:val="21"/>
      <w:sz w:val="24"/>
      <w:lang w:val="en-US" w:eastAsia="zh-CN" w:bidi="ar-SA"/>
    </w:rPr>
  </w:style>
  <w:style w:type="character" w:customStyle="1" w:styleId="2823">
    <w:name w:val="A图表名 Char"/>
    <w:link w:val="2822"/>
    <w:qFormat/>
    <w:uiPriority w:val="0"/>
    <w:rPr>
      <w:rFonts w:eastAsia="黑体" w:cs="微软雅黑"/>
      <w:kern w:val="21"/>
      <w:sz w:val="24"/>
    </w:rPr>
  </w:style>
  <w:style w:type="paragraph" w:customStyle="1" w:styleId="2824">
    <w:name w:val="A表内"/>
    <w:link w:val="2825"/>
    <w:qFormat/>
    <w:uiPriority w:val="0"/>
    <w:pPr>
      <w:widowControl w:val="0"/>
      <w:jc w:val="center"/>
    </w:pPr>
    <w:rPr>
      <w:rFonts w:ascii="Times New Roman" w:hAnsi="Times New Roman" w:eastAsia="宋体" w:cs="微软雅黑"/>
      <w:kern w:val="2"/>
      <w:sz w:val="21"/>
      <w:szCs w:val="21"/>
      <w:lang w:val="en-US" w:eastAsia="zh-CN" w:bidi="ar-SA"/>
    </w:rPr>
  </w:style>
  <w:style w:type="character" w:customStyle="1" w:styleId="2825">
    <w:name w:val="A表内 Char"/>
    <w:link w:val="2824"/>
    <w:qFormat/>
    <w:uiPriority w:val="0"/>
    <w:rPr>
      <w:rFonts w:cs="微软雅黑"/>
      <w:kern w:val="2"/>
      <w:sz w:val="21"/>
      <w:szCs w:val="21"/>
    </w:rPr>
  </w:style>
  <w:style w:type="table" w:customStyle="1" w:styleId="2826">
    <w:name w:val="Table Normal6"/>
    <w:basedOn w:val="80"/>
    <w:qFormat/>
    <w:uiPriority w:val="0"/>
    <w:rPr>
      <w:rFonts w:eastAsia="Times New Roman"/>
    </w:rPr>
    <w:tblPr>
      <w:tblCellMar>
        <w:top w:w="0" w:type="dxa"/>
        <w:left w:w="0" w:type="dxa"/>
        <w:bottom w:w="0" w:type="dxa"/>
        <w:right w:w="0" w:type="dxa"/>
      </w:tblCellMar>
    </w:tblPr>
  </w:style>
  <w:style w:type="table" w:customStyle="1" w:styleId="2827">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28">
    <w:name w:val="Table Normal8"/>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29">
    <w:name w:val="未处理的提及1"/>
    <w:basedOn w:val="83"/>
    <w:semiHidden/>
    <w:unhideWhenUsed/>
    <w:qFormat/>
    <w:uiPriority w:val="99"/>
    <w:rPr>
      <w:color w:val="605E5C"/>
      <w:shd w:val="clear" w:color="auto" w:fill="E1DFDD"/>
    </w:rPr>
  </w:style>
  <w:style w:type="character" w:customStyle="1" w:styleId="2830">
    <w:name w:val="AG-表 标题 字符"/>
    <w:link w:val="2831"/>
    <w:qFormat/>
    <w:locked/>
    <w:uiPriority w:val="0"/>
    <w:rPr>
      <w:rFonts w:ascii="黑体" w:hAnsi="黑体" w:eastAsia="黑体"/>
      <w:sz w:val="21"/>
      <w:szCs w:val="24"/>
    </w:rPr>
  </w:style>
  <w:style w:type="paragraph" w:customStyle="1" w:styleId="2831">
    <w:name w:val="AG-表 标题"/>
    <w:basedOn w:val="1"/>
    <w:link w:val="2830"/>
    <w:qFormat/>
    <w:uiPriority w:val="0"/>
    <w:pPr>
      <w:tabs>
        <w:tab w:val="center" w:pos="4200"/>
        <w:tab w:val="right" w:pos="8400"/>
      </w:tabs>
      <w:adjustRightInd w:val="0"/>
      <w:snapToGrid w:val="0"/>
      <w:spacing w:line="360" w:lineRule="auto"/>
      <w:jc w:val="center"/>
    </w:pPr>
    <w:rPr>
      <w:rFonts w:ascii="黑体" w:hAnsi="黑体" w:eastAsia="黑体" w:cs="Times New Roman"/>
      <w:sz w:val="21"/>
    </w:rPr>
  </w:style>
  <w:style w:type="table" w:customStyle="1" w:styleId="2832">
    <w:name w:val="网格型31"/>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33">
    <w:name w:val="网格型4"/>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34">
    <w:name w:val="Table Normal9"/>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35">
    <w:name w:val="Table Normal10"/>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36">
    <w:name w:val="text_qs7xs"/>
    <w:basedOn w:val="83"/>
    <w:qFormat/>
    <w:uiPriority w:val="0"/>
  </w:style>
  <w:style w:type="character" w:customStyle="1" w:styleId="2837">
    <w:name w:val="正文文本 字符5"/>
    <w:qFormat/>
    <w:uiPriority w:val="1"/>
    <w:rPr>
      <w:color w:val="000000"/>
      <w:kern w:val="2"/>
      <w:sz w:val="24"/>
      <w:szCs w:val="22"/>
    </w:rPr>
  </w:style>
  <w:style w:type="character" w:customStyle="1" w:styleId="2838">
    <w:name w:val="标题 1 字符2"/>
    <w:qFormat/>
    <w:uiPriority w:val="0"/>
    <w:rPr>
      <w:rFonts w:ascii="Calibri" w:hAnsi="Calibri" w:eastAsia="黑体"/>
      <w:kern w:val="2"/>
      <w:sz w:val="32"/>
      <w:szCs w:val="22"/>
    </w:rPr>
  </w:style>
  <w:style w:type="character" w:customStyle="1" w:styleId="2839">
    <w:name w:val="标题 2 字符1"/>
    <w:qFormat/>
    <w:uiPriority w:val="0"/>
    <w:rPr>
      <w:rFonts w:ascii="Calibri" w:hAnsi="Calibri" w:eastAsia="黑体"/>
      <w:bCs/>
      <w:sz w:val="28"/>
      <w:szCs w:val="32"/>
    </w:rPr>
  </w:style>
  <w:style w:type="character" w:customStyle="1" w:styleId="2840">
    <w:name w:val="标题 3 字符5"/>
    <w:qFormat/>
    <w:uiPriority w:val="9"/>
    <w:rPr>
      <w:rFonts w:ascii="Times New Roman" w:hAnsi="Times New Roman" w:eastAsia="黑体"/>
      <w:bCs/>
      <w:szCs w:val="32"/>
    </w:rPr>
  </w:style>
  <w:style w:type="character" w:customStyle="1" w:styleId="2841">
    <w:name w:val="标题 4 字符4"/>
    <w:qFormat/>
    <w:uiPriority w:val="9"/>
    <w:rPr>
      <w:rFonts w:ascii="Times New Roman" w:hAnsi="Times New Roman" w:cs="宋体"/>
      <w:sz w:val="24"/>
      <w:lang w:val="zh-CN"/>
    </w:rPr>
  </w:style>
  <w:style w:type="character" w:customStyle="1" w:styleId="2842">
    <w:name w:val="标题 5 字符1"/>
    <w:basedOn w:val="83"/>
    <w:qFormat/>
    <w:uiPriority w:val="9"/>
    <w:rPr>
      <w:rFonts w:ascii="仿宋_GB2312" w:hAnsi="Times New Roman" w:eastAsia="仿宋_GB2312"/>
      <w:b/>
      <w:bCs/>
      <w:sz w:val="28"/>
      <w:szCs w:val="28"/>
    </w:rPr>
  </w:style>
  <w:style w:type="character" w:customStyle="1" w:styleId="2843">
    <w:name w:val="标题 6 字符3"/>
    <w:basedOn w:val="83"/>
    <w:qFormat/>
    <w:uiPriority w:val="9"/>
    <w:rPr>
      <w:rFonts w:ascii="Times New Roman" w:hAnsi="Times New Roman"/>
      <w:b/>
      <w:bCs/>
      <w:kern w:val="2"/>
      <w:sz w:val="24"/>
    </w:rPr>
  </w:style>
  <w:style w:type="character" w:customStyle="1" w:styleId="2844">
    <w:name w:val="标题 7 字符1"/>
    <w:basedOn w:val="83"/>
    <w:qFormat/>
    <w:uiPriority w:val="9"/>
    <w:rPr>
      <w:rFonts w:ascii="Times New Roman" w:hAnsi="Times New Roman"/>
      <w:b/>
      <w:bCs/>
      <w:kern w:val="2"/>
      <w:sz w:val="28"/>
      <w:szCs w:val="28"/>
    </w:rPr>
  </w:style>
  <w:style w:type="character" w:customStyle="1" w:styleId="2845">
    <w:name w:val="标题 8 字符1"/>
    <w:qFormat/>
    <w:uiPriority w:val="99"/>
    <w:rPr>
      <w:rFonts w:ascii="Times New Roman" w:hAnsi="Times New Roman"/>
      <w:b/>
      <w:bCs/>
      <w:kern w:val="2"/>
      <w:sz w:val="28"/>
      <w:szCs w:val="28"/>
    </w:rPr>
  </w:style>
  <w:style w:type="character" w:customStyle="1" w:styleId="2846">
    <w:name w:val="标题 9 字符4"/>
    <w:basedOn w:val="83"/>
    <w:qFormat/>
    <w:uiPriority w:val="9"/>
    <w:rPr>
      <w:rFonts w:ascii="Arial" w:hAnsi="Arial" w:eastAsia="黑体"/>
      <w:sz w:val="28"/>
      <w:szCs w:val="21"/>
    </w:rPr>
  </w:style>
  <w:style w:type="character" w:customStyle="1" w:styleId="2847">
    <w:name w:val="批注文字 字符7"/>
    <w:basedOn w:val="83"/>
    <w:qFormat/>
    <w:uiPriority w:val="0"/>
    <w:rPr>
      <w:sz w:val="24"/>
      <w:szCs w:val="22"/>
    </w:rPr>
  </w:style>
  <w:style w:type="character" w:customStyle="1" w:styleId="2848">
    <w:name w:val="正文文本缩进 字符1"/>
    <w:basedOn w:val="83"/>
    <w:qFormat/>
    <w:uiPriority w:val="0"/>
    <w:rPr>
      <w:rFonts w:ascii="仿宋_GB2312" w:eastAsia="仿宋_GB2312"/>
      <w:spacing w:val="-2"/>
    </w:rPr>
  </w:style>
  <w:style w:type="character" w:customStyle="1" w:styleId="2849">
    <w:name w:val="纯文本 字符1"/>
    <w:qFormat/>
    <w:uiPriority w:val="0"/>
    <w:rPr>
      <w:rFonts w:ascii="宋体" w:hAnsi="Courier New"/>
      <w:kern w:val="2"/>
      <w:sz w:val="21"/>
      <w:szCs w:val="22"/>
    </w:rPr>
  </w:style>
  <w:style w:type="character" w:customStyle="1" w:styleId="2850">
    <w:name w:val="正文文本缩进 2 字符1"/>
    <w:qFormat/>
    <w:uiPriority w:val="0"/>
    <w:rPr>
      <w:rFonts w:ascii="Times New Roman" w:hAnsi="Times New Roman"/>
      <w:szCs w:val="24"/>
    </w:rPr>
  </w:style>
  <w:style w:type="character" w:customStyle="1" w:styleId="2851">
    <w:name w:val="批注框文本 字符3"/>
    <w:basedOn w:val="83"/>
    <w:qFormat/>
    <w:uiPriority w:val="0"/>
    <w:rPr>
      <w:rFonts w:ascii="宋体" w:hAnsi="宋体" w:cs="宋体"/>
      <w:sz w:val="18"/>
      <w:szCs w:val="18"/>
    </w:rPr>
  </w:style>
  <w:style w:type="character" w:customStyle="1" w:styleId="2852">
    <w:name w:val="页脚 字符4"/>
    <w:qFormat/>
    <w:uiPriority w:val="0"/>
    <w:rPr>
      <w:kern w:val="2"/>
      <w:sz w:val="18"/>
      <w:szCs w:val="18"/>
    </w:rPr>
  </w:style>
  <w:style w:type="character" w:customStyle="1" w:styleId="2853">
    <w:name w:val="页眉 字符1"/>
    <w:qFormat/>
    <w:uiPriority w:val="0"/>
    <w:rPr>
      <w:kern w:val="2"/>
      <w:sz w:val="18"/>
      <w:szCs w:val="18"/>
    </w:rPr>
  </w:style>
  <w:style w:type="character" w:customStyle="1" w:styleId="2854">
    <w:name w:val="普通(网站) 字符1"/>
    <w:qFormat/>
    <w:uiPriority w:val="99"/>
    <w:rPr>
      <w:rFonts w:ascii="宋体" w:hAnsi="宋体" w:cs="宋体"/>
      <w:sz w:val="24"/>
      <w:szCs w:val="24"/>
    </w:rPr>
  </w:style>
  <w:style w:type="character" w:customStyle="1" w:styleId="2855">
    <w:name w:val="标题 字符4"/>
    <w:qFormat/>
    <w:uiPriority w:val="0"/>
    <w:rPr>
      <w:rFonts w:ascii="Arial" w:hAnsi="Arial"/>
      <w:b/>
      <w:sz w:val="32"/>
    </w:rPr>
  </w:style>
  <w:style w:type="character" w:customStyle="1" w:styleId="2856">
    <w:name w:val="批注主题 字符4"/>
    <w:basedOn w:val="2847"/>
    <w:qFormat/>
    <w:uiPriority w:val="0"/>
    <w:rPr>
      <w:rFonts w:ascii="宋体" w:hAnsi="宋体" w:cs="宋体"/>
      <w:b/>
      <w:bCs/>
      <w:sz w:val="24"/>
      <w:szCs w:val="24"/>
    </w:rPr>
  </w:style>
  <w:style w:type="character" w:customStyle="1" w:styleId="2857">
    <w:name w:val="正文文本首行缩进 2 字符1"/>
    <w:qFormat/>
    <w:uiPriority w:val="0"/>
    <w:rPr>
      <w:rFonts w:ascii="仿宋_GB2312" w:hAnsi="Times New Roman" w:eastAsia="仿宋_GB2312"/>
      <w:sz w:val="28"/>
    </w:rPr>
  </w:style>
  <w:style w:type="paragraph" w:customStyle="1" w:styleId="2858">
    <w:name w:val="Table Text"/>
    <w:basedOn w:val="1"/>
    <w:semiHidden/>
    <w:qFormat/>
    <w:uiPriority w:val="0"/>
    <w:rPr>
      <w:sz w:val="20"/>
      <w:szCs w:val="20"/>
      <w:lang w:eastAsia="en-US"/>
    </w:rPr>
  </w:style>
  <w:style w:type="paragraph" w:customStyle="1" w:styleId="2859">
    <w:name w:val="00正文"/>
    <w:basedOn w:val="1"/>
    <w:qFormat/>
    <w:uiPriority w:val="0"/>
    <w:pPr>
      <w:snapToGrid w:val="0"/>
      <w:spacing w:line="460" w:lineRule="exact"/>
      <w:ind w:firstLine="560" w:firstLineChars="200"/>
      <w:jc w:val="both"/>
    </w:pPr>
    <w:rPr>
      <w:rFonts w:ascii="方正楷体简体" w:eastAsia="方正楷体简体" w:cs="Arial"/>
      <w:snapToGrid w:val="0"/>
      <w:szCs w:val="28"/>
    </w:rPr>
  </w:style>
  <w:style w:type="paragraph" w:customStyle="1" w:styleId="2860">
    <w:name w:val="标题12025"/>
    <w:basedOn w:val="3"/>
    <w:link w:val="2861"/>
    <w:qFormat/>
    <w:uiPriority w:val="0"/>
    <w:pPr>
      <w:numPr>
        <w:ilvl w:val="0"/>
        <w:numId w:val="7"/>
      </w:numPr>
    </w:pPr>
    <w:rPr>
      <w:b/>
    </w:rPr>
  </w:style>
  <w:style w:type="character" w:customStyle="1" w:styleId="2861">
    <w:name w:val="标题12025 字符"/>
    <w:basedOn w:val="2838"/>
    <w:link w:val="2860"/>
    <w:qFormat/>
    <w:uiPriority w:val="0"/>
    <w:rPr>
      <w:rFonts w:ascii="Calibri" w:hAnsi="Calibri" w:eastAsia="黑体"/>
      <w:b/>
      <w:kern w:val="2"/>
      <w:sz w:val="32"/>
      <w:szCs w:val="22"/>
    </w:rPr>
  </w:style>
  <w:style w:type="table" w:customStyle="1" w:styleId="2862">
    <w:name w:val="网格型5"/>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63">
    <w:name w:val="SSEC表格样式3"/>
    <w:basedOn w:val="80"/>
    <w:qFormat/>
    <w:uiPriority w:val="99"/>
    <w:pPr>
      <w:adjustRightInd w:val="0"/>
      <w:snapToGrid w:val="0"/>
    </w:pPr>
    <w:rPr>
      <w:kern w:val="2"/>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0" Type="http://schemas.openxmlformats.org/officeDocument/2006/relationships/fontTable" Target="fontTable.xml"/><Relationship Id="rId6" Type="http://schemas.openxmlformats.org/officeDocument/2006/relationships/header" Target="header1.xml"/><Relationship Id="rId59" Type="http://schemas.openxmlformats.org/officeDocument/2006/relationships/customXml" Target="../customXml/item2.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42.png"/><Relationship Id="rId55" Type="http://schemas.openxmlformats.org/officeDocument/2006/relationships/image" Target="media/image41.png"/><Relationship Id="rId54" Type="http://schemas.openxmlformats.org/officeDocument/2006/relationships/image" Target="media/image40.png"/><Relationship Id="rId53" Type="http://schemas.openxmlformats.org/officeDocument/2006/relationships/image" Target="media/image39.png"/><Relationship Id="rId52" Type="http://schemas.openxmlformats.org/officeDocument/2006/relationships/image" Target="media/image38.wmf"/><Relationship Id="rId51" Type="http://schemas.openxmlformats.org/officeDocument/2006/relationships/image" Target="media/image37.png"/><Relationship Id="rId50" Type="http://schemas.openxmlformats.org/officeDocument/2006/relationships/image" Target="media/image36.png"/><Relationship Id="rId5" Type="http://schemas.openxmlformats.org/officeDocument/2006/relationships/footer" Target="footer3.xml"/><Relationship Id="rId49" Type="http://schemas.openxmlformats.org/officeDocument/2006/relationships/image" Target="media/image35.png"/><Relationship Id="rId48" Type="http://schemas.openxmlformats.org/officeDocument/2006/relationships/image" Target="media/image34.png"/><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wmf"/><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jpeg"/><Relationship Id="rId40" Type="http://schemas.openxmlformats.org/officeDocument/2006/relationships/image" Target="media/image26.jpeg"/><Relationship Id="rId4" Type="http://schemas.openxmlformats.org/officeDocument/2006/relationships/footer" Target="footer2.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wmf"/><Relationship Id="rId34" Type="http://schemas.openxmlformats.org/officeDocument/2006/relationships/image" Target="media/image20.wmf"/><Relationship Id="rId33" Type="http://schemas.openxmlformats.org/officeDocument/2006/relationships/image" Target="media/image19.wmf"/><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er" Target="footer1.xml"/><Relationship Id="rId29" Type="http://schemas.openxmlformats.org/officeDocument/2006/relationships/image" Target="media/image15.png"/><Relationship Id="rId28" Type="http://schemas.openxmlformats.org/officeDocument/2006/relationships/image" Target="media/image14.jpeg"/><Relationship Id="rId27" Type="http://schemas.openxmlformats.org/officeDocument/2006/relationships/image" Target="media/image13.png"/><Relationship Id="rId26" Type="http://schemas.openxmlformats.org/officeDocument/2006/relationships/image" Target="media/image12.wmf"/><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32"/>
    <customShpInfo spid="_x0000_s1033"/>
    <customShpInfo spid="_x0000_s103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B29D78-76A5-4C96-BB8B-00A73DC43C3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237</Pages>
  <Words>140156</Words>
  <Characters>165743</Characters>
  <Lines>1540</Lines>
  <Paragraphs>433</Paragraphs>
  <TotalTime>15</TotalTime>
  <ScaleCrop>false</ScaleCrop>
  <LinksUpToDate>false</LinksUpToDate>
  <CharactersWithSpaces>167455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2021-10-25T08:43:00Z</dcterms:created>
  <dc:creator>木兰珊珊</dc:creator>
  <cp:lastModifiedBy>-qq</cp:lastModifiedBy>
  <cp:lastPrinted>2026-05-29T01:47:00Z</cp:lastPrinted>
  <dcterms:modified xsi:type="dcterms:W3CDTF">2026-07-20T02:40:58Z</dcterms:modified>
  <cp:revision>308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0557CB9E911A41D78F72687494A486D8</vt:lpwstr>
  </property>
  <property fmtid="{D5CDD505-2E9C-101B-9397-08002B2CF9AE}" pid="4" name="KSOTemplateDocerSaveRecord">
    <vt:lpwstr>eyJoZGlkIjoiNjgyN2UzYTRmMDdjYmMyMjcwNTUzYmI4YjMyMGYwM2UiLCJ1c2VySWQiOiI0MzA2Mjg1NTAifQ==</vt:lpwstr>
  </property>
</Properties>
</file>